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B7CD" w14:textId="27E04061" w:rsidR="009B0699" w:rsidRPr="006A4082" w:rsidRDefault="00C80BAF" w:rsidP="000D4035">
      <w:pPr>
        <w:pStyle w:val="EEPRUnumberedLevel1Heading"/>
        <w:numPr>
          <w:ilvl w:val="0"/>
          <w:numId w:val="0"/>
        </w:numPr>
        <w:ind w:left="720"/>
      </w:pPr>
      <w:bookmarkStart w:id="0" w:name="_Toc85752738"/>
      <w:bookmarkStart w:id="1" w:name="_Toc86237749"/>
      <w:bookmarkStart w:id="2" w:name="_Toc86352885"/>
      <w:bookmarkStart w:id="3" w:name="_Toc86418668"/>
      <w:bookmarkStart w:id="4" w:name="_Toc87462954"/>
      <w:r>
        <w:rPr>
          <w:noProof/>
          <w:lang w:eastAsia="en-GB"/>
        </w:rPr>
        <w:drawing>
          <wp:anchor distT="0" distB="0" distL="114300" distR="114300" simplePos="0" relativeHeight="251644928" behindDoc="1" locked="0" layoutInCell="1" allowOverlap="1" wp14:anchorId="7A6761F3" wp14:editId="165F2DD2">
            <wp:simplePos x="0" y="0"/>
            <wp:positionH relativeFrom="column">
              <wp:posOffset>-897255</wp:posOffset>
            </wp:positionH>
            <wp:positionV relativeFrom="paragraph">
              <wp:posOffset>-445135</wp:posOffset>
            </wp:positionV>
            <wp:extent cx="7598664" cy="10744200"/>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664" cy="107442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478F1AB9" w14:textId="77777777" w:rsidR="009B0699" w:rsidRPr="006A4082" w:rsidRDefault="009B0699" w:rsidP="002D5180">
      <w:pPr>
        <w:spacing w:line="360" w:lineRule="auto"/>
        <w:jc w:val="both"/>
        <w:rPr>
          <w:rFonts w:asciiTheme="majorBidi" w:hAnsiTheme="majorBidi" w:cstheme="majorBidi"/>
        </w:rPr>
      </w:pPr>
    </w:p>
    <w:p w14:paraId="580110BC" w14:textId="77777777" w:rsidR="009B0699" w:rsidRPr="006A4082" w:rsidRDefault="009B0699" w:rsidP="002D5180">
      <w:pPr>
        <w:spacing w:line="360" w:lineRule="auto"/>
        <w:jc w:val="both"/>
        <w:rPr>
          <w:rFonts w:asciiTheme="majorBidi" w:hAnsiTheme="majorBidi" w:cstheme="majorBidi"/>
        </w:rPr>
      </w:pPr>
    </w:p>
    <w:p w14:paraId="3BEBDADB" w14:textId="77777777" w:rsidR="009B0699" w:rsidRPr="006A4082" w:rsidRDefault="009B0699" w:rsidP="002D5180">
      <w:pPr>
        <w:spacing w:line="360" w:lineRule="auto"/>
        <w:jc w:val="both"/>
        <w:rPr>
          <w:rFonts w:asciiTheme="majorBidi" w:hAnsiTheme="majorBidi" w:cstheme="majorBidi"/>
        </w:rPr>
      </w:pPr>
    </w:p>
    <w:p w14:paraId="6237E63D" w14:textId="77777777" w:rsidR="00C80BAF" w:rsidRPr="009D35E4" w:rsidRDefault="00C80BAF" w:rsidP="00C80BAF"/>
    <w:p w14:paraId="15889478" w14:textId="77777777" w:rsidR="009B0699" w:rsidRPr="006A4082" w:rsidRDefault="00691D5F" w:rsidP="00691D5F">
      <w:pPr>
        <w:tabs>
          <w:tab w:val="left" w:pos="6405"/>
        </w:tabs>
        <w:spacing w:line="360" w:lineRule="auto"/>
        <w:jc w:val="both"/>
        <w:rPr>
          <w:rFonts w:asciiTheme="majorBidi" w:hAnsiTheme="majorBidi" w:cstheme="majorBidi"/>
        </w:rPr>
      </w:pPr>
      <w:r>
        <w:rPr>
          <w:rFonts w:asciiTheme="majorBidi" w:hAnsiTheme="majorBidi" w:cstheme="majorBidi"/>
        </w:rPr>
        <w:tab/>
      </w:r>
    </w:p>
    <w:p w14:paraId="33B47F0F" w14:textId="77777777" w:rsidR="009B0699" w:rsidRPr="006A4082" w:rsidRDefault="009B0699" w:rsidP="002D5180">
      <w:pPr>
        <w:spacing w:line="360" w:lineRule="auto"/>
        <w:jc w:val="both"/>
        <w:rPr>
          <w:rFonts w:asciiTheme="majorBidi" w:hAnsiTheme="majorBidi" w:cstheme="majorBidi"/>
        </w:rPr>
      </w:pPr>
    </w:p>
    <w:p w14:paraId="2E7B3685" w14:textId="72310968" w:rsidR="009B0699" w:rsidRPr="006A4082" w:rsidRDefault="009B0699" w:rsidP="002D5180">
      <w:pPr>
        <w:spacing w:line="360" w:lineRule="auto"/>
        <w:jc w:val="both"/>
        <w:rPr>
          <w:rFonts w:asciiTheme="majorBidi" w:hAnsiTheme="majorBidi" w:cstheme="majorBidi"/>
        </w:rPr>
      </w:pPr>
    </w:p>
    <w:p w14:paraId="47E75E83" w14:textId="1664C4A3" w:rsidR="009B0699" w:rsidRPr="006A4082" w:rsidRDefault="009B0699" w:rsidP="002D5180">
      <w:pPr>
        <w:spacing w:line="360" w:lineRule="auto"/>
        <w:jc w:val="both"/>
        <w:rPr>
          <w:rFonts w:asciiTheme="majorBidi" w:hAnsiTheme="majorBidi" w:cstheme="majorBidi"/>
        </w:rPr>
      </w:pPr>
    </w:p>
    <w:p w14:paraId="1221AB66" w14:textId="71C686F5" w:rsidR="009B0699" w:rsidRPr="006A4082" w:rsidRDefault="002F692B" w:rsidP="002D5180">
      <w:pPr>
        <w:spacing w:line="360" w:lineRule="auto"/>
        <w:jc w:val="both"/>
        <w:rPr>
          <w:rFonts w:asciiTheme="majorBidi" w:hAnsiTheme="majorBidi" w:cstheme="majorBidi"/>
        </w:rPr>
      </w:pPr>
      <w:r w:rsidRPr="009D35E4">
        <w:rPr>
          <w:noProof/>
          <w:lang w:eastAsia="en-GB"/>
        </w:rPr>
        <mc:AlternateContent>
          <mc:Choice Requires="wps">
            <w:drawing>
              <wp:anchor distT="0" distB="0" distL="114300" distR="114300" simplePos="0" relativeHeight="251638784" behindDoc="0" locked="0" layoutInCell="1" allowOverlap="1" wp14:anchorId="3BBF3562" wp14:editId="571F13D1">
                <wp:simplePos x="0" y="0"/>
                <wp:positionH relativeFrom="column">
                  <wp:posOffset>-260350</wp:posOffset>
                </wp:positionH>
                <wp:positionV relativeFrom="paragraph">
                  <wp:posOffset>415290</wp:posOffset>
                </wp:positionV>
                <wp:extent cx="6646545" cy="2190750"/>
                <wp:effectExtent l="0" t="0" r="0" b="0"/>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219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D1C9A" w14:textId="477E84A2" w:rsidR="008E01D0" w:rsidRDefault="008E01D0" w:rsidP="002F692B">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Final report for the technology evaluation of c</w:t>
                            </w:r>
                            <w:r w:rsidRPr="009D10CA">
                              <w:rPr>
                                <w:rFonts w:ascii="Helvetica" w:hAnsi="Helvetica" w:cs="HelveticaNeue-Bold"/>
                                <w:b/>
                                <w:bCs/>
                                <w:color w:val="092E41"/>
                                <w:sz w:val="50"/>
                                <w:szCs w:val="50"/>
                              </w:rPr>
                              <w:t xml:space="preserve">eftazidime with avibactam for treating severe aerobic Gram-negative bacterial infections </w:t>
                            </w:r>
                          </w:p>
                          <w:p w14:paraId="0F566793" w14:textId="5F62AA1B" w:rsidR="008E01D0" w:rsidRPr="00CD41A0" w:rsidRDefault="008E01D0" w:rsidP="00F901D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3562" id="_x0000_t202" coordsize="21600,21600" o:spt="202" path="m,l,21600r21600,l21600,xe">
                <v:stroke joinstyle="miter"/>
                <v:path gradientshapeok="t" o:connecttype="rect"/>
              </v:shapetype>
              <v:shape id="Text Box 22" o:spid="_x0000_s1026" type="#_x0000_t202" alt="&quot;&quot;" style="position:absolute;left:0;text-align:left;margin-left:-20.5pt;margin-top:32.7pt;width:523.3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" filled="f" stroked="f">
                <v:textbox>
                  <w:txbxContent>
                    <w:p w14:paraId="220D1C9A" w14:textId="477E84A2" w:rsidR="008E01D0" w:rsidRDefault="008E01D0" w:rsidP="002F692B">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Final report for the technology evaluation of c</w:t>
                      </w:r>
                      <w:r w:rsidRPr="009D10CA">
                        <w:rPr>
                          <w:rFonts w:ascii="Helvetica" w:hAnsi="Helvetica" w:cs="HelveticaNeue-Bold"/>
                          <w:b/>
                          <w:bCs/>
                          <w:color w:val="092E41"/>
                          <w:sz w:val="50"/>
                          <w:szCs w:val="50"/>
                        </w:rPr>
                        <w:t xml:space="preserve">eftazidime with avibactam for treating severe aerobic Gram-negative bacterial infections </w:t>
                      </w:r>
                    </w:p>
                    <w:p w14:paraId="0F566793" w14:textId="5F62AA1B" w:rsidR="008E01D0" w:rsidRPr="00CD41A0" w:rsidRDefault="008E01D0" w:rsidP="00F901D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v:textbox>
                <w10:wrap type="square"/>
              </v:shape>
            </w:pict>
          </mc:Fallback>
        </mc:AlternateContent>
      </w:r>
    </w:p>
    <w:p w14:paraId="30B9196F" w14:textId="7F58A15B" w:rsidR="009B0699" w:rsidRPr="006A4082" w:rsidRDefault="001B6B63" w:rsidP="002D5180">
      <w:pPr>
        <w:spacing w:line="360" w:lineRule="auto"/>
        <w:jc w:val="both"/>
        <w:rPr>
          <w:rFonts w:asciiTheme="majorBidi" w:hAnsiTheme="majorBidi" w:cstheme="majorBidi"/>
        </w:rPr>
      </w:pPr>
      <w:r w:rsidRPr="006A4082">
        <w:rPr>
          <w:noProof/>
          <w:lang w:eastAsia="en-GB"/>
        </w:rPr>
        <mc:AlternateContent>
          <mc:Choice Requires="wps">
            <w:drawing>
              <wp:inline distT="0" distB="0" distL="0" distR="0" wp14:anchorId="1CA64DA2" wp14:editId="597E4F7A">
                <wp:extent cx="6357620" cy="2273300"/>
                <wp:effectExtent l="0" t="0" r="0" b="0"/>
                <wp:docPr id="7" name="Text Box 7"/>
                <wp:cNvGraphicFramePr/>
                <a:graphic xmlns:a="http://schemas.openxmlformats.org/drawingml/2006/main">
                  <a:graphicData uri="http://schemas.microsoft.com/office/word/2010/wordprocessingShape">
                    <wps:wsp>
                      <wps:cNvSpPr txBox="1"/>
                      <wps:spPr>
                        <a:xfrm>
                          <a:off x="0" y="0"/>
                          <a:ext cx="6357620" cy="22733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60F0DD" w14:textId="4C14C8FF" w:rsidR="008E01D0" w:rsidRPr="00E625D7" w:rsidRDefault="008E01D0" w:rsidP="00E625D7">
                            <w:pPr>
                              <w:spacing w:before="100" w:beforeAutospacing="1" w:after="100" w:afterAutospacing="1" w:line="240" w:lineRule="auto"/>
                              <w:rPr>
                                <w:rFonts w:ascii="Times New Roman" w:eastAsia="Times New Roman" w:hAnsi="Times New Roman" w:cs="Times New Roman"/>
                                <w:sz w:val="28"/>
                                <w:szCs w:val="28"/>
                                <w:lang w:eastAsia="zh-CN"/>
                              </w:rPr>
                            </w:pPr>
                            <w:r w:rsidRPr="00E76222">
                              <w:rPr>
                                <w:rFonts w:ascii="Times New Roman" w:eastAsia="Times New Roman" w:hAnsi="Times New Roman" w:cs="Times New Roman"/>
                                <w:color w:val="000000"/>
                                <w:sz w:val="28"/>
                                <w:szCs w:val="28"/>
                                <w:lang w:eastAsia="zh-CN"/>
                              </w:rPr>
                              <w:t>Sue Harnan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Ben Kearns</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Alison Scope</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Laetitia Schmitt</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Dina Jankovic</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Jean Hamilton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Ruth Wong</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Tushar Srivastava</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Harry Hill, Chu Chang Ku </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Kate Ren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Claire Rothery</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Laura Bojke</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Mark Sculpher</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Beth Woods</w:t>
                            </w:r>
                            <w:r w:rsidRPr="00E76222">
                              <w:rPr>
                                <w:rFonts w:ascii="Times New Roman" w:eastAsia="Times New Roman" w:hAnsi="Times New Roman" w:cs="Times New Roman"/>
                                <w:color w:val="000000"/>
                                <w:sz w:val="28"/>
                                <w:szCs w:val="28"/>
                                <w:vertAlign w:val="superscript"/>
                                <w:lang w:eastAsia="zh-CN"/>
                              </w:rPr>
                              <w:t>1</w:t>
                            </w:r>
                          </w:p>
                          <w:p w14:paraId="6B052AAB" w14:textId="77777777" w:rsidR="008E01D0" w:rsidRPr="007B0301" w:rsidRDefault="008E01D0"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59AE0FC6" w14:textId="5DBBEC9C" w:rsidR="00C40400" w:rsidRDefault="008E01D0" w:rsidP="00B51095">
                            <w:pPr>
                              <w:pStyle w:val="EEPRUTItlePageAuthorsandAffiliations"/>
                              <w:rPr>
                                <w:sz w:val="20"/>
                                <w:szCs w:val="20"/>
                              </w:rPr>
                            </w:pPr>
                            <w:r>
                              <w:rPr>
                                <w:sz w:val="20"/>
                                <w:szCs w:val="20"/>
                                <w:vertAlign w:val="superscript"/>
                              </w:rPr>
                              <w:t xml:space="preserve">2 </w:t>
                            </w:r>
                            <w:r>
                              <w:rPr>
                                <w:sz w:val="20"/>
                                <w:szCs w:val="20"/>
                              </w:rPr>
                              <w:t>Health Economics and Decision Science, School of Health and Related Research, University of Sheffield, UK</w:t>
                            </w:r>
                            <w:r w:rsidRPr="007B0301">
                              <w:rPr>
                                <w:sz w:val="20"/>
                                <w:szCs w:val="20"/>
                              </w:rPr>
                              <w:cr/>
                            </w:r>
                          </w:p>
                          <w:p w14:paraId="0D67E758" w14:textId="02E59E95" w:rsidR="00E625D7" w:rsidRPr="00C342BF" w:rsidRDefault="00E625D7" w:rsidP="00E625D7">
                            <w:pPr>
                              <w:pStyle w:val="EEPRUTItlePageAuthorsandAffiliations"/>
                              <w:rPr>
                                <w:b/>
                                <w:bCs/>
                                <w:sz w:val="18"/>
                                <w:szCs w:val="18"/>
                              </w:rPr>
                            </w:pPr>
                            <w:r w:rsidRPr="00C342BF">
                              <w:rPr>
                                <w:b/>
                                <w:bCs/>
                                <w:sz w:val="22"/>
                                <w:szCs w:val="22"/>
                              </w:rPr>
                              <w:t xml:space="preserve">This document uses different formatting to the original report supplied by EEPRU to NICE. The content is identical, but this version has been </w:t>
                            </w:r>
                            <w:r w:rsidR="00C40400">
                              <w:rPr>
                                <w:b/>
                                <w:bCs/>
                                <w:sz w:val="22"/>
                                <w:szCs w:val="22"/>
                              </w:rPr>
                              <w:t>altered to improve the digital accessibility.</w:t>
                            </w:r>
                          </w:p>
                          <w:p w14:paraId="52B1E340" w14:textId="77777777" w:rsidR="00E625D7" w:rsidRDefault="00E625D7" w:rsidP="00B51095">
                            <w:pPr>
                              <w:pStyle w:val="EEPRUTItlePageAuthorsandAffiliations"/>
                              <w:rPr>
                                <w:sz w:val="20"/>
                                <w:szCs w:val="20"/>
                              </w:rPr>
                            </w:pPr>
                          </w:p>
                          <w:p w14:paraId="112E148B" w14:textId="77777777" w:rsidR="00E625D7" w:rsidRDefault="00E625D7" w:rsidP="00B51095">
                            <w:pPr>
                              <w:pStyle w:val="EEPRUTItlePageAuthorsandAffiliations"/>
                            </w:pPr>
                          </w:p>
                          <w:p w14:paraId="60BABE48" w14:textId="77777777" w:rsidR="008E01D0" w:rsidRPr="00CD41A0" w:rsidRDefault="008E01D0" w:rsidP="00B51095">
                            <w:pPr>
                              <w:pStyle w:val="EEPRUTItlePageAuthorsandAffiliations"/>
                            </w:pPr>
                          </w:p>
                          <w:p w14:paraId="7722AB1E" w14:textId="77777777" w:rsidR="008E01D0" w:rsidRPr="00CD41A0" w:rsidRDefault="008E01D0" w:rsidP="00B51095">
                            <w:pPr>
                              <w:pStyle w:val="EEPRUTItlePageAuthorsandAffiliations"/>
                            </w:pPr>
                          </w:p>
                          <w:p w14:paraId="080B8B5F" w14:textId="77777777" w:rsidR="008E01D0" w:rsidRPr="00CD41A0" w:rsidRDefault="008E01D0" w:rsidP="00B51095">
                            <w:pPr>
                              <w:pStyle w:val="EEPRUTItlePageAuthorsandAffiliatio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64DA2" id="Text Box 7" o:spid="_x0000_s1027" type="#_x0000_t202" style="width:500.6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" filled="f" stroked="f">
                <v:textbox>
                  <w:txbxContent>
                    <w:p w14:paraId="5D60F0DD" w14:textId="4C14C8FF" w:rsidR="008E01D0" w:rsidRPr="00E625D7" w:rsidRDefault="008E01D0" w:rsidP="00E625D7">
                      <w:pPr>
                        <w:spacing w:before="100" w:beforeAutospacing="1" w:after="100" w:afterAutospacing="1" w:line="240" w:lineRule="auto"/>
                        <w:rPr>
                          <w:rFonts w:ascii="Times New Roman" w:eastAsia="Times New Roman" w:hAnsi="Times New Roman" w:cs="Times New Roman"/>
                          <w:sz w:val="28"/>
                          <w:szCs w:val="28"/>
                          <w:lang w:eastAsia="zh-CN"/>
                        </w:rPr>
                      </w:pPr>
                      <w:r w:rsidRPr="00E76222">
                        <w:rPr>
                          <w:rFonts w:ascii="Times New Roman" w:eastAsia="Times New Roman" w:hAnsi="Times New Roman" w:cs="Times New Roman"/>
                          <w:color w:val="000000"/>
                          <w:sz w:val="28"/>
                          <w:szCs w:val="28"/>
                          <w:lang w:eastAsia="zh-CN"/>
                        </w:rPr>
                        <w:t>Sue Harnan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Ben Kearns</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Alison Scope</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Laetitia Schmitt</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Dina Jankovic</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Jean Hamilton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Ruth Wong</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Tushar Srivastava</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Harry Hill, Chu Chang Ku </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Kate Ren</w:t>
                      </w:r>
                      <w:r w:rsidRPr="00E76222">
                        <w:rPr>
                          <w:rFonts w:ascii="Times New Roman" w:eastAsia="Times New Roman" w:hAnsi="Times New Roman" w:cs="Times New Roman"/>
                          <w:color w:val="000000"/>
                          <w:sz w:val="28"/>
                          <w:szCs w:val="28"/>
                          <w:vertAlign w:val="superscript"/>
                          <w:lang w:eastAsia="zh-CN"/>
                        </w:rPr>
                        <w:t>2</w:t>
                      </w:r>
                      <w:r w:rsidRPr="00E76222">
                        <w:rPr>
                          <w:rFonts w:ascii="Times New Roman" w:eastAsia="Times New Roman" w:hAnsi="Times New Roman" w:cs="Times New Roman"/>
                          <w:color w:val="000000"/>
                          <w:sz w:val="28"/>
                          <w:szCs w:val="28"/>
                          <w:lang w:eastAsia="zh-CN"/>
                        </w:rPr>
                        <w:t>, Claire Rothery</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Laura Bojke</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Mark Sculpher</w:t>
                      </w:r>
                      <w:r w:rsidRPr="00E76222">
                        <w:rPr>
                          <w:rFonts w:ascii="Times New Roman" w:eastAsia="Times New Roman" w:hAnsi="Times New Roman" w:cs="Times New Roman"/>
                          <w:color w:val="000000"/>
                          <w:sz w:val="28"/>
                          <w:szCs w:val="28"/>
                          <w:vertAlign w:val="superscript"/>
                          <w:lang w:eastAsia="zh-CN"/>
                        </w:rPr>
                        <w:t>1</w:t>
                      </w:r>
                      <w:r w:rsidRPr="00E76222">
                        <w:rPr>
                          <w:rFonts w:ascii="Times New Roman" w:eastAsia="Times New Roman" w:hAnsi="Times New Roman" w:cs="Times New Roman"/>
                          <w:color w:val="000000"/>
                          <w:sz w:val="28"/>
                          <w:szCs w:val="28"/>
                          <w:lang w:eastAsia="zh-CN"/>
                        </w:rPr>
                        <w:t>, Beth Woods</w:t>
                      </w:r>
                      <w:r w:rsidRPr="00E76222">
                        <w:rPr>
                          <w:rFonts w:ascii="Times New Roman" w:eastAsia="Times New Roman" w:hAnsi="Times New Roman" w:cs="Times New Roman"/>
                          <w:color w:val="000000"/>
                          <w:sz w:val="28"/>
                          <w:szCs w:val="28"/>
                          <w:vertAlign w:val="superscript"/>
                          <w:lang w:eastAsia="zh-CN"/>
                        </w:rPr>
                        <w:t>1</w:t>
                      </w:r>
                    </w:p>
                    <w:p w14:paraId="6B052AAB" w14:textId="77777777" w:rsidR="008E01D0" w:rsidRPr="007B0301" w:rsidRDefault="008E01D0"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59AE0FC6" w14:textId="5DBBEC9C" w:rsidR="00C40400" w:rsidRDefault="008E01D0" w:rsidP="00B51095">
                      <w:pPr>
                        <w:pStyle w:val="EEPRUTItlePageAuthorsandAffiliations"/>
                        <w:rPr>
                          <w:sz w:val="20"/>
                          <w:szCs w:val="20"/>
                        </w:rPr>
                      </w:pPr>
                      <w:r>
                        <w:rPr>
                          <w:sz w:val="20"/>
                          <w:szCs w:val="20"/>
                          <w:vertAlign w:val="superscript"/>
                        </w:rPr>
                        <w:t xml:space="preserve">2 </w:t>
                      </w:r>
                      <w:r>
                        <w:rPr>
                          <w:sz w:val="20"/>
                          <w:szCs w:val="20"/>
                        </w:rPr>
                        <w:t>Health Economics and Decision Science, School of Health and Related Research, University of Sheffield, UK</w:t>
                      </w:r>
                      <w:r w:rsidRPr="007B0301">
                        <w:rPr>
                          <w:sz w:val="20"/>
                          <w:szCs w:val="20"/>
                        </w:rPr>
                        <w:cr/>
                      </w:r>
                    </w:p>
                    <w:p w14:paraId="0D67E758" w14:textId="02E59E95" w:rsidR="00E625D7" w:rsidRPr="00C342BF" w:rsidRDefault="00E625D7" w:rsidP="00E625D7">
                      <w:pPr>
                        <w:pStyle w:val="EEPRUTItlePageAuthorsandAffiliations"/>
                        <w:rPr>
                          <w:b/>
                          <w:bCs/>
                          <w:sz w:val="18"/>
                          <w:szCs w:val="18"/>
                        </w:rPr>
                      </w:pPr>
                      <w:r w:rsidRPr="00C342BF">
                        <w:rPr>
                          <w:b/>
                          <w:bCs/>
                          <w:sz w:val="22"/>
                          <w:szCs w:val="22"/>
                        </w:rPr>
                        <w:t xml:space="preserve">This document uses different formatting to the original report supplied by EEPRU to NICE. The content is identical, but this version has been </w:t>
                      </w:r>
                      <w:r w:rsidR="00C40400">
                        <w:rPr>
                          <w:b/>
                          <w:bCs/>
                          <w:sz w:val="22"/>
                          <w:szCs w:val="22"/>
                        </w:rPr>
                        <w:t>altered to improve the digital accessibility.</w:t>
                      </w:r>
                    </w:p>
                    <w:p w14:paraId="52B1E340" w14:textId="77777777" w:rsidR="00E625D7" w:rsidRDefault="00E625D7" w:rsidP="00B51095">
                      <w:pPr>
                        <w:pStyle w:val="EEPRUTItlePageAuthorsandAffiliations"/>
                        <w:rPr>
                          <w:sz w:val="20"/>
                          <w:szCs w:val="20"/>
                        </w:rPr>
                      </w:pPr>
                    </w:p>
                    <w:p w14:paraId="112E148B" w14:textId="77777777" w:rsidR="00E625D7" w:rsidRDefault="00E625D7" w:rsidP="00B51095">
                      <w:pPr>
                        <w:pStyle w:val="EEPRUTItlePageAuthorsandAffiliations"/>
                      </w:pPr>
                    </w:p>
                    <w:p w14:paraId="60BABE48" w14:textId="77777777" w:rsidR="008E01D0" w:rsidRPr="00CD41A0" w:rsidRDefault="008E01D0" w:rsidP="00B51095">
                      <w:pPr>
                        <w:pStyle w:val="EEPRUTItlePageAuthorsandAffiliations"/>
                      </w:pPr>
                    </w:p>
                    <w:p w14:paraId="7722AB1E" w14:textId="77777777" w:rsidR="008E01D0" w:rsidRPr="00CD41A0" w:rsidRDefault="008E01D0" w:rsidP="00B51095">
                      <w:pPr>
                        <w:pStyle w:val="EEPRUTItlePageAuthorsandAffiliations"/>
                      </w:pPr>
                    </w:p>
                    <w:p w14:paraId="080B8B5F" w14:textId="77777777" w:rsidR="008E01D0" w:rsidRPr="00CD41A0" w:rsidRDefault="008E01D0" w:rsidP="00B51095">
                      <w:pPr>
                        <w:pStyle w:val="EEPRUTItlePageAuthorsandAffiliations"/>
                      </w:pPr>
                    </w:p>
                  </w:txbxContent>
                </v:textbox>
                <w10:anchorlock/>
              </v:shape>
            </w:pict>
          </mc:Fallback>
        </mc:AlternateContent>
      </w:r>
    </w:p>
    <w:p w14:paraId="40C596B9" w14:textId="5271FC84" w:rsidR="00FF7D30" w:rsidRPr="00F6151D" w:rsidRDefault="00E625D7" w:rsidP="00F6151D">
      <w:pPr>
        <w:spacing w:line="360" w:lineRule="auto"/>
        <w:jc w:val="both"/>
        <w:rPr>
          <w:rFonts w:asciiTheme="majorBidi" w:hAnsiTheme="majorBidi" w:cstheme="majorBidi"/>
        </w:rPr>
      </w:pPr>
      <w:r>
        <w:rPr>
          <w:noProof/>
          <w:lang w:eastAsia="en-GB"/>
        </w:rPr>
        <w:drawing>
          <wp:anchor distT="0" distB="0" distL="114300" distR="114300" simplePos="0" relativeHeight="251639808" behindDoc="1" locked="0" layoutInCell="1" allowOverlap="1" wp14:anchorId="26603DA0" wp14:editId="367C1D04">
            <wp:simplePos x="0" y="0"/>
            <wp:positionH relativeFrom="margin">
              <wp:posOffset>4093210</wp:posOffset>
            </wp:positionH>
            <wp:positionV relativeFrom="paragraph">
              <wp:posOffset>77470</wp:posOffset>
            </wp:positionV>
            <wp:extent cx="2277745" cy="476250"/>
            <wp:effectExtent l="0" t="0" r="8255" b="0"/>
            <wp:wrapTight wrapText="bothSides">
              <wp:wrapPolygon edited="0">
                <wp:start x="0" y="0"/>
                <wp:lineTo x="0" y="20736"/>
                <wp:lineTo x="21498" y="20736"/>
                <wp:lineTo x="2149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77745" cy="476250"/>
                    </a:xfrm>
                    <a:prstGeom prst="rect">
                      <a:avLst/>
                    </a:prstGeom>
                  </pic:spPr>
                </pic:pic>
              </a:graphicData>
            </a:graphic>
            <wp14:sizeRelH relativeFrom="margin">
              <wp14:pctWidth>0</wp14:pctWidth>
            </wp14:sizeRelH>
            <wp14:sizeRelV relativeFrom="margin">
              <wp14:pctHeight>0</wp14:pctHeight>
            </wp14:sizeRelV>
          </wp:anchor>
        </w:drawing>
      </w:r>
    </w:p>
    <w:p w14:paraId="4EE77DB7" w14:textId="2EC11815" w:rsidR="000426DF" w:rsidRPr="00B51095" w:rsidRDefault="002F692B" w:rsidP="00B51095">
      <w:pPr>
        <w:pStyle w:val="EEPRUMainHeading"/>
      </w:pPr>
      <w:r>
        <w:lastRenderedPageBreak/>
        <w:t>F</w:t>
      </w:r>
      <w:r w:rsidR="000426DF" w:rsidRPr="00B51095">
        <w:t>unding</w:t>
      </w:r>
    </w:p>
    <w:p w14:paraId="443DFAF1" w14:textId="018B755B" w:rsidR="002F692B" w:rsidRDefault="002F692B" w:rsidP="002F692B">
      <w:pPr>
        <w:spacing w:line="360" w:lineRule="auto"/>
        <w:jc w:val="both"/>
        <w:rPr>
          <w:rFonts w:asciiTheme="majorBidi" w:hAnsiTheme="majorBidi" w:cstheme="majorBidi"/>
        </w:rPr>
      </w:pPr>
      <w:r w:rsidRPr="007E7A10">
        <w:rPr>
          <w:rFonts w:asciiTheme="majorBidi" w:hAnsiTheme="majorBidi" w:cstheme="majorBidi"/>
        </w:rPr>
        <w:t xml:space="preserve">This research is funded by the National Institute for Health Research (NIHR) Policy Research Programme, conducted through the Policy Research Unit in Economic Methods of Evaluation in Health and Social Care Interventions, PR-PRU-1217-20401. </w:t>
      </w:r>
    </w:p>
    <w:p w14:paraId="11A728C6" w14:textId="77777777" w:rsidR="0073546E" w:rsidRPr="006A4082" w:rsidRDefault="0073546E" w:rsidP="002D5180">
      <w:pPr>
        <w:spacing w:line="360" w:lineRule="auto"/>
        <w:jc w:val="both"/>
        <w:rPr>
          <w:rFonts w:asciiTheme="majorBidi" w:hAnsiTheme="majorBidi" w:cstheme="majorBidi"/>
        </w:rPr>
      </w:pPr>
    </w:p>
    <w:p w14:paraId="54D3F172" w14:textId="77777777" w:rsidR="004C2BD7" w:rsidRPr="006A4082" w:rsidRDefault="004C2BD7" w:rsidP="009E5E96">
      <w:pPr>
        <w:pStyle w:val="EEPRUMainHeading"/>
      </w:pPr>
      <w:r w:rsidRPr="006A4082">
        <w:t>Acknowledgements</w:t>
      </w:r>
    </w:p>
    <w:p w14:paraId="498072E1" w14:textId="399E1E1B" w:rsidR="009B0699" w:rsidRPr="006A4082" w:rsidRDefault="002F692B" w:rsidP="002D5180">
      <w:pPr>
        <w:spacing w:line="360" w:lineRule="auto"/>
        <w:jc w:val="both"/>
        <w:rPr>
          <w:rFonts w:asciiTheme="majorBidi" w:hAnsiTheme="majorBidi" w:cstheme="majorBidi"/>
        </w:rPr>
      </w:pPr>
      <w:r w:rsidRPr="009D10CA">
        <w:rPr>
          <w:rFonts w:asciiTheme="majorBidi" w:hAnsiTheme="majorBidi" w:cstheme="majorBidi"/>
        </w:rPr>
        <w:t xml:space="preserve">The views expressed are those of the author(s) and not necessarily those of the NHS, the National Institute for Health Research, the Department of Health and Social Care or its arm's length bodies, or other UK government departments. </w:t>
      </w:r>
      <w:r>
        <w:rPr>
          <w:rFonts w:asciiTheme="majorBidi" w:hAnsiTheme="majorBidi" w:cstheme="majorBidi"/>
        </w:rPr>
        <w:t>We are grateful for the support of our clinical advisors: Professors David Jenkins, Will</w:t>
      </w:r>
      <w:r w:rsidR="00664C88">
        <w:rPr>
          <w:rFonts w:asciiTheme="majorBidi" w:hAnsiTheme="majorBidi" w:cstheme="majorBidi"/>
        </w:rPr>
        <w:t>i</w:t>
      </w:r>
      <w:r>
        <w:rPr>
          <w:rFonts w:asciiTheme="majorBidi" w:hAnsiTheme="majorBidi" w:cstheme="majorBidi"/>
        </w:rPr>
        <w:t xml:space="preserve">am Hope, Philip Howard, Colm Leonard, Mark Wilcox; and Drs Alan </w:t>
      </w:r>
      <w:proofErr w:type="spellStart"/>
      <w:r>
        <w:rPr>
          <w:rFonts w:asciiTheme="majorBidi" w:hAnsiTheme="majorBidi" w:cstheme="majorBidi"/>
        </w:rPr>
        <w:t>Ashwoth</w:t>
      </w:r>
      <w:proofErr w:type="spellEnd"/>
      <w:r>
        <w:rPr>
          <w:rFonts w:asciiTheme="majorBidi" w:hAnsiTheme="majorBidi" w:cstheme="majorBidi"/>
        </w:rPr>
        <w:t xml:space="preserve"> and Andrew Bentley.  </w:t>
      </w:r>
      <w:r w:rsidR="007A72CF">
        <w:rPr>
          <w:rFonts w:asciiTheme="majorBidi" w:hAnsiTheme="majorBidi" w:cstheme="majorBidi"/>
        </w:rPr>
        <w:t>Also,</w:t>
      </w:r>
      <w:r>
        <w:rPr>
          <w:rFonts w:asciiTheme="majorBidi" w:hAnsiTheme="majorBidi" w:cstheme="majorBidi"/>
        </w:rPr>
        <w:t xml:space="preserve"> thanks for modelling advice to Professor Mark Jit and Dr Gwen Knight</w:t>
      </w:r>
      <w:r w:rsidR="00A70F93">
        <w:rPr>
          <w:rFonts w:asciiTheme="majorBidi" w:hAnsiTheme="majorBidi" w:cstheme="majorBidi"/>
        </w:rPr>
        <w:t xml:space="preserve">; and for comments on </w:t>
      </w:r>
      <w:proofErr w:type="gramStart"/>
      <w:r w:rsidR="007721CD">
        <w:rPr>
          <w:rFonts w:asciiTheme="majorBidi" w:hAnsiTheme="majorBidi" w:cstheme="majorBidi"/>
        </w:rPr>
        <w:t>drafts</w:t>
      </w:r>
      <w:proofErr w:type="gramEnd"/>
      <w:r w:rsidR="00A70F93">
        <w:rPr>
          <w:rFonts w:asciiTheme="majorBidi" w:hAnsiTheme="majorBidi" w:cstheme="majorBidi"/>
        </w:rPr>
        <w:t xml:space="preserve"> we thank</w:t>
      </w:r>
      <w:r w:rsidR="007721CD">
        <w:rPr>
          <w:rFonts w:asciiTheme="majorBidi" w:hAnsiTheme="majorBidi" w:cstheme="majorBidi"/>
        </w:rPr>
        <w:t xml:space="preserve"> Professor Allan </w:t>
      </w:r>
      <w:proofErr w:type="spellStart"/>
      <w:r w:rsidR="007721CD">
        <w:rPr>
          <w:rFonts w:asciiTheme="majorBidi" w:hAnsiTheme="majorBidi" w:cstheme="majorBidi"/>
        </w:rPr>
        <w:t>Wailoo</w:t>
      </w:r>
      <w:proofErr w:type="spellEnd"/>
      <w:r w:rsidR="007721CD">
        <w:rPr>
          <w:rFonts w:asciiTheme="majorBidi" w:hAnsiTheme="majorBidi" w:cstheme="majorBidi"/>
        </w:rPr>
        <w:t xml:space="preserve">, Dr James Fotheringham, Professor Simon Dixon, Rita Neves De </w:t>
      </w:r>
      <w:proofErr w:type="spellStart"/>
      <w:r w:rsidR="007721CD">
        <w:rPr>
          <w:rFonts w:asciiTheme="majorBidi" w:hAnsiTheme="majorBidi" w:cstheme="majorBidi"/>
        </w:rPr>
        <w:t>Faria</w:t>
      </w:r>
      <w:proofErr w:type="spellEnd"/>
      <w:r w:rsidR="007721CD">
        <w:rPr>
          <w:rFonts w:asciiTheme="majorBidi" w:hAnsiTheme="majorBidi" w:cstheme="majorBidi"/>
        </w:rPr>
        <w:t xml:space="preserve"> and Professor Stephen Palmer</w:t>
      </w:r>
      <w:r w:rsidR="00A70F93">
        <w:rPr>
          <w:rFonts w:asciiTheme="majorBidi" w:hAnsiTheme="majorBidi" w:cstheme="majorBidi"/>
        </w:rPr>
        <w:t xml:space="preserve">.  </w:t>
      </w:r>
      <w:r w:rsidR="003E0495">
        <w:rPr>
          <w:rFonts w:asciiTheme="majorBidi" w:hAnsiTheme="majorBidi" w:cstheme="majorBidi"/>
        </w:rPr>
        <w:t xml:space="preserve">Finally, we are grateful for support from Sarah </w:t>
      </w:r>
      <w:proofErr w:type="spellStart"/>
      <w:r w:rsidR="003E0495">
        <w:rPr>
          <w:rFonts w:asciiTheme="majorBidi" w:hAnsiTheme="majorBidi" w:cstheme="majorBidi"/>
        </w:rPr>
        <w:t>Gerver</w:t>
      </w:r>
      <w:proofErr w:type="spellEnd"/>
      <w:r w:rsidR="003E0495">
        <w:rPr>
          <w:rFonts w:asciiTheme="majorBidi" w:hAnsiTheme="majorBidi" w:cstheme="majorBidi"/>
        </w:rPr>
        <w:t xml:space="preserve"> and Rebecca Guy at UK Health Security Agency (formerly Public Health England).</w:t>
      </w:r>
      <w:r w:rsidR="00A70F93">
        <w:rPr>
          <w:rFonts w:asciiTheme="majorBidi" w:hAnsiTheme="majorBidi" w:cstheme="majorBidi"/>
        </w:rPr>
        <w:t xml:space="preserve"> </w:t>
      </w:r>
      <w:r w:rsidR="003E0308" w:rsidRPr="003E0308">
        <w:rPr>
          <w:rFonts w:asciiTheme="majorBidi" w:hAnsiTheme="majorBidi" w:cstheme="majorBidi"/>
        </w:rPr>
        <w:t xml:space="preserve">Finally, we thank Kath Devlin, Ruth </w:t>
      </w:r>
      <w:proofErr w:type="spellStart"/>
      <w:r w:rsidR="003E0308" w:rsidRPr="003E0308">
        <w:rPr>
          <w:rFonts w:asciiTheme="majorBidi" w:hAnsiTheme="majorBidi" w:cstheme="majorBidi"/>
        </w:rPr>
        <w:t>Helstrip</w:t>
      </w:r>
      <w:proofErr w:type="spellEnd"/>
      <w:r w:rsidR="003E0308" w:rsidRPr="003E0308">
        <w:rPr>
          <w:rFonts w:asciiTheme="majorBidi" w:hAnsiTheme="majorBidi" w:cstheme="majorBidi"/>
        </w:rPr>
        <w:t xml:space="preserve">, Liz </w:t>
      </w:r>
      <w:proofErr w:type="spellStart"/>
      <w:r w:rsidR="003E0308" w:rsidRPr="003E0308">
        <w:rPr>
          <w:rFonts w:asciiTheme="majorBidi" w:hAnsiTheme="majorBidi" w:cstheme="majorBidi"/>
        </w:rPr>
        <w:t>Mclintock</w:t>
      </w:r>
      <w:proofErr w:type="spellEnd"/>
      <w:r w:rsidR="003E0308" w:rsidRPr="003E0308">
        <w:rPr>
          <w:rFonts w:asciiTheme="majorBidi" w:hAnsiTheme="majorBidi" w:cstheme="majorBidi"/>
        </w:rPr>
        <w:t xml:space="preserve">, Steph </w:t>
      </w:r>
      <w:proofErr w:type="gramStart"/>
      <w:r w:rsidR="003E0308" w:rsidRPr="003E0308">
        <w:rPr>
          <w:rFonts w:asciiTheme="majorBidi" w:hAnsiTheme="majorBidi" w:cstheme="majorBidi"/>
        </w:rPr>
        <w:t>Richards</w:t>
      </w:r>
      <w:proofErr w:type="gramEnd"/>
      <w:r w:rsidR="003E0308" w:rsidRPr="003E0308">
        <w:rPr>
          <w:rFonts w:asciiTheme="majorBidi" w:hAnsiTheme="majorBidi" w:cstheme="majorBidi"/>
        </w:rPr>
        <w:t xml:space="preserve"> and Alex </w:t>
      </w:r>
      <w:proofErr w:type="spellStart"/>
      <w:r w:rsidR="003E0308" w:rsidRPr="003E0308">
        <w:rPr>
          <w:rFonts w:asciiTheme="majorBidi" w:hAnsiTheme="majorBidi" w:cstheme="majorBidi"/>
        </w:rPr>
        <w:t>Rollinger</w:t>
      </w:r>
      <w:proofErr w:type="spellEnd"/>
      <w:r w:rsidR="003E0308" w:rsidRPr="003E0308">
        <w:rPr>
          <w:rFonts w:asciiTheme="majorBidi" w:hAnsiTheme="majorBidi" w:cstheme="majorBidi"/>
        </w:rPr>
        <w:t xml:space="preserve"> for their support in developing this report. </w:t>
      </w:r>
      <w:r w:rsidR="00A70F93" w:rsidRPr="009D10CA">
        <w:rPr>
          <w:rFonts w:asciiTheme="majorBidi" w:hAnsiTheme="majorBidi" w:cstheme="majorBidi"/>
        </w:rPr>
        <w:t>Any errors are the responsibility of the authors.</w:t>
      </w:r>
    </w:p>
    <w:p w14:paraId="5FC3FBCD" w14:textId="77777777" w:rsidR="009B0699" w:rsidRPr="006A4082" w:rsidRDefault="009B0699" w:rsidP="002D5180">
      <w:pPr>
        <w:spacing w:line="360" w:lineRule="auto"/>
        <w:jc w:val="both"/>
        <w:rPr>
          <w:rFonts w:asciiTheme="majorBidi" w:hAnsiTheme="majorBidi" w:cstheme="majorBidi"/>
          <w:b/>
          <w:sz w:val="26"/>
          <w:szCs w:val="26"/>
        </w:rPr>
      </w:pPr>
    </w:p>
    <w:p w14:paraId="7C9FCE0C" w14:textId="77777777" w:rsidR="009B0699" w:rsidRPr="006A4082" w:rsidRDefault="009B0699" w:rsidP="002D5180">
      <w:pPr>
        <w:spacing w:after="240" w:line="360" w:lineRule="auto"/>
        <w:jc w:val="both"/>
        <w:rPr>
          <w:rFonts w:asciiTheme="majorBidi" w:hAnsiTheme="majorBidi" w:cstheme="majorBidi"/>
          <w:b/>
          <w:sz w:val="26"/>
          <w:szCs w:val="26"/>
        </w:rPr>
      </w:pPr>
    </w:p>
    <w:p w14:paraId="19B095C0" w14:textId="77777777" w:rsidR="000426DF" w:rsidRPr="006A4082" w:rsidRDefault="000426DF" w:rsidP="002D5180">
      <w:pPr>
        <w:spacing w:line="360" w:lineRule="auto"/>
        <w:jc w:val="both"/>
        <w:rPr>
          <w:rFonts w:asciiTheme="majorBidi" w:eastAsiaTheme="majorEastAsia" w:hAnsiTheme="majorBidi" w:cstheme="majorBidi"/>
          <w:b/>
          <w:bCs/>
          <w:sz w:val="32"/>
          <w:szCs w:val="28"/>
        </w:rPr>
      </w:pPr>
      <w:r w:rsidRPr="006A4082">
        <w:rPr>
          <w:rFonts w:asciiTheme="majorBidi" w:hAnsiTheme="majorBidi" w:cstheme="majorBidi"/>
        </w:rPr>
        <w:br w:type="page"/>
      </w:r>
    </w:p>
    <w:p w14:paraId="120AA91C" w14:textId="3CA3D8FD" w:rsidR="0022376C" w:rsidRPr="0022376C" w:rsidRDefault="0022376C" w:rsidP="00103E42">
      <w:pPr>
        <w:pStyle w:val="Heading1"/>
        <w:spacing w:line="360" w:lineRule="auto"/>
        <w:rPr>
          <w:rStyle w:val="Heading1Char"/>
          <w:b/>
          <w:bCs/>
        </w:rPr>
      </w:pPr>
      <w:bookmarkStart w:id="5" w:name="_Toc87462955"/>
      <w:r w:rsidRPr="00103E42">
        <w:rPr>
          <w:rStyle w:val="Heading1Char"/>
          <w:b/>
          <w:bCs/>
          <w:szCs w:val="32"/>
        </w:rPr>
        <w:lastRenderedPageBreak/>
        <w:t>Executive</w:t>
      </w:r>
      <w:r w:rsidRPr="0022376C">
        <w:rPr>
          <w:rStyle w:val="Heading1Char"/>
          <w:b/>
          <w:bCs/>
        </w:rPr>
        <w:t xml:space="preserve"> summary</w:t>
      </w:r>
      <w:bookmarkEnd w:id="5"/>
      <w:r w:rsidRPr="0022376C">
        <w:rPr>
          <w:rStyle w:val="Heading1Char"/>
          <w:b/>
          <w:bCs/>
        </w:rPr>
        <w:t xml:space="preserve"> </w:t>
      </w:r>
    </w:p>
    <w:p w14:paraId="74C8383A" w14:textId="77777777" w:rsidR="0022376C" w:rsidRPr="0022376C" w:rsidRDefault="0022376C" w:rsidP="00103E42">
      <w:pPr>
        <w:spacing w:line="360" w:lineRule="auto"/>
      </w:pPr>
    </w:p>
    <w:p w14:paraId="3E064182" w14:textId="77777777" w:rsidR="0022376C" w:rsidRPr="00103E42" w:rsidRDefault="0022376C" w:rsidP="00103E42">
      <w:pPr>
        <w:pStyle w:val="Heading2"/>
        <w:spacing w:line="360" w:lineRule="auto"/>
        <w:ind w:firstLine="720"/>
        <w:rPr>
          <w:rStyle w:val="Heading1Char"/>
          <w:rFonts w:asciiTheme="majorBidi" w:hAnsiTheme="majorBidi"/>
          <w:b/>
          <w:bCs/>
          <w:sz w:val="26"/>
          <w:szCs w:val="26"/>
        </w:rPr>
      </w:pPr>
      <w:bookmarkStart w:id="6" w:name="_Toc87462956"/>
      <w:r w:rsidRPr="00103E42">
        <w:rPr>
          <w:rStyle w:val="Heading1Char"/>
          <w:rFonts w:asciiTheme="majorBidi" w:hAnsiTheme="majorBidi"/>
          <w:b/>
          <w:bCs/>
          <w:sz w:val="26"/>
          <w:szCs w:val="26"/>
        </w:rPr>
        <w:t>Background</w:t>
      </w:r>
      <w:bookmarkEnd w:id="6"/>
      <w:r w:rsidRPr="00103E42">
        <w:rPr>
          <w:rStyle w:val="Heading1Char"/>
          <w:rFonts w:asciiTheme="majorBidi" w:hAnsiTheme="majorBidi"/>
          <w:b/>
          <w:bCs/>
          <w:sz w:val="26"/>
          <w:szCs w:val="26"/>
        </w:rPr>
        <w:t xml:space="preserve"> </w:t>
      </w:r>
    </w:p>
    <w:p w14:paraId="110BE3C2" w14:textId="36FF2F08" w:rsidR="0022376C" w:rsidRPr="00306D9E" w:rsidRDefault="00E900DC" w:rsidP="0022376C">
      <w:pPr>
        <w:spacing w:line="360" w:lineRule="auto"/>
        <w:jc w:val="both"/>
        <w:rPr>
          <w:rFonts w:ascii="Times New Roman" w:hAnsi="Times New Roman"/>
        </w:rPr>
      </w:pPr>
      <w:r>
        <w:rPr>
          <w:rFonts w:asciiTheme="majorBidi" w:hAnsiTheme="majorBidi" w:cstheme="majorBidi"/>
        </w:rPr>
        <w:t>The National Institute for Health and Care Excellence (</w:t>
      </w:r>
      <w:r w:rsidRPr="008628FC">
        <w:rPr>
          <w:rFonts w:asciiTheme="majorBidi" w:hAnsiTheme="majorBidi" w:cstheme="majorBidi"/>
        </w:rPr>
        <w:t>NICE</w:t>
      </w:r>
      <w:r>
        <w:rPr>
          <w:rFonts w:asciiTheme="majorBidi" w:hAnsiTheme="majorBidi" w:cstheme="majorBidi"/>
        </w:rPr>
        <w:t>)</w:t>
      </w:r>
      <w:r w:rsidRPr="008628FC">
        <w:rPr>
          <w:rFonts w:asciiTheme="majorBidi" w:hAnsiTheme="majorBidi" w:cstheme="majorBidi"/>
        </w:rPr>
        <w:t xml:space="preserve">, </w:t>
      </w:r>
      <w:r>
        <w:rPr>
          <w:rFonts w:asciiTheme="majorBidi" w:hAnsiTheme="majorBidi" w:cstheme="majorBidi"/>
        </w:rPr>
        <w:t xml:space="preserve">National Health Service </w:t>
      </w:r>
      <w:r w:rsidRPr="008628FC">
        <w:rPr>
          <w:rFonts w:asciiTheme="majorBidi" w:hAnsiTheme="majorBidi" w:cstheme="majorBidi"/>
        </w:rPr>
        <w:t>England</w:t>
      </w:r>
      <w:r w:rsidR="002C4623">
        <w:rPr>
          <w:rFonts w:asciiTheme="majorBidi" w:hAnsiTheme="majorBidi" w:cstheme="majorBidi"/>
        </w:rPr>
        <w:t xml:space="preserve"> (NHSE)</w:t>
      </w:r>
      <w:r w:rsidRPr="008628FC">
        <w:rPr>
          <w:rFonts w:asciiTheme="majorBidi" w:hAnsiTheme="majorBidi" w:cstheme="majorBidi"/>
        </w:rPr>
        <w:t xml:space="preserve"> and NHS Improvement </w:t>
      </w:r>
      <w:r w:rsidR="0022376C" w:rsidRPr="00306D9E">
        <w:rPr>
          <w:rFonts w:ascii="Times New Roman" w:hAnsi="Times New Roman"/>
        </w:rPr>
        <w:t xml:space="preserve">are currently undertaking a project to assess the feasibility of innovative models that pay for antimicrobials (AMs) based on an evaluation of their value to the NHS as opposed to the volumes used. Following the selection of two products considered to be of high public health importance, this project involves evaluation of the selected products to inform commercial discussions regarding contract value for a period of up to 10 years.  The selection process was a formal procurement exercise and aimed to identify one new AM and one existing but “nearly new” AM. The products selected by this process are, respectively, </w:t>
      </w:r>
      <w:proofErr w:type="spellStart"/>
      <w:r w:rsidR="0022376C" w:rsidRPr="00306D9E">
        <w:rPr>
          <w:rFonts w:ascii="Times New Roman" w:hAnsi="Times New Roman"/>
        </w:rPr>
        <w:t>Cefiderocol</w:t>
      </w:r>
      <w:proofErr w:type="spellEnd"/>
      <w:r w:rsidR="0022376C" w:rsidRPr="00306D9E">
        <w:rPr>
          <w:rFonts w:ascii="Times New Roman" w:hAnsi="Times New Roman"/>
        </w:rPr>
        <w:t xml:space="preserve"> (</w:t>
      </w:r>
      <w:proofErr w:type="spellStart"/>
      <w:r w:rsidR="0022376C" w:rsidRPr="00306D9E">
        <w:rPr>
          <w:rFonts w:ascii="Times New Roman" w:hAnsi="Times New Roman"/>
        </w:rPr>
        <w:t>Fetcroja</w:t>
      </w:r>
      <w:proofErr w:type="spellEnd"/>
      <w:r w:rsidR="0022376C" w:rsidRPr="00306D9E">
        <w:rPr>
          <w:rFonts w:ascii="Times New Roman" w:hAnsi="Times New Roman"/>
        </w:rPr>
        <w:t>) which is manufactured by Shionogi; and ceftazidime with avibactam (</w:t>
      </w:r>
      <w:proofErr w:type="spellStart"/>
      <w:r w:rsidR="0022376C" w:rsidRPr="00306D9E">
        <w:rPr>
          <w:rFonts w:ascii="Times New Roman" w:hAnsi="Times New Roman"/>
        </w:rPr>
        <w:t>Zavicefta</w:t>
      </w:r>
      <w:proofErr w:type="spellEnd"/>
      <w:r w:rsidR="0022376C" w:rsidRPr="00306D9E">
        <w:rPr>
          <w:rFonts w:ascii="Times New Roman" w:hAnsi="Times New Roman"/>
        </w:rPr>
        <w:t xml:space="preserve">), which is manufactured by Pfizer. </w:t>
      </w:r>
    </w:p>
    <w:p w14:paraId="102D408D"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This report details the evaluation phase of this project for ceftazidime with avibactam (CAZ-AVI). CAZ-AVI received a marketing authorisation in June 2016 for treatment in adults and paediatric patients (&gt;3 months) for complicated intra-abdominal infections (</w:t>
      </w:r>
      <w:proofErr w:type="spellStart"/>
      <w:r w:rsidRPr="00306D9E">
        <w:rPr>
          <w:rFonts w:ascii="Times New Roman" w:hAnsi="Times New Roman"/>
        </w:rPr>
        <w:t>cIAI</w:t>
      </w:r>
      <w:proofErr w:type="spellEnd"/>
      <w:r w:rsidRPr="00306D9E">
        <w:rPr>
          <w:rFonts w:ascii="Times New Roman" w:hAnsi="Times New Roman"/>
        </w:rPr>
        <w:t>), complicated UTI (</w:t>
      </w:r>
      <w:proofErr w:type="spellStart"/>
      <w:r w:rsidRPr="00306D9E">
        <w:rPr>
          <w:rFonts w:ascii="Times New Roman" w:hAnsi="Times New Roman"/>
        </w:rPr>
        <w:t>cUTI</w:t>
      </w:r>
      <w:proofErr w:type="spellEnd"/>
      <w:r w:rsidRPr="00306D9E">
        <w:rPr>
          <w:rFonts w:ascii="Times New Roman" w:hAnsi="Times New Roman"/>
        </w:rPr>
        <w:t xml:space="preserve">), hospital-acquired pneumonia, including ventilator-associated pneumonia (HAP/VAP), bacteraemia (adults only) associated with the </w:t>
      </w:r>
      <w:proofErr w:type="gramStart"/>
      <w:r w:rsidRPr="00306D9E">
        <w:rPr>
          <w:rFonts w:ascii="Times New Roman" w:hAnsi="Times New Roman"/>
        </w:rPr>
        <w:t>aforementioned infections</w:t>
      </w:r>
      <w:proofErr w:type="gramEnd"/>
      <w:r w:rsidRPr="00306D9E">
        <w:rPr>
          <w:rFonts w:ascii="Times New Roman" w:hAnsi="Times New Roman"/>
        </w:rPr>
        <w:t xml:space="preserve"> and treatment of infections caused by aerobic gram-negative organisms with limited treatment options.</w:t>
      </w:r>
    </w:p>
    <w:p w14:paraId="5A996734" w14:textId="5134B917" w:rsidR="0022376C" w:rsidRPr="00103E42" w:rsidRDefault="0022376C" w:rsidP="00103E42">
      <w:pPr>
        <w:pStyle w:val="Heading2"/>
        <w:ind w:firstLine="720"/>
        <w:rPr>
          <w:rStyle w:val="Heading1Char"/>
          <w:rFonts w:asciiTheme="majorBidi" w:hAnsiTheme="majorBidi"/>
          <w:b/>
          <w:bCs/>
          <w:sz w:val="26"/>
          <w:szCs w:val="26"/>
        </w:rPr>
      </w:pPr>
      <w:bookmarkStart w:id="7" w:name="_Toc87462957"/>
      <w:r w:rsidRPr="00103E42">
        <w:rPr>
          <w:rStyle w:val="Heading1Char"/>
          <w:rFonts w:asciiTheme="majorBidi" w:hAnsiTheme="majorBidi"/>
          <w:b/>
          <w:bCs/>
          <w:sz w:val="26"/>
          <w:szCs w:val="26"/>
        </w:rPr>
        <w:t>Aim and objectives</w:t>
      </w:r>
      <w:bookmarkEnd w:id="7"/>
    </w:p>
    <w:p w14:paraId="4A191619"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The aim of this evaluation is to assess the value of </w:t>
      </w:r>
      <w:r>
        <w:rPr>
          <w:rFonts w:ascii="Times New Roman" w:hAnsi="Times New Roman"/>
        </w:rPr>
        <w:t>CAZ-AVI</w:t>
      </w:r>
      <w:r w:rsidRPr="00306D9E">
        <w:rPr>
          <w:rFonts w:ascii="Times New Roman" w:hAnsi="Times New Roman"/>
        </w:rPr>
        <w:t xml:space="preserve"> to the NHS in England</w:t>
      </w:r>
      <w:r w:rsidRPr="00306D9E">
        <w:rPr>
          <w:rFonts w:ascii="Times New Roman" w:hAnsi="Times New Roman" w:cs="Times New Roman"/>
        </w:rPr>
        <w:t>,</w:t>
      </w:r>
      <w:r w:rsidRPr="00306D9E">
        <w:rPr>
          <w:rFonts w:ascii="Times New Roman" w:hAnsi="Times New Roman"/>
        </w:rPr>
        <w:t xml:space="preserve"> for the treatment of severe aerobic Gram-negative bacterial infections when used within its licensed indications.  </w:t>
      </w:r>
    </w:p>
    <w:p w14:paraId="3F719F9D"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Specific objectives are:</w:t>
      </w:r>
    </w:p>
    <w:p w14:paraId="05051E69" w14:textId="77777777" w:rsidR="0022376C" w:rsidRPr="00306D9E" w:rsidRDefault="0022376C" w:rsidP="005A3BE6">
      <w:pPr>
        <w:pStyle w:val="ListParagraph"/>
        <w:numPr>
          <w:ilvl w:val="0"/>
          <w:numId w:val="99"/>
        </w:numPr>
        <w:spacing w:line="360" w:lineRule="auto"/>
        <w:jc w:val="both"/>
        <w:rPr>
          <w:rFonts w:ascii="Times New Roman" w:hAnsi="Times New Roman"/>
        </w:rPr>
      </w:pPr>
      <w:r w:rsidRPr="00306D9E">
        <w:rPr>
          <w:rFonts w:ascii="Times New Roman" w:hAnsi="Times New Roman"/>
        </w:rPr>
        <w:t xml:space="preserve">To identify two high value clinical scenarios (HVCSs), within its broad licensed indications, for which </w:t>
      </w:r>
      <w:r>
        <w:rPr>
          <w:rFonts w:ascii="Times New Roman" w:hAnsi="Times New Roman"/>
        </w:rPr>
        <w:t>CAZ-AVI</w:t>
      </w:r>
      <w:r w:rsidRPr="00306D9E">
        <w:rPr>
          <w:rFonts w:ascii="Times New Roman" w:hAnsi="Times New Roman"/>
        </w:rPr>
        <w:t xml:space="preserve"> is expected to have a significant impact on patients’ outcomes in terms of </w:t>
      </w:r>
      <w:r w:rsidRPr="00306D9E">
        <w:rPr>
          <w:rFonts w:ascii="Times New Roman" w:hAnsi="Times New Roman" w:cs="Times New Roman"/>
        </w:rPr>
        <w:t xml:space="preserve">reducing </w:t>
      </w:r>
      <w:r w:rsidRPr="00306D9E">
        <w:rPr>
          <w:rFonts w:ascii="Times New Roman" w:hAnsi="Times New Roman"/>
        </w:rPr>
        <w:t xml:space="preserve">mortality risks and </w:t>
      </w:r>
      <w:r w:rsidRPr="00306D9E">
        <w:rPr>
          <w:rFonts w:ascii="Times New Roman" w:hAnsi="Times New Roman" w:cs="Times New Roman"/>
        </w:rPr>
        <w:t xml:space="preserve">improving </w:t>
      </w:r>
      <w:r w:rsidRPr="00306D9E">
        <w:rPr>
          <w:rFonts w:ascii="Times New Roman" w:hAnsi="Times New Roman"/>
        </w:rPr>
        <w:t>health-related quality of life.</w:t>
      </w:r>
    </w:p>
    <w:p w14:paraId="306C437D" w14:textId="77777777" w:rsidR="0022376C" w:rsidRPr="00306D9E" w:rsidRDefault="0022376C" w:rsidP="005A3BE6">
      <w:pPr>
        <w:pStyle w:val="ListParagraph"/>
        <w:numPr>
          <w:ilvl w:val="0"/>
          <w:numId w:val="99"/>
        </w:numPr>
        <w:spacing w:line="360" w:lineRule="auto"/>
        <w:jc w:val="both"/>
        <w:rPr>
          <w:rFonts w:ascii="Times New Roman" w:hAnsi="Times New Roman"/>
        </w:rPr>
      </w:pPr>
      <w:r w:rsidRPr="00306D9E">
        <w:rPr>
          <w:rFonts w:ascii="Times New Roman" w:hAnsi="Times New Roman"/>
        </w:rPr>
        <w:t>To undertake an ‘evidence mapping’ exercise and relevant systematic literature reviews to characterise the available clinical effectiveness evidence</w:t>
      </w:r>
      <w:r w:rsidRPr="00306D9E">
        <w:rPr>
          <w:rFonts w:ascii="Times New Roman" w:hAnsi="Times New Roman" w:cs="Times New Roman"/>
        </w:rPr>
        <w:t xml:space="preserve"> for the use of </w:t>
      </w:r>
      <w:r>
        <w:rPr>
          <w:rFonts w:ascii="Times New Roman" w:hAnsi="Times New Roman" w:cs="Times New Roman"/>
        </w:rPr>
        <w:t>CAZ-AVI</w:t>
      </w:r>
      <w:r w:rsidRPr="00306D9E">
        <w:rPr>
          <w:rFonts w:ascii="Times New Roman" w:hAnsi="Times New Roman" w:cs="Times New Roman"/>
        </w:rPr>
        <w:t xml:space="preserve"> in the HVCSs</w:t>
      </w:r>
      <w:r w:rsidRPr="00306D9E">
        <w:rPr>
          <w:rFonts w:ascii="Times New Roman" w:hAnsi="Times New Roman"/>
        </w:rPr>
        <w:t>.</w:t>
      </w:r>
    </w:p>
    <w:p w14:paraId="4465E5BB" w14:textId="77777777" w:rsidR="0022376C" w:rsidRPr="001209F8" w:rsidRDefault="0022376C" w:rsidP="005A3BE6">
      <w:pPr>
        <w:pStyle w:val="ListParagraph"/>
        <w:numPr>
          <w:ilvl w:val="0"/>
          <w:numId w:val="99"/>
        </w:numPr>
        <w:spacing w:line="360" w:lineRule="auto"/>
        <w:jc w:val="both"/>
        <w:rPr>
          <w:rFonts w:asciiTheme="majorBidi" w:hAnsiTheme="majorBidi" w:cstheme="majorBidi"/>
        </w:rPr>
      </w:pPr>
      <w:r w:rsidRPr="001209F8">
        <w:rPr>
          <w:rFonts w:asciiTheme="majorBidi" w:hAnsiTheme="majorBidi" w:cstheme="majorBidi"/>
        </w:rPr>
        <w:t xml:space="preserve">To establish an appropriate decision-analytic model to quantify the costs and health benefits of the use of CAZ-AVI under various usage scenarios compared with alternative treatments and management strategies (usage scenarios of other available AMs) in the HVCSs. The decision-analytic model was required to estimate costs and health effects at both the individual level </w:t>
      </w:r>
      <w:proofErr w:type="gramStart"/>
      <w:r w:rsidRPr="001209F8">
        <w:rPr>
          <w:rFonts w:asciiTheme="majorBidi" w:hAnsiTheme="majorBidi" w:cstheme="majorBidi"/>
        </w:rPr>
        <w:t xml:space="preserve">and </w:t>
      </w:r>
      <w:r w:rsidRPr="001209F8">
        <w:rPr>
          <w:rFonts w:asciiTheme="majorBidi" w:hAnsiTheme="majorBidi" w:cstheme="majorBidi"/>
        </w:rPr>
        <w:lastRenderedPageBreak/>
        <w:t>also</w:t>
      </w:r>
      <w:proofErr w:type="gramEnd"/>
      <w:r w:rsidRPr="001209F8">
        <w:rPr>
          <w:rFonts w:asciiTheme="majorBidi" w:hAnsiTheme="majorBidi" w:cstheme="majorBidi"/>
        </w:rPr>
        <w:t xml:space="preserve"> at the aggregate population level, providing population incremental net health effects (INHEs).</w:t>
      </w:r>
    </w:p>
    <w:p w14:paraId="142B102D" w14:textId="77777777" w:rsidR="0022376C" w:rsidRPr="00306D9E" w:rsidRDefault="0022376C" w:rsidP="005A3BE6">
      <w:pPr>
        <w:pStyle w:val="ListParagraph"/>
        <w:numPr>
          <w:ilvl w:val="0"/>
          <w:numId w:val="99"/>
        </w:numPr>
        <w:spacing w:line="360" w:lineRule="auto"/>
        <w:rPr>
          <w:rFonts w:ascii="Times New Roman" w:hAnsi="Times New Roman"/>
        </w:rPr>
      </w:pPr>
      <w:r w:rsidRPr="00306D9E">
        <w:rPr>
          <w:rFonts w:ascii="Times New Roman" w:hAnsi="Times New Roman"/>
        </w:rPr>
        <w:t xml:space="preserve">Drawing on the systematic reviews and evidence synthesis, national-level data on </w:t>
      </w:r>
      <w:proofErr w:type="gramStart"/>
      <w:r w:rsidRPr="00306D9E">
        <w:rPr>
          <w:rFonts w:ascii="Times New Roman" w:hAnsi="Times New Roman"/>
        </w:rPr>
        <w:t>health-care</w:t>
      </w:r>
      <w:proofErr w:type="gramEnd"/>
      <w:r w:rsidRPr="00306D9E">
        <w:rPr>
          <w:rFonts w:ascii="Times New Roman" w:hAnsi="Times New Roman"/>
        </w:rPr>
        <w:t xml:space="preserve"> associated infections, and other sources as needed, identify evidence to populate the decision-analytic </w:t>
      </w:r>
      <w:r w:rsidRPr="00306D9E">
        <w:t>models.</w:t>
      </w:r>
    </w:p>
    <w:p w14:paraId="53184EA3" w14:textId="77777777" w:rsidR="0022376C" w:rsidRPr="00306D9E" w:rsidRDefault="0022376C" w:rsidP="005A3BE6">
      <w:pPr>
        <w:pStyle w:val="ListParagraph"/>
        <w:numPr>
          <w:ilvl w:val="0"/>
          <w:numId w:val="99"/>
        </w:numPr>
        <w:spacing w:line="360" w:lineRule="auto"/>
        <w:jc w:val="both"/>
        <w:rPr>
          <w:rFonts w:ascii="Times New Roman" w:hAnsi="Times New Roman"/>
        </w:rPr>
      </w:pPr>
      <w:r w:rsidRPr="00306D9E">
        <w:rPr>
          <w:rFonts w:ascii="Times New Roman" w:hAnsi="Times New Roman"/>
        </w:rPr>
        <w:t xml:space="preserve">To use structured expert elicitation as necessary to supplement the available evidence to populate the decision-analytic models at the levels of </w:t>
      </w:r>
      <w:r w:rsidRPr="00306D9E">
        <w:rPr>
          <w:rFonts w:ascii="Times New Roman" w:hAnsi="Times New Roman" w:cs="Times New Roman"/>
        </w:rPr>
        <w:t xml:space="preserve">both </w:t>
      </w:r>
      <w:r w:rsidRPr="00306D9E">
        <w:rPr>
          <w:rFonts w:ascii="Times New Roman" w:hAnsi="Times New Roman"/>
        </w:rPr>
        <w:t>the individual patients and populations.</w:t>
      </w:r>
      <w:r w:rsidRPr="00306D9E">
        <w:rPr>
          <w:rFonts w:ascii="Times New Roman" w:hAnsi="Times New Roman" w:cs="Times New Roman"/>
        </w:rPr>
        <w:t xml:space="preserve"> </w:t>
      </w:r>
    </w:p>
    <w:p w14:paraId="069D55A3" w14:textId="4BA430E2" w:rsidR="002C4623" w:rsidRDefault="002C4623" w:rsidP="002C4623">
      <w:pPr>
        <w:pStyle w:val="ListParagraph"/>
        <w:numPr>
          <w:ilvl w:val="0"/>
          <w:numId w:val="99"/>
        </w:numPr>
        <w:spacing w:line="360" w:lineRule="auto"/>
        <w:jc w:val="both"/>
        <w:rPr>
          <w:rFonts w:ascii="Times New Roman" w:hAnsi="Times New Roman"/>
        </w:rPr>
      </w:pPr>
      <w:r w:rsidRPr="002C4623">
        <w:rPr>
          <w:rFonts w:ascii="Times New Roman" w:hAnsi="Times New Roman"/>
        </w:rPr>
        <w:t xml:space="preserve">To use available evidence and where necessary expert opinion to quantitatively extrapolate estimated population INHEs associated with </w:t>
      </w:r>
      <w:r>
        <w:rPr>
          <w:rFonts w:ascii="Times New Roman" w:hAnsi="Times New Roman"/>
        </w:rPr>
        <w:t>CAZ-AVI</w:t>
      </w:r>
      <w:r w:rsidRPr="002C4623">
        <w:rPr>
          <w:rFonts w:ascii="Times New Roman" w:hAnsi="Times New Roman"/>
        </w:rPr>
        <w:t xml:space="preserve"> in the HVCSs to other expected uses for the product beyond the HVCSs and within the product’s licensed indications.</w:t>
      </w:r>
    </w:p>
    <w:p w14:paraId="30187F28" w14:textId="77777777" w:rsidR="002C4623" w:rsidRPr="002C4623" w:rsidRDefault="002C4623" w:rsidP="002C4623">
      <w:pPr>
        <w:pStyle w:val="ListParagraph"/>
        <w:spacing w:line="360" w:lineRule="auto"/>
        <w:jc w:val="both"/>
        <w:rPr>
          <w:rFonts w:ascii="Times New Roman" w:hAnsi="Times New Roman"/>
        </w:rPr>
      </w:pPr>
    </w:p>
    <w:p w14:paraId="41F5EF65" w14:textId="13DD0ED6" w:rsidR="0022376C" w:rsidRPr="00103E42" w:rsidRDefault="0022376C" w:rsidP="00103E42">
      <w:pPr>
        <w:pStyle w:val="Heading2"/>
        <w:ind w:firstLine="720"/>
        <w:rPr>
          <w:rStyle w:val="Heading1Char"/>
          <w:rFonts w:asciiTheme="majorBidi" w:hAnsiTheme="majorBidi"/>
          <w:b/>
          <w:bCs/>
          <w:sz w:val="26"/>
          <w:szCs w:val="26"/>
        </w:rPr>
      </w:pPr>
      <w:bookmarkStart w:id="8" w:name="_Toc87462958"/>
      <w:r w:rsidRPr="00103E42">
        <w:rPr>
          <w:rStyle w:val="Heading1Char"/>
          <w:rFonts w:asciiTheme="majorBidi" w:hAnsiTheme="majorBidi"/>
          <w:b/>
          <w:bCs/>
          <w:sz w:val="26"/>
          <w:szCs w:val="26"/>
        </w:rPr>
        <w:t>Expected usage and high-value clinical scenarios</w:t>
      </w:r>
      <w:bookmarkEnd w:id="8"/>
    </w:p>
    <w:p w14:paraId="12EDCD10" w14:textId="77777777" w:rsidR="0022376C" w:rsidRPr="001209F8" w:rsidRDefault="0022376C" w:rsidP="0022376C">
      <w:pPr>
        <w:spacing w:line="360" w:lineRule="auto"/>
        <w:jc w:val="both"/>
        <w:rPr>
          <w:rFonts w:asciiTheme="majorBidi" w:hAnsiTheme="majorBidi" w:cstheme="majorBidi"/>
        </w:rPr>
      </w:pPr>
      <w:r w:rsidRPr="00306D9E">
        <w:rPr>
          <w:rFonts w:ascii="Times New Roman" w:hAnsi="Times New Roman"/>
        </w:rPr>
        <w:t xml:space="preserve">The licensed indication for </w:t>
      </w:r>
      <w:r>
        <w:rPr>
          <w:rFonts w:ascii="Times New Roman" w:hAnsi="Times New Roman"/>
        </w:rPr>
        <w:t>CAZ-AVI</w:t>
      </w:r>
      <w:r w:rsidRPr="00306D9E">
        <w:rPr>
          <w:rFonts w:ascii="Times New Roman" w:hAnsi="Times New Roman"/>
        </w:rPr>
        <w:t xml:space="preserve"> is broad.  In practice, to control the spread of resistance to </w:t>
      </w:r>
      <w:r>
        <w:rPr>
          <w:rFonts w:ascii="Times New Roman" w:hAnsi="Times New Roman"/>
        </w:rPr>
        <w:t>CAZ-AVI</w:t>
      </w:r>
      <w:r w:rsidRPr="00306D9E">
        <w:rPr>
          <w:rFonts w:ascii="Times New Roman" w:hAnsi="Times New Roman"/>
        </w:rPr>
        <w:t xml:space="preserve"> and to preserve its long-term viability as an effective treatment option against highly resistant pathogens, </w:t>
      </w:r>
      <w:r>
        <w:rPr>
          <w:rFonts w:ascii="Times New Roman" w:hAnsi="Times New Roman"/>
        </w:rPr>
        <w:t>CAZ-AVI</w:t>
      </w:r>
      <w:r w:rsidRPr="00306D9E">
        <w:rPr>
          <w:rFonts w:ascii="Times New Roman" w:hAnsi="Times New Roman"/>
        </w:rPr>
        <w:t xml:space="preserve"> may be used in a more restricted group of patients than permitted by its license.  Quantifying the health and cost implications of using </w:t>
      </w:r>
      <w:r>
        <w:rPr>
          <w:rFonts w:ascii="Times New Roman" w:hAnsi="Times New Roman"/>
        </w:rPr>
        <w:t>CAZ-AVI</w:t>
      </w:r>
      <w:r w:rsidRPr="00306D9E">
        <w:rPr>
          <w:rFonts w:ascii="Times New Roman" w:hAnsi="Times New Roman"/>
        </w:rPr>
        <w:t xml:space="preserve"> across anticipated NHS usage, even within this restricted population, remains challenging, as use is expected in infections which differ in causative organism (pathogen, resistance mechanism), site of the infection, health care setting and </w:t>
      </w:r>
      <w:r w:rsidRPr="001209F8">
        <w:rPr>
          <w:rFonts w:asciiTheme="majorBidi" w:hAnsiTheme="majorBidi" w:cstheme="majorBidi"/>
        </w:rPr>
        <w:t>other underlying features of the health status of the patient. </w:t>
      </w:r>
    </w:p>
    <w:p w14:paraId="47E08A58" w14:textId="77777777" w:rsidR="0022376C" w:rsidRPr="001209F8" w:rsidRDefault="0022376C" w:rsidP="0022376C">
      <w:pPr>
        <w:spacing w:line="360" w:lineRule="auto"/>
        <w:jc w:val="both"/>
        <w:rPr>
          <w:rFonts w:asciiTheme="majorBidi" w:hAnsiTheme="majorBidi" w:cstheme="majorBidi"/>
        </w:rPr>
      </w:pPr>
      <w:r w:rsidRPr="001209F8">
        <w:rPr>
          <w:rFonts w:asciiTheme="majorBidi" w:hAnsiTheme="majorBidi" w:cstheme="majorBidi"/>
        </w:rPr>
        <w:t xml:space="preserve">Using available evidence, this evaluation characterises the value of CAZ-AVI across its range of expected uses via a two-step approach. First, decision modelling is used to assess quantitatively the value of CAZ-AVI in a set of scenarios defined by features of the pathogen, site of infection, healthcare setting and other patient characteristics, considered to represent important uses of CAZ-AVI; referred to as the ‘high value clinical scenarios’ (HVCSs). Secondly, rescaling is used to estimate how this evidence can be used to provide quantitative assessments of value in the overall population expected to receive CAZ-AVI including patients who fall outside the HVCSs but </w:t>
      </w:r>
      <w:proofErr w:type="gramStart"/>
      <w:r w:rsidRPr="001209F8">
        <w:rPr>
          <w:rFonts w:asciiTheme="majorBidi" w:hAnsiTheme="majorBidi" w:cstheme="majorBidi"/>
        </w:rPr>
        <w:t>whom</w:t>
      </w:r>
      <w:proofErr w:type="gramEnd"/>
      <w:r w:rsidRPr="001209F8">
        <w:rPr>
          <w:rFonts w:asciiTheme="majorBidi" w:hAnsiTheme="majorBidi" w:cstheme="majorBidi"/>
        </w:rPr>
        <w:t xml:space="preserve"> are relevant to determining the overall value of CAZ-AVI to the English NHS. </w:t>
      </w:r>
    </w:p>
    <w:p w14:paraId="0C284044" w14:textId="7C2E9A4A" w:rsidR="0022376C" w:rsidRPr="00306D9E" w:rsidRDefault="0022376C" w:rsidP="005844BA">
      <w:pPr>
        <w:spacing w:line="360" w:lineRule="auto"/>
        <w:rPr>
          <w:rFonts w:ascii="Times New Roman" w:hAnsi="Times New Roman"/>
        </w:rPr>
      </w:pPr>
      <w:r w:rsidRPr="00306D9E">
        <w:rPr>
          <w:rFonts w:ascii="Times New Roman" w:hAnsi="Times New Roman"/>
        </w:rPr>
        <w:t xml:space="preserve">The HVCS were selected to reflect areas of clinical use where there is a current significant burden from resistant infections, and </w:t>
      </w:r>
      <w:r>
        <w:rPr>
          <w:rFonts w:ascii="Times New Roman" w:hAnsi="Times New Roman"/>
        </w:rPr>
        <w:t>CAZ-AVI</w:t>
      </w:r>
      <w:r w:rsidRPr="00306D9E">
        <w:rPr>
          <w:rFonts w:ascii="Times New Roman" w:hAnsi="Times New Roman"/>
        </w:rPr>
        <w:t xml:space="preserve"> is expected to offer significant improvements over existing treatments in terms of efficacy </w:t>
      </w:r>
      <w:r w:rsidRPr="00306D9E">
        <w:rPr>
          <w:rFonts w:ascii="Times New Roman" w:hAnsi="Times New Roman" w:cs="Times New Roman"/>
        </w:rPr>
        <w:t>and/</w:t>
      </w:r>
      <w:r w:rsidRPr="00306D9E">
        <w:rPr>
          <w:rFonts w:ascii="Times New Roman" w:hAnsi="Times New Roman"/>
        </w:rPr>
        <w:t xml:space="preserve">or safety. The HVCSs were selected based on feedback from the manufacturer, clinical advisors to </w:t>
      </w:r>
      <w:r w:rsidR="00207590">
        <w:rPr>
          <w:rFonts w:ascii="Times New Roman" w:hAnsi="Times New Roman"/>
        </w:rPr>
        <w:t>the Policy Research Unit in Economic Methods of Evaluation in Health and Social Care Interventions (</w:t>
      </w:r>
      <w:r w:rsidRPr="00306D9E">
        <w:rPr>
          <w:rFonts w:ascii="Times New Roman" w:hAnsi="Times New Roman"/>
        </w:rPr>
        <w:t>EEPRU</w:t>
      </w:r>
      <w:r w:rsidR="00207590">
        <w:rPr>
          <w:rFonts w:ascii="Times New Roman" w:hAnsi="Times New Roman"/>
        </w:rPr>
        <w:t>)</w:t>
      </w:r>
      <w:r w:rsidRPr="00306D9E">
        <w:rPr>
          <w:rFonts w:ascii="Times New Roman" w:hAnsi="Times New Roman"/>
        </w:rPr>
        <w:t xml:space="preserve"> and broader stakeholders involved in the NICE scoping process. The </w:t>
      </w:r>
      <w:r w:rsidRPr="00306D9E">
        <w:rPr>
          <w:rFonts w:ascii="Times New Roman" w:hAnsi="Times New Roman" w:cs="Times New Roman"/>
        </w:rPr>
        <w:t>HVCSs</w:t>
      </w:r>
      <w:r w:rsidRPr="00306D9E">
        <w:rPr>
          <w:rFonts w:ascii="Times New Roman" w:hAnsi="Times New Roman"/>
        </w:rPr>
        <w:t xml:space="preserve"> focus on the following patient populations: </w:t>
      </w:r>
    </w:p>
    <w:p w14:paraId="7F363290" w14:textId="46902E0D" w:rsidR="0022376C" w:rsidRPr="00306D9E" w:rsidRDefault="0022376C" w:rsidP="005A3BE6">
      <w:pPr>
        <w:pStyle w:val="ListParagraph"/>
        <w:numPr>
          <w:ilvl w:val="0"/>
          <w:numId w:val="100"/>
        </w:numPr>
        <w:spacing w:line="360" w:lineRule="auto"/>
        <w:jc w:val="both"/>
        <w:rPr>
          <w:rFonts w:ascii="Times New Roman" w:hAnsi="Times New Roman"/>
        </w:rPr>
      </w:pPr>
      <w:r w:rsidRPr="00306D9E">
        <w:rPr>
          <w:rFonts w:ascii="Times New Roman" w:hAnsi="Times New Roman"/>
        </w:rPr>
        <w:lastRenderedPageBreak/>
        <w:t xml:space="preserve">Empiric setting: patients with an infection strongly suspected to be caused by </w:t>
      </w:r>
      <w:r w:rsidR="00286E46">
        <w:rPr>
          <w:rFonts w:ascii="Times New Roman" w:hAnsi="Times New Roman"/>
        </w:rPr>
        <w:t>oxacillinase-48 (</w:t>
      </w:r>
      <w:r w:rsidRPr="00306D9E">
        <w:rPr>
          <w:rFonts w:ascii="Times New Roman" w:hAnsi="Times New Roman"/>
        </w:rPr>
        <w:t>OXA-48</w:t>
      </w:r>
      <w:r w:rsidR="00286E46">
        <w:rPr>
          <w:rFonts w:ascii="Times New Roman" w:hAnsi="Times New Roman"/>
        </w:rPr>
        <w:t>)</w:t>
      </w:r>
      <w:r w:rsidRPr="00306D9E">
        <w:rPr>
          <w:rFonts w:ascii="Times New Roman" w:hAnsi="Times New Roman"/>
        </w:rPr>
        <w:t xml:space="preserve"> </w:t>
      </w:r>
      <w:proofErr w:type="spellStart"/>
      <w:r w:rsidR="003327AC">
        <w:rPr>
          <w:rFonts w:ascii="Times New Roman" w:hAnsi="Times New Roman"/>
          <w:i/>
        </w:rPr>
        <w:t>Enterobacterales</w:t>
      </w:r>
      <w:proofErr w:type="spellEnd"/>
      <w:r w:rsidRPr="00306D9E">
        <w:rPr>
          <w:rFonts w:ascii="Times New Roman" w:hAnsi="Times New Roman"/>
        </w:rPr>
        <w:t xml:space="preserve"> in patients with hospital acquired pneumonia or ventilator associated pneumonia (HAP/VAP). In this patient group the pathogen, resistance mechanism and antibiotic susceptibility have not yet been established but treatment is initiated immediately due to the severity of the infection. </w:t>
      </w:r>
    </w:p>
    <w:p w14:paraId="5D3EB18D" w14:textId="2FEC4D0F" w:rsidR="0022376C" w:rsidRPr="00306D9E" w:rsidRDefault="0022376C" w:rsidP="005A3BE6">
      <w:pPr>
        <w:pStyle w:val="ListParagraph"/>
        <w:numPr>
          <w:ilvl w:val="0"/>
          <w:numId w:val="100"/>
        </w:numPr>
        <w:spacing w:line="360" w:lineRule="auto"/>
        <w:jc w:val="both"/>
        <w:rPr>
          <w:rFonts w:ascii="Times New Roman" w:hAnsi="Times New Roman"/>
        </w:rPr>
      </w:pPr>
      <w:r w:rsidRPr="00306D9E">
        <w:rPr>
          <w:rFonts w:ascii="Times New Roman" w:hAnsi="Times New Roman"/>
        </w:rPr>
        <w:t xml:space="preserve">Microbiology-directed setting: patients with an infection confirmed to be caused by OXA-48 </w:t>
      </w:r>
      <w:proofErr w:type="spellStart"/>
      <w:r w:rsidR="003327AC" w:rsidRPr="00A31782">
        <w:rPr>
          <w:rFonts w:ascii="Times New Roman" w:hAnsi="Times New Roman"/>
          <w:i/>
        </w:rPr>
        <w:t>Enterobacterales</w:t>
      </w:r>
      <w:proofErr w:type="spellEnd"/>
      <w:r w:rsidRPr="00306D9E">
        <w:rPr>
          <w:rFonts w:ascii="Times New Roman" w:hAnsi="Times New Roman"/>
        </w:rPr>
        <w:t xml:space="preserve">, where antibiotic susceptibility testing results are available, and where the site of infection is HAP/VAP or </w:t>
      </w:r>
      <w:proofErr w:type="spellStart"/>
      <w:r w:rsidRPr="00306D9E">
        <w:rPr>
          <w:rFonts w:ascii="Times New Roman" w:hAnsi="Times New Roman"/>
        </w:rPr>
        <w:t>cUTI</w:t>
      </w:r>
      <w:proofErr w:type="spellEnd"/>
      <w:r w:rsidRPr="00306D9E">
        <w:rPr>
          <w:rFonts w:ascii="Times New Roman" w:hAnsi="Times New Roman"/>
        </w:rPr>
        <w:t>.</w:t>
      </w:r>
    </w:p>
    <w:p w14:paraId="588026D0" w14:textId="59EC4DF4" w:rsidR="005844BA" w:rsidRPr="005844BA" w:rsidRDefault="005844BA" w:rsidP="005844BA">
      <w:pPr>
        <w:spacing w:line="360" w:lineRule="auto"/>
        <w:jc w:val="both"/>
        <w:rPr>
          <w:rFonts w:ascii="Times New Roman" w:hAnsi="Times New Roman" w:cs="Times New Roman"/>
        </w:rPr>
      </w:pPr>
      <w:r w:rsidRPr="005844BA">
        <w:rPr>
          <w:rFonts w:ascii="Times New Roman" w:hAnsi="Times New Roman" w:cs="Times New Roman"/>
        </w:rPr>
        <w:t>The resourcing for this project was equivalent to that of a diagnostic assessment review or multiple technology assessment for NICE, but the levels of analysis extend from the typical focus of those evaluations on a single type of patient for one indication and setting.  In this evaluation, we also include health effects now and over time, and across several indications and settings.  The objective is to use appropriate analyses of the available evidence at every level, but the detail in those analyses is inevitably constrained by the time and resources available for the project.</w:t>
      </w:r>
    </w:p>
    <w:p w14:paraId="492E5626" w14:textId="2AE3B31E" w:rsidR="0022376C" w:rsidRPr="005844BA" w:rsidRDefault="0022376C" w:rsidP="005844BA">
      <w:r w:rsidRPr="005844BA">
        <w:tab/>
      </w:r>
    </w:p>
    <w:p w14:paraId="11ABC72D" w14:textId="77777777" w:rsidR="0022376C" w:rsidRPr="00103E42" w:rsidRDefault="0022376C" w:rsidP="00103E42">
      <w:pPr>
        <w:pStyle w:val="Heading2"/>
        <w:ind w:firstLine="720"/>
        <w:rPr>
          <w:rStyle w:val="Heading1Char"/>
          <w:rFonts w:asciiTheme="majorBidi" w:hAnsiTheme="majorBidi"/>
          <w:b/>
          <w:bCs/>
          <w:sz w:val="26"/>
          <w:szCs w:val="26"/>
        </w:rPr>
      </w:pPr>
      <w:bookmarkStart w:id="9" w:name="_Toc87462959"/>
      <w:r w:rsidRPr="00103E42">
        <w:rPr>
          <w:rStyle w:val="Heading1Char"/>
          <w:rFonts w:asciiTheme="majorBidi" w:hAnsiTheme="majorBidi"/>
          <w:b/>
          <w:bCs/>
          <w:sz w:val="26"/>
          <w:szCs w:val="26"/>
        </w:rPr>
        <w:t>Clinical evidence</w:t>
      </w:r>
      <w:bookmarkEnd w:id="9"/>
    </w:p>
    <w:p w14:paraId="0604B4E3" w14:textId="77777777" w:rsidR="0022376C" w:rsidRPr="00103E42" w:rsidRDefault="0022376C" w:rsidP="00103E42">
      <w:pPr>
        <w:pStyle w:val="Heading3"/>
        <w:ind w:left="720" w:firstLine="720"/>
        <w:rPr>
          <w:rStyle w:val="Heading1Char"/>
          <w:rFonts w:asciiTheme="majorBidi" w:hAnsiTheme="majorBidi"/>
          <w:b/>
          <w:bCs w:val="0"/>
          <w:sz w:val="26"/>
          <w:szCs w:val="26"/>
        </w:rPr>
      </w:pPr>
      <w:bookmarkStart w:id="10" w:name="_Toc87462960"/>
      <w:r w:rsidRPr="00103E42">
        <w:rPr>
          <w:rStyle w:val="Heading1Char"/>
          <w:rFonts w:asciiTheme="majorBidi" w:hAnsiTheme="majorBidi"/>
          <w:b/>
          <w:sz w:val="26"/>
          <w:szCs w:val="26"/>
        </w:rPr>
        <w:t>Methods</w:t>
      </w:r>
      <w:bookmarkEnd w:id="10"/>
    </w:p>
    <w:p w14:paraId="7D9C0A07" w14:textId="77777777"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 xml:space="preserve">There are evidential challenges when evaluating the use of new or nearly new AMs to treat infections caused by multi-drug resistant pathogens. Randomised controlled trials (RCTs) are of generally low relevance as they tend not to recruit patients with multi-drug resistant pathogens. Therefore, relative treatment effects between the intervention and comparator cannot be generalised to multi-drug resistant pathogens, as this may overestimate the efficacy of the comparator. </w:t>
      </w:r>
    </w:p>
    <w:p w14:paraId="624A94B2" w14:textId="2B25733B" w:rsidR="00AA5F18" w:rsidRDefault="001209F8" w:rsidP="0022376C">
      <w:pPr>
        <w:spacing w:line="360" w:lineRule="auto"/>
        <w:jc w:val="both"/>
        <w:rPr>
          <w:rFonts w:asciiTheme="majorBidi" w:hAnsiTheme="majorBidi" w:cstheme="majorBidi"/>
        </w:rPr>
      </w:pPr>
      <w:r>
        <w:rPr>
          <w:rFonts w:asciiTheme="majorBidi" w:hAnsiTheme="majorBidi" w:cstheme="majorBidi"/>
        </w:rPr>
        <w:t>Since it</w:t>
      </w:r>
      <w:r w:rsidR="0022376C" w:rsidRPr="003E40BE">
        <w:rPr>
          <w:rFonts w:asciiTheme="majorBidi" w:hAnsiTheme="majorBidi" w:cstheme="majorBidi"/>
        </w:rPr>
        <w:t xml:space="preserve"> was anticipated that RCTs were unlikely to be the primary source of evidence, three approaches to estimating comparative efficacy between the intervention and comparators were considered. In approaches 1 and 2, RCTs and observational studies (Reviews 1 &amp; 2, respectively), with data for patients with HAP/VAP or </w:t>
      </w:r>
      <w:proofErr w:type="spellStart"/>
      <w:r w:rsidR="0022376C" w:rsidRPr="003E40BE">
        <w:rPr>
          <w:rFonts w:asciiTheme="majorBidi" w:hAnsiTheme="majorBidi" w:cstheme="majorBidi"/>
        </w:rPr>
        <w:t>cUTI</w:t>
      </w:r>
      <w:proofErr w:type="spellEnd"/>
      <w:r w:rsidR="0022376C" w:rsidRPr="003E40BE">
        <w:rPr>
          <w:rFonts w:asciiTheme="majorBidi" w:hAnsiTheme="majorBidi" w:cstheme="majorBidi"/>
        </w:rPr>
        <w:t xml:space="preserve"> infections caused by OXA-48 </w:t>
      </w:r>
      <w:proofErr w:type="spellStart"/>
      <w:r w:rsidR="0022376C" w:rsidRPr="003E40BE">
        <w:rPr>
          <w:rFonts w:asciiTheme="majorBidi" w:hAnsiTheme="majorBidi" w:cstheme="majorBidi"/>
          <w:i/>
          <w:iCs/>
        </w:rPr>
        <w:t>Enterobacterales</w:t>
      </w:r>
      <w:proofErr w:type="spellEnd"/>
      <w:r w:rsidR="0022376C" w:rsidRPr="003E40BE">
        <w:rPr>
          <w:rFonts w:asciiTheme="majorBidi" w:hAnsiTheme="majorBidi" w:cstheme="majorBidi"/>
        </w:rPr>
        <w:t xml:space="preserve"> were considered. These could be used to construct a network meta-analysis</w:t>
      </w:r>
      <w:r w:rsidR="0027081F">
        <w:rPr>
          <w:rFonts w:asciiTheme="majorBidi" w:hAnsiTheme="majorBidi" w:cstheme="majorBidi"/>
        </w:rPr>
        <w:t xml:space="preserve"> (NMA)</w:t>
      </w:r>
      <w:r w:rsidR="0022376C" w:rsidRPr="003E40BE">
        <w:rPr>
          <w:rFonts w:asciiTheme="majorBidi" w:hAnsiTheme="majorBidi" w:cstheme="majorBidi"/>
        </w:rPr>
        <w:t xml:space="preserve"> to compare the intervention and comparators. In Approach 3, </w:t>
      </w:r>
      <w:r w:rsidR="0022376C" w:rsidRPr="003E40BE">
        <w:rPr>
          <w:rFonts w:asciiTheme="majorBidi" w:hAnsiTheme="majorBidi" w:cstheme="majorBidi"/>
          <w:i/>
          <w:iCs/>
        </w:rPr>
        <w:t xml:space="preserve">in vitro </w:t>
      </w:r>
      <w:r w:rsidR="0022376C" w:rsidRPr="003E40BE">
        <w:rPr>
          <w:rFonts w:asciiTheme="majorBidi" w:hAnsiTheme="majorBidi" w:cstheme="majorBidi"/>
        </w:rPr>
        <w:t xml:space="preserve">susceptibility studies were considered. These studies provide evidence on the proportion of OXA-48 </w:t>
      </w:r>
      <w:proofErr w:type="spellStart"/>
      <w:r w:rsidR="0022376C" w:rsidRPr="003E40BE">
        <w:rPr>
          <w:rFonts w:asciiTheme="majorBidi" w:hAnsiTheme="majorBidi" w:cstheme="majorBidi"/>
          <w:i/>
          <w:iCs/>
        </w:rPr>
        <w:t>Enterobacterales</w:t>
      </w:r>
      <w:proofErr w:type="spellEnd"/>
      <w:r w:rsidR="0022376C" w:rsidRPr="003E40BE">
        <w:rPr>
          <w:rFonts w:asciiTheme="majorBidi" w:hAnsiTheme="majorBidi" w:cstheme="majorBidi"/>
        </w:rPr>
        <w:t xml:space="preserve"> isolates that are susceptible to treatments and comparators as an indication of relative efficacy (Review 3). This approach would require additional evidence to link susceptibility to clinical outcomes in </w:t>
      </w:r>
      <w:proofErr w:type="spellStart"/>
      <w:r w:rsidR="0022376C" w:rsidRPr="003E40BE">
        <w:rPr>
          <w:rFonts w:asciiTheme="majorBidi" w:hAnsiTheme="majorBidi" w:cstheme="majorBidi"/>
        </w:rPr>
        <w:t>cUTI</w:t>
      </w:r>
      <w:proofErr w:type="spellEnd"/>
      <w:r w:rsidR="0022376C" w:rsidRPr="003E40BE">
        <w:rPr>
          <w:rFonts w:asciiTheme="majorBidi" w:hAnsiTheme="majorBidi" w:cstheme="majorBidi"/>
        </w:rPr>
        <w:t xml:space="preserve"> and HAP/VAP (Reviews 4 &amp; 5, respectively). </w:t>
      </w:r>
    </w:p>
    <w:p w14:paraId="6639BD21" w14:textId="5520B19C"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 xml:space="preserve">Susceptibility studies test isolates </w:t>
      </w:r>
      <w:r w:rsidRPr="003E40BE">
        <w:rPr>
          <w:rFonts w:asciiTheme="majorBidi" w:hAnsiTheme="majorBidi" w:cstheme="majorBidi"/>
          <w:i/>
          <w:iCs/>
        </w:rPr>
        <w:t>in vitro</w:t>
      </w:r>
      <w:r w:rsidRPr="003E40BE">
        <w:rPr>
          <w:rFonts w:asciiTheme="majorBidi" w:hAnsiTheme="majorBidi" w:cstheme="majorBidi"/>
        </w:rPr>
        <w:t xml:space="preserve"> to ascertain the minimum concentration of any given treatment that is needed to inhibit growth of the microbe (the minimum inhibitory concentration (MIC)). </w:t>
      </w:r>
      <w:r w:rsidRPr="003E40BE">
        <w:rPr>
          <w:rFonts w:asciiTheme="majorBidi" w:hAnsiTheme="majorBidi" w:cstheme="majorBidi"/>
        </w:rPr>
        <w:lastRenderedPageBreak/>
        <w:t xml:space="preserve">If this is below the clinical breakpoint published by the </w:t>
      </w:r>
      <w:r w:rsidRPr="003E40BE">
        <w:rPr>
          <w:rFonts w:asciiTheme="majorBidi" w:eastAsia="Calibri" w:hAnsiTheme="majorBidi" w:cstheme="majorBidi"/>
        </w:rPr>
        <w:t>European Committee on Antimicrobial Susceptibility Testing (</w:t>
      </w:r>
      <w:r w:rsidRPr="003E40BE">
        <w:rPr>
          <w:rFonts w:asciiTheme="majorBidi" w:hAnsiTheme="majorBidi" w:cstheme="majorBidi"/>
        </w:rPr>
        <w:t xml:space="preserve">EUCAST) (or by the </w:t>
      </w:r>
      <w:r w:rsidRPr="003E40BE">
        <w:rPr>
          <w:rFonts w:asciiTheme="majorBidi" w:eastAsia="Calibri" w:hAnsiTheme="majorBidi" w:cstheme="majorBidi"/>
        </w:rPr>
        <w:t>Clinical Laboratory Standards Institute (</w:t>
      </w:r>
      <w:r w:rsidRPr="003E40BE">
        <w:rPr>
          <w:rFonts w:asciiTheme="majorBidi" w:hAnsiTheme="majorBidi" w:cstheme="majorBidi"/>
        </w:rPr>
        <w:t xml:space="preserve">CLSI) from the US), the isolate is considered susceptible, and likely to respond to treatment </w:t>
      </w:r>
      <w:r w:rsidRPr="003E40BE">
        <w:rPr>
          <w:rFonts w:asciiTheme="majorBidi" w:hAnsiTheme="majorBidi" w:cstheme="majorBidi"/>
          <w:i/>
          <w:iCs/>
        </w:rPr>
        <w:t>in vivo</w:t>
      </w:r>
      <w:r w:rsidRPr="003E40BE">
        <w:rPr>
          <w:rFonts w:asciiTheme="majorBidi" w:hAnsiTheme="majorBidi" w:cstheme="majorBidi"/>
        </w:rPr>
        <w:t xml:space="preserve">. In the UK, the British Society of Antimicrobial Chemotherapy recommends use of EUCAST guidelines. </w:t>
      </w:r>
    </w:p>
    <w:p w14:paraId="50198E4D" w14:textId="2DBDAAF9"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A mapping review was conducted to identify relevant sources of evidence across the three reviews and ascertain which approach could inform an economic model. Systematic searches across relevant databases (Medline, Embase and Centre for Review and Dissemination (CRD) database) were conducted in March 2021. EEPRU also considered evidence submitted by Pfizer in their company submission, and made data requests to Pfizer</w:t>
      </w:r>
      <w:r w:rsidR="00AA5F18">
        <w:rPr>
          <w:rFonts w:asciiTheme="majorBidi" w:hAnsiTheme="majorBidi" w:cstheme="majorBidi"/>
        </w:rPr>
        <w:t xml:space="preserve">, Shionogi (who were participating in the parallel evaluation of </w:t>
      </w:r>
      <w:proofErr w:type="spellStart"/>
      <w:r w:rsidR="00AA5F18">
        <w:rPr>
          <w:rFonts w:asciiTheme="majorBidi" w:hAnsiTheme="majorBidi" w:cstheme="majorBidi"/>
        </w:rPr>
        <w:t>cefiderocol</w:t>
      </w:r>
      <w:proofErr w:type="spellEnd"/>
      <w:r w:rsidR="00AA5F18">
        <w:rPr>
          <w:rFonts w:asciiTheme="majorBidi" w:hAnsiTheme="majorBidi" w:cstheme="majorBidi"/>
        </w:rPr>
        <w:t>)</w:t>
      </w:r>
      <w:r w:rsidRPr="003E40BE">
        <w:rPr>
          <w:rFonts w:asciiTheme="majorBidi" w:hAnsiTheme="majorBidi" w:cstheme="majorBidi"/>
        </w:rPr>
        <w:t xml:space="preserve"> and Public Health England (PHE). Records retrieved by the search were assessed for eligibility for inclusion in the mapping review by one reviewer, against pre-specified inclusion criteria. RCT and observational studies were eligible for mapping if they recruited patients with </w:t>
      </w:r>
      <w:proofErr w:type="spellStart"/>
      <w:r w:rsidRPr="003E40BE">
        <w:rPr>
          <w:rFonts w:asciiTheme="majorBidi" w:hAnsiTheme="majorBidi" w:cstheme="majorBidi"/>
        </w:rPr>
        <w:t>cUTI</w:t>
      </w:r>
      <w:proofErr w:type="spellEnd"/>
      <w:r w:rsidRPr="003E40BE">
        <w:rPr>
          <w:rFonts w:asciiTheme="majorBidi" w:hAnsiTheme="majorBidi" w:cstheme="majorBidi"/>
        </w:rPr>
        <w:t xml:space="preserve"> or HAP/VAP infections caused by OXA-48 </w:t>
      </w:r>
      <w:proofErr w:type="spellStart"/>
      <w:r w:rsidRPr="003E40BE">
        <w:rPr>
          <w:rFonts w:asciiTheme="majorBidi" w:hAnsiTheme="majorBidi" w:cstheme="majorBidi"/>
          <w:i/>
          <w:iCs/>
        </w:rPr>
        <w:t>Enterobacterales</w:t>
      </w:r>
      <w:proofErr w:type="spellEnd"/>
      <w:r w:rsidRPr="003E40BE">
        <w:rPr>
          <w:rFonts w:asciiTheme="majorBidi" w:hAnsiTheme="majorBidi" w:cstheme="majorBidi"/>
        </w:rPr>
        <w:t xml:space="preserve"> (microbiology-directed setting) or suspected carbapenem-resistant </w:t>
      </w:r>
      <w:proofErr w:type="spellStart"/>
      <w:r w:rsidRPr="003E40BE">
        <w:rPr>
          <w:rFonts w:asciiTheme="majorBidi" w:hAnsiTheme="majorBidi" w:cstheme="majorBidi"/>
          <w:i/>
          <w:iCs/>
        </w:rPr>
        <w:t>Enterobacterales</w:t>
      </w:r>
      <w:proofErr w:type="spellEnd"/>
      <w:r w:rsidRPr="003E40BE">
        <w:rPr>
          <w:rFonts w:asciiTheme="majorBidi" w:hAnsiTheme="majorBidi" w:cstheme="majorBidi"/>
        </w:rPr>
        <w:t xml:space="preserve"> (empiric setting</w:t>
      </w:r>
      <w:proofErr w:type="gramStart"/>
      <w:r w:rsidRPr="003E40BE">
        <w:rPr>
          <w:rFonts w:asciiTheme="majorBidi" w:hAnsiTheme="majorBidi" w:cstheme="majorBidi"/>
        </w:rPr>
        <w:t>), and</w:t>
      </w:r>
      <w:proofErr w:type="gramEnd"/>
      <w:r w:rsidRPr="003E40BE">
        <w:rPr>
          <w:rFonts w:asciiTheme="majorBidi" w:hAnsiTheme="majorBidi" w:cstheme="majorBidi"/>
        </w:rPr>
        <w:t xml:space="preserve"> compared CAZ-AVI to any comparator (RCTs) or any comparator or no comparator (observational studies).  Susceptibility studies were eligible for mapping if they reported susceptibility for OXA-48 </w:t>
      </w:r>
      <w:proofErr w:type="spellStart"/>
      <w:r w:rsidRPr="003E40BE">
        <w:rPr>
          <w:rFonts w:asciiTheme="majorBidi" w:hAnsiTheme="majorBidi" w:cstheme="majorBidi"/>
          <w:i/>
          <w:iCs/>
        </w:rPr>
        <w:t>Enterobacterales</w:t>
      </w:r>
      <w:proofErr w:type="spellEnd"/>
      <w:r w:rsidRPr="003E40BE">
        <w:rPr>
          <w:rFonts w:asciiTheme="majorBidi" w:hAnsiTheme="majorBidi" w:cstheme="majorBidi"/>
        </w:rPr>
        <w:t xml:space="preserve"> isolates from any infection (clinical advisors indicated that infection site was not associated with susceptibility profile) to CAZ-AVI and at least one comparator as defined by the HVCSs (colistin, meropenem, tigecycline, aztreonam, </w:t>
      </w:r>
      <w:proofErr w:type="spellStart"/>
      <w:r w:rsidRPr="003E40BE">
        <w:rPr>
          <w:rFonts w:asciiTheme="majorBidi" w:hAnsiTheme="majorBidi" w:cstheme="majorBidi"/>
        </w:rPr>
        <w:t>fosfomycin</w:t>
      </w:r>
      <w:proofErr w:type="spellEnd"/>
      <w:r w:rsidRPr="003E40BE">
        <w:rPr>
          <w:rFonts w:asciiTheme="majorBidi" w:hAnsiTheme="majorBidi" w:cstheme="majorBidi"/>
        </w:rPr>
        <w:t xml:space="preserve">, levofloxacin, ciprofloxacin, gentamicin, amikacin, tobramycin, ceftriaxone, cefepime, ceftazidime). </w:t>
      </w:r>
    </w:p>
    <w:p w14:paraId="7F750EB7" w14:textId="77777777"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 xml:space="preserve">After mapping, only Review 3 was pursued, since there was insufficient evidence from Reviews 1 &amp; 2 (see details in Results below). Susceptibility studies were further selected for inclusion based on susceptibility data format (proportion susceptible), avoidance of double counting and consideration of sources of heterogeneity, in consultation with clinical advisors.  Risk of bias assessment was performed using a bespoke tool developed for this evaluation. </w:t>
      </w:r>
    </w:p>
    <w:p w14:paraId="48C26E27" w14:textId="603AD4F0"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 xml:space="preserve">A </w:t>
      </w:r>
      <w:r w:rsidR="0027081F">
        <w:rPr>
          <w:rFonts w:asciiTheme="majorBidi" w:hAnsiTheme="majorBidi" w:cstheme="majorBidi"/>
        </w:rPr>
        <w:t>NMA</w:t>
      </w:r>
      <w:r w:rsidRPr="003E40BE">
        <w:rPr>
          <w:rFonts w:asciiTheme="majorBidi" w:hAnsiTheme="majorBidi" w:cstheme="majorBidi"/>
        </w:rPr>
        <w:t xml:space="preserve"> of susceptibility studies was conducted to allow a comprehensive synthesis of evidence on all relevant treatments. The NMAs were performed using a Bayesian Markov chain Monte Carl</w:t>
      </w:r>
      <w:r w:rsidR="00A31782">
        <w:rPr>
          <w:rFonts w:asciiTheme="majorBidi" w:hAnsiTheme="majorBidi" w:cstheme="majorBidi"/>
        </w:rPr>
        <w:t>o</w:t>
      </w:r>
      <w:r w:rsidRPr="003E40BE">
        <w:rPr>
          <w:rFonts w:asciiTheme="majorBidi" w:hAnsiTheme="majorBidi" w:cstheme="majorBidi"/>
        </w:rPr>
        <w:t xml:space="preserve"> (MCMC) approach assuming a random effects model to allow for heterogeneity in treatment effects across studies. Subgroup and sensitivity analyses were planned to investigate the impact of clinical sources of heterogeneity </w:t>
      </w:r>
      <w:proofErr w:type="gramStart"/>
      <w:r w:rsidRPr="003E40BE">
        <w:rPr>
          <w:rFonts w:asciiTheme="majorBidi" w:hAnsiTheme="majorBidi" w:cstheme="majorBidi"/>
        </w:rPr>
        <w:t>including:</w:t>
      </w:r>
      <w:proofErr w:type="gramEnd"/>
      <w:r w:rsidRPr="003E40BE">
        <w:rPr>
          <w:rFonts w:asciiTheme="majorBidi" w:hAnsiTheme="majorBidi" w:cstheme="majorBidi"/>
        </w:rPr>
        <w:t xml:space="preserve"> inclusion criteria (use of resistance to a comparator to select study sample); co-carriage of MBLs; the proportion who were carbapenem sensitive; whether the sample was recruited consecutively; and what laboratory methods and breakpoints were used to assess susceptibility. </w:t>
      </w:r>
    </w:p>
    <w:p w14:paraId="6608A8C1" w14:textId="35695588" w:rsidR="0022376C" w:rsidRPr="003E40BE" w:rsidRDefault="0022376C" w:rsidP="0022376C">
      <w:pPr>
        <w:spacing w:line="360" w:lineRule="auto"/>
        <w:jc w:val="both"/>
        <w:rPr>
          <w:rFonts w:asciiTheme="majorBidi" w:hAnsiTheme="majorBidi" w:cstheme="majorBidi"/>
        </w:rPr>
      </w:pPr>
      <w:r w:rsidRPr="003E40BE">
        <w:rPr>
          <w:rFonts w:asciiTheme="majorBidi" w:hAnsiTheme="majorBidi" w:cstheme="majorBidi"/>
        </w:rPr>
        <w:t xml:space="preserve">Two additional reviews were conducted to provide evidence on the link between susceptibility and clinical outcomes (Review 4) and between susceptibility and </w:t>
      </w:r>
      <w:proofErr w:type="gramStart"/>
      <w:r w:rsidRPr="003E40BE">
        <w:rPr>
          <w:rFonts w:asciiTheme="majorBidi" w:hAnsiTheme="majorBidi" w:cstheme="majorBidi"/>
        </w:rPr>
        <w:t>long term</w:t>
      </w:r>
      <w:proofErr w:type="gramEnd"/>
      <w:r w:rsidRPr="003E40BE">
        <w:rPr>
          <w:rFonts w:asciiTheme="majorBidi" w:hAnsiTheme="majorBidi" w:cstheme="majorBidi"/>
        </w:rPr>
        <w:t xml:space="preserve"> outcomes (Review 5) in the </w:t>
      </w:r>
      <w:r w:rsidRPr="003E40BE">
        <w:rPr>
          <w:rFonts w:asciiTheme="majorBidi" w:hAnsiTheme="majorBidi" w:cstheme="majorBidi"/>
        </w:rPr>
        <w:lastRenderedPageBreak/>
        <w:t>sites of interest. Review 4 was widened to include any infections reporting outcomes for patients susceptible and non-susceptible to treatment regardless of the pathogen or resistance mechanism, since no evidence relating to OXA-</w:t>
      </w:r>
      <w:r w:rsidR="00286E46" w:rsidRPr="003E40BE">
        <w:rPr>
          <w:rFonts w:asciiTheme="majorBidi" w:hAnsiTheme="majorBidi" w:cstheme="majorBidi"/>
        </w:rPr>
        <w:t>48</w:t>
      </w:r>
      <w:r w:rsidR="00286E46">
        <w:rPr>
          <w:rFonts w:asciiTheme="majorBidi" w:hAnsiTheme="majorBidi" w:cstheme="majorBidi"/>
        </w:rPr>
        <w:t xml:space="preserve"> </w:t>
      </w:r>
      <w:proofErr w:type="spellStart"/>
      <w:r w:rsidR="00286E46" w:rsidRPr="007D1B7F">
        <w:rPr>
          <w:rFonts w:asciiTheme="majorBidi" w:hAnsiTheme="majorBidi" w:cstheme="majorBidi"/>
          <w:i/>
          <w:iCs/>
        </w:rPr>
        <w:t>Enterobacterales</w:t>
      </w:r>
      <w:proofErr w:type="spellEnd"/>
      <w:r w:rsidR="00286E46" w:rsidRPr="003E40BE">
        <w:rPr>
          <w:rFonts w:asciiTheme="majorBidi" w:hAnsiTheme="majorBidi" w:cstheme="majorBidi"/>
        </w:rPr>
        <w:t xml:space="preserve"> </w:t>
      </w:r>
      <w:r w:rsidRPr="003E40BE">
        <w:rPr>
          <w:rFonts w:asciiTheme="majorBidi" w:hAnsiTheme="majorBidi" w:cstheme="majorBidi"/>
        </w:rPr>
        <w:t xml:space="preserve">was identified by Reviews 1 and 2. Review 5 was widened to include any resistant infection since no evidence relating to long term outcomes were found by Reviews 1, 2 or 4. A further review (Review 6) was conducted to identify any important safety implications of CAZ-AVI. </w:t>
      </w:r>
    </w:p>
    <w:p w14:paraId="08E8135B" w14:textId="77777777" w:rsidR="0022376C" w:rsidRPr="00103E42" w:rsidRDefault="0022376C" w:rsidP="00103E42">
      <w:pPr>
        <w:pStyle w:val="Heading3"/>
        <w:ind w:left="720" w:firstLine="720"/>
        <w:rPr>
          <w:rStyle w:val="Heading1Char"/>
          <w:rFonts w:asciiTheme="majorBidi" w:hAnsiTheme="majorBidi"/>
          <w:b/>
          <w:bCs w:val="0"/>
          <w:sz w:val="26"/>
          <w:szCs w:val="26"/>
        </w:rPr>
      </w:pPr>
      <w:bookmarkStart w:id="11" w:name="_Toc87462961"/>
      <w:r w:rsidRPr="00103E42">
        <w:rPr>
          <w:rStyle w:val="Heading1Char"/>
          <w:rFonts w:asciiTheme="majorBidi" w:hAnsiTheme="majorBidi"/>
          <w:b/>
          <w:sz w:val="26"/>
          <w:szCs w:val="26"/>
        </w:rPr>
        <w:t>Results</w:t>
      </w:r>
      <w:bookmarkEnd w:id="11"/>
    </w:p>
    <w:p w14:paraId="4A3B35BE" w14:textId="4F7AC50D" w:rsidR="0022376C" w:rsidRPr="00306D9E" w:rsidRDefault="0022376C" w:rsidP="0022376C">
      <w:pPr>
        <w:spacing w:line="360" w:lineRule="auto"/>
        <w:jc w:val="both"/>
        <w:rPr>
          <w:rFonts w:asciiTheme="majorBidi" w:hAnsiTheme="majorBidi" w:cstheme="majorBidi"/>
        </w:rPr>
      </w:pPr>
      <w:bookmarkStart w:id="12" w:name="_Hlk85563591"/>
      <w:r w:rsidRPr="00306D9E">
        <w:rPr>
          <w:rFonts w:asciiTheme="majorBidi" w:hAnsiTheme="majorBidi" w:cstheme="majorBidi"/>
        </w:rPr>
        <w:t xml:space="preserve">Approaches 1 and 2 (RCT and observational studies respectively) were not pursued since insufficient evidence from RCTs and observational studies was identified during the mapping review. The key limitation of the RCTs was that they included small numbers of OXA-48 </w:t>
      </w:r>
      <w:proofErr w:type="spellStart"/>
      <w:r w:rsidRPr="00306D9E">
        <w:rPr>
          <w:rFonts w:asciiTheme="majorBidi" w:hAnsiTheme="majorBidi" w:cstheme="majorBidi"/>
          <w:i/>
        </w:rPr>
        <w:t>Enterobacterales</w:t>
      </w:r>
      <w:proofErr w:type="spellEnd"/>
      <w:r w:rsidRPr="00306D9E">
        <w:rPr>
          <w:rFonts w:asciiTheme="majorBidi" w:hAnsiTheme="majorBidi" w:cstheme="majorBidi"/>
        </w:rPr>
        <w:t xml:space="preserve"> infections (n=3 in each of two RCTs; n=0 in two RCTs) and did not report these data as a subgroup analysis. The key limitation of the observational data was that they were not reported separately for the sites of interest (</w:t>
      </w:r>
      <w:proofErr w:type="spellStart"/>
      <w:r w:rsidRPr="00306D9E">
        <w:rPr>
          <w:rFonts w:asciiTheme="majorBidi" w:hAnsiTheme="majorBidi" w:cstheme="majorBidi"/>
        </w:rPr>
        <w:t>cUTI</w:t>
      </w:r>
      <w:proofErr w:type="spellEnd"/>
      <w:r w:rsidRPr="00306D9E">
        <w:rPr>
          <w:rFonts w:asciiTheme="majorBidi" w:hAnsiTheme="majorBidi" w:cstheme="majorBidi"/>
        </w:rPr>
        <w:t xml:space="preserve"> and HAP/VAP), the studies were small and highly heterogeneous with respect to prognostic factors, and </w:t>
      </w:r>
      <w:r w:rsidR="00286E46">
        <w:rPr>
          <w:rFonts w:asciiTheme="majorBidi" w:hAnsiTheme="majorBidi" w:cstheme="majorBidi"/>
        </w:rPr>
        <w:t>individual patient data (</w:t>
      </w:r>
      <w:r w:rsidRPr="00306D9E">
        <w:rPr>
          <w:rFonts w:asciiTheme="majorBidi" w:hAnsiTheme="majorBidi" w:cstheme="majorBidi"/>
        </w:rPr>
        <w:t>IPD</w:t>
      </w:r>
      <w:r w:rsidR="00286E46">
        <w:rPr>
          <w:rFonts w:asciiTheme="majorBidi" w:hAnsiTheme="majorBidi" w:cstheme="majorBidi"/>
        </w:rPr>
        <w:t>)</w:t>
      </w:r>
      <w:r w:rsidRPr="00306D9E">
        <w:rPr>
          <w:rFonts w:asciiTheme="majorBidi" w:hAnsiTheme="majorBidi" w:cstheme="majorBidi"/>
        </w:rPr>
        <w:t xml:space="preserve"> data was not available within the timeframe of this evaluation.  </w:t>
      </w:r>
    </w:p>
    <w:bookmarkEnd w:id="12"/>
    <w:p w14:paraId="2461FDD0" w14:textId="1BC9E3C8" w:rsidR="0022376C" w:rsidRPr="00306D9E" w:rsidRDefault="0022376C" w:rsidP="0022376C">
      <w:pPr>
        <w:spacing w:line="360" w:lineRule="auto"/>
        <w:jc w:val="both"/>
        <w:rPr>
          <w:rFonts w:asciiTheme="majorBidi" w:hAnsiTheme="majorBidi" w:cstheme="majorBidi"/>
        </w:rPr>
      </w:pPr>
      <w:r w:rsidRPr="00306D9E">
        <w:rPr>
          <w:rFonts w:asciiTheme="majorBidi" w:hAnsiTheme="majorBidi" w:cstheme="majorBidi"/>
        </w:rPr>
        <w:t xml:space="preserve">In Approach 3 (susceptibility studies), 28 data sources met the initial inclusion criteria. One of these sources of evidence was obtained from PHE and included isolates submitted voluntarily to the </w:t>
      </w:r>
      <w:r w:rsidR="00A31782">
        <w:rPr>
          <w:rFonts w:ascii="Times New Roman" w:hAnsi="Times New Roman" w:cs="Times New Roman"/>
        </w:rPr>
        <w:t>A</w:t>
      </w:r>
      <w:r w:rsidRPr="00306D9E">
        <w:rPr>
          <w:rFonts w:ascii="Times New Roman" w:hAnsi="Times New Roman" w:cs="Times New Roman"/>
        </w:rPr>
        <w:t xml:space="preserve">ntimicrobial </w:t>
      </w:r>
      <w:r w:rsidR="00A31782">
        <w:rPr>
          <w:rFonts w:ascii="Times New Roman" w:hAnsi="Times New Roman" w:cs="Times New Roman"/>
        </w:rPr>
        <w:t>R</w:t>
      </w:r>
      <w:r w:rsidRPr="00306D9E">
        <w:rPr>
          <w:rFonts w:ascii="Times New Roman" w:hAnsi="Times New Roman" w:cs="Times New Roman"/>
        </w:rPr>
        <w:t xml:space="preserve">esistance and </w:t>
      </w:r>
      <w:r w:rsidR="00A31782">
        <w:rPr>
          <w:rFonts w:ascii="Times New Roman" w:hAnsi="Times New Roman" w:cs="Times New Roman"/>
        </w:rPr>
        <w:t>H</w:t>
      </w:r>
      <w:r w:rsidRPr="00306D9E">
        <w:rPr>
          <w:rFonts w:ascii="Times New Roman" w:hAnsi="Times New Roman" w:cs="Times New Roman"/>
        </w:rPr>
        <w:t xml:space="preserve">ealthcare </w:t>
      </w:r>
      <w:r w:rsidR="00A31782">
        <w:rPr>
          <w:rFonts w:ascii="Times New Roman" w:hAnsi="Times New Roman" w:cs="Times New Roman"/>
        </w:rPr>
        <w:t>A</w:t>
      </w:r>
      <w:r w:rsidRPr="00306D9E">
        <w:rPr>
          <w:rFonts w:ascii="Times New Roman" w:hAnsi="Times New Roman" w:cs="Times New Roman"/>
        </w:rPr>
        <w:t xml:space="preserve">ssociated </w:t>
      </w:r>
      <w:r w:rsidR="00A31782">
        <w:rPr>
          <w:rFonts w:ascii="Times New Roman" w:hAnsi="Times New Roman" w:cs="Times New Roman"/>
        </w:rPr>
        <w:t>I</w:t>
      </w:r>
      <w:r w:rsidRPr="00306D9E">
        <w:rPr>
          <w:rFonts w:ascii="Times New Roman" w:hAnsi="Times New Roman" w:cs="Times New Roman"/>
        </w:rPr>
        <w:t>nfections (</w:t>
      </w:r>
      <w:r w:rsidRPr="00306D9E">
        <w:rPr>
          <w:rFonts w:asciiTheme="majorBidi" w:hAnsiTheme="majorBidi" w:cstheme="majorBidi"/>
        </w:rPr>
        <w:t xml:space="preserve">AMHRAI) reference laboratory. This data set had high relevance, but some limitations: isolates were only for invasive infections and had not historically been routinely submitted by testing centres which may limit how representative these data are of the true distribution of OXA-48 susceptibilities in England; there was also variation in the testing methodologies used by local laboratories, which may affect estimates of comparative efficacy; isolates not tested for all comparators were excluded from the analysis, which may introduce selection bias; and the PHE data did not report </w:t>
      </w:r>
      <w:r w:rsidR="00A31782">
        <w:rPr>
          <w:rFonts w:asciiTheme="majorBidi" w:hAnsiTheme="majorBidi" w:cstheme="majorBidi"/>
        </w:rPr>
        <w:t xml:space="preserve">sufficient data to inform </w:t>
      </w:r>
      <w:r w:rsidRPr="00306D9E">
        <w:rPr>
          <w:rFonts w:asciiTheme="majorBidi" w:hAnsiTheme="majorBidi" w:cstheme="majorBidi"/>
        </w:rPr>
        <w:t xml:space="preserve">susceptibility to </w:t>
      </w:r>
      <w:proofErr w:type="spellStart"/>
      <w:r w:rsidRPr="00306D9E">
        <w:rPr>
          <w:rFonts w:asciiTheme="majorBidi" w:hAnsiTheme="majorBidi" w:cstheme="majorBidi"/>
        </w:rPr>
        <w:t>fosfomycin</w:t>
      </w:r>
      <w:proofErr w:type="spellEnd"/>
      <w:r w:rsidRPr="00306D9E">
        <w:rPr>
          <w:rFonts w:asciiTheme="majorBidi" w:hAnsiTheme="majorBidi" w:cstheme="majorBidi"/>
        </w:rPr>
        <w:t xml:space="preserve">, levofloxacin or ceftriaxone. </w:t>
      </w:r>
      <w:r w:rsidR="00AA5F18">
        <w:rPr>
          <w:rFonts w:asciiTheme="majorBidi" w:hAnsiTheme="majorBidi" w:cstheme="majorBidi"/>
        </w:rPr>
        <w:t xml:space="preserve">Due to these limitations, </w:t>
      </w:r>
      <w:r w:rsidR="00AA5F18" w:rsidRPr="00AA5F18">
        <w:rPr>
          <w:rFonts w:asciiTheme="majorBidi" w:hAnsiTheme="majorBidi" w:cstheme="majorBidi"/>
        </w:rPr>
        <w:t>EEPRU considered it relevant to include a broader set of evidence synthesised using network meta-analysis.</w:t>
      </w:r>
      <w:r w:rsidRPr="00306D9E">
        <w:rPr>
          <w:rFonts w:asciiTheme="majorBidi" w:hAnsiTheme="majorBidi" w:cstheme="majorBidi"/>
        </w:rPr>
        <w:t xml:space="preserve"> </w:t>
      </w:r>
    </w:p>
    <w:p w14:paraId="5E52E230" w14:textId="7B92BC4D" w:rsidR="0022376C" w:rsidRPr="00306D9E" w:rsidRDefault="0022376C" w:rsidP="0022376C">
      <w:pPr>
        <w:spacing w:after="120" w:line="360" w:lineRule="auto"/>
        <w:jc w:val="both"/>
        <w:rPr>
          <w:rFonts w:ascii="Times New Roman" w:hAnsi="Times New Roman" w:cs="Times New Roman"/>
        </w:rPr>
      </w:pPr>
      <w:r w:rsidRPr="00306D9E">
        <w:rPr>
          <w:rFonts w:asciiTheme="majorBidi" w:hAnsiTheme="majorBidi" w:cstheme="majorBidi"/>
        </w:rPr>
        <w:t xml:space="preserve">Sixteen studies and data sources met the further selection criteria </w:t>
      </w:r>
      <w:r w:rsidR="00AA5F18">
        <w:rPr>
          <w:rFonts w:asciiTheme="majorBidi" w:hAnsiTheme="majorBidi" w:cstheme="majorBidi"/>
        </w:rPr>
        <w:t>(</w:t>
      </w:r>
      <w:r w:rsidRPr="00306D9E">
        <w:rPr>
          <w:rFonts w:asciiTheme="majorBidi" w:hAnsiTheme="majorBidi" w:cstheme="majorBidi"/>
        </w:rPr>
        <w:t>listed in the methods section</w:t>
      </w:r>
      <w:proofErr w:type="gramStart"/>
      <w:r w:rsidR="00AA5F18">
        <w:rPr>
          <w:rFonts w:asciiTheme="majorBidi" w:hAnsiTheme="majorBidi" w:cstheme="majorBidi"/>
        </w:rPr>
        <w:t>)</w:t>
      </w:r>
      <w:r w:rsidRPr="00306D9E">
        <w:rPr>
          <w:rFonts w:asciiTheme="majorBidi" w:hAnsiTheme="majorBidi" w:cstheme="majorBidi"/>
        </w:rPr>
        <w:t>, and</w:t>
      </w:r>
      <w:proofErr w:type="gramEnd"/>
      <w:r w:rsidRPr="00306D9E">
        <w:rPr>
          <w:rFonts w:asciiTheme="majorBidi" w:hAnsiTheme="majorBidi" w:cstheme="majorBidi"/>
        </w:rPr>
        <w:t xml:space="preserve"> were synthesised. Studies included relatively large samples of OXA-48 </w:t>
      </w:r>
      <w:proofErr w:type="spellStart"/>
      <w:r w:rsidRPr="00306D9E">
        <w:rPr>
          <w:rFonts w:asciiTheme="majorBidi" w:hAnsiTheme="majorBidi" w:cstheme="majorBidi"/>
          <w:i/>
          <w:iCs/>
        </w:rPr>
        <w:t>Enterobacterales</w:t>
      </w:r>
      <w:proofErr w:type="spellEnd"/>
      <w:r w:rsidRPr="00306D9E">
        <w:rPr>
          <w:rFonts w:asciiTheme="majorBidi" w:hAnsiTheme="majorBidi" w:cstheme="majorBidi"/>
        </w:rPr>
        <w:t xml:space="preserve"> isolates (n=11</w:t>
      </w:r>
      <w:r w:rsidR="00AA5F18">
        <w:rPr>
          <w:rFonts w:asciiTheme="majorBidi" w:hAnsiTheme="majorBidi" w:cstheme="majorBidi"/>
        </w:rPr>
        <w:t xml:space="preserve"> to</w:t>
      </w:r>
      <w:r w:rsidRPr="00306D9E">
        <w:rPr>
          <w:rFonts w:asciiTheme="majorBidi" w:hAnsiTheme="majorBidi" w:cstheme="majorBidi"/>
        </w:rPr>
        <w:t>302</w:t>
      </w:r>
      <w:r w:rsidRPr="00454CF5">
        <w:rPr>
          <w:rFonts w:asciiTheme="majorBidi" w:hAnsiTheme="majorBidi" w:cstheme="majorBidi"/>
        </w:rPr>
        <w:t>, plus one academic-in-confidence study with n=319 isolates) obtained</w:t>
      </w:r>
      <w:r w:rsidRPr="00306D9E">
        <w:rPr>
          <w:rFonts w:asciiTheme="majorBidi" w:hAnsiTheme="majorBidi" w:cstheme="majorBidi"/>
        </w:rPr>
        <w:t xml:space="preserve"> from a range of clinical sites of infection. Susceptibility (unlike clinical outcomes) was expected by clinical advisors to generalise across sites. </w:t>
      </w:r>
      <w:bookmarkStart w:id="13" w:name="_Hlk85721172"/>
      <w:r w:rsidRPr="00306D9E">
        <w:rPr>
          <w:rFonts w:asciiTheme="majorBidi" w:hAnsiTheme="majorBidi" w:cstheme="majorBidi"/>
        </w:rPr>
        <w:t xml:space="preserve">After consistency checks (which resulted in two study arms being removed), and otherwise using the full analysis set (all </w:t>
      </w:r>
      <w:r w:rsidR="00AA5F18">
        <w:rPr>
          <w:rFonts w:asciiTheme="majorBidi" w:hAnsiTheme="majorBidi" w:cstheme="majorBidi"/>
        </w:rPr>
        <w:t xml:space="preserve">16 </w:t>
      </w:r>
      <w:r w:rsidRPr="00306D9E">
        <w:rPr>
          <w:rFonts w:asciiTheme="majorBidi" w:hAnsiTheme="majorBidi" w:cstheme="majorBidi"/>
        </w:rPr>
        <w:t xml:space="preserve">available studies), </w:t>
      </w:r>
      <w:r w:rsidRPr="00306D9E">
        <w:rPr>
          <w:rFonts w:ascii="Times New Roman" w:hAnsi="Times New Roman" w:cs="Times New Roman"/>
        </w:rPr>
        <w:t xml:space="preserve">CAZ-AVI was associated with a statistically significantly higher susceptibility relative to colistin (odds ratio (OR) 7.24, 95% </w:t>
      </w:r>
      <w:r w:rsidR="00286E46">
        <w:rPr>
          <w:rFonts w:ascii="Times New Roman" w:hAnsi="Times New Roman" w:cs="Times New Roman"/>
        </w:rPr>
        <w:t>credible interval (</w:t>
      </w:r>
      <w:proofErr w:type="spellStart"/>
      <w:r w:rsidRPr="00306D9E">
        <w:rPr>
          <w:rFonts w:ascii="Times New Roman" w:hAnsi="Times New Roman" w:cs="Times New Roman"/>
        </w:rPr>
        <w:t>CrI</w:t>
      </w:r>
      <w:proofErr w:type="spellEnd"/>
      <w:r w:rsidR="00286E46">
        <w:rPr>
          <w:rFonts w:ascii="Times New Roman" w:hAnsi="Times New Roman" w:cs="Times New Roman"/>
        </w:rPr>
        <w:t>)</w:t>
      </w:r>
      <w:r w:rsidRPr="00306D9E">
        <w:rPr>
          <w:rFonts w:ascii="Times New Roman" w:hAnsi="Times New Roman" w:cs="Times New Roman"/>
        </w:rPr>
        <w:t>: 2.58 to 20.94). The remainder of the treatments were associated with lower susceptibility than colistin (OR &lt;1). Heterogeneity was extremely high (</w:t>
      </w:r>
      <w:r w:rsidR="00286E46">
        <w:rPr>
          <w:rFonts w:ascii="Times New Roman" w:hAnsi="Times New Roman" w:cs="Times New Roman"/>
        </w:rPr>
        <w:t>standard deviation (</w:t>
      </w:r>
      <w:r w:rsidRPr="00306D9E">
        <w:rPr>
          <w:rFonts w:ascii="Times New Roman" w:hAnsi="Times New Roman" w:cs="Times New Roman"/>
        </w:rPr>
        <w:t>SD</w:t>
      </w:r>
      <w:r w:rsidR="00286E46">
        <w:rPr>
          <w:rFonts w:ascii="Times New Roman" w:hAnsi="Times New Roman" w:cs="Times New Roman"/>
        </w:rPr>
        <w:t>)</w:t>
      </w:r>
      <w:r w:rsidRPr="00306D9E">
        <w:rPr>
          <w:rFonts w:ascii="Times New Roman" w:hAnsi="Times New Roman" w:cs="Times New Roman"/>
        </w:rPr>
        <w:t xml:space="preserve"> 1.56, 95% </w:t>
      </w:r>
      <w:proofErr w:type="spellStart"/>
      <w:r w:rsidRPr="00306D9E">
        <w:rPr>
          <w:rFonts w:ascii="Times New Roman" w:hAnsi="Times New Roman" w:cs="Times New Roman"/>
        </w:rPr>
        <w:t>CrI</w:t>
      </w:r>
      <w:proofErr w:type="spellEnd"/>
      <w:r w:rsidRPr="00306D9E">
        <w:rPr>
          <w:rFonts w:ascii="Times New Roman" w:hAnsi="Times New Roman" w:cs="Times New Roman"/>
        </w:rPr>
        <w:t>: 1.28 to 1.93). A sensitivity analysis including only studies where no isolates co-carried both MBL and OXA-</w:t>
      </w:r>
      <w:r w:rsidRPr="00306D9E">
        <w:rPr>
          <w:rFonts w:ascii="Times New Roman" w:hAnsi="Times New Roman" w:cs="Times New Roman"/>
        </w:rPr>
        <w:lastRenderedPageBreak/>
        <w:t xml:space="preserve">48 resistance mechanisms (n=6 studies) decreased heterogeneity (SD 1.38,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0.95 to </w:t>
      </w:r>
      <w:r w:rsidR="00A31782">
        <w:rPr>
          <w:rFonts w:ascii="Times New Roman" w:hAnsi="Times New Roman" w:cs="Times New Roman"/>
        </w:rPr>
        <w:t>2</w:t>
      </w:r>
      <w:r w:rsidRPr="00306D9E">
        <w:rPr>
          <w:rFonts w:ascii="Times New Roman" w:hAnsi="Times New Roman" w:cs="Times New Roman"/>
        </w:rPr>
        <w:t xml:space="preserve">.06). It also produced a very high OR for CAZ-AVI versus colistin, but with a large amount of uncertainty (OR 35.83, 95% Cr: 7.91 to 165.60). Another sensitivity analysis, including only studies that used EUCAST laboratory methods and breakpoints (n=3 studies), reduced the heterogeneity further to SD 0.98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0.62 to 1.65). CAZ-AVI was associated with a higher susceptibility relative to colistin (OR 2.15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0.60, 8.01), however the magnitude of the point estimate was lower than that using the full analysis set (OR 7.24,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2.58 to 20.94) and the result is not statistically significant. </w:t>
      </w:r>
    </w:p>
    <w:p w14:paraId="2CBC2C2C" w14:textId="14A20B79" w:rsidR="0022376C" w:rsidRPr="00306D9E" w:rsidRDefault="0022376C" w:rsidP="00A83123">
      <w:pPr>
        <w:spacing w:after="120" w:line="360" w:lineRule="auto"/>
        <w:jc w:val="both"/>
        <w:rPr>
          <w:rFonts w:ascii="Times New Roman" w:hAnsi="Times New Roman" w:cs="Times New Roman"/>
        </w:rPr>
      </w:pPr>
      <w:bookmarkStart w:id="14" w:name="_Hlk85721263"/>
      <w:bookmarkEnd w:id="13"/>
      <w:r w:rsidRPr="00306D9E">
        <w:rPr>
          <w:rFonts w:ascii="Times New Roman" w:hAnsi="Times New Roman" w:cs="Times New Roman"/>
          <w:i/>
          <w:iCs/>
        </w:rPr>
        <w:t>Networks used in the economic evaluation:</w:t>
      </w:r>
      <w:r w:rsidRPr="00306D9E">
        <w:rPr>
          <w:rFonts w:ascii="Times New Roman" w:hAnsi="Times New Roman" w:cs="Times New Roman"/>
        </w:rPr>
        <w:t xml:space="preserve"> The EUCAST network was selected as the base case analysis to inform the economic evaluation since heterogeneity was lower and there was a clinical rationale to support restricting to studies that had used EUCAST laboratory methods and breakpoints as these are more commonly used in England. A scenario analysis was planned to include the result from the full analysis set. A further scenario was planned </w:t>
      </w:r>
      <w:proofErr w:type="gramStart"/>
      <w:r w:rsidRPr="00306D9E">
        <w:rPr>
          <w:rFonts w:ascii="Times New Roman" w:hAnsi="Times New Roman" w:cs="Times New Roman"/>
        </w:rPr>
        <w:t>restricting</w:t>
      </w:r>
      <w:proofErr w:type="gramEnd"/>
      <w:r w:rsidRPr="00306D9E">
        <w:rPr>
          <w:rFonts w:ascii="Times New Roman" w:hAnsi="Times New Roman" w:cs="Times New Roman"/>
        </w:rPr>
        <w:t xml:space="preserve"> to studies with no-MBLs and that had used EUCAST laboratory methods and breakpoints, which left one study (Vazquez-</w:t>
      </w:r>
      <w:proofErr w:type="spellStart"/>
      <w:r w:rsidRPr="00306D9E">
        <w:rPr>
          <w:rFonts w:ascii="Times New Roman" w:hAnsi="Times New Roman" w:cs="Times New Roman"/>
        </w:rPr>
        <w:t>Ucha</w:t>
      </w:r>
      <w:proofErr w:type="spellEnd"/>
      <w:r w:rsidRPr="00306D9E">
        <w:rPr>
          <w:rFonts w:ascii="Times New Roman" w:hAnsi="Times New Roman" w:cs="Times New Roman"/>
        </w:rPr>
        <w:t xml:space="preserve"> </w:t>
      </w:r>
      <w:r w:rsidRPr="00306D9E">
        <w:rPr>
          <w:rFonts w:ascii="Times New Roman" w:hAnsi="Times New Roman" w:cs="Times New Roman"/>
          <w:i/>
          <w:iCs/>
        </w:rPr>
        <w:t>et al.</w:t>
      </w:r>
      <w:r w:rsidRPr="00306D9E">
        <w:rPr>
          <w:rFonts w:ascii="Times New Roman" w:hAnsi="Times New Roman" w:cs="Times New Roman"/>
        </w:rPr>
        <w:t>).</w:t>
      </w:r>
      <w:r w:rsidR="00A83123" w:rsidRPr="00A83123">
        <w:rPr>
          <w:rFonts w:ascii="Times New Roman" w:hAnsi="Times New Roman" w:cs="Times New Roman"/>
          <w:noProof/>
          <w:vertAlign w:val="superscript"/>
        </w:rPr>
        <w:t>1</w:t>
      </w:r>
      <w:r w:rsidRPr="00306D9E">
        <w:rPr>
          <w:rFonts w:ascii="Times New Roman" w:hAnsi="Times New Roman" w:cs="Times New Roman"/>
        </w:rPr>
        <w:t xml:space="preserve"> This study did not report an estimate for tigecycline, but was the study with the lowest risk of bias as judged by the bespoke risk of bias tool developed for this evaluation. A further scenario analysis was planned </w:t>
      </w:r>
      <w:proofErr w:type="gramStart"/>
      <w:r w:rsidRPr="00306D9E">
        <w:rPr>
          <w:rFonts w:ascii="Times New Roman" w:hAnsi="Times New Roman" w:cs="Times New Roman"/>
        </w:rPr>
        <w:t>using</w:t>
      </w:r>
      <w:proofErr w:type="gramEnd"/>
      <w:r w:rsidRPr="00306D9E">
        <w:rPr>
          <w:rFonts w:ascii="Times New Roman" w:hAnsi="Times New Roman" w:cs="Times New Roman"/>
        </w:rPr>
        <w:t xml:space="preserve"> the PHE data alone, due to its high relevance to the evaluation.  </w:t>
      </w:r>
    </w:p>
    <w:bookmarkEnd w:id="14"/>
    <w:p w14:paraId="49F75A91" w14:textId="77777777" w:rsidR="0022376C" w:rsidRPr="00306D9E" w:rsidRDefault="0022376C" w:rsidP="0022376C">
      <w:pPr>
        <w:spacing w:after="0" w:line="360" w:lineRule="auto"/>
        <w:jc w:val="both"/>
        <w:rPr>
          <w:rFonts w:asciiTheme="majorBidi" w:hAnsiTheme="majorBidi"/>
        </w:rPr>
      </w:pPr>
    </w:p>
    <w:p w14:paraId="315A4A90" w14:textId="3B0402B3" w:rsidR="0022376C" w:rsidRPr="00306D9E" w:rsidRDefault="0022376C" w:rsidP="0022376C">
      <w:pPr>
        <w:spacing w:after="100" w:afterAutospacing="1" w:line="360" w:lineRule="auto"/>
        <w:jc w:val="both"/>
        <w:rPr>
          <w:rFonts w:ascii="Times New Roman" w:hAnsi="Times New Roman" w:cs="Times New Roman"/>
        </w:rPr>
      </w:pPr>
      <w:r w:rsidRPr="00306D9E">
        <w:rPr>
          <w:rFonts w:ascii="Times New Roman" w:hAnsi="Times New Roman" w:cs="Times New Roman"/>
        </w:rPr>
        <w:t>Review 4 (link between susceptibility and clinical outcomes) identified two studies that reported mortality or hospital length of stay conditional on susceptibility to empiric treatment and were selected for use in the model for the empiric setting. No useful evidence relating to the microbiology-directed setting was identified. Review 5 (link between susceptibility and long</w:t>
      </w:r>
      <w:r w:rsidR="00A31782">
        <w:rPr>
          <w:rFonts w:ascii="Times New Roman" w:hAnsi="Times New Roman" w:cs="Times New Roman"/>
        </w:rPr>
        <w:t>-</w:t>
      </w:r>
      <w:r w:rsidRPr="00306D9E">
        <w:rPr>
          <w:rFonts w:ascii="Times New Roman" w:hAnsi="Times New Roman" w:cs="Times New Roman"/>
        </w:rPr>
        <w:t xml:space="preserve">term clinical outcomes) did not identify any relevant literature, but an unpublished study (CARBAR) was submitted by Shionogi during the parallel appraisal of </w:t>
      </w:r>
      <w:r>
        <w:rPr>
          <w:rFonts w:ascii="Times New Roman" w:hAnsi="Times New Roman" w:cs="Times New Roman"/>
        </w:rPr>
        <w:t>CAZ-AVI</w:t>
      </w:r>
      <w:r w:rsidRPr="00306D9E">
        <w:rPr>
          <w:rFonts w:ascii="Times New Roman" w:hAnsi="Times New Roman" w:cs="Times New Roman"/>
        </w:rPr>
        <w:t xml:space="preserve"> that contained useful data. Review 6 indicated that CAZ-AVI does not appear to increase the risk of acute kidney injury</w:t>
      </w:r>
      <w:r w:rsidR="00207496">
        <w:rPr>
          <w:rFonts w:ascii="Times New Roman" w:hAnsi="Times New Roman" w:cs="Times New Roman"/>
        </w:rPr>
        <w:t xml:space="preserve"> (AKI)</w:t>
      </w:r>
      <w:r w:rsidRPr="00306D9E">
        <w:rPr>
          <w:rFonts w:ascii="Times New Roman" w:hAnsi="Times New Roman" w:cs="Times New Roman"/>
        </w:rPr>
        <w:t xml:space="preserve">, </w:t>
      </w:r>
      <w:proofErr w:type="spellStart"/>
      <w:proofErr w:type="gramStart"/>
      <w:r w:rsidRPr="00306D9E">
        <w:rPr>
          <w:rFonts w:ascii="Times New Roman" w:hAnsi="Times New Roman" w:cs="Times New Roman"/>
          <w:i/>
          <w:iCs/>
        </w:rPr>
        <w:t>C.difficile</w:t>
      </w:r>
      <w:proofErr w:type="spellEnd"/>
      <w:proofErr w:type="gramEnd"/>
      <w:r w:rsidRPr="00306D9E">
        <w:rPr>
          <w:rFonts w:ascii="Times New Roman" w:hAnsi="Times New Roman" w:cs="Times New Roman"/>
        </w:rPr>
        <w:t>, or any other serious adverse events</w:t>
      </w:r>
      <w:r w:rsidR="00E01FDE">
        <w:rPr>
          <w:rFonts w:ascii="Times New Roman" w:hAnsi="Times New Roman" w:cs="Times New Roman"/>
        </w:rPr>
        <w:t xml:space="preserve"> (SAE)</w:t>
      </w:r>
      <w:r w:rsidRPr="00306D9E">
        <w:rPr>
          <w:rFonts w:ascii="Times New Roman" w:hAnsi="Times New Roman" w:cs="Times New Roman"/>
        </w:rPr>
        <w:t xml:space="preserve">, compared to non-toxic comparators (i.e. comparators that were not colistin or an aminoglycoside).  No study reported a comparison of CAZ-AVI exclusively to colistin or aminoglycosides. Event rates were generally very low or zero. </w:t>
      </w:r>
    </w:p>
    <w:p w14:paraId="6FEB40A4" w14:textId="77777777" w:rsidR="0022376C" w:rsidRPr="00306D9E" w:rsidRDefault="0022376C" w:rsidP="0022376C">
      <w:pPr>
        <w:spacing w:after="120" w:line="360" w:lineRule="auto"/>
        <w:jc w:val="both"/>
        <w:rPr>
          <w:rFonts w:ascii="Times New Roman" w:hAnsi="Times New Roman" w:cs="Times New Roman"/>
        </w:rPr>
      </w:pPr>
      <w:r w:rsidRPr="00306D9E">
        <w:rPr>
          <w:rFonts w:ascii="Times New Roman" w:hAnsi="Times New Roman" w:cs="Times New Roman"/>
          <w:i/>
          <w:iCs/>
        </w:rPr>
        <w:t>Discussion of clinical evidence:</w:t>
      </w:r>
      <w:r w:rsidRPr="00306D9E">
        <w:rPr>
          <w:rFonts w:ascii="Times New Roman" w:hAnsi="Times New Roman" w:cs="Times New Roman"/>
        </w:rPr>
        <w:t xml:space="preserve"> There were some limitations to the approach selected and analyses done. Key limitations include: susceptibility could be considered, at best, a surrogate outcome, but no pre-specified criteria for judging the suitability of the surrogate or the linking evidence were applied; linking data were limited and not specific to the pathogen-mechanism combination, and expert elicitation had to be relied upon to evidence the link in the microbiology-directed setting; breakpoints are set by experts in a subjective process and may not predict clinical response equally in all treatments; it was not clear which breakpoints and laboratory methods contributed to the PHE data; the network meta-analyses results were associated with high levels of heterogeneity. </w:t>
      </w:r>
    </w:p>
    <w:p w14:paraId="2F1BB49D" w14:textId="77777777" w:rsidR="0022376C" w:rsidRPr="00306D9E" w:rsidRDefault="0022376C" w:rsidP="0022376C">
      <w:pPr>
        <w:spacing w:after="120" w:line="360" w:lineRule="auto"/>
        <w:rPr>
          <w:rFonts w:ascii="Times New Roman" w:hAnsi="Times New Roman" w:cs="Times New Roman"/>
        </w:rPr>
      </w:pPr>
    </w:p>
    <w:p w14:paraId="54ECA734" w14:textId="77777777" w:rsidR="0022376C" w:rsidRPr="00103E42" w:rsidRDefault="0022376C" w:rsidP="00103E42">
      <w:pPr>
        <w:pStyle w:val="Heading2"/>
        <w:ind w:firstLine="720"/>
        <w:rPr>
          <w:rStyle w:val="Heading1Char"/>
          <w:rFonts w:asciiTheme="majorBidi" w:hAnsiTheme="majorBidi"/>
          <w:b/>
          <w:bCs/>
          <w:sz w:val="26"/>
          <w:szCs w:val="26"/>
        </w:rPr>
      </w:pPr>
      <w:bookmarkStart w:id="15" w:name="_Toc87462962"/>
      <w:r w:rsidRPr="00103E42">
        <w:rPr>
          <w:rStyle w:val="Heading1Char"/>
          <w:rFonts w:asciiTheme="majorBidi" w:hAnsiTheme="majorBidi"/>
          <w:b/>
          <w:bCs/>
          <w:sz w:val="26"/>
          <w:szCs w:val="26"/>
        </w:rPr>
        <w:t>Economic evidence</w:t>
      </w:r>
      <w:bookmarkEnd w:id="15"/>
    </w:p>
    <w:p w14:paraId="15D74A43" w14:textId="77777777" w:rsidR="0022376C" w:rsidRPr="00103E42" w:rsidRDefault="0022376C" w:rsidP="00103E42">
      <w:pPr>
        <w:pStyle w:val="Heading3"/>
        <w:ind w:left="720" w:firstLine="720"/>
        <w:rPr>
          <w:rStyle w:val="Heading1Char"/>
          <w:rFonts w:asciiTheme="majorBidi" w:hAnsiTheme="majorBidi"/>
          <w:b/>
          <w:bCs w:val="0"/>
          <w:sz w:val="26"/>
          <w:szCs w:val="26"/>
        </w:rPr>
      </w:pPr>
      <w:bookmarkStart w:id="16" w:name="_Toc87462963"/>
      <w:r w:rsidRPr="00103E42">
        <w:rPr>
          <w:rStyle w:val="Heading1Char"/>
          <w:rFonts w:asciiTheme="majorBidi" w:hAnsiTheme="majorBidi"/>
          <w:b/>
          <w:sz w:val="26"/>
          <w:szCs w:val="26"/>
        </w:rPr>
        <w:t>Methods</w:t>
      </w:r>
      <w:bookmarkEnd w:id="16"/>
    </w:p>
    <w:p w14:paraId="7F48B40B" w14:textId="0987C5FE" w:rsidR="0022376C" w:rsidRPr="00306D9E" w:rsidRDefault="0022376C" w:rsidP="0022376C">
      <w:pPr>
        <w:spacing w:line="360" w:lineRule="auto"/>
        <w:jc w:val="both"/>
        <w:rPr>
          <w:rFonts w:ascii="Times New Roman" w:hAnsi="Times New Roman"/>
        </w:rPr>
      </w:pPr>
      <w:r w:rsidRPr="00306D9E">
        <w:rPr>
          <w:rFonts w:ascii="Times New Roman" w:hAnsi="Times New Roman"/>
        </w:rPr>
        <w:t>No published existing economic evaluations</w:t>
      </w:r>
      <w:r w:rsidR="00D620E3">
        <w:rPr>
          <w:rFonts w:ascii="Times New Roman" w:hAnsi="Times New Roman"/>
        </w:rPr>
        <w:t xml:space="preserve"> that</w:t>
      </w:r>
      <w:r w:rsidRPr="00306D9E">
        <w:rPr>
          <w:rFonts w:ascii="Times New Roman" w:hAnsi="Times New Roman"/>
        </w:rPr>
        <w:t xml:space="preserve"> assessed the use of </w:t>
      </w:r>
      <w:r>
        <w:rPr>
          <w:rFonts w:ascii="Times New Roman" w:hAnsi="Times New Roman"/>
        </w:rPr>
        <w:t>CAZ-AVI</w:t>
      </w:r>
      <w:r w:rsidRPr="00306D9E">
        <w:rPr>
          <w:rFonts w:ascii="Times New Roman" w:hAnsi="Times New Roman"/>
        </w:rPr>
        <w:t xml:space="preserve"> in the </w:t>
      </w:r>
      <w:r w:rsidRPr="00306D9E">
        <w:rPr>
          <w:rFonts w:ascii="Times New Roman" w:hAnsi="Times New Roman" w:cs="Times New Roman"/>
        </w:rPr>
        <w:t>HVCSs</w:t>
      </w:r>
      <w:r w:rsidRPr="00306D9E">
        <w:rPr>
          <w:rFonts w:ascii="Times New Roman" w:hAnsi="Times New Roman"/>
        </w:rPr>
        <w:t xml:space="preserve"> or areas of expected usage</w:t>
      </w:r>
      <w:r w:rsidR="00D620E3">
        <w:rPr>
          <w:rFonts w:ascii="Times New Roman" w:hAnsi="Times New Roman"/>
        </w:rPr>
        <w:t xml:space="preserve"> were identified by a systematic review conducted by EEPRU</w:t>
      </w:r>
      <w:r w:rsidRPr="00306D9E">
        <w:rPr>
          <w:rFonts w:ascii="Times New Roman" w:hAnsi="Times New Roman"/>
        </w:rPr>
        <w:t>. The manufacturer submitted a cost-effectiveness model comparing treatment with CAZ-AVI to treatment with existing antimicrobials in a range of infection</w:t>
      </w:r>
      <w:r w:rsidR="00A31782">
        <w:rPr>
          <w:rFonts w:ascii="Times New Roman" w:hAnsi="Times New Roman"/>
        </w:rPr>
        <w:t xml:space="preserve"> sites</w:t>
      </w:r>
      <w:r w:rsidRPr="00306D9E">
        <w:rPr>
          <w:rFonts w:ascii="Times New Roman" w:hAnsi="Times New Roman"/>
        </w:rPr>
        <w:t xml:space="preserve"> (</w:t>
      </w:r>
      <w:proofErr w:type="spellStart"/>
      <w:r w:rsidRPr="00306D9E">
        <w:rPr>
          <w:rFonts w:ascii="Times New Roman" w:hAnsi="Times New Roman"/>
        </w:rPr>
        <w:t>cUTI</w:t>
      </w:r>
      <w:proofErr w:type="spellEnd"/>
      <w:r w:rsidRPr="00306D9E">
        <w:rPr>
          <w:rFonts w:ascii="Times New Roman" w:hAnsi="Times New Roman"/>
        </w:rPr>
        <w:t xml:space="preserve">, </w:t>
      </w:r>
      <w:proofErr w:type="spellStart"/>
      <w:r w:rsidR="00D931C7">
        <w:rPr>
          <w:rFonts w:ascii="Times New Roman" w:hAnsi="Times New Roman"/>
        </w:rPr>
        <w:t>cIAI</w:t>
      </w:r>
      <w:proofErr w:type="spellEnd"/>
      <w:r w:rsidRPr="00306D9E">
        <w:rPr>
          <w:rFonts w:ascii="Times New Roman" w:hAnsi="Times New Roman"/>
        </w:rPr>
        <w:t xml:space="preserve"> and HAP/VAP).  The model </w:t>
      </w:r>
      <w:r w:rsidRPr="00306D9E">
        <w:rPr>
          <w:rFonts w:ascii="Times New Roman" w:hAnsi="Times New Roman" w:cs="Times New Roman"/>
        </w:rPr>
        <w:t>used</w:t>
      </w:r>
      <w:r w:rsidRPr="00306D9E">
        <w:rPr>
          <w:rFonts w:ascii="Times New Roman" w:hAnsi="Times New Roman"/>
        </w:rPr>
        <w:t xml:space="preserve"> dynamic transmission modelling to reflect the implications of the introduction of CAZ-AVI for infection transmission and emergence of resistance to CAZ-AVI and comparators. This model estimated that introduction of CAZ-AVI was associated with an expected INHE benefit of approximately 20,000 </w:t>
      </w:r>
      <w:r w:rsidR="00A83123">
        <w:rPr>
          <w:rFonts w:ascii="Times New Roman" w:hAnsi="Times New Roman"/>
        </w:rPr>
        <w:t>Quality-Adjusted Life Years (</w:t>
      </w:r>
      <w:r w:rsidRPr="00306D9E">
        <w:rPr>
          <w:rFonts w:ascii="Times New Roman" w:hAnsi="Times New Roman"/>
        </w:rPr>
        <w:t>QALYs</w:t>
      </w:r>
      <w:r w:rsidR="00A83123">
        <w:rPr>
          <w:rFonts w:ascii="Times New Roman" w:hAnsi="Times New Roman"/>
        </w:rPr>
        <w:t>)</w:t>
      </w:r>
      <w:r w:rsidRPr="00306D9E">
        <w:rPr>
          <w:rFonts w:ascii="Times New Roman" w:hAnsi="Times New Roman"/>
        </w:rPr>
        <w:t xml:space="preserve"> over a </w:t>
      </w:r>
      <w:r w:rsidR="00D21497" w:rsidRPr="00306D9E">
        <w:rPr>
          <w:rFonts w:ascii="Times New Roman" w:hAnsi="Times New Roman"/>
        </w:rPr>
        <w:t>10-year</w:t>
      </w:r>
      <w:r w:rsidRPr="00306D9E">
        <w:rPr>
          <w:rFonts w:ascii="Times New Roman" w:hAnsi="Times New Roman"/>
        </w:rPr>
        <w:t xml:space="preserve"> time horizon, based on a cost-effectiveness threshold of £30,000 per QALY. The model considers that a much broader population of patients would receive CAZ-AVI than considered appropriate by clinical advisors to EEPRU. The model makes </w:t>
      </w:r>
      <w:r w:rsidRPr="00306D9E">
        <w:rPr>
          <w:rFonts w:ascii="Times New Roman" w:hAnsi="Times New Roman" w:cs="Times New Roman"/>
        </w:rPr>
        <w:t>several</w:t>
      </w:r>
      <w:r w:rsidRPr="00306D9E">
        <w:rPr>
          <w:rFonts w:ascii="Times New Roman" w:hAnsi="Times New Roman"/>
        </w:rPr>
        <w:t xml:space="preserve"> strong assumptions relating to the impact of CAZ-AVI on transmission (namely</w:t>
      </w:r>
      <w:r w:rsidRPr="00306D9E">
        <w:rPr>
          <w:rFonts w:ascii="Times New Roman" w:hAnsi="Times New Roman" w:cs="Times New Roman"/>
        </w:rPr>
        <w:t>,</w:t>
      </w:r>
      <w:r w:rsidRPr="00306D9E">
        <w:rPr>
          <w:rFonts w:ascii="Times New Roman" w:hAnsi="Times New Roman"/>
        </w:rPr>
        <w:t xml:space="preserve"> that treatment can eradicate patients of colonisation) which were not thought to be credible to the clinical advisors to EEPRU. In the model</w:t>
      </w:r>
      <w:r w:rsidRPr="00306D9E">
        <w:rPr>
          <w:rFonts w:ascii="Times New Roman" w:hAnsi="Times New Roman" w:cs="Times New Roman"/>
        </w:rPr>
        <w:t>,</w:t>
      </w:r>
      <w:r w:rsidRPr="00306D9E">
        <w:rPr>
          <w:rFonts w:ascii="Times New Roman" w:hAnsi="Times New Roman"/>
        </w:rPr>
        <w:t xml:space="preserve"> CAZ-AVI is associated with similar efficacy to comparator AMs and Pfizer has not provided an </w:t>
      </w:r>
      <w:r w:rsidRPr="00D620E3">
        <w:rPr>
          <w:rFonts w:asciiTheme="majorBidi" w:hAnsiTheme="majorBidi" w:cstheme="majorBidi"/>
        </w:rPr>
        <w:t>account of the processes driving the</w:t>
      </w:r>
      <w:r w:rsidRPr="00306D9E">
        <w:rPr>
          <w:rFonts w:ascii="Times New Roman" w:hAnsi="Times New Roman"/>
        </w:rPr>
        <w:t xml:space="preserve"> large health benefits estimated in the model. </w:t>
      </w:r>
    </w:p>
    <w:p w14:paraId="233003AF" w14:textId="4943B4B8"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We developed a </w:t>
      </w:r>
      <w:r w:rsidRPr="00306D9E">
        <w:rPr>
          <w:rFonts w:ascii="Times New Roman" w:hAnsi="Times New Roman"/>
          <w:i/>
        </w:rPr>
        <w:t>de novo</w:t>
      </w:r>
      <w:r w:rsidRPr="00306D9E">
        <w:rPr>
          <w:rFonts w:ascii="Times New Roman" w:hAnsi="Times New Roman"/>
        </w:rPr>
        <w:t xml:space="preserve"> decision analytic model to predict the cost and health consequences (summarised as population level INHEs) of introducing </w:t>
      </w:r>
      <w:r>
        <w:rPr>
          <w:rFonts w:ascii="Times New Roman" w:hAnsi="Times New Roman"/>
        </w:rPr>
        <w:t>CAZ-AVI</w:t>
      </w:r>
      <w:r w:rsidRPr="00306D9E">
        <w:rPr>
          <w:rFonts w:ascii="Times New Roman" w:hAnsi="Times New Roman"/>
        </w:rPr>
        <w:t xml:space="preserve"> within the </w:t>
      </w:r>
      <w:r w:rsidRPr="00306D9E">
        <w:rPr>
          <w:rFonts w:ascii="Times New Roman" w:hAnsi="Times New Roman" w:cs="Times New Roman"/>
        </w:rPr>
        <w:t>HVCSs</w:t>
      </w:r>
      <w:r w:rsidRPr="00306D9E">
        <w:rPr>
          <w:rFonts w:ascii="Times New Roman" w:hAnsi="Times New Roman"/>
        </w:rPr>
        <w:t xml:space="preserve">. The costs and health consequences of introducing </w:t>
      </w:r>
      <w:r>
        <w:rPr>
          <w:rFonts w:ascii="Times New Roman" w:hAnsi="Times New Roman"/>
        </w:rPr>
        <w:t>CAZ-AVI</w:t>
      </w:r>
      <w:r w:rsidRPr="00306D9E">
        <w:rPr>
          <w:rFonts w:ascii="Times New Roman" w:hAnsi="Times New Roman"/>
        </w:rPr>
        <w:t xml:space="preserve"> are summarised as INHEs. These are estimates of the QALYs associated with introducing </w:t>
      </w:r>
      <w:r>
        <w:rPr>
          <w:rFonts w:ascii="Times New Roman" w:hAnsi="Times New Roman"/>
        </w:rPr>
        <w:t>CAZ-AVI</w:t>
      </w:r>
      <w:r w:rsidRPr="00306D9E">
        <w:rPr>
          <w:rFonts w:ascii="Times New Roman" w:hAnsi="Times New Roman"/>
        </w:rPr>
        <w:t xml:space="preserve"> if it was supplied free of charge to the NHS, taking </w:t>
      </w:r>
      <w:r w:rsidR="00D620E3" w:rsidRPr="00306D9E">
        <w:rPr>
          <w:rFonts w:ascii="Times New Roman" w:hAnsi="Times New Roman"/>
        </w:rPr>
        <w:t>into</w:t>
      </w:r>
      <w:r w:rsidRPr="00306D9E">
        <w:rPr>
          <w:rFonts w:ascii="Times New Roman" w:hAnsi="Times New Roman"/>
        </w:rPr>
        <w:t xml:space="preserve"> account both its health benefits and the health benefits of freeing up NHS resources (</w:t>
      </w:r>
      <w:proofErr w:type="gramStart"/>
      <w:r w:rsidRPr="00306D9E">
        <w:rPr>
          <w:rFonts w:ascii="Times New Roman" w:hAnsi="Times New Roman"/>
        </w:rPr>
        <w:t>e.g.</w:t>
      </w:r>
      <w:proofErr w:type="gramEnd"/>
      <w:r w:rsidRPr="00306D9E">
        <w:rPr>
          <w:rFonts w:ascii="Times New Roman" w:hAnsi="Times New Roman"/>
        </w:rPr>
        <w:t xml:space="preserve"> via reduced time in hospital). The health benefits of freeing up NHS resources are calculated using an estimate of health opportunity cost to convert between cost savings and health benefits. In the base case analysis this estimate is £20,000/QALY. This means that for every £20,000 saved 1 QALY of health can be generated within the NHS. The estimates of population INHE will be used in subsequent negotiations to determine an appropriate payment level for </w:t>
      </w:r>
      <w:r>
        <w:rPr>
          <w:rFonts w:ascii="Times New Roman" w:hAnsi="Times New Roman"/>
        </w:rPr>
        <w:t>CAZ-AVI</w:t>
      </w:r>
      <w:r w:rsidRPr="00306D9E">
        <w:rPr>
          <w:rFonts w:ascii="Times New Roman" w:hAnsi="Times New Roman"/>
        </w:rPr>
        <w:t xml:space="preserve">. </w:t>
      </w:r>
    </w:p>
    <w:p w14:paraId="040A0374"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This quantitative analysis comprises three components: an assessment of the INHEs of introducing </w:t>
      </w:r>
      <w:r>
        <w:rPr>
          <w:rFonts w:ascii="Times New Roman" w:hAnsi="Times New Roman"/>
        </w:rPr>
        <w:t>CAZ-AVI</w:t>
      </w:r>
      <w:r w:rsidRPr="00306D9E">
        <w:rPr>
          <w:rFonts w:ascii="Times New Roman" w:hAnsi="Times New Roman"/>
        </w:rPr>
        <w:t xml:space="preserve"> within the HVCSs at the patient level; an assessment of INHEs within the HVCSs at the population level; and an assessment of how population INHEs within the HVCSs might appropriately be rescaled to reflect expected usage across the English NHS.  A schematic describing the modelling approach and key evidence sources is provided as Figure 1. </w:t>
      </w:r>
    </w:p>
    <w:p w14:paraId="0F33396F" w14:textId="77777777" w:rsidR="0022376C" w:rsidRPr="00306D9E" w:rsidRDefault="0022376C" w:rsidP="0022376C">
      <w:r w:rsidRPr="00306D9E">
        <w:br w:type="page"/>
      </w:r>
    </w:p>
    <w:p w14:paraId="28D452D4" w14:textId="5E58EFF8" w:rsidR="00103E42" w:rsidRPr="00103E42" w:rsidRDefault="00103E42" w:rsidP="00103E42">
      <w:pPr>
        <w:rPr>
          <w:rFonts w:asciiTheme="majorBidi" w:hAnsiTheme="majorBidi" w:cstheme="majorBidi"/>
          <w:b/>
          <w:bCs/>
          <w:sz w:val="20"/>
          <w:szCs w:val="20"/>
        </w:rPr>
      </w:pPr>
      <w:r w:rsidRPr="00103E42">
        <w:rPr>
          <w:rFonts w:asciiTheme="majorBidi" w:hAnsiTheme="majorBidi" w:cstheme="majorBidi"/>
          <w:b/>
          <w:bCs/>
          <w:sz w:val="20"/>
          <w:szCs w:val="20"/>
        </w:rPr>
        <w:lastRenderedPageBreak/>
        <w:t>Figure 1</w:t>
      </w:r>
      <w:r w:rsidR="009F5E56" w:rsidRPr="00103E42">
        <w:rPr>
          <w:rFonts w:asciiTheme="majorBidi" w:hAnsiTheme="majorBidi" w:cstheme="majorBidi"/>
          <w:b/>
          <w:bCs/>
          <w:sz w:val="20"/>
          <w:szCs w:val="20"/>
        </w:rPr>
        <w:t>: Schematic</w:t>
      </w:r>
      <w:r w:rsidRPr="00103E42">
        <w:rPr>
          <w:rFonts w:asciiTheme="majorBidi" w:hAnsiTheme="majorBidi" w:cstheme="majorBidi"/>
          <w:b/>
          <w:bCs/>
          <w:sz w:val="20"/>
          <w:szCs w:val="20"/>
        </w:rPr>
        <w:t xml:space="preserve"> of modelling approach and key sources of evidence</w:t>
      </w:r>
    </w:p>
    <w:p w14:paraId="7F3C1D5B" w14:textId="77777777" w:rsidR="0022376C" w:rsidRPr="00306D9E" w:rsidRDefault="0022376C" w:rsidP="0022376C">
      <w:r w:rsidRPr="00306D9E">
        <w:rPr>
          <w:noProof/>
          <w:lang w:eastAsia="en-GB"/>
        </w:rPr>
        <w:drawing>
          <wp:inline distT="0" distB="0" distL="0" distR="0" wp14:anchorId="078E7087" wp14:editId="3B283F1E">
            <wp:extent cx="5928771" cy="3648075"/>
            <wp:effectExtent l="0" t="0" r="0" b="0"/>
            <wp:docPr id="102" name="Picture 102" descr="Image displays a summary of 3 model elements and their key evidence sources.&#10;1. Modelling patient-level INHEs in HVCS. Estimation of costs and benefits of introducing CAZ-AVI at the patient-level using decision analytic modelling.&#10;2. Modelling population-level INHEs in HVCS over time. Forecasting population size and resistance over time. &#10;3. Exploration from HVCS to expected usage. Rescaling to reflect usage within and outside the HVCS.&#10;This model is described in detail in the method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displays a summary of 3 model elements and their key evidence sources.&#10;1. Modelling patient-level INHEs in HVCS. Estimation of costs and benefits of introducing CAZ-AVI at the patient-level using decision analytic modelling.&#10;2. Modelling population-level INHEs in HVCS over time. Forecasting population size and resistance over time. &#10;3. Exploration from HVCS to expected usage. Rescaling to reflect usage within and outside the HVCS.&#10;This model is described in detail in the methods s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585" cy="3650422"/>
                    </a:xfrm>
                    <a:prstGeom prst="rect">
                      <a:avLst/>
                    </a:prstGeom>
                    <a:noFill/>
                    <a:ln>
                      <a:noFill/>
                    </a:ln>
                  </pic:spPr>
                </pic:pic>
              </a:graphicData>
            </a:graphic>
          </wp:inline>
        </w:drawing>
      </w:r>
    </w:p>
    <w:p w14:paraId="403F29CA" w14:textId="77777777" w:rsidR="0022376C" w:rsidRPr="00306D9E" w:rsidRDefault="0022376C" w:rsidP="0022376C"/>
    <w:p w14:paraId="5232FC6E" w14:textId="6E240E36" w:rsidR="0022376C" w:rsidRPr="00306D9E" w:rsidRDefault="0022376C" w:rsidP="0022376C">
      <w:pPr>
        <w:spacing w:line="360" w:lineRule="auto"/>
        <w:jc w:val="both"/>
        <w:rPr>
          <w:rFonts w:ascii="Times New Roman" w:hAnsi="Times New Roman"/>
          <w:color w:val="000000"/>
        </w:rPr>
      </w:pPr>
      <w:r w:rsidRPr="00306D9E">
        <w:rPr>
          <w:rFonts w:ascii="Times New Roman" w:hAnsi="Times New Roman"/>
        </w:rPr>
        <w:t xml:space="preserve">The patient-level component is structured similarly to decision models developed as part of other NICE processes and </w:t>
      </w:r>
      <w:r w:rsidRPr="00306D9E">
        <w:rPr>
          <w:rFonts w:ascii="Times New Roman" w:hAnsi="Times New Roman" w:cs="Times New Roman"/>
        </w:rPr>
        <w:t>characterises</w:t>
      </w:r>
      <w:r w:rsidRPr="00306D9E">
        <w:rPr>
          <w:rFonts w:ascii="Times New Roman" w:hAnsi="Times New Roman"/>
        </w:rPr>
        <w:t xml:space="preserve"> the cost, </w:t>
      </w:r>
      <w:proofErr w:type="gramStart"/>
      <w:r w:rsidRPr="00306D9E">
        <w:rPr>
          <w:rFonts w:ascii="Times New Roman" w:hAnsi="Times New Roman"/>
        </w:rPr>
        <w:t>mortality</w:t>
      </w:r>
      <w:proofErr w:type="gramEnd"/>
      <w:r w:rsidRPr="00306D9E">
        <w:rPr>
          <w:rFonts w:ascii="Times New Roman" w:hAnsi="Times New Roman"/>
        </w:rPr>
        <w:t xml:space="preserve"> and morbidity consequences of introducing </w:t>
      </w:r>
      <w:r>
        <w:rPr>
          <w:rFonts w:ascii="Times New Roman" w:hAnsi="Times New Roman"/>
        </w:rPr>
        <w:t>CAZ-AVI</w:t>
      </w:r>
      <w:r w:rsidRPr="00306D9E">
        <w:rPr>
          <w:rFonts w:ascii="Times New Roman" w:hAnsi="Times New Roman"/>
        </w:rPr>
        <w:t xml:space="preserve"> over a patient’s lifetime. Separate but related models are developed for the empiric and microbiology-directed settings. In the empiric setting, empiric treatment with </w:t>
      </w:r>
      <w:r>
        <w:rPr>
          <w:rFonts w:ascii="Times New Roman" w:hAnsi="Times New Roman"/>
        </w:rPr>
        <w:t>CAZ-AVI</w:t>
      </w:r>
      <w:r w:rsidRPr="00306D9E">
        <w:rPr>
          <w:rFonts w:ascii="Times New Roman" w:hAnsi="Times New Roman"/>
        </w:rPr>
        <w:t xml:space="preserve"> is compared </w:t>
      </w:r>
      <w:proofErr w:type="gramStart"/>
      <w:r w:rsidRPr="00306D9E">
        <w:rPr>
          <w:rFonts w:ascii="Times New Roman" w:hAnsi="Times New Roman"/>
        </w:rPr>
        <w:t>to:</w:t>
      </w:r>
      <w:proofErr w:type="gramEnd"/>
      <w:r w:rsidRPr="00306D9E">
        <w:rPr>
          <w:rFonts w:ascii="Times New Roman" w:hAnsi="Times New Roman"/>
        </w:rPr>
        <w:t xml:space="preserve"> empiric treatment with </w:t>
      </w:r>
      <w:r w:rsidRPr="00306D9E">
        <w:t xml:space="preserve">a </w:t>
      </w:r>
      <w:r w:rsidRPr="00306D9E">
        <w:rPr>
          <w:rFonts w:ascii="Times New Roman" w:hAnsi="Times New Roman"/>
        </w:rPr>
        <w:t xml:space="preserve">non-colistin/aminoglycoside-based treatment; empiric treatment with colistin/aminoglycoside-based treatment (considered more toxic); and to use of existing treatments in the empiric setting with </w:t>
      </w:r>
      <w:r>
        <w:rPr>
          <w:rFonts w:ascii="Times New Roman" w:hAnsi="Times New Roman"/>
        </w:rPr>
        <w:t>CAZ-AVI</w:t>
      </w:r>
      <w:r w:rsidRPr="00306D9E">
        <w:rPr>
          <w:rFonts w:ascii="Times New Roman" w:hAnsi="Times New Roman"/>
        </w:rPr>
        <w:t xml:space="preserve"> restricted </w:t>
      </w:r>
      <w:r w:rsidR="008E7074">
        <w:rPr>
          <w:rFonts w:ascii="Times New Roman" w:hAnsi="Times New Roman"/>
        </w:rPr>
        <w:t>to</w:t>
      </w:r>
      <w:r w:rsidRPr="00306D9E">
        <w:rPr>
          <w:rFonts w:ascii="Times New Roman" w:hAnsi="Times New Roman"/>
        </w:rPr>
        <w:t xml:space="preserve"> use in the microbiology-directed setting. In the microbiology-directed setting we compare outcomes in the overall microbiology-directed cohort who receive tailored therapy with </w:t>
      </w:r>
      <w:r>
        <w:rPr>
          <w:rFonts w:ascii="Times New Roman" w:hAnsi="Times New Roman"/>
        </w:rPr>
        <w:t>CAZ-AVI</w:t>
      </w:r>
      <w:r w:rsidRPr="00306D9E">
        <w:rPr>
          <w:rFonts w:ascii="Times New Roman" w:hAnsi="Times New Roman"/>
        </w:rPr>
        <w:t xml:space="preserve"> available as a treatment option, to outcomes in the overall microbiology-directed cohort who receive tailored therapy with </w:t>
      </w:r>
      <w:r w:rsidRPr="00306D9E">
        <w:rPr>
          <w:rFonts w:ascii="Times New Roman" w:hAnsi="Times New Roman"/>
          <w:color w:val="000000"/>
        </w:rPr>
        <w:t xml:space="preserve">existing AMs only. </w:t>
      </w:r>
    </w:p>
    <w:p w14:paraId="090ADDD5" w14:textId="449D55C2"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In the empiric setting patients are suspected to have an infection caused by OXA-48 </w:t>
      </w:r>
      <w:proofErr w:type="spellStart"/>
      <w:r w:rsidR="00D620E3" w:rsidRPr="00D620E3">
        <w:rPr>
          <w:rFonts w:ascii="Times New Roman" w:hAnsi="Times New Roman"/>
          <w:i/>
          <w:iCs/>
        </w:rPr>
        <w:t>E</w:t>
      </w:r>
      <w:r w:rsidRPr="00D620E3">
        <w:rPr>
          <w:rFonts w:ascii="Times New Roman" w:hAnsi="Times New Roman"/>
          <w:i/>
          <w:iCs/>
        </w:rPr>
        <w:t>nterobacterales</w:t>
      </w:r>
      <w:proofErr w:type="spellEnd"/>
      <w:r w:rsidRPr="00306D9E">
        <w:rPr>
          <w:rFonts w:ascii="Times New Roman" w:hAnsi="Times New Roman" w:cs="Times New Roman"/>
        </w:rPr>
        <w:t>,</w:t>
      </w:r>
      <w:r w:rsidRPr="00306D9E">
        <w:rPr>
          <w:rFonts w:ascii="Times New Roman" w:hAnsi="Times New Roman"/>
        </w:rPr>
        <w:t xml:space="preserve"> so it is necessary to model outcomes for both patients in whom this suspicion is confirmed and for those in whom this suspicion turns out to be incorrect. The probability of having the suspected pathogen/resistance mechanism is informed by </w:t>
      </w:r>
      <w:r w:rsidRPr="00306D9E">
        <w:rPr>
          <w:rFonts w:ascii="Times New Roman" w:hAnsi="Times New Roman"/>
          <w:color w:val="000000"/>
        </w:rPr>
        <w:t>Second Generation Surveillance System (SGSS) national surveillance data supplied by PHE for this evaluation.</w:t>
      </w:r>
      <w:r w:rsidRPr="00306D9E">
        <w:rPr>
          <w:rFonts w:ascii="Times New Roman" w:hAnsi="Times New Roman"/>
        </w:rPr>
        <w:t xml:space="preserve"> The key driver of effectiveness is </w:t>
      </w:r>
      <w:r w:rsidRPr="00306D9E">
        <w:rPr>
          <w:rFonts w:ascii="Times New Roman" w:hAnsi="Times New Roman"/>
          <w:i/>
        </w:rPr>
        <w:t xml:space="preserve">in vitro </w:t>
      </w:r>
      <w:r w:rsidRPr="00306D9E">
        <w:rPr>
          <w:rFonts w:ascii="Times New Roman" w:hAnsi="Times New Roman"/>
        </w:rPr>
        <w:t xml:space="preserve">susceptibility as estimated via the evidence syntheses discussed above. Higher susceptibility reduces mortality and length of stay in hospital. These relationships are based on a combination of evidence from the literature and structured expert elicitation. Colistin or aminoglycoside-based therapy </w:t>
      </w:r>
      <w:r w:rsidRPr="00306D9E">
        <w:rPr>
          <w:rFonts w:ascii="Times New Roman" w:hAnsi="Times New Roman"/>
        </w:rPr>
        <w:lastRenderedPageBreak/>
        <w:t xml:space="preserve">is expected to be associated with higher rates of AKI than other agents (including </w:t>
      </w:r>
      <w:r>
        <w:rPr>
          <w:rFonts w:ascii="Times New Roman" w:hAnsi="Times New Roman"/>
        </w:rPr>
        <w:t>CAZ-AVI</w:t>
      </w:r>
      <w:r w:rsidRPr="00306D9E">
        <w:rPr>
          <w:rFonts w:ascii="Times New Roman" w:hAnsi="Times New Roman" w:cs="Times New Roman"/>
        </w:rPr>
        <w:t>),</w:t>
      </w:r>
      <w:r w:rsidRPr="00306D9E">
        <w:rPr>
          <w:rFonts w:ascii="Times New Roman" w:hAnsi="Times New Roman"/>
        </w:rPr>
        <w:t xml:space="preserve"> which has significant consequences for patients’ short and long-term mortality, </w:t>
      </w:r>
      <w:proofErr w:type="gramStart"/>
      <w:r w:rsidRPr="00306D9E">
        <w:rPr>
          <w:rFonts w:ascii="Times New Roman" w:hAnsi="Times New Roman"/>
        </w:rPr>
        <w:t>morbidity</w:t>
      </w:r>
      <w:proofErr w:type="gramEnd"/>
      <w:r w:rsidRPr="00306D9E">
        <w:rPr>
          <w:rFonts w:ascii="Times New Roman" w:hAnsi="Times New Roman"/>
        </w:rPr>
        <w:t xml:space="preserve"> and costs. Safety differences between colistin or aminoglycoside-based therapy and other agents are</w:t>
      </w:r>
      <w:r w:rsidRPr="00306D9E">
        <w:rPr>
          <w:rFonts w:ascii="Times New Roman" w:hAnsi="Times New Roman" w:cs="Times New Roman"/>
        </w:rPr>
        <w:t>,</w:t>
      </w:r>
      <w:r w:rsidRPr="00306D9E">
        <w:rPr>
          <w:rFonts w:ascii="Times New Roman" w:hAnsi="Times New Roman"/>
        </w:rPr>
        <w:t xml:space="preserve"> therefore</w:t>
      </w:r>
      <w:r w:rsidRPr="00306D9E">
        <w:rPr>
          <w:rFonts w:ascii="Times New Roman" w:hAnsi="Times New Roman" w:cs="Times New Roman"/>
        </w:rPr>
        <w:t>,</w:t>
      </w:r>
      <w:r w:rsidRPr="00306D9E">
        <w:rPr>
          <w:rFonts w:ascii="Times New Roman" w:hAnsi="Times New Roman"/>
        </w:rPr>
        <w:t xml:space="preserve"> modelled using evidence from published systematic reviews. At 30 days </w:t>
      </w:r>
      <w:r w:rsidRPr="00306D9E">
        <w:rPr>
          <w:rFonts w:ascii="Times New Roman" w:hAnsi="Times New Roman" w:cs="Times New Roman"/>
        </w:rPr>
        <w:t>patients</w:t>
      </w:r>
      <w:r w:rsidRPr="00306D9E">
        <w:rPr>
          <w:rFonts w:ascii="Times New Roman" w:hAnsi="Times New Roman"/>
        </w:rPr>
        <w:t xml:space="preserve"> were classified as dead or alive with </w:t>
      </w:r>
      <w:proofErr w:type="gramStart"/>
      <w:r w:rsidRPr="00306D9E">
        <w:rPr>
          <w:rFonts w:ascii="Times New Roman" w:hAnsi="Times New Roman" w:cs="Times New Roman"/>
        </w:rPr>
        <w:t xml:space="preserve">those </w:t>
      </w:r>
      <w:r w:rsidRPr="00306D9E">
        <w:rPr>
          <w:rFonts w:ascii="Times New Roman" w:hAnsi="Times New Roman"/>
        </w:rPr>
        <w:t>alive sub-classified</w:t>
      </w:r>
      <w:proofErr w:type="gramEnd"/>
      <w:r w:rsidRPr="00306D9E">
        <w:rPr>
          <w:rFonts w:ascii="Times New Roman" w:hAnsi="Times New Roman"/>
        </w:rPr>
        <w:t xml:space="preserve"> according to their history of AKI. These outcomes were then used to predict patients’ lifetime costs, quality of life and mortality accounting for the highly comorbid nature of the patient population with AM-resistant infections and the increased risk of chronic kidney disease resulting from AKI. </w:t>
      </w:r>
    </w:p>
    <w:p w14:paraId="00ECEE01" w14:textId="6B31245F" w:rsidR="0022376C" w:rsidRPr="00306D9E" w:rsidRDefault="0022376C" w:rsidP="0022376C">
      <w:pPr>
        <w:spacing w:line="360" w:lineRule="auto"/>
        <w:jc w:val="both"/>
        <w:rPr>
          <w:rFonts w:ascii="Times New Roman" w:hAnsi="Times New Roman"/>
          <w:color w:val="000000"/>
        </w:rPr>
      </w:pPr>
      <w:r w:rsidRPr="00306D9E">
        <w:rPr>
          <w:rFonts w:ascii="Times New Roman" w:hAnsi="Times New Roman"/>
          <w:color w:val="000000"/>
        </w:rPr>
        <w:t xml:space="preserve">The population-level component uses a forecast-based approach to aggregate the patient-level predictions to the population level accounting for the size of, and growth over time in, the eligible patient population in England within each HVCS.  This component also reflects how resistance is likely to develop to </w:t>
      </w:r>
      <w:r>
        <w:rPr>
          <w:rFonts w:ascii="Times New Roman" w:hAnsi="Times New Roman"/>
          <w:color w:val="000000"/>
        </w:rPr>
        <w:t>CAZ-AVI</w:t>
      </w:r>
      <w:r w:rsidRPr="00306D9E">
        <w:rPr>
          <w:rFonts w:ascii="Times New Roman" w:hAnsi="Times New Roman"/>
          <w:color w:val="000000"/>
        </w:rPr>
        <w:t xml:space="preserve"> and existing AMs over time. Current numbers of patients within the </w:t>
      </w:r>
      <w:r w:rsidRPr="00306D9E">
        <w:rPr>
          <w:rFonts w:ascii="Times New Roman" w:hAnsi="Times New Roman" w:cs="Times New Roman"/>
          <w:color w:val="000000"/>
        </w:rPr>
        <w:t>HVCSs</w:t>
      </w:r>
      <w:r w:rsidRPr="00306D9E">
        <w:rPr>
          <w:rFonts w:ascii="Times New Roman" w:hAnsi="Times New Roman"/>
          <w:color w:val="000000"/>
        </w:rPr>
        <w:t xml:space="preserve"> were based on evidence from SGSS. Future growth in the number of patients in the </w:t>
      </w:r>
      <w:r w:rsidRPr="00306D9E">
        <w:rPr>
          <w:rFonts w:ascii="Times New Roman" w:hAnsi="Times New Roman" w:cs="Times New Roman"/>
          <w:color w:val="000000"/>
        </w:rPr>
        <w:t>HVCSs</w:t>
      </w:r>
      <w:r w:rsidRPr="00306D9E">
        <w:rPr>
          <w:rFonts w:ascii="Times New Roman" w:hAnsi="Times New Roman"/>
          <w:color w:val="000000"/>
        </w:rPr>
        <w:t xml:space="preserve"> was based on statistical forecasting models fitted to time series data from the national reference laboratory dataset held by the </w:t>
      </w:r>
      <w:r w:rsidR="00A31782">
        <w:rPr>
          <w:rFonts w:ascii="Times New Roman" w:hAnsi="Times New Roman"/>
          <w:color w:val="000000"/>
        </w:rPr>
        <w:t>AMRHAI</w:t>
      </w:r>
      <w:r w:rsidRPr="00306D9E">
        <w:rPr>
          <w:rFonts w:ascii="Times New Roman" w:hAnsi="Times New Roman"/>
          <w:color w:val="000000"/>
        </w:rPr>
        <w:t xml:space="preserve"> and supplied by PHE for this </w:t>
      </w:r>
      <w:r w:rsidRPr="00306D9E">
        <w:rPr>
          <w:rFonts w:ascii="Times New Roman" w:hAnsi="Times New Roman" w:cs="Times New Roman"/>
          <w:color w:val="000000"/>
        </w:rPr>
        <w:t>evaluation</w:t>
      </w:r>
      <w:r w:rsidRPr="00306D9E">
        <w:rPr>
          <w:rFonts w:ascii="Times New Roman" w:hAnsi="Times New Roman"/>
          <w:color w:val="000000"/>
        </w:rPr>
        <w:t xml:space="preserve">. A series of scenarios reflect the potential emergence of resistance to </w:t>
      </w:r>
      <w:r>
        <w:rPr>
          <w:rFonts w:ascii="Times New Roman" w:hAnsi="Times New Roman"/>
          <w:color w:val="000000"/>
        </w:rPr>
        <w:t>CAZ-AVI</w:t>
      </w:r>
      <w:r w:rsidRPr="00306D9E">
        <w:rPr>
          <w:rFonts w:ascii="Times New Roman" w:hAnsi="Times New Roman"/>
          <w:color w:val="000000"/>
        </w:rPr>
        <w:t xml:space="preserve"> with resistance emergence at 20 years of 1%, 5%, 10% and 30%. These scenarios were informed by international data on the emergence of resistance to existing AMs. Predictions of population INHE are presented for patients initiated on treatment with </w:t>
      </w:r>
      <w:r>
        <w:rPr>
          <w:rFonts w:ascii="Times New Roman" w:hAnsi="Times New Roman"/>
          <w:color w:val="000000"/>
        </w:rPr>
        <w:t>CAZ-AVI</w:t>
      </w:r>
      <w:r w:rsidRPr="00306D9E">
        <w:rPr>
          <w:rFonts w:ascii="Times New Roman" w:hAnsi="Times New Roman"/>
          <w:color w:val="000000"/>
        </w:rPr>
        <w:t xml:space="preserve"> over the next 20 years. </w:t>
      </w:r>
      <w:bookmarkStart w:id="17" w:name="_Hlk85391026"/>
      <w:r w:rsidRPr="00306D9E">
        <w:rPr>
          <w:rFonts w:ascii="Times New Roman" w:hAnsi="Times New Roman"/>
          <w:color w:val="000000"/>
        </w:rPr>
        <w:t xml:space="preserve">This time horizon was chosen pragmatically to explore the long-term value of </w:t>
      </w:r>
      <w:r>
        <w:rPr>
          <w:rFonts w:ascii="Times New Roman" w:hAnsi="Times New Roman"/>
          <w:color w:val="000000"/>
        </w:rPr>
        <w:t>CAZ-AVI</w:t>
      </w:r>
      <w:r w:rsidRPr="00306D9E">
        <w:rPr>
          <w:rFonts w:ascii="Times New Roman" w:hAnsi="Times New Roman"/>
          <w:color w:val="000000"/>
        </w:rPr>
        <w:t xml:space="preserve"> whilst avoiding additional uncertainties associated with very long-term population-level predictions. We did not model changes in resistance to existing AMs over time due to the sparsity of evidence available to inform these forecasts. </w:t>
      </w:r>
    </w:p>
    <w:bookmarkEnd w:id="17"/>
    <w:p w14:paraId="1C7343A1" w14:textId="7FA59BF3" w:rsidR="0022376C" w:rsidRPr="00306D9E" w:rsidRDefault="0022376C" w:rsidP="0022376C">
      <w:pPr>
        <w:spacing w:line="360" w:lineRule="auto"/>
        <w:jc w:val="both"/>
        <w:rPr>
          <w:rFonts w:ascii="Times New Roman" w:hAnsi="Times New Roman"/>
          <w:color w:val="000000"/>
        </w:rPr>
      </w:pPr>
      <w:r w:rsidRPr="00306D9E">
        <w:rPr>
          <w:rFonts w:ascii="Times New Roman" w:hAnsi="Times New Roman"/>
          <w:color w:val="000000"/>
        </w:rPr>
        <w:t xml:space="preserve">Predicted overall population INHEs corresponding to the expected use of </w:t>
      </w:r>
      <w:r>
        <w:rPr>
          <w:rFonts w:ascii="Times New Roman" w:hAnsi="Times New Roman"/>
          <w:color w:val="000000"/>
        </w:rPr>
        <w:t>CAZ-AVI</w:t>
      </w:r>
      <w:r w:rsidRPr="00306D9E">
        <w:rPr>
          <w:rFonts w:ascii="Times New Roman" w:hAnsi="Times New Roman"/>
          <w:color w:val="000000"/>
        </w:rPr>
        <w:t xml:space="preserve"> in the English NHS were generated by rescaling the population INHEs from the </w:t>
      </w:r>
      <w:r w:rsidRPr="00306D9E">
        <w:rPr>
          <w:rFonts w:ascii="Times New Roman" w:hAnsi="Times New Roman" w:cs="Times New Roman"/>
          <w:color w:val="000000"/>
        </w:rPr>
        <w:t>HVCSs</w:t>
      </w:r>
      <w:r w:rsidRPr="00306D9E">
        <w:rPr>
          <w:rFonts w:ascii="Times New Roman" w:hAnsi="Times New Roman"/>
          <w:color w:val="000000"/>
        </w:rPr>
        <w:t xml:space="preserve"> to reflect additional areas of expected usage. </w:t>
      </w:r>
      <w:r w:rsidRPr="00306D9E">
        <w:rPr>
          <w:rFonts w:ascii="Times New Roman" w:hAnsi="Times New Roman"/>
        </w:rPr>
        <w:t xml:space="preserve">These areas of expected usage were selected based on feedback from the manufacturer, clinical advisors to EEPRU and broader stakeholders involved in the NICE scoping process. </w:t>
      </w:r>
      <w:r w:rsidRPr="00306D9E">
        <w:rPr>
          <w:rFonts w:ascii="Times New Roman" w:hAnsi="Times New Roman"/>
          <w:color w:val="000000"/>
        </w:rPr>
        <w:t xml:space="preserve"> These included patients with known or suspected OXA-48 </w:t>
      </w:r>
      <w:proofErr w:type="spellStart"/>
      <w:r w:rsidR="00101EAE" w:rsidRPr="00101EAE">
        <w:rPr>
          <w:rFonts w:ascii="Times New Roman" w:hAnsi="Times New Roman"/>
          <w:i/>
          <w:iCs/>
          <w:color w:val="000000"/>
        </w:rPr>
        <w:t>E</w:t>
      </w:r>
      <w:r w:rsidRPr="00101EAE">
        <w:rPr>
          <w:rFonts w:ascii="Times New Roman" w:hAnsi="Times New Roman"/>
          <w:i/>
          <w:iCs/>
          <w:color w:val="000000"/>
        </w:rPr>
        <w:t>nterobacterales</w:t>
      </w:r>
      <w:proofErr w:type="spellEnd"/>
      <w:r w:rsidRPr="00306D9E">
        <w:rPr>
          <w:rFonts w:ascii="Times New Roman" w:hAnsi="Times New Roman"/>
          <w:color w:val="000000"/>
        </w:rPr>
        <w:t xml:space="preserve"> with bloodstream and intra</w:t>
      </w:r>
      <w:r w:rsidR="00101EAE">
        <w:rPr>
          <w:rFonts w:ascii="Times New Roman" w:hAnsi="Times New Roman"/>
          <w:color w:val="000000"/>
        </w:rPr>
        <w:t>-</w:t>
      </w:r>
      <w:r w:rsidRPr="00306D9E">
        <w:rPr>
          <w:rFonts w:ascii="Times New Roman" w:hAnsi="Times New Roman"/>
          <w:color w:val="000000"/>
        </w:rPr>
        <w:t xml:space="preserve">abdominal infections. This rescaling was based on population size estimates from SGSS and the use of expert opinion to inform the similarity in per patient INHEs between the patients falling within the </w:t>
      </w:r>
      <w:r w:rsidRPr="00306D9E">
        <w:rPr>
          <w:rFonts w:ascii="Times New Roman" w:hAnsi="Times New Roman" w:cs="Times New Roman"/>
          <w:color w:val="000000"/>
        </w:rPr>
        <w:t>HVCSs</w:t>
      </w:r>
      <w:r w:rsidRPr="00306D9E">
        <w:rPr>
          <w:rFonts w:ascii="Times New Roman" w:hAnsi="Times New Roman"/>
          <w:color w:val="000000"/>
        </w:rPr>
        <w:t xml:space="preserve"> and these additional sites of interest. </w:t>
      </w:r>
    </w:p>
    <w:p w14:paraId="0CF631DD"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The literature on the economic evaluation of AMs has described a range of elements of value associated with these products that are not relevant to evaluations of other health care interventions. We also</w:t>
      </w:r>
      <w:r w:rsidRPr="00306D9E">
        <w:rPr>
          <w:rFonts w:ascii="Times New Roman" w:hAnsi="Times New Roman" w:cs="Times New Roman"/>
        </w:rPr>
        <w:t>,</w:t>
      </w:r>
      <w:r w:rsidRPr="00306D9E">
        <w:rPr>
          <w:rFonts w:ascii="Times New Roman" w:hAnsi="Times New Roman"/>
        </w:rPr>
        <w:t xml:space="preserve"> therefore</w:t>
      </w:r>
      <w:r w:rsidRPr="00306D9E">
        <w:rPr>
          <w:rFonts w:ascii="Times New Roman" w:hAnsi="Times New Roman" w:cs="Times New Roman"/>
        </w:rPr>
        <w:t>,</w:t>
      </w:r>
      <w:r w:rsidRPr="00306D9E">
        <w:rPr>
          <w:rFonts w:ascii="Times New Roman" w:hAnsi="Times New Roman"/>
        </w:rPr>
        <w:t xml:space="preserve"> summarise the extent to which these elements of value are captured within the quantitative estimates and</w:t>
      </w:r>
      <w:r w:rsidRPr="00306D9E">
        <w:rPr>
          <w:rFonts w:ascii="Times New Roman" w:hAnsi="Times New Roman" w:cs="Times New Roman"/>
        </w:rPr>
        <w:t>,</w:t>
      </w:r>
      <w:r w:rsidRPr="00306D9E">
        <w:rPr>
          <w:rFonts w:ascii="Times New Roman" w:hAnsi="Times New Roman"/>
        </w:rPr>
        <w:t xml:space="preserve"> where this has not been possible</w:t>
      </w:r>
      <w:r w:rsidRPr="00306D9E">
        <w:rPr>
          <w:rFonts w:ascii="Times New Roman" w:hAnsi="Times New Roman" w:cs="Times New Roman"/>
        </w:rPr>
        <w:t>,</w:t>
      </w:r>
      <w:r w:rsidRPr="00306D9E">
        <w:rPr>
          <w:rFonts w:ascii="Times New Roman" w:hAnsi="Times New Roman"/>
        </w:rPr>
        <w:t xml:space="preserve"> whether they are likely to substantively modify the quantitative estimates of value presented. </w:t>
      </w:r>
    </w:p>
    <w:p w14:paraId="4524EDE6" w14:textId="77777777" w:rsidR="0022376C" w:rsidRPr="00103E42" w:rsidRDefault="0022376C" w:rsidP="00103E42">
      <w:pPr>
        <w:pStyle w:val="Heading3"/>
        <w:ind w:left="720" w:firstLine="720"/>
        <w:rPr>
          <w:rStyle w:val="Heading1Char"/>
          <w:rFonts w:asciiTheme="majorBidi" w:hAnsiTheme="majorBidi"/>
          <w:b/>
          <w:bCs w:val="0"/>
          <w:sz w:val="26"/>
          <w:szCs w:val="26"/>
        </w:rPr>
      </w:pPr>
      <w:bookmarkStart w:id="18" w:name="_Toc87462964"/>
      <w:r w:rsidRPr="00103E42">
        <w:rPr>
          <w:rStyle w:val="Heading1Char"/>
          <w:rFonts w:asciiTheme="majorBidi" w:hAnsiTheme="majorBidi"/>
          <w:b/>
          <w:sz w:val="26"/>
          <w:szCs w:val="26"/>
        </w:rPr>
        <w:lastRenderedPageBreak/>
        <w:t>Results</w:t>
      </w:r>
      <w:bookmarkEnd w:id="18"/>
      <w:r w:rsidRPr="00103E42">
        <w:rPr>
          <w:rStyle w:val="Heading1Char"/>
          <w:rFonts w:asciiTheme="majorBidi" w:hAnsiTheme="majorBidi"/>
          <w:b/>
          <w:sz w:val="26"/>
          <w:szCs w:val="26"/>
        </w:rPr>
        <w:t xml:space="preserve"> </w:t>
      </w:r>
    </w:p>
    <w:p w14:paraId="34C75B56" w14:textId="673612B8" w:rsidR="0022376C" w:rsidRPr="00101EAE" w:rsidRDefault="0022376C" w:rsidP="0022376C">
      <w:pPr>
        <w:spacing w:line="360" w:lineRule="auto"/>
        <w:jc w:val="both"/>
        <w:rPr>
          <w:rFonts w:asciiTheme="majorBidi" w:hAnsiTheme="majorBidi" w:cstheme="majorBidi"/>
        </w:rPr>
      </w:pPr>
      <w:r w:rsidRPr="00101EAE">
        <w:rPr>
          <w:rFonts w:asciiTheme="majorBidi" w:hAnsiTheme="majorBidi" w:cstheme="majorBidi"/>
        </w:rPr>
        <w:t xml:space="preserve">Table 1 summarises the patient level INHEs for CAZ-AVI in the HVCS. The benefits of CAZ-AVI are driven by similar </w:t>
      </w:r>
      <w:proofErr w:type="gramStart"/>
      <w:r w:rsidRPr="00101EAE">
        <w:rPr>
          <w:rFonts w:asciiTheme="majorBidi" w:hAnsiTheme="majorBidi" w:cstheme="majorBidi"/>
        </w:rPr>
        <w:t>susceptibility</w:t>
      </w:r>
      <w:proofErr w:type="gramEnd"/>
      <w:r w:rsidRPr="00101EAE">
        <w:rPr>
          <w:rFonts w:asciiTheme="majorBidi" w:hAnsiTheme="majorBidi" w:cstheme="majorBidi"/>
        </w:rPr>
        <w:t xml:space="preserve"> but improved safety compared to colistin/aminoglycoside-based treatments, and, in the empiric setting, by higher susceptibility than non-colistin/aminoglycoside-based treatment.  The two most significant sources of uncertainty relate to the empiric setting and are (1) the preferred source of susceptibility evidence, (2) the proportion of patients in the empiric setting who are suspected of having OXA-48 </w:t>
      </w:r>
      <w:proofErr w:type="spellStart"/>
      <w:r w:rsidR="00101EAE" w:rsidRPr="00101EAE">
        <w:rPr>
          <w:rFonts w:asciiTheme="majorBidi" w:hAnsiTheme="majorBidi" w:cstheme="majorBidi"/>
          <w:i/>
          <w:iCs/>
        </w:rPr>
        <w:t>E</w:t>
      </w:r>
      <w:r w:rsidRPr="00101EAE">
        <w:rPr>
          <w:rFonts w:asciiTheme="majorBidi" w:hAnsiTheme="majorBidi" w:cstheme="majorBidi"/>
          <w:i/>
          <w:iCs/>
        </w:rPr>
        <w:t>nterobacterales</w:t>
      </w:r>
      <w:proofErr w:type="spellEnd"/>
      <w:r w:rsidRPr="00101EAE">
        <w:rPr>
          <w:rFonts w:asciiTheme="majorBidi" w:hAnsiTheme="majorBidi" w:cstheme="majorBidi"/>
        </w:rPr>
        <w:t xml:space="preserve"> who are later confirmed to have this resistant pathogen. Using the results of the susceptibility evidence synthesis that included all studies regardless of breakpoints (EUCAST or CLSI) and using the single Vasquez-</w:t>
      </w:r>
      <w:proofErr w:type="spellStart"/>
      <w:r w:rsidRPr="00101EAE">
        <w:rPr>
          <w:rFonts w:asciiTheme="majorBidi" w:hAnsiTheme="majorBidi" w:cstheme="majorBidi"/>
        </w:rPr>
        <w:t>Ucha</w:t>
      </w:r>
      <w:proofErr w:type="spellEnd"/>
      <w:r w:rsidRPr="00101EAE">
        <w:rPr>
          <w:rFonts w:asciiTheme="majorBidi" w:hAnsiTheme="majorBidi" w:cstheme="majorBidi"/>
        </w:rPr>
        <w:t xml:space="preserve"> study to inform susceptibility increased the patient-level INHEs </w:t>
      </w:r>
      <w:r w:rsidR="008E7074">
        <w:rPr>
          <w:rFonts w:asciiTheme="majorBidi" w:hAnsiTheme="majorBidi" w:cstheme="majorBidi"/>
        </w:rPr>
        <w:t>from 0.16</w:t>
      </w:r>
      <w:r w:rsidRPr="00101EAE">
        <w:rPr>
          <w:rFonts w:asciiTheme="majorBidi" w:hAnsiTheme="majorBidi" w:cstheme="majorBidi"/>
        </w:rPr>
        <w:t xml:space="preserve"> to 0.21 and 0.23 QALYs, respectively, as susceptibility to CAZ-AVI relative to comparators is higher in these scenarios. Conversely, if the proportion of individuals suspected to have an infection caused by OXA-48 </w:t>
      </w:r>
      <w:proofErr w:type="spellStart"/>
      <w:r w:rsidR="00101EAE" w:rsidRPr="00101EAE">
        <w:rPr>
          <w:rFonts w:asciiTheme="majorBidi" w:hAnsiTheme="majorBidi" w:cstheme="majorBidi"/>
          <w:i/>
          <w:iCs/>
        </w:rPr>
        <w:t>E</w:t>
      </w:r>
      <w:r w:rsidRPr="00101EAE">
        <w:rPr>
          <w:rFonts w:asciiTheme="majorBidi" w:hAnsiTheme="majorBidi" w:cstheme="majorBidi"/>
          <w:i/>
          <w:iCs/>
        </w:rPr>
        <w:t>nterobacterales</w:t>
      </w:r>
      <w:proofErr w:type="spellEnd"/>
      <w:r w:rsidRPr="00101EAE">
        <w:rPr>
          <w:rFonts w:asciiTheme="majorBidi" w:hAnsiTheme="majorBidi" w:cstheme="majorBidi"/>
        </w:rPr>
        <w:t xml:space="preserve"> who are confirmed to have this </w:t>
      </w:r>
      <w:r w:rsidR="00AE639B">
        <w:rPr>
          <w:rFonts w:asciiTheme="majorBidi" w:hAnsiTheme="majorBidi" w:cstheme="majorBidi"/>
        </w:rPr>
        <w:t>pathogen-mechanism</w:t>
      </w:r>
      <w:r w:rsidRPr="00101EAE">
        <w:rPr>
          <w:rFonts w:asciiTheme="majorBidi" w:hAnsiTheme="majorBidi" w:cstheme="majorBidi"/>
        </w:rPr>
        <w:t xml:space="preserve"> falls to 10% the patient-level INHEs fall to 0.08 QALYs. </w:t>
      </w:r>
    </w:p>
    <w:p w14:paraId="5F07B05B" w14:textId="77777777" w:rsidR="0022376C" w:rsidRPr="00306D9E" w:rsidRDefault="0022376C" w:rsidP="0022376C"/>
    <w:p w14:paraId="45058327" w14:textId="77777777" w:rsidR="0022376C" w:rsidRPr="00306D9E" w:rsidRDefault="0022376C" w:rsidP="0022376C">
      <w:pPr>
        <w:rPr>
          <w:rFonts w:ascii="Times New Roman" w:hAnsi="Times New Roman"/>
          <w:b/>
          <w:sz w:val="20"/>
        </w:rPr>
      </w:pPr>
      <w:r w:rsidRPr="00306D9E">
        <w:rPr>
          <w:rFonts w:ascii="Times New Roman" w:hAnsi="Times New Roman"/>
          <w:b/>
          <w:sz w:val="20"/>
        </w:rPr>
        <w:t>Table 1: Summary of patient-level INHEs (QALYs) by HVCS subgroup, results presented as base case (scenario range)</w:t>
      </w:r>
    </w:p>
    <w:tbl>
      <w:tblPr>
        <w:tblStyle w:val="TableGrid"/>
        <w:tblW w:w="5000" w:type="pct"/>
        <w:tblLook w:val="04A0" w:firstRow="1" w:lastRow="0" w:firstColumn="1" w:lastColumn="0" w:noHBand="0" w:noVBand="1"/>
      </w:tblPr>
      <w:tblGrid>
        <w:gridCol w:w="2343"/>
        <w:gridCol w:w="2342"/>
        <w:gridCol w:w="2243"/>
        <w:gridCol w:w="2088"/>
      </w:tblGrid>
      <w:tr w:rsidR="0022376C" w:rsidRPr="00306D9E" w14:paraId="04DF20EF" w14:textId="77777777" w:rsidTr="00DC3933">
        <w:tc>
          <w:tcPr>
            <w:tcW w:w="1299" w:type="pct"/>
          </w:tcPr>
          <w:p w14:paraId="7F853ED0" w14:textId="77777777" w:rsidR="0022376C" w:rsidRPr="00306D9E" w:rsidRDefault="0022376C" w:rsidP="0022376C">
            <w:pPr>
              <w:rPr>
                <w:rFonts w:ascii="Times New Roman" w:hAnsi="Times New Roman"/>
                <w:b/>
                <w:sz w:val="20"/>
              </w:rPr>
            </w:pPr>
          </w:p>
        </w:tc>
        <w:tc>
          <w:tcPr>
            <w:tcW w:w="1299" w:type="pct"/>
          </w:tcPr>
          <w:p w14:paraId="35C7B4FD" w14:textId="49D6C868" w:rsidR="0022376C" w:rsidRPr="00306D9E" w:rsidRDefault="0022376C" w:rsidP="0022376C">
            <w:pPr>
              <w:rPr>
                <w:rFonts w:ascii="Times New Roman" w:hAnsi="Times New Roman"/>
                <w:b/>
                <w:sz w:val="20"/>
              </w:rPr>
            </w:pPr>
            <w:r w:rsidRPr="00306D9E">
              <w:rPr>
                <w:rFonts w:ascii="Times New Roman" w:hAnsi="Times New Roman"/>
                <w:b/>
                <w:sz w:val="20"/>
              </w:rPr>
              <w:t>Empiric setting HAP/VAP</w:t>
            </w:r>
          </w:p>
        </w:tc>
        <w:tc>
          <w:tcPr>
            <w:tcW w:w="1244" w:type="pct"/>
          </w:tcPr>
          <w:p w14:paraId="49771877" w14:textId="77777777" w:rsidR="0022376C" w:rsidRPr="00306D9E" w:rsidRDefault="0022376C" w:rsidP="0022376C">
            <w:pPr>
              <w:rPr>
                <w:rFonts w:ascii="Times New Roman" w:hAnsi="Times New Roman"/>
                <w:b/>
                <w:sz w:val="20"/>
              </w:rPr>
            </w:pPr>
            <w:r w:rsidRPr="00306D9E">
              <w:rPr>
                <w:rFonts w:ascii="Times New Roman" w:hAnsi="Times New Roman"/>
                <w:b/>
                <w:sz w:val="20"/>
              </w:rPr>
              <w:t>Microbiology-directed setting HAP/VAP</w:t>
            </w:r>
          </w:p>
        </w:tc>
        <w:tc>
          <w:tcPr>
            <w:tcW w:w="1158" w:type="pct"/>
          </w:tcPr>
          <w:p w14:paraId="78F25CCD" w14:textId="77777777" w:rsidR="0022376C" w:rsidRPr="00306D9E" w:rsidRDefault="0022376C" w:rsidP="0022376C">
            <w:pPr>
              <w:rPr>
                <w:rFonts w:ascii="Times New Roman" w:hAnsi="Times New Roman"/>
                <w:b/>
                <w:sz w:val="20"/>
              </w:rPr>
            </w:pPr>
            <w:r w:rsidRPr="00306D9E">
              <w:rPr>
                <w:rFonts w:ascii="Times New Roman" w:hAnsi="Times New Roman"/>
                <w:b/>
                <w:sz w:val="20"/>
              </w:rPr>
              <w:t xml:space="preserve">Microbiology-directed setting </w:t>
            </w:r>
            <w:proofErr w:type="spellStart"/>
            <w:r w:rsidRPr="00306D9E">
              <w:rPr>
                <w:rFonts w:ascii="Times New Roman" w:hAnsi="Times New Roman"/>
                <w:b/>
                <w:sz w:val="20"/>
              </w:rPr>
              <w:t>cUTI</w:t>
            </w:r>
            <w:proofErr w:type="spellEnd"/>
          </w:p>
        </w:tc>
      </w:tr>
      <w:tr w:rsidR="0022376C" w:rsidRPr="00306D9E" w14:paraId="7C1DBB35" w14:textId="77777777" w:rsidTr="00DC3933">
        <w:tc>
          <w:tcPr>
            <w:tcW w:w="1299" w:type="pct"/>
          </w:tcPr>
          <w:p w14:paraId="7EFF190F" w14:textId="0CE7E901" w:rsidR="0022376C" w:rsidRPr="00306D9E" w:rsidRDefault="0022376C" w:rsidP="0022376C">
            <w:pPr>
              <w:rPr>
                <w:rFonts w:ascii="Times New Roman" w:hAnsi="Times New Roman"/>
                <w:sz w:val="20"/>
              </w:rPr>
            </w:pPr>
            <w:r w:rsidRPr="00306D9E">
              <w:rPr>
                <w:rFonts w:ascii="Times New Roman" w:hAnsi="Times New Roman"/>
                <w:sz w:val="20"/>
              </w:rPr>
              <w:t xml:space="preserve">OXA-48 </w:t>
            </w:r>
            <w:proofErr w:type="spellStart"/>
            <w:r w:rsidR="003327AC">
              <w:rPr>
                <w:rFonts w:ascii="Times New Roman" w:hAnsi="Times New Roman"/>
                <w:sz w:val="20"/>
              </w:rPr>
              <w:t>Enterobacterales</w:t>
            </w:r>
            <w:proofErr w:type="spellEnd"/>
          </w:p>
        </w:tc>
        <w:tc>
          <w:tcPr>
            <w:tcW w:w="1299" w:type="pct"/>
          </w:tcPr>
          <w:p w14:paraId="1B71430C"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0.16 (0.08-0.23)</w:t>
            </w:r>
          </w:p>
        </w:tc>
        <w:tc>
          <w:tcPr>
            <w:tcW w:w="1244" w:type="pct"/>
          </w:tcPr>
          <w:p w14:paraId="6325DABB"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0.06 (0.05-0.10)</w:t>
            </w:r>
          </w:p>
        </w:tc>
        <w:tc>
          <w:tcPr>
            <w:tcW w:w="1158" w:type="pct"/>
          </w:tcPr>
          <w:p w14:paraId="3E451AB1"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0.05 (0.04-0.09)</w:t>
            </w:r>
          </w:p>
        </w:tc>
      </w:tr>
    </w:tbl>
    <w:p w14:paraId="1BA3E854" w14:textId="77777777" w:rsidR="0022376C" w:rsidRPr="00306D9E" w:rsidRDefault="0022376C" w:rsidP="0022376C">
      <w:pPr>
        <w:rPr>
          <w:rFonts w:ascii="Times New Roman" w:hAnsi="Times New Roman"/>
          <w:sz w:val="20"/>
        </w:rPr>
      </w:pPr>
    </w:p>
    <w:p w14:paraId="7A148C98" w14:textId="516586A3" w:rsidR="0022376C" w:rsidRPr="00101EAE" w:rsidRDefault="0022376C" w:rsidP="0022376C">
      <w:pPr>
        <w:spacing w:line="360" w:lineRule="auto"/>
        <w:jc w:val="both"/>
        <w:rPr>
          <w:rFonts w:asciiTheme="majorBidi" w:hAnsiTheme="majorBidi" w:cstheme="majorBidi"/>
        </w:rPr>
      </w:pPr>
      <w:r w:rsidRPr="00101EAE">
        <w:rPr>
          <w:rFonts w:asciiTheme="majorBidi" w:hAnsiTheme="majorBidi" w:cstheme="majorBidi"/>
        </w:rPr>
        <w:t xml:space="preserve">EEPRU were unable to select a base case for the population-level results. Population-level results are, therefore, presented for two different approaches to estimating current OXA-48 </w:t>
      </w:r>
      <w:proofErr w:type="spellStart"/>
      <w:r w:rsidR="00101EAE">
        <w:rPr>
          <w:rFonts w:asciiTheme="majorBidi" w:hAnsiTheme="majorBidi" w:cstheme="majorBidi"/>
          <w:i/>
        </w:rPr>
        <w:t>E</w:t>
      </w:r>
      <w:r w:rsidRPr="00101EAE">
        <w:rPr>
          <w:rFonts w:asciiTheme="majorBidi" w:hAnsiTheme="majorBidi" w:cstheme="majorBidi"/>
          <w:i/>
        </w:rPr>
        <w:t>nterobacterales</w:t>
      </w:r>
      <w:proofErr w:type="spellEnd"/>
      <w:r w:rsidRPr="00101EAE">
        <w:rPr>
          <w:rFonts w:asciiTheme="majorBidi" w:hAnsiTheme="majorBidi" w:cstheme="majorBidi"/>
          <w:i/>
        </w:rPr>
        <w:t xml:space="preserve"> </w:t>
      </w:r>
      <w:r w:rsidRPr="00101EAE">
        <w:rPr>
          <w:rFonts w:asciiTheme="majorBidi" w:hAnsiTheme="majorBidi" w:cstheme="majorBidi"/>
        </w:rPr>
        <w:t xml:space="preserve">infection numbers (based on different methods to classify infections from clinical specimen sites), two alternative approaches to forecasting increases in infections over time (based on whether observed trends are assumed to persist indefinitely or not), and three different trajectories with respect to resistance emergence (1%, 5% and 10% at 20 years). These results are summarised in Table 2. </w:t>
      </w:r>
    </w:p>
    <w:p w14:paraId="01629843" w14:textId="77777777" w:rsidR="0022376C" w:rsidRPr="00101EAE" w:rsidRDefault="0022376C" w:rsidP="0022376C">
      <w:pPr>
        <w:spacing w:line="360" w:lineRule="auto"/>
        <w:jc w:val="both"/>
        <w:rPr>
          <w:rFonts w:asciiTheme="majorBidi" w:hAnsiTheme="majorBidi" w:cstheme="majorBidi"/>
        </w:rPr>
      </w:pPr>
      <w:r w:rsidRPr="00101EAE">
        <w:rPr>
          <w:rFonts w:asciiTheme="majorBidi" w:hAnsiTheme="majorBidi" w:cstheme="majorBidi"/>
        </w:rPr>
        <w:t xml:space="preserve">Table 2 shows that assumptions about baseline population size and growth are strong drivers of population INHEs which vary from 587 to 2,211 QALYs depending on the scenario. The results are particularly sensitive to the assumption about which clinical specimen sites are indicative of HAP/VAP, with the more conservative definition provided by PHE indicating 24 suspected OXA-48 HAP/VAP infections per annum; and the broader definition provided by our clinical advisors indicating 166 suspected OXA-48 HAP/VAP infections per annum. </w:t>
      </w:r>
    </w:p>
    <w:p w14:paraId="3E77EB53" w14:textId="65DE6C31" w:rsidR="0022376C" w:rsidRPr="00101EAE" w:rsidRDefault="0022376C" w:rsidP="0022376C">
      <w:pPr>
        <w:spacing w:line="360" w:lineRule="auto"/>
        <w:jc w:val="both"/>
        <w:rPr>
          <w:rFonts w:asciiTheme="majorBidi" w:hAnsiTheme="majorBidi" w:cstheme="majorBidi"/>
        </w:rPr>
      </w:pPr>
      <w:r w:rsidRPr="00101EAE">
        <w:rPr>
          <w:rFonts w:asciiTheme="majorBidi" w:hAnsiTheme="majorBidi" w:cstheme="majorBidi"/>
        </w:rPr>
        <w:t>Departures from the base case assumptions in the patient</w:t>
      </w:r>
      <w:r w:rsidR="00A31782">
        <w:rPr>
          <w:rFonts w:asciiTheme="majorBidi" w:hAnsiTheme="majorBidi" w:cstheme="majorBidi"/>
        </w:rPr>
        <w:t>-</w:t>
      </w:r>
      <w:r w:rsidRPr="00101EAE">
        <w:rPr>
          <w:rFonts w:asciiTheme="majorBidi" w:hAnsiTheme="majorBidi" w:cstheme="majorBidi"/>
        </w:rPr>
        <w:t xml:space="preserve">level model also had substantive effects on population INHEs. </w:t>
      </w:r>
    </w:p>
    <w:p w14:paraId="198BB6B5" w14:textId="77777777" w:rsidR="0022376C" w:rsidRPr="00101EAE" w:rsidRDefault="0022376C" w:rsidP="0022376C">
      <w:pPr>
        <w:rPr>
          <w:rFonts w:asciiTheme="majorBidi" w:hAnsiTheme="majorBidi" w:cstheme="majorBidi"/>
        </w:rPr>
      </w:pPr>
    </w:p>
    <w:p w14:paraId="1FECFDBF" w14:textId="5AC20D31" w:rsidR="0022376C" w:rsidRPr="00306D9E" w:rsidRDefault="0022376C" w:rsidP="0022376C">
      <w:pPr>
        <w:rPr>
          <w:rFonts w:ascii="Times New Roman" w:hAnsi="Times New Roman"/>
          <w:b/>
          <w:sz w:val="20"/>
        </w:rPr>
      </w:pPr>
      <w:r w:rsidRPr="00101EAE">
        <w:rPr>
          <w:rFonts w:asciiTheme="majorBidi" w:hAnsiTheme="majorBidi" w:cstheme="majorBidi"/>
          <w:b/>
          <w:sz w:val="20"/>
        </w:rPr>
        <w:lastRenderedPageBreak/>
        <w:t>Table 2: Summary of population-level INHEs (QALYs)</w:t>
      </w:r>
    </w:p>
    <w:tbl>
      <w:tblPr>
        <w:tblStyle w:val="TableGrid"/>
        <w:tblW w:w="5186" w:type="pct"/>
        <w:tblLook w:val="04A0" w:firstRow="1" w:lastRow="0" w:firstColumn="1" w:lastColumn="0" w:noHBand="0" w:noVBand="1"/>
      </w:tblPr>
      <w:tblGrid>
        <w:gridCol w:w="2123"/>
        <w:gridCol w:w="2502"/>
        <w:gridCol w:w="1780"/>
        <w:gridCol w:w="2946"/>
      </w:tblGrid>
      <w:tr w:rsidR="0022376C" w:rsidRPr="00306D9E" w14:paraId="18AE4201" w14:textId="77777777" w:rsidTr="00A31782">
        <w:tc>
          <w:tcPr>
            <w:tcW w:w="1135" w:type="pct"/>
            <w:vAlign w:val="center"/>
          </w:tcPr>
          <w:p w14:paraId="61CF4082" w14:textId="77777777" w:rsidR="0022376C" w:rsidRPr="00306D9E" w:rsidRDefault="0022376C" w:rsidP="0022376C">
            <w:pPr>
              <w:rPr>
                <w:rFonts w:ascii="Times New Roman" w:hAnsi="Times New Roman"/>
                <w:b/>
                <w:sz w:val="20"/>
              </w:rPr>
            </w:pPr>
            <w:r w:rsidRPr="00306D9E">
              <w:rPr>
                <w:rFonts w:ascii="Times New Roman" w:hAnsi="Times New Roman"/>
                <w:b/>
                <w:sz w:val="20"/>
              </w:rPr>
              <w:t>Baseline population</w:t>
            </w:r>
          </w:p>
        </w:tc>
        <w:tc>
          <w:tcPr>
            <w:tcW w:w="1338" w:type="pct"/>
            <w:vAlign w:val="center"/>
          </w:tcPr>
          <w:p w14:paraId="66EA96F0" w14:textId="77777777" w:rsidR="0022376C" w:rsidRPr="00306D9E" w:rsidRDefault="0022376C" w:rsidP="0022376C">
            <w:pPr>
              <w:rPr>
                <w:rFonts w:ascii="Times New Roman" w:hAnsi="Times New Roman"/>
                <w:b/>
                <w:sz w:val="20"/>
              </w:rPr>
            </w:pPr>
            <w:r w:rsidRPr="00306D9E">
              <w:rPr>
                <w:rFonts w:ascii="Times New Roman" w:hAnsi="Times New Roman"/>
                <w:b/>
                <w:sz w:val="20"/>
              </w:rPr>
              <w:t>Population growth rate</w:t>
            </w:r>
          </w:p>
        </w:tc>
        <w:tc>
          <w:tcPr>
            <w:tcW w:w="952" w:type="pct"/>
          </w:tcPr>
          <w:p w14:paraId="50AD5B9D" w14:textId="77777777" w:rsidR="0022376C" w:rsidRPr="00306D9E" w:rsidRDefault="0022376C" w:rsidP="0022376C">
            <w:pPr>
              <w:rPr>
                <w:rFonts w:ascii="Times New Roman" w:hAnsi="Times New Roman"/>
                <w:b/>
                <w:sz w:val="20"/>
              </w:rPr>
            </w:pPr>
            <w:r w:rsidRPr="00306D9E">
              <w:rPr>
                <w:rFonts w:ascii="Times New Roman" w:hAnsi="Times New Roman"/>
                <w:b/>
                <w:sz w:val="20"/>
              </w:rPr>
              <w:t>Predicted patients initiating CAZ-AVI over 20 years</w:t>
            </w:r>
          </w:p>
        </w:tc>
        <w:tc>
          <w:tcPr>
            <w:tcW w:w="1575" w:type="pct"/>
          </w:tcPr>
          <w:p w14:paraId="25A07B7D" w14:textId="154FB92B" w:rsidR="0022376C" w:rsidRPr="00306D9E" w:rsidRDefault="0022376C" w:rsidP="0022376C">
            <w:pPr>
              <w:rPr>
                <w:rFonts w:ascii="Times New Roman" w:hAnsi="Times New Roman"/>
                <w:b/>
                <w:sz w:val="20"/>
              </w:rPr>
            </w:pPr>
            <w:r w:rsidRPr="00306D9E">
              <w:rPr>
                <w:rFonts w:ascii="Times New Roman" w:hAnsi="Times New Roman"/>
                <w:b/>
                <w:sz w:val="20"/>
              </w:rPr>
              <w:t xml:space="preserve">Range of population INHEs across resistance scenarios 1%, 5%, </w:t>
            </w:r>
            <w:r w:rsidRPr="00306D9E">
              <w:rPr>
                <w:rFonts w:ascii="Times New Roman" w:hAnsi="Times New Roman" w:cs="Times New Roman"/>
                <w:b/>
                <w:sz w:val="20"/>
                <w:szCs w:val="20"/>
              </w:rPr>
              <w:t xml:space="preserve">and </w:t>
            </w:r>
            <w:r w:rsidRPr="00306D9E">
              <w:rPr>
                <w:rFonts w:ascii="Times New Roman" w:hAnsi="Times New Roman"/>
                <w:b/>
                <w:sz w:val="20"/>
              </w:rPr>
              <w:t>10% at 20 years (base case assumptions used for patient</w:t>
            </w:r>
            <w:r w:rsidR="00A31782">
              <w:rPr>
                <w:rFonts w:ascii="Times New Roman" w:hAnsi="Times New Roman"/>
                <w:b/>
                <w:sz w:val="20"/>
              </w:rPr>
              <w:t>-</w:t>
            </w:r>
            <w:r w:rsidRPr="00306D9E">
              <w:rPr>
                <w:rFonts w:ascii="Times New Roman" w:hAnsi="Times New Roman"/>
                <w:b/>
                <w:sz w:val="20"/>
              </w:rPr>
              <w:t>level model)</w:t>
            </w:r>
          </w:p>
        </w:tc>
      </w:tr>
      <w:tr w:rsidR="0022376C" w:rsidRPr="00306D9E" w14:paraId="469AB6F4" w14:textId="77777777" w:rsidTr="00A31782">
        <w:tc>
          <w:tcPr>
            <w:tcW w:w="1135" w:type="pct"/>
          </w:tcPr>
          <w:p w14:paraId="7026E0CD" w14:textId="77777777" w:rsidR="0022376C" w:rsidRPr="00306D9E" w:rsidRDefault="0022376C" w:rsidP="0022376C">
            <w:pPr>
              <w:spacing w:before="60" w:after="60"/>
              <w:rPr>
                <w:rFonts w:ascii="Times New Roman" w:hAnsi="Times New Roman"/>
                <w:sz w:val="20"/>
              </w:rPr>
            </w:pPr>
            <w:r w:rsidRPr="00306D9E">
              <w:rPr>
                <w:rFonts w:ascii="Times New Roman" w:hAnsi="Times New Roman"/>
                <w:sz w:val="20"/>
              </w:rPr>
              <w:t>PHE categorisation of infection sites</w:t>
            </w:r>
          </w:p>
        </w:tc>
        <w:tc>
          <w:tcPr>
            <w:tcW w:w="1338" w:type="pct"/>
          </w:tcPr>
          <w:p w14:paraId="1E8AFA68" w14:textId="77777777" w:rsidR="0022376C" w:rsidRPr="00306D9E" w:rsidRDefault="0022376C" w:rsidP="0022376C">
            <w:pPr>
              <w:spacing w:before="60" w:after="60"/>
              <w:rPr>
                <w:rFonts w:ascii="Times New Roman" w:hAnsi="Times New Roman"/>
                <w:sz w:val="20"/>
              </w:rPr>
            </w:pPr>
            <w:r w:rsidRPr="00306D9E">
              <w:rPr>
                <w:rFonts w:ascii="Times New Roman" w:hAnsi="Times New Roman"/>
                <w:sz w:val="20"/>
              </w:rPr>
              <w:t xml:space="preserve">Model with damped trends </w:t>
            </w:r>
          </w:p>
        </w:tc>
        <w:tc>
          <w:tcPr>
            <w:tcW w:w="952" w:type="pct"/>
          </w:tcPr>
          <w:p w14:paraId="54B52AD7"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 xml:space="preserve">           5,287 </w:t>
            </w:r>
          </w:p>
        </w:tc>
        <w:tc>
          <w:tcPr>
            <w:tcW w:w="1575" w:type="pct"/>
          </w:tcPr>
          <w:p w14:paraId="453969C0"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587-629</w:t>
            </w:r>
          </w:p>
        </w:tc>
      </w:tr>
      <w:tr w:rsidR="0022376C" w:rsidRPr="00306D9E" w14:paraId="5FF147D3" w14:textId="77777777" w:rsidTr="00A31782">
        <w:tc>
          <w:tcPr>
            <w:tcW w:w="1135" w:type="pct"/>
          </w:tcPr>
          <w:p w14:paraId="38697E11" w14:textId="55E3D729" w:rsidR="0022376C" w:rsidRPr="00306D9E" w:rsidRDefault="00433F3D" w:rsidP="0022376C">
            <w:pPr>
              <w:spacing w:before="60" w:after="60"/>
              <w:rPr>
                <w:rFonts w:ascii="Times New Roman" w:hAnsi="Times New Roman"/>
                <w:sz w:val="20"/>
              </w:rPr>
            </w:pPr>
            <w:r w:rsidRPr="00306D9E">
              <w:rPr>
                <w:rFonts w:ascii="Times New Roman" w:hAnsi="Times New Roman"/>
                <w:sz w:val="20"/>
              </w:rPr>
              <w:t>PHE categorisation of infection sites</w:t>
            </w:r>
          </w:p>
        </w:tc>
        <w:tc>
          <w:tcPr>
            <w:tcW w:w="1338" w:type="pct"/>
          </w:tcPr>
          <w:p w14:paraId="42161A55" w14:textId="77777777" w:rsidR="0022376C" w:rsidRPr="00306D9E" w:rsidRDefault="0022376C" w:rsidP="0022376C">
            <w:pPr>
              <w:spacing w:before="60" w:after="60"/>
              <w:rPr>
                <w:rFonts w:ascii="Times New Roman" w:hAnsi="Times New Roman"/>
                <w:sz w:val="20"/>
              </w:rPr>
            </w:pPr>
            <w:r w:rsidRPr="00306D9E">
              <w:rPr>
                <w:rFonts w:ascii="Times New Roman" w:hAnsi="Times New Roman"/>
                <w:sz w:val="20"/>
              </w:rPr>
              <w:t xml:space="preserve">Model with persistent trends </w:t>
            </w:r>
          </w:p>
        </w:tc>
        <w:tc>
          <w:tcPr>
            <w:tcW w:w="952" w:type="pct"/>
          </w:tcPr>
          <w:p w14:paraId="64FD05A5"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 xml:space="preserve">         11,742 </w:t>
            </w:r>
          </w:p>
        </w:tc>
        <w:tc>
          <w:tcPr>
            <w:tcW w:w="1575" w:type="pct"/>
          </w:tcPr>
          <w:p w14:paraId="59CE71D1"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1,190-1,299</w:t>
            </w:r>
          </w:p>
        </w:tc>
      </w:tr>
      <w:tr w:rsidR="0022376C" w:rsidRPr="00306D9E" w14:paraId="06DFFAA8" w14:textId="77777777" w:rsidTr="00A31782">
        <w:tc>
          <w:tcPr>
            <w:tcW w:w="1135" w:type="pct"/>
          </w:tcPr>
          <w:p w14:paraId="465D4EE1" w14:textId="77777777" w:rsidR="0022376C" w:rsidRPr="00306D9E" w:rsidRDefault="0022376C" w:rsidP="0022376C">
            <w:pPr>
              <w:rPr>
                <w:rFonts w:ascii="Times New Roman" w:hAnsi="Times New Roman"/>
                <w:b/>
                <w:sz w:val="20"/>
              </w:rPr>
            </w:pPr>
            <w:r w:rsidRPr="00306D9E">
              <w:rPr>
                <w:rFonts w:ascii="Times New Roman" w:hAnsi="Times New Roman"/>
                <w:sz w:val="20"/>
              </w:rPr>
              <w:t>Clinical advisors’ categorisation of infection sites</w:t>
            </w:r>
          </w:p>
        </w:tc>
        <w:tc>
          <w:tcPr>
            <w:tcW w:w="1338" w:type="pct"/>
          </w:tcPr>
          <w:p w14:paraId="04A7F6CB" w14:textId="77777777" w:rsidR="0022376C" w:rsidRPr="00306D9E" w:rsidRDefault="0022376C" w:rsidP="0022376C">
            <w:pPr>
              <w:spacing w:before="60" w:after="60"/>
              <w:rPr>
                <w:rFonts w:ascii="Times New Roman" w:hAnsi="Times New Roman"/>
                <w:sz w:val="20"/>
              </w:rPr>
            </w:pPr>
            <w:r w:rsidRPr="00306D9E">
              <w:rPr>
                <w:rFonts w:ascii="Times New Roman" w:hAnsi="Times New Roman"/>
                <w:sz w:val="20"/>
              </w:rPr>
              <w:t xml:space="preserve">Model with damped trends </w:t>
            </w:r>
          </w:p>
        </w:tc>
        <w:tc>
          <w:tcPr>
            <w:tcW w:w="952" w:type="pct"/>
          </w:tcPr>
          <w:p w14:paraId="3AB3702F"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 xml:space="preserve">           9,056 </w:t>
            </w:r>
          </w:p>
        </w:tc>
        <w:tc>
          <w:tcPr>
            <w:tcW w:w="1575" w:type="pct"/>
          </w:tcPr>
          <w:p w14:paraId="10E39BE3"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998-1,070</w:t>
            </w:r>
          </w:p>
        </w:tc>
      </w:tr>
      <w:tr w:rsidR="0022376C" w:rsidRPr="00306D9E" w14:paraId="47268176" w14:textId="77777777" w:rsidTr="00A31782">
        <w:tc>
          <w:tcPr>
            <w:tcW w:w="1135" w:type="pct"/>
          </w:tcPr>
          <w:p w14:paraId="599FB26E" w14:textId="22367F70" w:rsidR="0022376C" w:rsidRPr="00306D9E" w:rsidRDefault="00433F3D" w:rsidP="0022376C">
            <w:pPr>
              <w:rPr>
                <w:rFonts w:ascii="Times New Roman" w:hAnsi="Times New Roman"/>
                <w:b/>
                <w:sz w:val="20"/>
              </w:rPr>
            </w:pPr>
            <w:r w:rsidRPr="00306D9E">
              <w:rPr>
                <w:rFonts w:ascii="Times New Roman" w:hAnsi="Times New Roman"/>
                <w:sz w:val="20"/>
              </w:rPr>
              <w:t>Clinical advisors’ categorisation of infection sites</w:t>
            </w:r>
          </w:p>
        </w:tc>
        <w:tc>
          <w:tcPr>
            <w:tcW w:w="1338" w:type="pct"/>
          </w:tcPr>
          <w:p w14:paraId="5E8D1707" w14:textId="77777777" w:rsidR="0022376C" w:rsidRPr="00306D9E" w:rsidRDefault="0022376C" w:rsidP="0022376C">
            <w:pPr>
              <w:spacing w:before="60" w:after="60"/>
              <w:rPr>
                <w:rFonts w:ascii="Times New Roman" w:hAnsi="Times New Roman"/>
                <w:sz w:val="20"/>
              </w:rPr>
            </w:pPr>
            <w:r w:rsidRPr="00306D9E">
              <w:rPr>
                <w:rFonts w:ascii="Times New Roman" w:hAnsi="Times New Roman"/>
                <w:sz w:val="20"/>
              </w:rPr>
              <w:t xml:space="preserve">Model with persistent trends </w:t>
            </w:r>
          </w:p>
        </w:tc>
        <w:tc>
          <w:tcPr>
            <w:tcW w:w="952" w:type="pct"/>
          </w:tcPr>
          <w:p w14:paraId="65B9450D"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 xml:space="preserve">         20,112 </w:t>
            </w:r>
          </w:p>
        </w:tc>
        <w:tc>
          <w:tcPr>
            <w:tcW w:w="1575" w:type="pct"/>
          </w:tcPr>
          <w:p w14:paraId="0F9AF7F1" w14:textId="77777777" w:rsidR="0022376C" w:rsidRPr="00306D9E" w:rsidRDefault="0022376C" w:rsidP="0022376C">
            <w:pPr>
              <w:jc w:val="right"/>
              <w:rPr>
                <w:rFonts w:ascii="Times New Roman" w:hAnsi="Times New Roman"/>
                <w:sz w:val="20"/>
              </w:rPr>
            </w:pPr>
            <w:r w:rsidRPr="00306D9E">
              <w:rPr>
                <w:rFonts w:ascii="Times New Roman" w:hAnsi="Times New Roman"/>
                <w:sz w:val="20"/>
              </w:rPr>
              <w:t>2,025-2,211</w:t>
            </w:r>
          </w:p>
        </w:tc>
      </w:tr>
    </w:tbl>
    <w:p w14:paraId="2B416C74" w14:textId="77777777" w:rsidR="0022376C" w:rsidRPr="00306D9E" w:rsidRDefault="0022376C" w:rsidP="0022376C">
      <w:pPr>
        <w:rPr>
          <w:b/>
        </w:rPr>
      </w:pPr>
    </w:p>
    <w:p w14:paraId="07EA56CA" w14:textId="77777777"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The population size estimates used to generate the estimates of population INHEs are subject to considerable uncertainties relating to the completeness of the national data, how accurately specimen types represent the infection sites of interest, whether all tested patients would fall within the HVCS population for empiric treatment, the potential double counting of samples from the same infectious episode, and inherent uncertainties in forecasting population size over time.  </w:t>
      </w:r>
    </w:p>
    <w:p w14:paraId="44104326" w14:textId="7E60CE92"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In addition, estimates of population INHEs were generated using </w:t>
      </w:r>
      <w:proofErr w:type="gramStart"/>
      <w:r w:rsidRPr="00306D9E">
        <w:rPr>
          <w:rFonts w:ascii="Times New Roman" w:hAnsi="Times New Roman"/>
        </w:rPr>
        <w:t>a number of</w:t>
      </w:r>
      <w:proofErr w:type="gramEnd"/>
      <w:r w:rsidRPr="00306D9E">
        <w:rPr>
          <w:rFonts w:ascii="Times New Roman" w:hAnsi="Times New Roman"/>
        </w:rPr>
        <w:t xml:space="preserve"> strong assumptions about how evidence </w:t>
      </w:r>
      <w:r w:rsidRPr="00306D9E">
        <w:rPr>
          <w:rFonts w:ascii="Times New Roman" w:hAnsi="Times New Roman" w:cs="Times New Roman"/>
        </w:rPr>
        <w:t xml:space="preserve">can be </w:t>
      </w:r>
      <w:r w:rsidRPr="00306D9E">
        <w:rPr>
          <w:rFonts w:ascii="Times New Roman" w:hAnsi="Times New Roman"/>
        </w:rPr>
        <w:t xml:space="preserve">generalised between settings. Namely, that patient level INHE of </w:t>
      </w:r>
      <w:r>
        <w:rPr>
          <w:rFonts w:ascii="Times New Roman" w:hAnsi="Times New Roman"/>
        </w:rPr>
        <w:t>CAZ-AVI</w:t>
      </w:r>
      <w:r w:rsidRPr="00306D9E">
        <w:rPr>
          <w:rFonts w:ascii="Times New Roman" w:hAnsi="Times New Roman"/>
        </w:rPr>
        <w:t xml:space="preserve"> in patients with bloodstream </w:t>
      </w:r>
      <w:r w:rsidR="00101EAE">
        <w:rPr>
          <w:rFonts w:ascii="Times New Roman" w:hAnsi="Times New Roman"/>
        </w:rPr>
        <w:t xml:space="preserve">infections </w:t>
      </w:r>
      <w:r w:rsidRPr="00306D9E">
        <w:rPr>
          <w:rFonts w:ascii="Times New Roman" w:hAnsi="Times New Roman"/>
        </w:rPr>
        <w:t xml:space="preserve">can be approximated based on outcomes in HAP/VAP patients, and that the patient level INHE of </w:t>
      </w:r>
      <w:r>
        <w:rPr>
          <w:rFonts w:ascii="Times New Roman" w:hAnsi="Times New Roman"/>
        </w:rPr>
        <w:t>CAZ-AVI</w:t>
      </w:r>
      <w:r w:rsidRPr="00306D9E">
        <w:rPr>
          <w:rFonts w:ascii="Times New Roman" w:hAnsi="Times New Roman"/>
        </w:rPr>
        <w:t xml:space="preserve"> in patients with intra-abdominal infections can be proxied by that in patients with </w:t>
      </w:r>
      <w:proofErr w:type="spellStart"/>
      <w:r w:rsidRPr="00306D9E">
        <w:rPr>
          <w:rFonts w:ascii="Times New Roman" w:hAnsi="Times New Roman"/>
        </w:rPr>
        <w:t>cUTIs</w:t>
      </w:r>
      <w:proofErr w:type="spellEnd"/>
      <w:r w:rsidRPr="00306D9E">
        <w:rPr>
          <w:rFonts w:ascii="Times New Roman" w:hAnsi="Times New Roman"/>
        </w:rPr>
        <w:t>. These assumptions were based on discussions with clinical experts.</w:t>
      </w:r>
    </w:p>
    <w:p w14:paraId="3EECD262" w14:textId="70C4DCC4" w:rsidR="0022376C" w:rsidRPr="00306D9E" w:rsidRDefault="0022376C" w:rsidP="0022376C">
      <w:pPr>
        <w:spacing w:line="360" w:lineRule="auto"/>
        <w:jc w:val="both"/>
        <w:rPr>
          <w:rFonts w:ascii="Times New Roman" w:hAnsi="Times New Roman"/>
        </w:rPr>
      </w:pPr>
      <w:r w:rsidRPr="00306D9E">
        <w:rPr>
          <w:rFonts w:ascii="Times New Roman" w:hAnsi="Times New Roman"/>
        </w:rPr>
        <w:t xml:space="preserve">Table 3 summarises where EEPRU has been able to quantify the additional elements of value and, for those elements where this has not been feasible, provides an indication of their likely importance. Overall, EEPRU considers that the main areas of uncertainty are enablement value and transmission value. EEPRU considers it unlikely that transmission value is a significant driver of population INHE, though this remains an area of uncertainty. EEPRU considers that it is possible that, by treating pre-operative infections and offering the possibility of an effective low toxicity option for treating MDR infections, </w:t>
      </w:r>
      <w:r>
        <w:rPr>
          <w:rFonts w:ascii="Times New Roman" w:hAnsi="Times New Roman"/>
        </w:rPr>
        <w:t>CAZ-AVI</w:t>
      </w:r>
      <w:r w:rsidRPr="00306D9E">
        <w:rPr>
          <w:rFonts w:ascii="Times New Roman" w:hAnsi="Times New Roman"/>
        </w:rPr>
        <w:t xml:space="preserve"> will facilitate additional or at least more prompt receipt of required treatments/procedures for certain groups. EEPRU considers that the magnitude of these population INHE </w:t>
      </w:r>
      <w:r w:rsidRPr="00306D9E">
        <w:rPr>
          <w:rFonts w:ascii="Times New Roman" w:hAnsi="Times New Roman" w:cs="Times New Roman"/>
        </w:rPr>
        <w:t>remains</w:t>
      </w:r>
      <w:r w:rsidRPr="00306D9E">
        <w:rPr>
          <w:rFonts w:ascii="Times New Roman" w:hAnsi="Times New Roman"/>
        </w:rPr>
        <w:t xml:space="preserve"> highly uncertain.</w:t>
      </w:r>
    </w:p>
    <w:p w14:paraId="1E4FE1AE" w14:textId="20E98D7D" w:rsidR="00A31782" w:rsidRDefault="00A31782">
      <w:pPr>
        <w:rPr>
          <w:b/>
        </w:rPr>
      </w:pPr>
      <w:r>
        <w:rPr>
          <w:b/>
        </w:rPr>
        <w:br w:type="page"/>
      </w:r>
    </w:p>
    <w:p w14:paraId="79918F26" w14:textId="77777777" w:rsidR="0022376C" w:rsidRPr="00306D9E" w:rsidRDefault="0022376C" w:rsidP="0022376C">
      <w:pPr>
        <w:rPr>
          <w:rFonts w:ascii="Times New Roman" w:hAnsi="Times New Roman"/>
          <w:b/>
          <w:sz w:val="20"/>
        </w:rPr>
      </w:pPr>
      <w:r w:rsidRPr="00306D9E">
        <w:rPr>
          <w:rFonts w:ascii="Times New Roman" w:hAnsi="Times New Roman"/>
          <w:b/>
          <w:sz w:val="20"/>
        </w:rPr>
        <w:lastRenderedPageBreak/>
        <w:t xml:space="preserve">Table 3: Additional elements of value </w:t>
      </w:r>
    </w:p>
    <w:tbl>
      <w:tblPr>
        <w:tblStyle w:val="TableGrid6"/>
        <w:tblW w:w="5000" w:type="pct"/>
        <w:tblLook w:val="04A0" w:firstRow="1" w:lastRow="0" w:firstColumn="1" w:lastColumn="0" w:noHBand="0" w:noVBand="1"/>
      </w:tblPr>
      <w:tblGrid>
        <w:gridCol w:w="2086"/>
        <w:gridCol w:w="6930"/>
      </w:tblGrid>
      <w:tr w:rsidR="0022376C" w:rsidRPr="00306D9E" w14:paraId="27951CEF" w14:textId="77777777" w:rsidTr="00DC3933">
        <w:tc>
          <w:tcPr>
            <w:tcW w:w="1157" w:type="pct"/>
            <w:hideMark/>
          </w:tcPr>
          <w:p w14:paraId="602D94D2" w14:textId="77777777" w:rsidR="0022376C" w:rsidRPr="00306D9E" w:rsidRDefault="0022376C" w:rsidP="0022376C">
            <w:pPr>
              <w:spacing w:after="160" w:line="259" w:lineRule="auto"/>
              <w:jc w:val="both"/>
              <w:rPr>
                <w:rFonts w:ascii="Times New Roman" w:hAnsi="Times New Roman"/>
                <w:sz w:val="20"/>
              </w:rPr>
            </w:pPr>
            <w:r w:rsidRPr="00306D9E">
              <w:rPr>
                <w:rFonts w:ascii="Times New Roman" w:hAnsi="Times New Roman"/>
                <w:b/>
                <w:color w:val="000000"/>
                <w:sz w:val="20"/>
              </w:rPr>
              <w:t>Element of value</w:t>
            </w:r>
          </w:p>
        </w:tc>
        <w:tc>
          <w:tcPr>
            <w:tcW w:w="3843" w:type="pct"/>
          </w:tcPr>
          <w:p w14:paraId="4FB32B68" w14:textId="77777777" w:rsidR="0022376C" w:rsidRPr="00306D9E" w:rsidRDefault="0022376C" w:rsidP="0022376C">
            <w:pPr>
              <w:jc w:val="both"/>
              <w:rPr>
                <w:rFonts w:ascii="Times New Roman" w:hAnsi="Times New Roman"/>
                <w:b/>
                <w:color w:val="000000"/>
                <w:sz w:val="20"/>
              </w:rPr>
            </w:pPr>
            <w:r w:rsidRPr="00306D9E">
              <w:rPr>
                <w:rFonts w:ascii="Times New Roman" w:hAnsi="Times New Roman"/>
                <w:b/>
                <w:color w:val="000000"/>
                <w:sz w:val="20"/>
              </w:rPr>
              <w:t>Summary of importance in modifying quantitative estimates of population INHEs, * indicates areas of high uncertainty</w:t>
            </w:r>
          </w:p>
        </w:tc>
      </w:tr>
      <w:tr w:rsidR="0022376C" w:rsidRPr="00306D9E" w14:paraId="5FDF75C3" w14:textId="77777777" w:rsidTr="00DC3933">
        <w:trPr>
          <w:trHeight w:val="423"/>
        </w:trPr>
        <w:tc>
          <w:tcPr>
            <w:tcW w:w="1157" w:type="pct"/>
            <w:hideMark/>
          </w:tcPr>
          <w:p w14:paraId="1E83C2BC" w14:textId="77777777" w:rsidR="0022376C" w:rsidRPr="00306D9E" w:rsidRDefault="0022376C" w:rsidP="0022376C">
            <w:pPr>
              <w:spacing w:after="160" w:line="259" w:lineRule="auto"/>
              <w:jc w:val="both"/>
              <w:rPr>
                <w:rFonts w:ascii="Times New Roman" w:hAnsi="Times New Roman"/>
                <w:color w:val="000000"/>
                <w:sz w:val="20"/>
              </w:rPr>
            </w:pPr>
            <w:r w:rsidRPr="00306D9E">
              <w:rPr>
                <w:rFonts w:ascii="Times New Roman" w:hAnsi="Times New Roman"/>
                <w:color w:val="000000"/>
                <w:sz w:val="20"/>
              </w:rPr>
              <w:t>Enablement value</w:t>
            </w:r>
          </w:p>
        </w:tc>
        <w:tc>
          <w:tcPr>
            <w:tcW w:w="3843" w:type="pct"/>
          </w:tcPr>
          <w:p w14:paraId="3FD26BD5"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Benefits of improved treatment of post-operative infections quantified </w:t>
            </w:r>
          </w:p>
          <w:p w14:paraId="067F9370"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Benefits of improved treatment of pre-operative infections partially quantified*</w:t>
            </w:r>
          </w:p>
          <w:p w14:paraId="6747E6FC"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Benefits of increasing number of procedures that can go ahead not quantified*</w:t>
            </w:r>
          </w:p>
          <w:p w14:paraId="4C752D55"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Benefits of keeping wards open during MDR infection outbreaks unlikely to be a significant driver of population INHEs </w:t>
            </w:r>
          </w:p>
          <w:p w14:paraId="46590346"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Benefits of reduced use of hospital resources quantified</w:t>
            </w:r>
          </w:p>
        </w:tc>
      </w:tr>
      <w:tr w:rsidR="0022376C" w:rsidRPr="00306D9E" w14:paraId="2C5E9F3A" w14:textId="77777777" w:rsidTr="00DC3933">
        <w:trPr>
          <w:trHeight w:val="387"/>
        </w:trPr>
        <w:tc>
          <w:tcPr>
            <w:tcW w:w="1157" w:type="pct"/>
            <w:hideMark/>
          </w:tcPr>
          <w:p w14:paraId="1AB591CF" w14:textId="77777777" w:rsidR="0022376C" w:rsidRPr="00306D9E" w:rsidRDefault="0022376C" w:rsidP="0022376C">
            <w:pPr>
              <w:spacing w:after="160" w:line="259" w:lineRule="auto"/>
              <w:jc w:val="both"/>
              <w:rPr>
                <w:rFonts w:ascii="Times New Roman" w:hAnsi="Times New Roman"/>
                <w:color w:val="000000"/>
                <w:sz w:val="20"/>
              </w:rPr>
            </w:pPr>
            <w:r w:rsidRPr="00306D9E">
              <w:rPr>
                <w:rFonts w:ascii="Times New Roman" w:hAnsi="Times New Roman"/>
                <w:color w:val="000000"/>
                <w:sz w:val="20"/>
              </w:rPr>
              <w:t>Diversity value </w:t>
            </w:r>
          </w:p>
        </w:tc>
        <w:tc>
          <w:tcPr>
            <w:tcW w:w="3843" w:type="pct"/>
          </w:tcPr>
          <w:p w14:paraId="42A76F1E"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Unlikely to be </w:t>
            </w:r>
            <w:r w:rsidRPr="00306D9E">
              <w:rPr>
                <w:rFonts w:ascii="Times New Roman" w:eastAsia="Times New Roman" w:hAnsi="Times New Roman" w:cs="Times New Roman"/>
                <w:color w:val="000000"/>
                <w:sz w:val="20"/>
                <w:szCs w:val="20"/>
              </w:rPr>
              <w:t xml:space="preserve">a </w:t>
            </w:r>
            <w:r w:rsidRPr="00306D9E">
              <w:rPr>
                <w:rFonts w:ascii="Times New Roman" w:hAnsi="Times New Roman"/>
                <w:color w:val="000000"/>
                <w:sz w:val="20"/>
              </w:rPr>
              <w:t>significant driver of population INHEs</w:t>
            </w:r>
          </w:p>
        </w:tc>
      </w:tr>
      <w:tr w:rsidR="0022376C" w:rsidRPr="00306D9E" w14:paraId="6C30EC6D" w14:textId="77777777" w:rsidTr="00DC3933">
        <w:trPr>
          <w:trHeight w:val="385"/>
        </w:trPr>
        <w:tc>
          <w:tcPr>
            <w:tcW w:w="1157" w:type="pct"/>
          </w:tcPr>
          <w:p w14:paraId="450F38EE" w14:textId="77777777" w:rsidR="0022376C" w:rsidRPr="00306D9E" w:rsidRDefault="0022376C" w:rsidP="0022376C">
            <w:pPr>
              <w:spacing w:after="160" w:line="259" w:lineRule="auto"/>
              <w:jc w:val="both"/>
              <w:rPr>
                <w:rFonts w:ascii="Times New Roman" w:hAnsi="Times New Roman"/>
                <w:sz w:val="20"/>
              </w:rPr>
            </w:pPr>
            <w:r w:rsidRPr="00306D9E">
              <w:rPr>
                <w:rFonts w:ascii="Times New Roman" w:hAnsi="Times New Roman"/>
                <w:color w:val="000000"/>
                <w:sz w:val="20"/>
              </w:rPr>
              <w:t>Insurance value</w:t>
            </w:r>
          </w:p>
        </w:tc>
        <w:tc>
          <w:tcPr>
            <w:tcW w:w="3843" w:type="pct"/>
          </w:tcPr>
          <w:p w14:paraId="7407D986"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Quantified </w:t>
            </w:r>
          </w:p>
        </w:tc>
      </w:tr>
      <w:tr w:rsidR="0022376C" w:rsidRPr="00306D9E" w14:paraId="658C4DAB" w14:textId="77777777" w:rsidTr="00DC3933">
        <w:tc>
          <w:tcPr>
            <w:tcW w:w="1157" w:type="pct"/>
          </w:tcPr>
          <w:p w14:paraId="2BEB1074" w14:textId="77777777" w:rsidR="0022376C" w:rsidRPr="00306D9E" w:rsidRDefault="0022376C" w:rsidP="0022376C">
            <w:pPr>
              <w:spacing w:after="160" w:line="259" w:lineRule="auto"/>
              <w:jc w:val="both"/>
              <w:rPr>
                <w:rFonts w:ascii="Times New Roman" w:hAnsi="Times New Roman"/>
                <w:sz w:val="20"/>
              </w:rPr>
            </w:pPr>
            <w:r w:rsidRPr="00306D9E">
              <w:rPr>
                <w:rFonts w:ascii="Times New Roman" w:hAnsi="Times New Roman"/>
                <w:color w:val="000000"/>
                <w:sz w:val="20"/>
              </w:rPr>
              <w:t>Transmission value</w:t>
            </w:r>
          </w:p>
        </w:tc>
        <w:tc>
          <w:tcPr>
            <w:tcW w:w="3843" w:type="pct"/>
          </w:tcPr>
          <w:p w14:paraId="73E2F98B"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Unlikely to be </w:t>
            </w:r>
            <w:r w:rsidRPr="00306D9E">
              <w:rPr>
                <w:rFonts w:ascii="Times New Roman" w:eastAsia="Times New Roman" w:hAnsi="Times New Roman" w:cs="Times New Roman"/>
                <w:color w:val="000000"/>
                <w:sz w:val="20"/>
                <w:szCs w:val="20"/>
              </w:rPr>
              <w:t xml:space="preserve">a </w:t>
            </w:r>
            <w:r w:rsidRPr="00306D9E">
              <w:rPr>
                <w:rFonts w:ascii="Times New Roman" w:hAnsi="Times New Roman"/>
                <w:color w:val="000000"/>
                <w:sz w:val="20"/>
              </w:rPr>
              <w:t>significant driver of population INHEs *</w:t>
            </w:r>
          </w:p>
        </w:tc>
      </w:tr>
      <w:tr w:rsidR="0022376C" w:rsidRPr="00306D9E" w14:paraId="3CD41ED8" w14:textId="77777777" w:rsidTr="00DC3933">
        <w:tc>
          <w:tcPr>
            <w:tcW w:w="1157" w:type="pct"/>
          </w:tcPr>
          <w:p w14:paraId="528C82D8" w14:textId="77777777" w:rsidR="0022376C" w:rsidRPr="00306D9E" w:rsidRDefault="0022376C" w:rsidP="0022376C">
            <w:pPr>
              <w:spacing w:after="160" w:line="259" w:lineRule="auto"/>
              <w:jc w:val="both"/>
              <w:rPr>
                <w:rFonts w:ascii="Times New Roman" w:hAnsi="Times New Roman"/>
                <w:sz w:val="20"/>
              </w:rPr>
            </w:pPr>
            <w:r w:rsidRPr="00306D9E">
              <w:rPr>
                <w:rFonts w:ascii="Times New Roman" w:hAnsi="Times New Roman"/>
                <w:color w:val="000000"/>
                <w:sz w:val="20"/>
              </w:rPr>
              <w:t>Spectrum value</w:t>
            </w:r>
          </w:p>
        </w:tc>
        <w:tc>
          <w:tcPr>
            <w:tcW w:w="3843" w:type="pct"/>
          </w:tcPr>
          <w:p w14:paraId="73847D9E" w14:textId="77777777" w:rsidR="0022376C" w:rsidRPr="00306D9E" w:rsidRDefault="0022376C" w:rsidP="0022376C">
            <w:pPr>
              <w:jc w:val="both"/>
              <w:rPr>
                <w:rFonts w:ascii="Times New Roman" w:hAnsi="Times New Roman"/>
                <w:color w:val="000000"/>
                <w:sz w:val="20"/>
              </w:rPr>
            </w:pPr>
            <w:r w:rsidRPr="00306D9E">
              <w:rPr>
                <w:rFonts w:ascii="Times New Roman" w:hAnsi="Times New Roman"/>
                <w:color w:val="000000"/>
                <w:sz w:val="20"/>
              </w:rPr>
              <w:t xml:space="preserve">Unlikely to be </w:t>
            </w:r>
            <w:r w:rsidRPr="00306D9E">
              <w:rPr>
                <w:rFonts w:ascii="Times New Roman" w:eastAsia="Times New Roman" w:hAnsi="Times New Roman" w:cs="Times New Roman"/>
                <w:color w:val="000000"/>
                <w:sz w:val="20"/>
                <w:szCs w:val="20"/>
              </w:rPr>
              <w:t xml:space="preserve">a </w:t>
            </w:r>
            <w:r w:rsidRPr="00306D9E">
              <w:rPr>
                <w:rFonts w:ascii="Times New Roman" w:hAnsi="Times New Roman"/>
                <w:color w:val="000000"/>
                <w:sz w:val="20"/>
              </w:rPr>
              <w:t>significant driver of population INHEs</w:t>
            </w:r>
          </w:p>
        </w:tc>
      </w:tr>
    </w:tbl>
    <w:p w14:paraId="30B01578" w14:textId="77777777" w:rsidR="0022376C" w:rsidRPr="00306D9E" w:rsidRDefault="0022376C" w:rsidP="0022376C">
      <w:pPr>
        <w:rPr>
          <w:rStyle w:val="Heading1Char"/>
          <w:rFonts w:asciiTheme="majorBidi" w:hAnsiTheme="majorBidi"/>
          <w:b w:val="0"/>
          <w:bCs w:val="0"/>
        </w:rPr>
      </w:pPr>
    </w:p>
    <w:p w14:paraId="6E345DA1" w14:textId="77777777" w:rsidR="0022376C" w:rsidRPr="00306D9E" w:rsidRDefault="0022376C" w:rsidP="0022376C">
      <w:pPr>
        <w:pStyle w:val="Heading2"/>
        <w:rPr>
          <w:rStyle w:val="Heading1Char"/>
          <w:b/>
          <w:sz w:val="22"/>
        </w:rPr>
      </w:pPr>
      <w:bookmarkStart w:id="19" w:name="_Toc87462965"/>
      <w:r w:rsidRPr="00306D9E">
        <w:rPr>
          <w:rStyle w:val="Heading1Char"/>
          <w:b/>
          <w:sz w:val="22"/>
        </w:rPr>
        <w:t>Conclusion</w:t>
      </w:r>
      <w:bookmarkEnd w:id="19"/>
    </w:p>
    <w:p w14:paraId="69F8DCCD" w14:textId="77777777" w:rsidR="0022376C" w:rsidRPr="00306D9E" w:rsidRDefault="0022376C" w:rsidP="0022376C">
      <w:pPr>
        <w:pStyle w:val="EEPRUMainBodyText"/>
        <w:rPr>
          <w:rFonts w:ascii="Times New Roman" w:hAnsi="Times New Roman"/>
        </w:rPr>
      </w:pPr>
      <w:r w:rsidRPr="00306D9E">
        <w:rPr>
          <w:rFonts w:ascii="Times New Roman" w:hAnsi="Times New Roman"/>
        </w:rPr>
        <w:t xml:space="preserve">The quantitative assessment of value in this report indicates that CAZ-AVI is associated with a base case population INHE across its areas of expected usage of 587 to 2,211 </w:t>
      </w:r>
      <w:r w:rsidRPr="00306D9E">
        <w:rPr>
          <w:rFonts w:ascii="Times New Roman" w:hAnsi="Times New Roman" w:cs="Times New Roman"/>
        </w:rPr>
        <w:t xml:space="preserve">QALYs </w:t>
      </w:r>
      <w:r w:rsidRPr="00306D9E">
        <w:rPr>
          <w:rFonts w:ascii="Times New Roman" w:hAnsi="Times New Roman"/>
        </w:rPr>
        <w:t>over 20 years. These quantitative assessments of value were informed by a series of interlinked decision analytic models informed by evidence collated via systematic reviews of the literature and evidence synthesis, additional national data provided by PHE, structured expert elicitation and</w:t>
      </w:r>
      <w:r w:rsidRPr="00306D9E">
        <w:rPr>
          <w:rFonts w:ascii="Times New Roman" w:hAnsi="Times New Roman" w:cs="Times New Roman"/>
        </w:rPr>
        <w:t>,</w:t>
      </w:r>
      <w:r w:rsidRPr="00306D9E">
        <w:rPr>
          <w:rFonts w:ascii="Times New Roman" w:hAnsi="Times New Roman"/>
        </w:rPr>
        <w:t xml:space="preserve"> where necessary</w:t>
      </w:r>
      <w:r w:rsidRPr="00306D9E">
        <w:rPr>
          <w:rFonts w:ascii="Times New Roman" w:hAnsi="Times New Roman" w:cs="Times New Roman"/>
        </w:rPr>
        <w:t>,</w:t>
      </w:r>
      <w:r w:rsidRPr="00306D9E">
        <w:rPr>
          <w:rFonts w:ascii="Times New Roman" w:hAnsi="Times New Roman"/>
        </w:rPr>
        <w:t xml:space="preserve"> assumptions informed by clinical opinion. </w:t>
      </w:r>
    </w:p>
    <w:p w14:paraId="0B3B934C" w14:textId="77777777" w:rsidR="0022376C" w:rsidRPr="00DD329B" w:rsidRDefault="0022376C" w:rsidP="0022376C">
      <w:pPr>
        <w:pStyle w:val="EEPRUMainBodyText"/>
        <w:rPr>
          <w:rFonts w:ascii="Times New Roman" w:hAnsi="Times New Roman"/>
        </w:rPr>
      </w:pPr>
      <w:r w:rsidRPr="00306D9E">
        <w:rPr>
          <w:rFonts w:ascii="Times New Roman" w:hAnsi="Times New Roman"/>
        </w:rPr>
        <w:t xml:space="preserve">This work has provided quantitative estimates of the value of </w:t>
      </w:r>
      <w:r>
        <w:rPr>
          <w:rFonts w:ascii="Times New Roman" w:hAnsi="Times New Roman"/>
        </w:rPr>
        <w:t>CAZ-AVI</w:t>
      </w:r>
      <w:r w:rsidRPr="00306D9E">
        <w:rPr>
          <w:rFonts w:ascii="Times New Roman" w:hAnsi="Times New Roman"/>
        </w:rPr>
        <w:t xml:space="preserve"> within its areas of expected usage within the NHS. A broader and important question is “what would represent the “optimal” scope of usage for </w:t>
      </w:r>
      <w:r>
        <w:rPr>
          <w:rFonts w:ascii="Times New Roman" w:hAnsi="Times New Roman"/>
        </w:rPr>
        <w:t>CAZ-AVI</w:t>
      </w:r>
      <w:r w:rsidRPr="00306D9E">
        <w:rPr>
          <w:rFonts w:ascii="Times New Roman" w:hAnsi="Times New Roman"/>
        </w:rPr>
        <w:t xml:space="preserve">?” </w:t>
      </w:r>
      <w:r w:rsidRPr="00306D9E">
        <w:rPr>
          <w:rFonts w:ascii="Times New Roman" w:hAnsi="Times New Roman" w:cs="Times New Roman"/>
        </w:rPr>
        <w:t>F</w:t>
      </w:r>
      <w:r w:rsidRPr="00306D9E">
        <w:rPr>
          <w:rFonts w:ascii="Times New Roman" w:hAnsi="Times New Roman"/>
        </w:rPr>
        <w:t>urther methodological and quantitative work is required to address this question.</w:t>
      </w:r>
      <w:r w:rsidRPr="00DD329B">
        <w:rPr>
          <w:rFonts w:ascii="Times New Roman" w:hAnsi="Times New Roman"/>
        </w:rPr>
        <w:t xml:space="preserve">   </w:t>
      </w:r>
    </w:p>
    <w:p w14:paraId="59EFC4A2" w14:textId="77777777" w:rsidR="000426DF" w:rsidRPr="006A4082" w:rsidRDefault="000426DF" w:rsidP="00CA0C57">
      <w:pPr>
        <w:pStyle w:val="EEPRUMainBodyText"/>
      </w:pPr>
    </w:p>
    <w:p w14:paraId="5E5755BD" w14:textId="77777777" w:rsidR="00325235" w:rsidRPr="00685394" w:rsidRDefault="00325235" w:rsidP="002D5180">
      <w:pPr>
        <w:jc w:val="both"/>
        <w:rPr>
          <w:rFonts w:asciiTheme="majorBidi" w:eastAsiaTheme="majorEastAsia" w:hAnsiTheme="majorBidi" w:cstheme="majorBidi"/>
          <w:b/>
          <w:bCs/>
          <w:sz w:val="26"/>
          <w:szCs w:val="26"/>
        </w:rPr>
        <w:sectPr w:rsidR="00325235" w:rsidRPr="00685394" w:rsidSect="00AF3E7A">
          <w:footerReference w:type="default" r:id="rId11"/>
          <w:pgSz w:w="11906" w:h="16838"/>
          <w:pgMar w:top="1440" w:right="1440" w:bottom="1440" w:left="1440" w:header="708" w:footer="708" w:gutter="0"/>
          <w:pgNumType w:start="1"/>
          <w:cols w:space="708"/>
          <w:titlePg/>
          <w:docGrid w:linePitch="360"/>
        </w:sectPr>
      </w:pPr>
    </w:p>
    <w:bookmarkStart w:id="20" w:name="_Toc532378427" w:displacedByCustomXml="next"/>
    <w:bookmarkStart w:id="21" w:name="_Toc87462966" w:displacedByCustomXml="next"/>
    <w:sdt>
      <w:sdtPr>
        <w:rPr>
          <w:rFonts w:asciiTheme="majorBidi" w:eastAsiaTheme="minorHAnsi" w:hAnsiTheme="majorBidi" w:cstheme="minorBidi"/>
          <w:b w:val="0"/>
          <w:bCs w:val="0"/>
          <w:sz w:val="22"/>
          <w:szCs w:val="22"/>
        </w:rPr>
        <w:id w:val="-1297138117"/>
        <w:docPartObj>
          <w:docPartGallery w:val="Table of Contents"/>
          <w:docPartUnique/>
        </w:docPartObj>
      </w:sdtPr>
      <w:sdtEndPr>
        <w:rPr>
          <w:noProof/>
        </w:rPr>
      </w:sdtEndPr>
      <w:sdtContent>
        <w:bookmarkEnd w:id="21" w:displacedByCustomXml="next"/>
        <w:sdt>
          <w:sdtPr>
            <w:rPr>
              <w:rFonts w:asciiTheme="majorBidi" w:hAnsiTheme="majorBidi"/>
              <w:b w:val="0"/>
              <w:bCs w:val="0"/>
              <w:noProof/>
              <w:sz w:val="22"/>
              <w:szCs w:val="22"/>
            </w:rPr>
            <w:id w:val="1969699032"/>
            <w:docPartObj>
              <w:docPartGallery w:val="Table of Contents"/>
              <w:docPartUnique/>
            </w:docPartObj>
          </w:sdtPr>
          <w:sdtEndPr>
            <w:rPr>
              <w:noProof w:val="0"/>
              <w:sz w:val="32"/>
              <w:szCs w:val="28"/>
            </w:rPr>
          </w:sdtEndPr>
          <w:sdtContent>
            <w:p w14:paraId="075E5119" w14:textId="3F34AB96" w:rsidR="002F692B" w:rsidRPr="002C2A95" w:rsidRDefault="000426DF" w:rsidP="00EC4036">
              <w:pPr>
                <w:pStyle w:val="Heading1"/>
                <w:spacing w:line="360" w:lineRule="auto"/>
                <w:rPr>
                  <w:rFonts w:asciiTheme="majorBidi" w:hAnsiTheme="majorBidi"/>
                  <w:b w:val="0"/>
                  <w:bCs w:val="0"/>
                </w:rPr>
              </w:pPr>
              <w:r w:rsidRPr="002C2A95">
                <w:rPr>
                  <w:rStyle w:val="BodyTextChar"/>
                  <w:rFonts w:asciiTheme="majorBidi" w:hAnsiTheme="majorBidi"/>
                  <w:b w:val="0"/>
                  <w:bCs w:val="0"/>
                </w:rPr>
                <w:t>Content</w:t>
              </w:r>
            </w:p>
            <w:bookmarkEnd w:id="20" w:displacedByCustomXml="next"/>
          </w:sdtContent>
        </w:sdt>
        <w:p w14:paraId="625D1CC8" w14:textId="67E7D2B5" w:rsidR="002C2A95" w:rsidRPr="002C2A95" w:rsidRDefault="002C2A95">
          <w:pPr>
            <w:pStyle w:val="TOC1"/>
            <w:rPr>
              <w:rFonts w:asciiTheme="majorBidi" w:eastAsiaTheme="minorEastAsia" w:hAnsiTheme="majorBidi" w:cstheme="majorBidi"/>
              <w:b w:val="0"/>
              <w:bCs w:val="0"/>
              <w:lang w:eastAsia="zh-CN"/>
            </w:rPr>
          </w:pPr>
          <w:r w:rsidRPr="002C2A95">
            <w:rPr>
              <w:rFonts w:asciiTheme="majorBidi" w:hAnsiTheme="majorBidi" w:cstheme="majorBidi"/>
              <w:b w:val="0"/>
              <w:bCs w:val="0"/>
              <w:webHidden/>
            </w:rPr>
            <w:tab/>
          </w:r>
          <w:r w:rsidR="007D1B7F">
            <w:rPr>
              <w:rFonts w:asciiTheme="majorBidi" w:hAnsiTheme="majorBidi" w:cstheme="majorBidi"/>
              <w:b w:val="0"/>
              <w:bCs w:val="0"/>
              <w:webHidden/>
            </w:rPr>
            <w:t>1</w:t>
          </w:r>
        </w:p>
        <w:p w14:paraId="29260278" w14:textId="201B1664" w:rsidR="002C2A95" w:rsidRPr="002C2A95" w:rsidRDefault="002C2A95">
          <w:pPr>
            <w:pStyle w:val="TOC1"/>
            <w:rPr>
              <w:rFonts w:asciiTheme="majorBidi" w:eastAsiaTheme="minorEastAsia" w:hAnsiTheme="majorBidi" w:cstheme="majorBidi"/>
              <w:b w:val="0"/>
              <w:bCs w:val="0"/>
              <w:lang w:eastAsia="zh-CN"/>
            </w:rPr>
          </w:pPr>
          <w:r w:rsidRPr="00174117">
            <w:rPr>
              <w:rFonts w:asciiTheme="majorBidi" w:hAnsiTheme="majorBidi" w:cstheme="majorBidi"/>
              <w:b w:val="0"/>
              <w:bCs w:val="0"/>
            </w:rPr>
            <w:t>Executive summary</w:t>
          </w:r>
          <w:r w:rsidRPr="002C2A95">
            <w:rPr>
              <w:rFonts w:asciiTheme="majorBidi" w:hAnsiTheme="majorBidi" w:cstheme="majorBidi"/>
              <w:b w:val="0"/>
              <w:bCs w:val="0"/>
              <w:webHidden/>
            </w:rPr>
            <w:tab/>
          </w:r>
          <w:r w:rsidR="007D1B7F">
            <w:rPr>
              <w:rFonts w:asciiTheme="majorBidi" w:hAnsiTheme="majorBidi" w:cstheme="majorBidi"/>
              <w:b w:val="0"/>
              <w:bCs w:val="0"/>
              <w:webHidden/>
            </w:rPr>
            <w:t>3</w:t>
          </w:r>
        </w:p>
        <w:p w14:paraId="323978F5" w14:textId="7FB5E828"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Background</w:t>
          </w:r>
          <w:r w:rsidRPr="002C2A95">
            <w:rPr>
              <w:rFonts w:asciiTheme="majorBidi" w:hAnsiTheme="majorBidi" w:cstheme="majorBidi"/>
              <w:noProof/>
              <w:webHidden/>
            </w:rPr>
            <w:tab/>
          </w:r>
          <w:r w:rsidR="007D1B7F">
            <w:rPr>
              <w:rFonts w:asciiTheme="majorBidi" w:hAnsiTheme="majorBidi" w:cstheme="majorBidi"/>
              <w:noProof/>
              <w:webHidden/>
            </w:rPr>
            <w:t>3</w:t>
          </w:r>
        </w:p>
        <w:p w14:paraId="61E20DCB" w14:textId="66D58C5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Aim and objectives</w:t>
          </w:r>
          <w:r w:rsidRPr="002C2A95">
            <w:rPr>
              <w:rFonts w:asciiTheme="majorBidi" w:hAnsiTheme="majorBidi" w:cstheme="majorBidi"/>
              <w:noProof/>
              <w:webHidden/>
            </w:rPr>
            <w:tab/>
          </w:r>
          <w:r w:rsidR="007D1B7F">
            <w:rPr>
              <w:rFonts w:asciiTheme="majorBidi" w:hAnsiTheme="majorBidi" w:cstheme="majorBidi"/>
              <w:noProof/>
              <w:webHidden/>
            </w:rPr>
            <w:t>3</w:t>
          </w:r>
        </w:p>
        <w:p w14:paraId="383806D4" w14:textId="0CD63587"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Expected usage and high-value clinical scenarios</w:t>
          </w:r>
          <w:r w:rsidRPr="002C2A95">
            <w:rPr>
              <w:rFonts w:asciiTheme="majorBidi" w:hAnsiTheme="majorBidi" w:cstheme="majorBidi"/>
              <w:noProof/>
              <w:webHidden/>
            </w:rPr>
            <w:tab/>
          </w:r>
          <w:r w:rsidR="007D1B7F">
            <w:rPr>
              <w:rFonts w:asciiTheme="majorBidi" w:hAnsiTheme="majorBidi" w:cstheme="majorBidi"/>
              <w:noProof/>
              <w:webHidden/>
            </w:rPr>
            <w:t>4</w:t>
          </w:r>
        </w:p>
        <w:p w14:paraId="586AC3F0" w14:textId="23307C6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Clinical evidence</w:t>
          </w:r>
          <w:r w:rsidRPr="002C2A95">
            <w:rPr>
              <w:rFonts w:asciiTheme="majorBidi" w:hAnsiTheme="majorBidi" w:cstheme="majorBidi"/>
              <w:noProof/>
              <w:webHidden/>
            </w:rPr>
            <w:tab/>
          </w:r>
          <w:r w:rsidR="007D1B7F">
            <w:rPr>
              <w:rFonts w:asciiTheme="majorBidi" w:hAnsiTheme="majorBidi" w:cstheme="majorBidi"/>
              <w:noProof/>
              <w:webHidden/>
            </w:rPr>
            <w:t>5</w:t>
          </w:r>
        </w:p>
        <w:p w14:paraId="12EBAEA0" w14:textId="02F00388" w:rsidR="002C2A95" w:rsidRPr="002C2A95" w:rsidRDefault="002C2A95">
          <w:pPr>
            <w:pStyle w:val="TOC3"/>
            <w:rPr>
              <w:rFonts w:eastAsiaTheme="minorEastAsia"/>
              <w:lang w:eastAsia="zh-CN"/>
            </w:rPr>
          </w:pPr>
          <w:r w:rsidRPr="00174117">
            <w:t>Methods</w:t>
          </w:r>
          <w:r w:rsidRPr="002C2A95">
            <w:rPr>
              <w:webHidden/>
            </w:rPr>
            <w:tab/>
          </w:r>
          <w:r w:rsidR="007D1B7F">
            <w:rPr>
              <w:webHidden/>
            </w:rPr>
            <w:t>5</w:t>
          </w:r>
        </w:p>
        <w:p w14:paraId="7696DAD5" w14:textId="1D5F431D" w:rsidR="002C2A95" w:rsidRPr="002C2A95" w:rsidRDefault="002C2A95">
          <w:pPr>
            <w:pStyle w:val="TOC3"/>
            <w:rPr>
              <w:rFonts w:eastAsiaTheme="minorEastAsia"/>
              <w:lang w:eastAsia="zh-CN"/>
            </w:rPr>
          </w:pPr>
          <w:r w:rsidRPr="00174117">
            <w:t>Results</w:t>
          </w:r>
          <w:r w:rsidRPr="002C2A95">
            <w:rPr>
              <w:webHidden/>
            </w:rPr>
            <w:tab/>
          </w:r>
          <w:r w:rsidR="007D1B7F">
            <w:rPr>
              <w:webHidden/>
            </w:rPr>
            <w:t>7</w:t>
          </w:r>
        </w:p>
        <w:p w14:paraId="14560BC0" w14:textId="3C92A2C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Economic evidence</w:t>
          </w:r>
          <w:r w:rsidRPr="002C2A95">
            <w:rPr>
              <w:rFonts w:asciiTheme="majorBidi" w:hAnsiTheme="majorBidi" w:cstheme="majorBidi"/>
              <w:noProof/>
              <w:webHidden/>
            </w:rPr>
            <w:tab/>
          </w:r>
          <w:r w:rsidR="007D1B7F">
            <w:rPr>
              <w:rFonts w:asciiTheme="majorBidi" w:hAnsiTheme="majorBidi" w:cstheme="majorBidi"/>
              <w:noProof/>
              <w:webHidden/>
            </w:rPr>
            <w:t>9</w:t>
          </w:r>
        </w:p>
        <w:p w14:paraId="440D8DA8" w14:textId="5374C130" w:rsidR="002C2A95" w:rsidRPr="002C2A95" w:rsidRDefault="002C2A95">
          <w:pPr>
            <w:pStyle w:val="TOC3"/>
            <w:rPr>
              <w:rFonts w:eastAsiaTheme="minorEastAsia"/>
              <w:lang w:eastAsia="zh-CN"/>
            </w:rPr>
          </w:pPr>
          <w:r w:rsidRPr="00174117">
            <w:t>Methods</w:t>
          </w:r>
          <w:r w:rsidRPr="002C2A95">
            <w:rPr>
              <w:webHidden/>
            </w:rPr>
            <w:tab/>
          </w:r>
          <w:r w:rsidR="007D1B7F">
            <w:rPr>
              <w:webHidden/>
            </w:rPr>
            <w:t>9</w:t>
          </w:r>
        </w:p>
        <w:p w14:paraId="570035C1" w14:textId="45837915" w:rsidR="002C2A95" w:rsidRPr="002C2A95" w:rsidRDefault="002C2A95">
          <w:pPr>
            <w:pStyle w:val="TOC3"/>
            <w:rPr>
              <w:rFonts w:eastAsiaTheme="minorEastAsia"/>
              <w:lang w:eastAsia="zh-CN"/>
            </w:rPr>
          </w:pPr>
          <w:r w:rsidRPr="00174117">
            <w:t>Results</w:t>
          </w:r>
          <w:r w:rsidRPr="002C2A95">
            <w:rPr>
              <w:webHidden/>
            </w:rPr>
            <w:tab/>
          </w:r>
          <w:r w:rsidR="007D1B7F">
            <w:rPr>
              <w:webHidden/>
            </w:rPr>
            <w:t>12</w:t>
          </w:r>
        </w:p>
        <w:p w14:paraId="3E1B1125" w14:textId="723FE31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Conclusion</w:t>
          </w:r>
          <w:r w:rsidRPr="002C2A95">
            <w:rPr>
              <w:rFonts w:asciiTheme="majorBidi" w:hAnsiTheme="majorBidi" w:cstheme="majorBidi"/>
              <w:noProof/>
              <w:webHidden/>
            </w:rPr>
            <w:tab/>
          </w:r>
          <w:r w:rsidR="007D1B7F">
            <w:rPr>
              <w:rFonts w:asciiTheme="majorBidi" w:hAnsiTheme="majorBidi" w:cstheme="majorBidi"/>
              <w:noProof/>
              <w:webHidden/>
            </w:rPr>
            <w:t>14</w:t>
          </w:r>
        </w:p>
        <w:p w14:paraId="2F6D7EBA" w14:textId="1A319A59" w:rsidR="002C2A95" w:rsidRPr="002C2A95" w:rsidRDefault="002C2A95">
          <w:pPr>
            <w:pStyle w:val="TOC1"/>
            <w:rPr>
              <w:rFonts w:asciiTheme="majorBidi" w:eastAsiaTheme="minorEastAsia" w:hAnsiTheme="majorBidi" w:cstheme="majorBidi"/>
              <w:b w:val="0"/>
              <w:bCs w:val="0"/>
              <w:lang w:eastAsia="zh-CN"/>
            </w:rPr>
          </w:pPr>
          <w:r w:rsidRPr="00174117">
            <w:rPr>
              <w:rFonts w:asciiTheme="majorBidi" w:hAnsiTheme="majorBidi" w:cstheme="majorBidi"/>
              <w:b w:val="0"/>
              <w:bCs w:val="0"/>
            </w:rPr>
            <w:t>Content</w:t>
          </w:r>
          <w:r w:rsidRPr="002C2A95">
            <w:rPr>
              <w:rFonts w:asciiTheme="majorBidi" w:hAnsiTheme="majorBidi" w:cstheme="majorBidi"/>
              <w:b w:val="0"/>
              <w:bCs w:val="0"/>
              <w:webHidden/>
            </w:rPr>
            <w:tab/>
          </w:r>
          <w:r w:rsidR="007D1B7F">
            <w:rPr>
              <w:rFonts w:asciiTheme="majorBidi" w:hAnsiTheme="majorBidi" w:cstheme="majorBidi"/>
              <w:b w:val="0"/>
              <w:bCs w:val="0"/>
              <w:webHidden/>
            </w:rPr>
            <w:t>1</w:t>
          </w:r>
        </w:p>
        <w:p w14:paraId="16A36796" w14:textId="346395EE"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1.</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Introduction</w:t>
          </w:r>
          <w:r w:rsidRPr="002C2A95">
            <w:rPr>
              <w:rFonts w:asciiTheme="majorBidi" w:hAnsiTheme="majorBidi" w:cstheme="majorBidi"/>
              <w:b w:val="0"/>
              <w:bCs w:val="0"/>
              <w:webHidden/>
            </w:rPr>
            <w:tab/>
          </w:r>
          <w:r w:rsidR="007D1B7F">
            <w:rPr>
              <w:rFonts w:asciiTheme="majorBidi" w:hAnsiTheme="majorBidi" w:cstheme="majorBidi"/>
              <w:b w:val="0"/>
              <w:bCs w:val="0"/>
              <w:webHidden/>
            </w:rPr>
            <w:t>15</w:t>
          </w:r>
        </w:p>
        <w:p w14:paraId="15C999F2" w14:textId="6ED9E841"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1.1.</w:t>
          </w:r>
          <w:r w:rsidRPr="002C2A95">
            <w:rPr>
              <w:rFonts w:asciiTheme="majorBidi" w:eastAsiaTheme="minorEastAsia" w:hAnsiTheme="majorBidi" w:cstheme="majorBidi"/>
              <w:noProof/>
              <w:lang w:eastAsia="zh-CN"/>
            </w:rPr>
            <w:tab/>
          </w:r>
          <w:r w:rsidRPr="00174117">
            <w:rPr>
              <w:rFonts w:asciiTheme="majorBidi" w:hAnsiTheme="majorBidi" w:cstheme="majorBidi"/>
              <w:noProof/>
            </w:rPr>
            <w:t>Antimicrobial resistance</w:t>
          </w:r>
          <w:r w:rsidRPr="002C2A95">
            <w:rPr>
              <w:rFonts w:asciiTheme="majorBidi" w:hAnsiTheme="majorBidi" w:cstheme="majorBidi"/>
              <w:noProof/>
              <w:webHidden/>
            </w:rPr>
            <w:tab/>
          </w:r>
          <w:r w:rsidR="007D1B7F">
            <w:rPr>
              <w:rFonts w:asciiTheme="majorBidi" w:hAnsiTheme="majorBidi" w:cstheme="majorBidi"/>
              <w:noProof/>
              <w:webHidden/>
            </w:rPr>
            <w:t>15</w:t>
          </w:r>
        </w:p>
        <w:p w14:paraId="72239215" w14:textId="440794D9"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1.2.</w:t>
          </w:r>
          <w:r w:rsidRPr="002C2A95">
            <w:rPr>
              <w:rFonts w:asciiTheme="majorBidi" w:eastAsiaTheme="minorEastAsia" w:hAnsiTheme="majorBidi" w:cstheme="majorBidi"/>
              <w:noProof/>
              <w:lang w:eastAsia="zh-CN"/>
            </w:rPr>
            <w:tab/>
          </w:r>
          <w:r w:rsidRPr="00174117">
            <w:rPr>
              <w:rFonts w:asciiTheme="majorBidi" w:hAnsiTheme="majorBidi" w:cstheme="majorBidi"/>
              <w:noProof/>
            </w:rPr>
            <w:t>New antimicrobials</w:t>
          </w:r>
          <w:r w:rsidRPr="002C2A95">
            <w:rPr>
              <w:rFonts w:asciiTheme="majorBidi" w:hAnsiTheme="majorBidi" w:cstheme="majorBidi"/>
              <w:noProof/>
              <w:webHidden/>
            </w:rPr>
            <w:tab/>
          </w:r>
          <w:r w:rsidR="007D1B7F">
            <w:rPr>
              <w:rFonts w:asciiTheme="majorBidi" w:hAnsiTheme="majorBidi" w:cstheme="majorBidi"/>
              <w:noProof/>
              <w:webHidden/>
            </w:rPr>
            <w:t>17</w:t>
          </w:r>
        </w:p>
        <w:p w14:paraId="59A8202C" w14:textId="1F811CBD"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2.</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Aims and objectives</w:t>
          </w:r>
          <w:r w:rsidRPr="002C2A95">
            <w:rPr>
              <w:rFonts w:asciiTheme="majorBidi" w:hAnsiTheme="majorBidi" w:cstheme="majorBidi"/>
              <w:b w:val="0"/>
              <w:bCs w:val="0"/>
              <w:webHidden/>
            </w:rPr>
            <w:tab/>
          </w:r>
          <w:r w:rsidR="007D1B7F">
            <w:rPr>
              <w:rFonts w:asciiTheme="majorBidi" w:hAnsiTheme="majorBidi" w:cstheme="majorBidi"/>
              <w:b w:val="0"/>
              <w:bCs w:val="0"/>
              <w:webHidden/>
            </w:rPr>
            <w:t>18</w:t>
          </w:r>
        </w:p>
        <w:p w14:paraId="21E70B3B" w14:textId="00C4D9E9"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3.</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Decision problem</w:t>
          </w:r>
          <w:r w:rsidRPr="002C2A95">
            <w:rPr>
              <w:rFonts w:asciiTheme="majorBidi" w:hAnsiTheme="majorBidi" w:cstheme="majorBidi"/>
              <w:b w:val="0"/>
              <w:bCs w:val="0"/>
              <w:webHidden/>
            </w:rPr>
            <w:tab/>
          </w:r>
          <w:r w:rsidR="007D1B7F">
            <w:rPr>
              <w:rFonts w:asciiTheme="majorBidi" w:hAnsiTheme="majorBidi" w:cstheme="majorBidi"/>
              <w:b w:val="0"/>
              <w:bCs w:val="0"/>
              <w:webHidden/>
            </w:rPr>
            <w:t>19</w:t>
          </w:r>
        </w:p>
        <w:p w14:paraId="37A6A8B5" w14:textId="666402BB"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3.1.</w:t>
          </w:r>
          <w:r w:rsidRPr="002C2A95">
            <w:rPr>
              <w:rFonts w:asciiTheme="majorBidi" w:eastAsiaTheme="minorEastAsia" w:hAnsiTheme="majorBidi" w:cstheme="majorBidi"/>
              <w:noProof/>
              <w:lang w:eastAsia="zh-CN"/>
            </w:rPr>
            <w:tab/>
          </w:r>
          <w:r w:rsidRPr="00174117">
            <w:rPr>
              <w:rFonts w:asciiTheme="majorBidi" w:hAnsiTheme="majorBidi" w:cstheme="majorBidi"/>
              <w:noProof/>
            </w:rPr>
            <w:t>Decision making context</w:t>
          </w:r>
          <w:r w:rsidRPr="002C2A95">
            <w:rPr>
              <w:rFonts w:asciiTheme="majorBidi" w:hAnsiTheme="majorBidi" w:cstheme="majorBidi"/>
              <w:noProof/>
              <w:webHidden/>
            </w:rPr>
            <w:tab/>
          </w:r>
          <w:r w:rsidR="007D1B7F">
            <w:rPr>
              <w:rFonts w:asciiTheme="majorBidi" w:hAnsiTheme="majorBidi" w:cstheme="majorBidi"/>
              <w:noProof/>
              <w:webHidden/>
            </w:rPr>
            <w:t>19</w:t>
          </w:r>
        </w:p>
        <w:p w14:paraId="0FA2EC2B" w14:textId="5A0726EA"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3.2.</w:t>
          </w:r>
          <w:r w:rsidRPr="002C2A95">
            <w:rPr>
              <w:rFonts w:asciiTheme="majorBidi" w:eastAsiaTheme="minorEastAsia" w:hAnsiTheme="majorBidi" w:cstheme="majorBidi"/>
              <w:noProof/>
              <w:lang w:eastAsia="zh-CN"/>
            </w:rPr>
            <w:tab/>
          </w:r>
          <w:r w:rsidRPr="00174117">
            <w:rPr>
              <w:rFonts w:asciiTheme="majorBidi" w:hAnsiTheme="majorBidi" w:cstheme="majorBidi"/>
              <w:noProof/>
            </w:rPr>
            <w:t>High value clinical scenarios</w:t>
          </w:r>
          <w:r w:rsidRPr="002C2A95">
            <w:rPr>
              <w:rFonts w:asciiTheme="majorBidi" w:hAnsiTheme="majorBidi" w:cstheme="majorBidi"/>
              <w:noProof/>
              <w:webHidden/>
            </w:rPr>
            <w:tab/>
          </w:r>
          <w:r w:rsidR="007D1B7F">
            <w:rPr>
              <w:rFonts w:asciiTheme="majorBidi" w:hAnsiTheme="majorBidi" w:cstheme="majorBidi"/>
              <w:noProof/>
              <w:webHidden/>
            </w:rPr>
            <w:t>22</w:t>
          </w:r>
        </w:p>
        <w:p w14:paraId="784ADAE0" w14:textId="2C269CAB" w:rsidR="002C2A95" w:rsidRPr="002C2A95" w:rsidRDefault="002C2A95">
          <w:pPr>
            <w:pStyle w:val="TOC3"/>
            <w:rPr>
              <w:rFonts w:eastAsiaTheme="minorEastAsia"/>
              <w:lang w:eastAsia="zh-CN"/>
            </w:rPr>
          </w:pPr>
          <w:r w:rsidRPr="00174117">
            <w:t>3.2.1 Pathogen and resistance mechanisms</w:t>
          </w:r>
          <w:r w:rsidRPr="002C2A95">
            <w:rPr>
              <w:webHidden/>
            </w:rPr>
            <w:tab/>
          </w:r>
          <w:r w:rsidR="007D1B7F">
            <w:rPr>
              <w:webHidden/>
            </w:rPr>
            <w:t>22</w:t>
          </w:r>
        </w:p>
        <w:p w14:paraId="6ABBB87C" w14:textId="0FB3FA53" w:rsidR="002C2A95" w:rsidRPr="002C2A95" w:rsidRDefault="002C2A95">
          <w:pPr>
            <w:pStyle w:val="TOC3"/>
            <w:rPr>
              <w:rFonts w:eastAsiaTheme="minorEastAsia"/>
              <w:lang w:eastAsia="zh-CN"/>
            </w:rPr>
          </w:pPr>
          <w:r w:rsidRPr="00174117">
            <w:t>3.2.2 Availability of susceptibility data during the course of an infection</w:t>
          </w:r>
          <w:r w:rsidRPr="002C2A95">
            <w:rPr>
              <w:webHidden/>
            </w:rPr>
            <w:tab/>
          </w:r>
          <w:r w:rsidR="007D1B7F">
            <w:rPr>
              <w:webHidden/>
            </w:rPr>
            <w:t>22</w:t>
          </w:r>
        </w:p>
        <w:p w14:paraId="3EA169A7" w14:textId="4E803C56" w:rsidR="002C2A95" w:rsidRPr="002C2A95" w:rsidRDefault="002C2A95">
          <w:pPr>
            <w:pStyle w:val="TOC3"/>
            <w:rPr>
              <w:rFonts w:eastAsiaTheme="minorEastAsia"/>
              <w:lang w:eastAsia="zh-CN"/>
            </w:rPr>
          </w:pPr>
          <w:r w:rsidRPr="00174117">
            <w:t>3.2.3 Overview of high value clinical scenarios</w:t>
          </w:r>
          <w:r w:rsidRPr="002C2A95">
            <w:rPr>
              <w:webHidden/>
            </w:rPr>
            <w:tab/>
          </w:r>
          <w:r w:rsidR="007D1B7F">
            <w:rPr>
              <w:webHidden/>
            </w:rPr>
            <w:t>23</w:t>
          </w:r>
        </w:p>
        <w:p w14:paraId="515F0821" w14:textId="14CF0B4E"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4.</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Clinical evidence</w:t>
          </w:r>
          <w:r w:rsidRPr="002C2A95">
            <w:rPr>
              <w:rFonts w:asciiTheme="majorBidi" w:hAnsiTheme="majorBidi" w:cstheme="majorBidi"/>
              <w:b w:val="0"/>
              <w:bCs w:val="0"/>
              <w:webHidden/>
            </w:rPr>
            <w:tab/>
          </w:r>
          <w:r w:rsidR="007D1B7F">
            <w:rPr>
              <w:rFonts w:asciiTheme="majorBidi" w:hAnsiTheme="majorBidi" w:cstheme="majorBidi"/>
              <w:b w:val="0"/>
              <w:bCs w:val="0"/>
              <w:webHidden/>
            </w:rPr>
            <w:t>28</w:t>
          </w:r>
        </w:p>
        <w:p w14:paraId="45C7B95F" w14:textId="53AD21EE"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4.1.</w:t>
          </w:r>
          <w:r w:rsidRPr="002C2A95">
            <w:rPr>
              <w:rFonts w:asciiTheme="majorBidi" w:eastAsiaTheme="minorEastAsia" w:hAnsiTheme="majorBidi" w:cstheme="majorBidi"/>
              <w:noProof/>
              <w:lang w:eastAsia="zh-CN"/>
            </w:rPr>
            <w:tab/>
          </w:r>
          <w:r w:rsidRPr="00174117">
            <w:rPr>
              <w:rFonts w:asciiTheme="majorBidi" w:hAnsiTheme="majorBidi" w:cstheme="majorBidi"/>
              <w:noProof/>
            </w:rPr>
            <w:t>Approaches to estimating comparative effectiveness</w:t>
          </w:r>
          <w:r w:rsidRPr="002C2A95">
            <w:rPr>
              <w:rFonts w:asciiTheme="majorBidi" w:hAnsiTheme="majorBidi" w:cstheme="majorBidi"/>
              <w:noProof/>
              <w:webHidden/>
            </w:rPr>
            <w:tab/>
          </w:r>
          <w:r w:rsidR="007D1B7F">
            <w:rPr>
              <w:rFonts w:asciiTheme="majorBidi" w:hAnsiTheme="majorBidi" w:cstheme="majorBidi"/>
              <w:noProof/>
              <w:webHidden/>
            </w:rPr>
            <w:t>28</w:t>
          </w:r>
        </w:p>
        <w:p w14:paraId="1A1F541F" w14:textId="1BBFD30E" w:rsidR="002C2A95" w:rsidRPr="002C2A95" w:rsidRDefault="002C2A95">
          <w:pPr>
            <w:pStyle w:val="TOC3"/>
            <w:rPr>
              <w:rFonts w:eastAsiaTheme="minorEastAsia"/>
              <w:lang w:eastAsia="zh-CN"/>
            </w:rPr>
          </w:pPr>
          <w:r w:rsidRPr="00174117">
            <w:t>4.1.1 Sources of evidence</w:t>
          </w:r>
          <w:r w:rsidRPr="002C2A95">
            <w:rPr>
              <w:webHidden/>
            </w:rPr>
            <w:tab/>
          </w:r>
          <w:r w:rsidR="007D1B7F">
            <w:rPr>
              <w:webHidden/>
            </w:rPr>
            <w:t>28</w:t>
          </w:r>
        </w:p>
        <w:p w14:paraId="3EEADE3D" w14:textId="3A63AFA2" w:rsidR="002C2A95" w:rsidRPr="002C2A95" w:rsidRDefault="002C2A95">
          <w:pPr>
            <w:pStyle w:val="TOC3"/>
            <w:rPr>
              <w:rFonts w:eastAsiaTheme="minorEastAsia"/>
              <w:lang w:eastAsia="zh-CN"/>
            </w:rPr>
          </w:pPr>
          <w:r w:rsidRPr="00174117">
            <w:t>4.1.2 Producing comparative efficacy estimates</w:t>
          </w:r>
          <w:r w:rsidRPr="002C2A95">
            <w:rPr>
              <w:webHidden/>
            </w:rPr>
            <w:tab/>
          </w:r>
          <w:r w:rsidR="007D1B7F">
            <w:rPr>
              <w:webHidden/>
            </w:rPr>
            <w:t>31</w:t>
          </w:r>
        </w:p>
        <w:p w14:paraId="535C8DBF" w14:textId="75340AF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4.2 Review questions</w:t>
          </w:r>
          <w:r w:rsidRPr="002C2A95">
            <w:rPr>
              <w:rFonts w:asciiTheme="majorBidi" w:hAnsiTheme="majorBidi" w:cstheme="majorBidi"/>
              <w:noProof/>
              <w:webHidden/>
            </w:rPr>
            <w:tab/>
          </w:r>
          <w:r w:rsidR="007D1B7F">
            <w:rPr>
              <w:rFonts w:asciiTheme="majorBidi" w:hAnsiTheme="majorBidi" w:cstheme="majorBidi"/>
              <w:noProof/>
              <w:webHidden/>
            </w:rPr>
            <w:t>32</w:t>
          </w:r>
        </w:p>
        <w:p w14:paraId="20B6AC15" w14:textId="77B0053C" w:rsidR="002C2A95" w:rsidRPr="002C2A95" w:rsidRDefault="002C2A95">
          <w:pPr>
            <w:pStyle w:val="TOC3"/>
            <w:tabs>
              <w:tab w:val="left" w:pos="1320"/>
            </w:tabs>
            <w:rPr>
              <w:rFonts w:eastAsiaTheme="minorEastAsia"/>
              <w:lang w:eastAsia="zh-CN"/>
            </w:rPr>
          </w:pPr>
          <w:r w:rsidRPr="00174117">
            <w:t xml:space="preserve">4.2.1 </w:t>
          </w:r>
          <w:r w:rsidRPr="002C2A95">
            <w:rPr>
              <w:rFonts w:eastAsiaTheme="minorEastAsia"/>
              <w:lang w:eastAsia="zh-CN"/>
            </w:rPr>
            <w:tab/>
          </w:r>
          <w:r w:rsidRPr="00174117">
            <w:t>Review 1</w:t>
          </w:r>
          <w:r w:rsidRPr="002C2A95">
            <w:rPr>
              <w:webHidden/>
            </w:rPr>
            <w:tab/>
          </w:r>
          <w:r w:rsidR="007D1B7F">
            <w:rPr>
              <w:webHidden/>
            </w:rPr>
            <w:t>32</w:t>
          </w:r>
        </w:p>
        <w:p w14:paraId="1AF47759" w14:textId="194CD23A" w:rsidR="002C2A95" w:rsidRPr="002C2A95" w:rsidRDefault="002C2A95">
          <w:pPr>
            <w:pStyle w:val="TOC3"/>
            <w:tabs>
              <w:tab w:val="left" w:pos="1320"/>
            </w:tabs>
            <w:rPr>
              <w:rFonts w:eastAsiaTheme="minorEastAsia"/>
              <w:lang w:eastAsia="zh-CN"/>
            </w:rPr>
          </w:pPr>
          <w:r w:rsidRPr="00174117">
            <w:t xml:space="preserve">4.2.2 </w:t>
          </w:r>
          <w:r w:rsidRPr="002C2A95">
            <w:rPr>
              <w:rFonts w:eastAsiaTheme="minorEastAsia"/>
              <w:lang w:eastAsia="zh-CN"/>
            </w:rPr>
            <w:tab/>
          </w:r>
          <w:r w:rsidRPr="00174117">
            <w:t>Review 2</w:t>
          </w:r>
          <w:r w:rsidRPr="002C2A95">
            <w:rPr>
              <w:webHidden/>
            </w:rPr>
            <w:tab/>
          </w:r>
          <w:r w:rsidR="007D1B7F">
            <w:rPr>
              <w:webHidden/>
            </w:rPr>
            <w:t>33</w:t>
          </w:r>
        </w:p>
        <w:p w14:paraId="2F936361" w14:textId="630C197C" w:rsidR="002C2A95" w:rsidRPr="002C2A95" w:rsidRDefault="002C2A95">
          <w:pPr>
            <w:pStyle w:val="TOC3"/>
            <w:tabs>
              <w:tab w:val="left" w:pos="1320"/>
            </w:tabs>
            <w:rPr>
              <w:rFonts w:eastAsiaTheme="minorEastAsia"/>
              <w:lang w:eastAsia="zh-CN"/>
            </w:rPr>
          </w:pPr>
          <w:r w:rsidRPr="00174117">
            <w:t>4.2.3</w:t>
          </w:r>
          <w:r w:rsidRPr="002C2A95">
            <w:rPr>
              <w:rFonts w:eastAsiaTheme="minorEastAsia"/>
              <w:lang w:eastAsia="zh-CN"/>
            </w:rPr>
            <w:tab/>
          </w:r>
          <w:r w:rsidRPr="00174117">
            <w:t>Review 3</w:t>
          </w:r>
          <w:r w:rsidRPr="002C2A95">
            <w:rPr>
              <w:webHidden/>
            </w:rPr>
            <w:tab/>
          </w:r>
          <w:r w:rsidR="007D1B7F">
            <w:rPr>
              <w:webHidden/>
            </w:rPr>
            <w:t>33</w:t>
          </w:r>
        </w:p>
        <w:p w14:paraId="4458561B" w14:textId="4BF3850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4.3. Review methods</w:t>
          </w:r>
          <w:r w:rsidRPr="002C2A95">
            <w:rPr>
              <w:rFonts w:asciiTheme="majorBidi" w:hAnsiTheme="majorBidi" w:cstheme="majorBidi"/>
              <w:noProof/>
              <w:webHidden/>
            </w:rPr>
            <w:tab/>
          </w:r>
          <w:r w:rsidR="007D1B7F">
            <w:rPr>
              <w:rFonts w:asciiTheme="majorBidi" w:hAnsiTheme="majorBidi" w:cstheme="majorBidi"/>
              <w:noProof/>
              <w:webHidden/>
            </w:rPr>
            <w:t>34</w:t>
          </w:r>
        </w:p>
        <w:p w14:paraId="0BEC29CC" w14:textId="076B200B" w:rsidR="002C2A95" w:rsidRPr="002C2A95" w:rsidRDefault="002C2A95">
          <w:pPr>
            <w:pStyle w:val="TOC3"/>
            <w:rPr>
              <w:rFonts w:eastAsiaTheme="minorEastAsia"/>
              <w:lang w:eastAsia="zh-CN"/>
            </w:rPr>
          </w:pPr>
          <w:r w:rsidRPr="00174117">
            <w:t>4.3.1 Search strategy</w:t>
          </w:r>
          <w:r w:rsidRPr="002C2A95">
            <w:rPr>
              <w:webHidden/>
            </w:rPr>
            <w:tab/>
          </w:r>
          <w:r w:rsidR="007D1B7F">
            <w:rPr>
              <w:webHidden/>
            </w:rPr>
            <w:t>35</w:t>
          </w:r>
        </w:p>
        <w:p w14:paraId="7E0C1E5E" w14:textId="602A5F1A" w:rsidR="002C2A95" w:rsidRPr="002C2A95" w:rsidRDefault="002C2A95">
          <w:pPr>
            <w:pStyle w:val="TOC3"/>
            <w:rPr>
              <w:rFonts w:eastAsiaTheme="minorEastAsia"/>
              <w:lang w:eastAsia="zh-CN"/>
            </w:rPr>
          </w:pPr>
          <w:r w:rsidRPr="00174117">
            <w:t>4.3.2 Keyword mapping, study selection, data extraction and quality assessment</w:t>
          </w:r>
          <w:r w:rsidRPr="002C2A95">
            <w:rPr>
              <w:webHidden/>
            </w:rPr>
            <w:tab/>
          </w:r>
          <w:r w:rsidR="007D1B7F">
            <w:rPr>
              <w:webHidden/>
            </w:rPr>
            <w:t>36</w:t>
          </w:r>
        </w:p>
        <w:p w14:paraId="31F6033F" w14:textId="6F9504E8"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4.4 Review results</w:t>
          </w:r>
          <w:r w:rsidRPr="002C2A95">
            <w:rPr>
              <w:rFonts w:asciiTheme="majorBidi" w:hAnsiTheme="majorBidi" w:cstheme="majorBidi"/>
              <w:noProof/>
              <w:webHidden/>
            </w:rPr>
            <w:tab/>
          </w:r>
          <w:r w:rsidR="007D1B7F">
            <w:rPr>
              <w:rFonts w:asciiTheme="majorBidi" w:hAnsiTheme="majorBidi" w:cstheme="majorBidi"/>
              <w:noProof/>
              <w:webHidden/>
            </w:rPr>
            <w:t>40</w:t>
          </w:r>
        </w:p>
        <w:p w14:paraId="45E74E8B" w14:textId="3487A28A" w:rsidR="002C2A95" w:rsidRPr="002C2A95" w:rsidRDefault="002C2A95">
          <w:pPr>
            <w:pStyle w:val="TOC3"/>
            <w:tabs>
              <w:tab w:val="left" w:pos="1320"/>
            </w:tabs>
            <w:rPr>
              <w:rFonts w:eastAsiaTheme="minorEastAsia"/>
              <w:lang w:eastAsia="zh-CN"/>
            </w:rPr>
          </w:pPr>
          <w:r w:rsidRPr="00174117">
            <w:lastRenderedPageBreak/>
            <w:t>4.4.1</w:t>
          </w:r>
          <w:r w:rsidRPr="002C2A95">
            <w:rPr>
              <w:rFonts w:eastAsiaTheme="minorEastAsia"/>
              <w:lang w:eastAsia="zh-CN"/>
            </w:rPr>
            <w:tab/>
          </w:r>
          <w:r w:rsidRPr="00174117">
            <w:t>Study selection results (reviews 1-3)</w:t>
          </w:r>
          <w:r w:rsidRPr="002C2A95">
            <w:rPr>
              <w:webHidden/>
            </w:rPr>
            <w:tab/>
          </w:r>
          <w:r w:rsidR="007D1B7F">
            <w:rPr>
              <w:webHidden/>
            </w:rPr>
            <w:t>40</w:t>
          </w:r>
        </w:p>
        <w:p w14:paraId="55BD0F59" w14:textId="12577A47" w:rsidR="002C2A95" w:rsidRPr="002C2A95" w:rsidRDefault="002C2A95">
          <w:pPr>
            <w:pStyle w:val="TOC3"/>
            <w:rPr>
              <w:rFonts w:eastAsiaTheme="minorEastAsia"/>
              <w:lang w:eastAsia="zh-CN"/>
            </w:rPr>
          </w:pPr>
          <w:r w:rsidRPr="00174117">
            <w:t>4.4.2 Reviews 1 &amp; 2</w:t>
          </w:r>
          <w:r w:rsidRPr="002C2A95">
            <w:rPr>
              <w:webHidden/>
            </w:rPr>
            <w:tab/>
          </w:r>
          <w:r w:rsidR="007D1B7F">
            <w:rPr>
              <w:webHidden/>
            </w:rPr>
            <w:t>43</w:t>
          </w:r>
        </w:p>
        <w:p w14:paraId="5102B5E7" w14:textId="2F548D43" w:rsidR="002C2A95" w:rsidRPr="002C2A95" w:rsidRDefault="002C2A95">
          <w:pPr>
            <w:pStyle w:val="TOC3"/>
            <w:rPr>
              <w:rFonts w:eastAsiaTheme="minorEastAsia"/>
              <w:lang w:eastAsia="zh-CN"/>
            </w:rPr>
          </w:pPr>
          <w:r w:rsidRPr="00174117">
            <w:t>4.4.3 Review 3</w:t>
          </w:r>
          <w:r w:rsidRPr="002C2A95">
            <w:rPr>
              <w:webHidden/>
            </w:rPr>
            <w:tab/>
          </w:r>
          <w:r w:rsidR="007D1B7F">
            <w:rPr>
              <w:webHidden/>
            </w:rPr>
            <w:t>43</w:t>
          </w:r>
        </w:p>
        <w:p w14:paraId="70094052" w14:textId="5D170401"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4.5 Statistical synthesis</w:t>
          </w:r>
          <w:r w:rsidRPr="002C2A95">
            <w:rPr>
              <w:rFonts w:asciiTheme="majorBidi" w:hAnsiTheme="majorBidi" w:cstheme="majorBidi"/>
              <w:noProof/>
              <w:webHidden/>
            </w:rPr>
            <w:tab/>
          </w:r>
          <w:r w:rsidR="007D1B7F">
            <w:rPr>
              <w:rFonts w:asciiTheme="majorBidi" w:hAnsiTheme="majorBidi" w:cstheme="majorBidi"/>
              <w:noProof/>
              <w:webHidden/>
            </w:rPr>
            <w:t>54</w:t>
          </w:r>
        </w:p>
        <w:p w14:paraId="2DF58F17" w14:textId="5A897B99" w:rsidR="002C2A95" w:rsidRPr="002C2A95" w:rsidRDefault="002C2A95">
          <w:pPr>
            <w:pStyle w:val="TOC3"/>
            <w:rPr>
              <w:rFonts w:eastAsiaTheme="minorEastAsia"/>
              <w:lang w:eastAsia="zh-CN"/>
            </w:rPr>
          </w:pPr>
          <w:r w:rsidRPr="00174117">
            <w:t>4.5.1 Statistical synthesis plan</w:t>
          </w:r>
          <w:r w:rsidRPr="002C2A95">
            <w:rPr>
              <w:webHidden/>
            </w:rPr>
            <w:tab/>
          </w:r>
          <w:r w:rsidR="007D1B7F">
            <w:rPr>
              <w:webHidden/>
            </w:rPr>
            <w:t>54</w:t>
          </w:r>
        </w:p>
        <w:p w14:paraId="407F1E3A" w14:textId="31DED1D6" w:rsidR="002C2A95" w:rsidRPr="002C2A95" w:rsidRDefault="002C2A95">
          <w:pPr>
            <w:pStyle w:val="TOC3"/>
            <w:rPr>
              <w:rFonts w:eastAsiaTheme="minorEastAsia"/>
              <w:lang w:eastAsia="zh-CN"/>
            </w:rPr>
          </w:pPr>
          <w:r w:rsidRPr="00174117">
            <w:t>4.5.2 Statistical synthesis methods</w:t>
          </w:r>
          <w:r w:rsidRPr="002C2A95">
            <w:rPr>
              <w:webHidden/>
            </w:rPr>
            <w:tab/>
          </w:r>
          <w:r w:rsidR="007D1B7F">
            <w:rPr>
              <w:webHidden/>
            </w:rPr>
            <w:t>56</w:t>
          </w:r>
        </w:p>
        <w:p w14:paraId="67B76BBD" w14:textId="35D9A148" w:rsidR="002C2A95" w:rsidRPr="002C2A95" w:rsidRDefault="002C2A95">
          <w:pPr>
            <w:pStyle w:val="TOC3"/>
            <w:rPr>
              <w:rFonts w:eastAsiaTheme="minorEastAsia"/>
              <w:lang w:eastAsia="zh-CN"/>
            </w:rPr>
          </w:pPr>
          <w:r w:rsidRPr="00174117">
            <w:t>4.5.3 Susceptibility data entering the network meta-analysis</w:t>
          </w:r>
          <w:r w:rsidRPr="002C2A95">
            <w:rPr>
              <w:webHidden/>
            </w:rPr>
            <w:tab/>
          </w:r>
          <w:r w:rsidR="007D1B7F">
            <w:rPr>
              <w:webHidden/>
            </w:rPr>
            <w:t>58</w:t>
          </w:r>
        </w:p>
        <w:p w14:paraId="02AD153E" w14:textId="33327148" w:rsidR="002C2A95" w:rsidRPr="002C2A95" w:rsidRDefault="002C2A95">
          <w:pPr>
            <w:pStyle w:val="TOC3"/>
            <w:tabs>
              <w:tab w:val="left" w:pos="1320"/>
            </w:tabs>
            <w:rPr>
              <w:rFonts w:eastAsiaTheme="minorEastAsia"/>
              <w:lang w:eastAsia="zh-CN"/>
            </w:rPr>
          </w:pPr>
          <w:r w:rsidRPr="00174117">
            <w:t xml:space="preserve">4.5.4 </w:t>
          </w:r>
          <w:r w:rsidRPr="002C2A95">
            <w:rPr>
              <w:rFonts w:eastAsiaTheme="minorEastAsia"/>
              <w:lang w:eastAsia="zh-CN"/>
            </w:rPr>
            <w:tab/>
          </w:r>
          <w:r w:rsidRPr="00174117">
            <w:t>Results of the network meta-analysis</w:t>
          </w:r>
          <w:r w:rsidRPr="002C2A95">
            <w:rPr>
              <w:webHidden/>
            </w:rPr>
            <w:tab/>
          </w:r>
          <w:r w:rsidR="007D1B7F">
            <w:rPr>
              <w:webHidden/>
            </w:rPr>
            <w:t>61</w:t>
          </w:r>
        </w:p>
        <w:p w14:paraId="4514AE5C" w14:textId="09003AA6"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4.6</w:t>
          </w:r>
          <w:r w:rsidRPr="002C2A95">
            <w:rPr>
              <w:rFonts w:asciiTheme="majorBidi" w:eastAsiaTheme="minorEastAsia" w:hAnsiTheme="majorBidi" w:cstheme="majorBidi"/>
              <w:noProof/>
              <w:lang w:eastAsia="zh-CN"/>
            </w:rPr>
            <w:tab/>
          </w:r>
          <w:r w:rsidRPr="00174117">
            <w:rPr>
              <w:rFonts w:asciiTheme="majorBidi" w:hAnsiTheme="majorBidi" w:cstheme="majorBidi"/>
              <w:noProof/>
            </w:rPr>
            <w:t>Additional review questions for Approach 3</w:t>
          </w:r>
          <w:r w:rsidRPr="002C2A95">
            <w:rPr>
              <w:rFonts w:asciiTheme="majorBidi" w:hAnsiTheme="majorBidi" w:cstheme="majorBidi"/>
              <w:noProof/>
              <w:webHidden/>
            </w:rPr>
            <w:tab/>
          </w:r>
          <w:r w:rsidR="007D1B7F">
            <w:rPr>
              <w:rFonts w:asciiTheme="majorBidi" w:hAnsiTheme="majorBidi" w:cstheme="majorBidi"/>
              <w:noProof/>
              <w:webHidden/>
            </w:rPr>
            <w:t>68</w:t>
          </w:r>
        </w:p>
        <w:p w14:paraId="4571DA2A" w14:textId="4D50BCE6" w:rsidR="002C2A95" w:rsidRPr="002C2A95" w:rsidRDefault="002C2A95">
          <w:pPr>
            <w:pStyle w:val="TOC3"/>
            <w:tabs>
              <w:tab w:val="left" w:pos="1320"/>
            </w:tabs>
            <w:rPr>
              <w:rFonts w:eastAsiaTheme="minorEastAsia"/>
              <w:lang w:eastAsia="zh-CN"/>
            </w:rPr>
          </w:pPr>
          <w:r w:rsidRPr="00174117">
            <w:t>4.6.1</w:t>
          </w:r>
          <w:r w:rsidRPr="002C2A95">
            <w:rPr>
              <w:rFonts w:eastAsiaTheme="minorEastAsia"/>
              <w:lang w:eastAsia="zh-CN"/>
            </w:rPr>
            <w:tab/>
          </w:r>
          <w:r w:rsidRPr="00174117">
            <w:t>The additional review questions</w:t>
          </w:r>
          <w:r w:rsidRPr="002C2A95">
            <w:rPr>
              <w:webHidden/>
            </w:rPr>
            <w:tab/>
          </w:r>
          <w:r w:rsidR="007D1B7F">
            <w:rPr>
              <w:webHidden/>
            </w:rPr>
            <w:t>68</w:t>
          </w:r>
        </w:p>
        <w:p w14:paraId="3BCB4677" w14:textId="5B7BD007" w:rsidR="002C2A95" w:rsidRPr="002C2A95" w:rsidRDefault="002C2A95">
          <w:pPr>
            <w:pStyle w:val="TOC3"/>
            <w:tabs>
              <w:tab w:val="left" w:pos="1320"/>
            </w:tabs>
            <w:rPr>
              <w:rFonts w:eastAsiaTheme="minorEastAsia"/>
              <w:lang w:eastAsia="zh-CN"/>
            </w:rPr>
          </w:pPr>
          <w:r w:rsidRPr="00174117">
            <w:t>4.6.2</w:t>
          </w:r>
          <w:r w:rsidRPr="002C2A95">
            <w:rPr>
              <w:rFonts w:eastAsiaTheme="minorEastAsia"/>
              <w:lang w:eastAsia="zh-CN"/>
            </w:rPr>
            <w:tab/>
          </w:r>
          <w:r w:rsidRPr="00174117">
            <w:t>Review 4</w:t>
          </w:r>
          <w:r w:rsidRPr="002C2A95">
            <w:rPr>
              <w:webHidden/>
            </w:rPr>
            <w:tab/>
          </w:r>
          <w:r w:rsidR="007D1B7F">
            <w:rPr>
              <w:webHidden/>
            </w:rPr>
            <w:t>69</w:t>
          </w:r>
        </w:p>
        <w:p w14:paraId="005B0878" w14:textId="1A0014E5" w:rsidR="002C2A95" w:rsidRPr="002C2A95" w:rsidRDefault="002C2A95">
          <w:pPr>
            <w:pStyle w:val="TOC3"/>
            <w:rPr>
              <w:rFonts w:eastAsiaTheme="minorEastAsia"/>
              <w:lang w:eastAsia="zh-CN"/>
            </w:rPr>
          </w:pPr>
          <w:r w:rsidRPr="00174117">
            <w:t>4.6.3 Review 5</w:t>
          </w:r>
          <w:r w:rsidRPr="002C2A95">
            <w:rPr>
              <w:webHidden/>
            </w:rPr>
            <w:tab/>
          </w:r>
          <w:r w:rsidR="007D1B7F">
            <w:rPr>
              <w:webHidden/>
            </w:rPr>
            <w:t>72</w:t>
          </w:r>
        </w:p>
        <w:p w14:paraId="3F6090C7" w14:textId="79FFC6AE" w:rsidR="002C2A95" w:rsidRPr="002C2A95" w:rsidRDefault="002C2A95">
          <w:pPr>
            <w:pStyle w:val="TOC3"/>
            <w:rPr>
              <w:rFonts w:eastAsiaTheme="minorEastAsia"/>
              <w:lang w:eastAsia="zh-CN"/>
            </w:rPr>
          </w:pPr>
          <w:r w:rsidRPr="00174117">
            <w:t>4.6.4 Review 6</w:t>
          </w:r>
          <w:r w:rsidRPr="002C2A95">
            <w:rPr>
              <w:webHidden/>
            </w:rPr>
            <w:tab/>
          </w:r>
          <w:r w:rsidR="007D1B7F">
            <w:rPr>
              <w:webHidden/>
            </w:rPr>
            <w:t>73</w:t>
          </w:r>
        </w:p>
        <w:p w14:paraId="769EEA13" w14:textId="3AD629C8"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4.7 Overview and critique of evidence in Pfizer’s submission to NICE</w:t>
          </w:r>
          <w:r w:rsidRPr="002C2A95">
            <w:rPr>
              <w:rFonts w:asciiTheme="majorBidi" w:hAnsiTheme="majorBidi" w:cstheme="majorBidi"/>
              <w:noProof/>
              <w:webHidden/>
            </w:rPr>
            <w:tab/>
          </w:r>
          <w:r w:rsidR="007D1B7F">
            <w:rPr>
              <w:rFonts w:asciiTheme="majorBidi" w:hAnsiTheme="majorBidi" w:cstheme="majorBidi"/>
              <w:noProof/>
              <w:webHidden/>
            </w:rPr>
            <w:t>77</w:t>
          </w:r>
        </w:p>
        <w:p w14:paraId="4986C394" w14:textId="68CC1E1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4.8 Discussion and conclusions</w:t>
          </w:r>
          <w:r w:rsidRPr="002C2A95">
            <w:rPr>
              <w:rFonts w:asciiTheme="majorBidi" w:hAnsiTheme="majorBidi" w:cstheme="majorBidi"/>
              <w:noProof/>
              <w:webHidden/>
            </w:rPr>
            <w:tab/>
          </w:r>
          <w:r w:rsidR="007D1B7F">
            <w:rPr>
              <w:rFonts w:asciiTheme="majorBidi" w:hAnsiTheme="majorBidi" w:cstheme="majorBidi"/>
              <w:noProof/>
              <w:webHidden/>
            </w:rPr>
            <w:t>77</w:t>
          </w:r>
        </w:p>
        <w:p w14:paraId="5209D52A" w14:textId="4F10088E"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5.</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Structured expert elicitation</w:t>
          </w:r>
          <w:r w:rsidRPr="002C2A95">
            <w:rPr>
              <w:rFonts w:asciiTheme="majorBidi" w:hAnsiTheme="majorBidi" w:cstheme="majorBidi"/>
              <w:b w:val="0"/>
              <w:bCs w:val="0"/>
              <w:webHidden/>
            </w:rPr>
            <w:tab/>
          </w:r>
          <w:r w:rsidR="007D1B7F">
            <w:rPr>
              <w:rFonts w:asciiTheme="majorBidi" w:hAnsiTheme="majorBidi" w:cstheme="majorBidi"/>
              <w:b w:val="0"/>
              <w:bCs w:val="0"/>
              <w:webHidden/>
            </w:rPr>
            <w:t>81</w:t>
          </w:r>
        </w:p>
        <w:p w14:paraId="5E438246" w14:textId="759D7B0A"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5.1</w:t>
          </w:r>
          <w:r w:rsidRPr="002C2A95">
            <w:rPr>
              <w:rFonts w:asciiTheme="majorBidi" w:eastAsiaTheme="minorEastAsia" w:hAnsiTheme="majorBidi" w:cstheme="majorBidi"/>
              <w:noProof/>
              <w:lang w:eastAsia="zh-CN"/>
            </w:rPr>
            <w:tab/>
          </w:r>
          <w:r w:rsidRPr="00174117">
            <w:rPr>
              <w:rFonts w:asciiTheme="majorBidi" w:hAnsiTheme="majorBidi" w:cstheme="majorBidi"/>
              <w:noProof/>
            </w:rPr>
            <w:t>Methods</w:t>
          </w:r>
          <w:r w:rsidRPr="002C2A95">
            <w:rPr>
              <w:rFonts w:asciiTheme="majorBidi" w:hAnsiTheme="majorBidi" w:cstheme="majorBidi"/>
              <w:noProof/>
              <w:webHidden/>
            </w:rPr>
            <w:tab/>
          </w:r>
          <w:r w:rsidR="007D1B7F">
            <w:rPr>
              <w:rFonts w:asciiTheme="majorBidi" w:hAnsiTheme="majorBidi" w:cstheme="majorBidi"/>
              <w:noProof/>
              <w:webHidden/>
            </w:rPr>
            <w:t>82</w:t>
          </w:r>
        </w:p>
        <w:p w14:paraId="5EE9A559" w14:textId="3DEE2FAE" w:rsidR="002C2A95" w:rsidRPr="002C2A95" w:rsidRDefault="002C2A95">
          <w:pPr>
            <w:pStyle w:val="TOC3"/>
            <w:tabs>
              <w:tab w:val="left" w:pos="1320"/>
            </w:tabs>
            <w:rPr>
              <w:rFonts w:eastAsiaTheme="minorEastAsia"/>
              <w:lang w:eastAsia="zh-CN"/>
            </w:rPr>
          </w:pPr>
          <w:r w:rsidRPr="00174117">
            <w:t>5.1.1</w:t>
          </w:r>
          <w:r w:rsidRPr="002C2A95">
            <w:rPr>
              <w:rFonts w:eastAsiaTheme="minorEastAsia"/>
              <w:lang w:eastAsia="zh-CN"/>
            </w:rPr>
            <w:tab/>
          </w:r>
          <w:r w:rsidRPr="00174117">
            <w:t>Approach to elicitation</w:t>
          </w:r>
          <w:r w:rsidRPr="002C2A95">
            <w:rPr>
              <w:webHidden/>
            </w:rPr>
            <w:tab/>
          </w:r>
          <w:r w:rsidR="007D1B7F">
            <w:rPr>
              <w:webHidden/>
            </w:rPr>
            <w:t>82</w:t>
          </w:r>
        </w:p>
        <w:p w14:paraId="44793314" w14:textId="308C6082" w:rsidR="002C2A95" w:rsidRPr="002C2A95" w:rsidRDefault="002C2A95">
          <w:pPr>
            <w:pStyle w:val="TOC3"/>
            <w:tabs>
              <w:tab w:val="left" w:pos="1320"/>
            </w:tabs>
            <w:rPr>
              <w:rFonts w:eastAsiaTheme="minorEastAsia"/>
              <w:lang w:eastAsia="zh-CN"/>
            </w:rPr>
          </w:pPr>
          <w:r w:rsidRPr="00174117">
            <w:t>5.1.2</w:t>
          </w:r>
          <w:r w:rsidRPr="002C2A95">
            <w:rPr>
              <w:rFonts w:eastAsiaTheme="minorEastAsia"/>
              <w:lang w:eastAsia="zh-CN"/>
            </w:rPr>
            <w:tab/>
          </w:r>
          <w:r w:rsidRPr="00174117">
            <w:t>Expert recruitment</w:t>
          </w:r>
          <w:r w:rsidRPr="002C2A95">
            <w:rPr>
              <w:webHidden/>
            </w:rPr>
            <w:tab/>
          </w:r>
          <w:r w:rsidR="007D1B7F">
            <w:rPr>
              <w:webHidden/>
            </w:rPr>
            <w:t>83</w:t>
          </w:r>
        </w:p>
        <w:p w14:paraId="78A967BF" w14:textId="4E8B60C5" w:rsidR="002C2A95" w:rsidRPr="002C2A95" w:rsidRDefault="002C2A95">
          <w:pPr>
            <w:pStyle w:val="TOC3"/>
            <w:tabs>
              <w:tab w:val="left" w:pos="1320"/>
            </w:tabs>
            <w:rPr>
              <w:rFonts w:eastAsiaTheme="minorEastAsia"/>
              <w:lang w:eastAsia="zh-CN"/>
            </w:rPr>
          </w:pPr>
          <w:r w:rsidRPr="00174117">
            <w:t>5.1.3</w:t>
          </w:r>
          <w:r w:rsidRPr="002C2A95">
            <w:rPr>
              <w:rFonts w:eastAsiaTheme="minorEastAsia"/>
              <w:lang w:eastAsia="zh-CN"/>
            </w:rPr>
            <w:tab/>
          </w:r>
          <w:r w:rsidRPr="00174117">
            <w:t>Parameters elicited</w:t>
          </w:r>
          <w:r w:rsidRPr="002C2A95">
            <w:rPr>
              <w:webHidden/>
            </w:rPr>
            <w:tab/>
          </w:r>
          <w:r w:rsidR="007D1B7F">
            <w:rPr>
              <w:webHidden/>
            </w:rPr>
            <w:t>83</w:t>
          </w:r>
        </w:p>
        <w:p w14:paraId="15FDF04B" w14:textId="0D111C57"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5.2</w:t>
          </w:r>
          <w:r w:rsidRPr="002C2A95">
            <w:rPr>
              <w:rFonts w:asciiTheme="majorBidi" w:eastAsiaTheme="minorEastAsia" w:hAnsiTheme="majorBidi" w:cstheme="majorBidi"/>
              <w:noProof/>
              <w:lang w:eastAsia="zh-CN"/>
            </w:rPr>
            <w:tab/>
          </w:r>
          <w:r w:rsidRPr="00174117">
            <w:rPr>
              <w:rFonts w:asciiTheme="majorBidi" w:hAnsiTheme="majorBidi" w:cstheme="majorBidi"/>
              <w:noProof/>
            </w:rPr>
            <w:t>Results</w:t>
          </w:r>
          <w:r w:rsidRPr="002C2A95">
            <w:rPr>
              <w:rFonts w:asciiTheme="majorBidi" w:hAnsiTheme="majorBidi" w:cstheme="majorBidi"/>
              <w:noProof/>
              <w:webHidden/>
            </w:rPr>
            <w:tab/>
          </w:r>
          <w:r w:rsidR="007D1B7F">
            <w:rPr>
              <w:rFonts w:asciiTheme="majorBidi" w:hAnsiTheme="majorBidi" w:cstheme="majorBidi"/>
              <w:noProof/>
              <w:webHidden/>
            </w:rPr>
            <w:t>84</w:t>
          </w:r>
        </w:p>
        <w:p w14:paraId="49F821EC" w14:textId="1E2A1A53" w:rsidR="002C2A95" w:rsidRPr="002C2A95" w:rsidRDefault="002C2A95">
          <w:pPr>
            <w:pStyle w:val="TOC3"/>
            <w:tabs>
              <w:tab w:val="left" w:pos="1320"/>
            </w:tabs>
            <w:rPr>
              <w:rFonts w:eastAsiaTheme="minorEastAsia"/>
              <w:lang w:eastAsia="zh-CN"/>
            </w:rPr>
          </w:pPr>
          <w:r w:rsidRPr="00174117">
            <w:t>5.2.1</w:t>
          </w:r>
          <w:r w:rsidRPr="002C2A95">
            <w:rPr>
              <w:rFonts w:eastAsiaTheme="minorEastAsia"/>
              <w:lang w:eastAsia="zh-CN"/>
            </w:rPr>
            <w:tab/>
          </w:r>
          <w:r w:rsidRPr="00174117">
            <w:t>Completion rate</w:t>
          </w:r>
          <w:r w:rsidRPr="002C2A95">
            <w:rPr>
              <w:webHidden/>
            </w:rPr>
            <w:tab/>
          </w:r>
          <w:r w:rsidR="007D1B7F">
            <w:rPr>
              <w:webHidden/>
            </w:rPr>
            <w:t>84</w:t>
          </w:r>
        </w:p>
        <w:p w14:paraId="4F3A28CF" w14:textId="68DB6520" w:rsidR="002C2A95" w:rsidRPr="002C2A95" w:rsidRDefault="002C2A95">
          <w:pPr>
            <w:pStyle w:val="TOC3"/>
            <w:tabs>
              <w:tab w:val="left" w:pos="1320"/>
            </w:tabs>
            <w:rPr>
              <w:rFonts w:eastAsiaTheme="minorEastAsia"/>
              <w:lang w:eastAsia="zh-CN"/>
            </w:rPr>
          </w:pPr>
          <w:r w:rsidRPr="00174117">
            <w:t>5.2.2</w:t>
          </w:r>
          <w:r w:rsidRPr="002C2A95">
            <w:rPr>
              <w:rFonts w:eastAsiaTheme="minorEastAsia"/>
              <w:lang w:eastAsia="zh-CN"/>
            </w:rPr>
            <w:tab/>
          </w:r>
          <w:r w:rsidRPr="00174117">
            <w:t>Group summaries</w:t>
          </w:r>
          <w:r w:rsidRPr="002C2A95">
            <w:rPr>
              <w:webHidden/>
            </w:rPr>
            <w:tab/>
          </w:r>
          <w:r w:rsidR="007D1B7F">
            <w:rPr>
              <w:webHidden/>
            </w:rPr>
            <w:t>84</w:t>
          </w:r>
        </w:p>
        <w:p w14:paraId="053C7162" w14:textId="7C445E69" w:rsidR="002C2A95" w:rsidRPr="002C2A95" w:rsidRDefault="002C2A95">
          <w:pPr>
            <w:pStyle w:val="TOC3"/>
            <w:tabs>
              <w:tab w:val="left" w:pos="1320"/>
            </w:tabs>
            <w:rPr>
              <w:rFonts w:eastAsiaTheme="minorEastAsia"/>
              <w:lang w:eastAsia="zh-CN"/>
            </w:rPr>
          </w:pPr>
          <w:r w:rsidRPr="00174117">
            <w:t>5.3.3</w:t>
          </w:r>
          <w:r w:rsidRPr="002C2A95">
            <w:rPr>
              <w:rFonts w:eastAsiaTheme="minorEastAsia"/>
              <w:lang w:eastAsia="zh-CN"/>
            </w:rPr>
            <w:tab/>
          </w:r>
          <w:r w:rsidRPr="00174117">
            <w:t>Validation of experts’ estimates</w:t>
          </w:r>
          <w:r w:rsidRPr="002C2A95">
            <w:rPr>
              <w:webHidden/>
            </w:rPr>
            <w:tab/>
          </w:r>
          <w:r w:rsidR="007D1B7F">
            <w:rPr>
              <w:webHidden/>
            </w:rPr>
            <w:t>86</w:t>
          </w:r>
        </w:p>
        <w:p w14:paraId="7AD66A74" w14:textId="7B21B87C"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6.</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Economic evidence</w:t>
          </w:r>
          <w:r w:rsidRPr="002C2A95">
            <w:rPr>
              <w:rFonts w:asciiTheme="majorBidi" w:hAnsiTheme="majorBidi" w:cstheme="majorBidi"/>
              <w:b w:val="0"/>
              <w:bCs w:val="0"/>
              <w:webHidden/>
            </w:rPr>
            <w:tab/>
          </w:r>
          <w:r w:rsidR="007D1B7F">
            <w:rPr>
              <w:rFonts w:asciiTheme="majorBidi" w:hAnsiTheme="majorBidi" w:cstheme="majorBidi"/>
              <w:b w:val="0"/>
              <w:bCs w:val="0"/>
              <w:webHidden/>
            </w:rPr>
            <w:t>87</w:t>
          </w:r>
        </w:p>
        <w:p w14:paraId="0EBEEAA4" w14:textId="50EE903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 Assessment of existing cost-effectiveness evidence and modelling approaches</w:t>
          </w:r>
          <w:r w:rsidRPr="002C2A95">
            <w:rPr>
              <w:rFonts w:asciiTheme="majorBidi" w:hAnsiTheme="majorBidi" w:cstheme="majorBidi"/>
              <w:noProof/>
              <w:webHidden/>
            </w:rPr>
            <w:tab/>
          </w:r>
          <w:r w:rsidR="007D1B7F">
            <w:rPr>
              <w:rFonts w:asciiTheme="majorBidi" w:hAnsiTheme="majorBidi" w:cstheme="majorBidi"/>
              <w:noProof/>
              <w:webHidden/>
            </w:rPr>
            <w:t>87</w:t>
          </w:r>
        </w:p>
        <w:p w14:paraId="4D3C4ADA" w14:textId="4A3A026B"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lang w:val="en-US"/>
            </w:rPr>
            <w:t>6.1.1</w:t>
          </w:r>
          <w:r w:rsidRPr="002C2A95">
            <w:rPr>
              <w:rFonts w:asciiTheme="majorBidi" w:eastAsiaTheme="minorEastAsia" w:hAnsiTheme="majorBidi" w:cstheme="majorBidi"/>
              <w:noProof/>
              <w:lang w:eastAsia="zh-CN"/>
            </w:rPr>
            <w:tab/>
          </w:r>
          <w:r w:rsidRPr="00174117">
            <w:rPr>
              <w:rFonts w:asciiTheme="majorBidi" w:hAnsiTheme="majorBidi" w:cstheme="majorBidi"/>
              <w:noProof/>
              <w:lang w:val="en-US"/>
            </w:rPr>
            <w:t>Review 1: existing cost-effectiveness evidence for CAZ-AVI</w:t>
          </w:r>
          <w:r w:rsidRPr="002C2A95">
            <w:rPr>
              <w:rFonts w:asciiTheme="majorBidi" w:hAnsiTheme="majorBidi" w:cstheme="majorBidi"/>
              <w:noProof/>
              <w:webHidden/>
            </w:rPr>
            <w:tab/>
          </w:r>
          <w:r w:rsidR="007D1B7F">
            <w:rPr>
              <w:rFonts w:asciiTheme="majorBidi" w:hAnsiTheme="majorBidi" w:cstheme="majorBidi"/>
              <w:noProof/>
              <w:webHidden/>
            </w:rPr>
            <w:t>87</w:t>
          </w:r>
        </w:p>
        <w:p w14:paraId="1D106CA8" w14:textId="5AF7DC91"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lang w:val="en-US"/>
            </w:rPr>
            <w:t>6.1.2</w:t>
          </w:r>
          <w:r w:rsidRPr="002C2A95">
            <w:rPr>
              <w:rFonts w:asciiTheme="majorBidi" w:eastAsiaTheme="minorEastAsia" w:hAnsiTheme="majorBidi" w:cstheme="majorBidi"/>
              <w:noProof/>
              <w:lang w:eastAsia="zh-CN"/>
            </w:rPr>
            <w:tab/>
          </w:r>
          <w:r w:rsidRPr="00174117">
            <w:rPr>
              <w:rFonts w:asciiTheme="majorBidi" w:hAnsiTheme="majorBidi" w:cstheme="majorBidi"/>
              <w:noProof/>
              <w:lang w:val="en-US"/>
            </w:rPr>
            <w:t>Review 2: review of existing approaches for resistance modelling</w:t>
          </w:r>
          <w:r w:rsidRPr="002C2A95">
            <w:rPr>
              <w:rFonts w:asciiTheme="majorBidi" w:hAnsiTheme="majorBidi" w:cstheme="majorBidi"/>
              <w:noProof/>
              <w:webHidden/>
            </w:rPr>
            <w:tab/>
          </w:r>
          <w:r w:rsidR="007D1B7F">
            <w:rPr>
              <w:rFonts w:asciiTheme="majorBidi" w:hAnsiTheme="majorBidi" w:cstheme="majorBidi"/>
              <w:noProof/>
              <w:webHidden/>
            </w:rPr>
            <w:t>88</w:t>
          </w:r>
        </w:p>
        <w:p w14:paraId="1A252C3F" w14:textId="7876C479"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eastAsia="Times New Roman" w:hAnsiTheme="majorBidi" w:cstheme="majorBidi"/>
              <w:noProof/>
              <w:lang w:eastAsia="en-GB"/>
            </w:rPr>
            <w:t>6.1.3</w:t>
          </w:r>
          <w:r w:rsidRPr="002C2A95">
            <w:rPr>
              <w:rFonts w:asciiTheme="majorBidi" w:eastAsiaTheme="minorEastAsia" w:hAnsiTheme="majorBidi" w:cstheme="majorBidi"/>
              <w:noProof/>
              <w:lang w:eastAsia="zh-CN"/>
            </w:rPr>
            <w:tab/>
          </w:r>
          <w:r w:rsidRPr="00174117">
            <w:rPr>
              <w:rFonts w:asciiTheme="majorBidi" w:eastAsia="Times New Roman" w:hAnsiTheme="majorBidi" w:cstheme="majorBidi"/>
              <w:noProof/>
              <w:lang w:eastAsia="en-GB"/>
            </w:rPr>
            <w:t xml:space="preserve">Review 3: </w:t>
          </w:r>
          <w:r w:rsidRPr="00174117">
            <w:rPr>
              <w:rFonts w:asciiTheme="majorBidi" w:hAnsiTheme="majorBidi" w:cstheme="majorBidi"/>
              <w:noProof/>
              <w:lang w:val="en-US"/>
            </w:rPr>
            <w:t>existing cost-effectiveness models in HAP/VAP</w:t>
          </w:r>
          <w:r w:rsidRPr="002C2A95">
            <w:rPr>
              <w:rFonts w:asciiTheme="majorBidi" w:hAnsiTheme="majorBidi" w:cstheme="majorBidi"/>
              <w:noProof/>
              <w:webHidden/>
            </w:rPr>
            <w:tab/>
          </w:r>
          <w:r w:rsidR="007D1B7F">
            <w:rPr>
              <w:rFonts w:asciiTheme="majorBidi" w:hAnsiTheme="majorBidi" w:cstheme="majorBidi"/>
              <w:noProof/>
              <w:webHidden/>
            </w:rPr>
            <w:t>88</w:t>
          </w:r>
        </w:p>
        <w:p w14:paraId="1F1F1DBE" w14:textId="3010383F"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6.1.4</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Review 4: </w:t>
          </w:r>
          <w:r w:rsidRPr="00174117">
            <w:rPr>
              <w:rFonts w:asciiTheme="majorBidi" w:hAnsiTheme="majorBidi" w:cstheme="majorBidi"/>
              <w:noProof/>
              <w:lang w:val="en-US"/>
            </w:rPr>
            <w:t>existing cost-effectiveness models in cUTI</w:t>
          </w:r>
          <w:r w:rsidRPr="002C2A95">
            <w:rPr>
              <w:rFonts w:asciiTheme="majorBidi" w:hAnsiTheme="majorBidi" w:cstheme="majorBidi"/>
              <w:noProof/>
              <w:webHidden/>
            </w:rPr>
            <w:tab/>
          </w:r>
          <w:r w:rsidR="007D1B7F">
            <w:rPr>
              <w:rFonts w:asciiTheme="majorBidi" w:hAnsiTheme="majorBidi" w:cstheme="majorBidi"/>
              <w:noProof/>
              <w:webHidden/>
            </w:rPr>
            <w:t>88</w:t>
          </w:r>
        </w:p>
        <w:p w14:paraId="07C4C5FD" w14:textId="67276FE2"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w:t>
          </w:r>
          <w:r w:rsidRPr="002C2A95">
            <w:rPr>
              <w:rFonts w:asciiTheme="majorBidi" w:eastAsiaTheme="minorEastAsia" w:hAnsiTheme="majorBidi" w:cstheme="majorBidi"/>
              <w:noProof/>
              <w:lang w:eastAsia="zh-CN"/>
            </w:rPr>
            <w:tab/>
          </w:r>
          <w:r w:rsidRPr="00174117">
            <w:rPr>
              <w:rFonts w:asciiTheme="majorBidi" w:hAnsiTheme="majorBidi" w:cstheme="majorBidi"/>
              <w:noProof/>
            </w:rPr>
            <w:t>Manufacturer economic model for CAZ-AVI</w:t>
          </w:r>
          <w:r w:rsidRPr="002C2A95">
            <w:rPr>
              <w:rFonts w:asciiTheme="majorBidi" w:hAnsiTheme="majorBidi" w:cstheme="majorBidi"/>
              <w:noProof/>
              <w:webHidden/>
            </w:rPr>
            <w:tab/>
          </w:r>
          <w:r w:rsidR="007D1B7F">
            <w:rPr>
              <w:rFonts w:asciiTheme="majorBidi" w:hAnsiTheme="majorBidi" w:cstheme="majorBidi"/>
              <w:noProof/>
              <w:webHidden/>
            </w:rPr>
            <w:t>89</w:t>
          </w:r>
        </w:p>
        <w:p w14:paraId="22EC24B9" w14:textId="0496EA6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6.1.5.1 Summary of the company’s model</w:t>
          </w:r>
          <w:r w:rsidRPr="002C2A95">
            <w:rPr>
              <w:rFonts w:asciiTheme="majorBidi" w:hAnsiTheme="majorBidi" w:cstheme="majorBidi"/>
              <w:noProof/>
              <w:webHidden/>
            </w:rPr>
            <w:tab/>
          </w:r>
          <w:r w:rsidR="007D1B7F">
            <w:rPr>
              <w:rFonts w:asciiTheme="majorBidi" w:hAnsiTheme="majorBidi" w:cstheme="majorBidi"/>
              <w:noProof/>
              <w:webHidden/>
            </w:rPr>
            <w:t>89</w:t>
          </w:r>
        </w:p>
        <w:p w14:paraId="58498E52" w14:textId="03D65C6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6.1.5.2 Pathways to health effect in the model</w:t>
          </w:r>
          <w:r w:rsidRPr="002C2A95">
            <w:rPr>
              <w:rFonts w:asciiTheme="majorBidi" w:hAnsiTheme="majorBidi" w:cstheme="majorBidi"/>
              <w:noProof/>
              <w:webHidden/>
            </w:rPr>
            <w:tab/>
          </w:r>
          <w:r w:rsidR="007D1B7F">
            <w:rPr>
              <w:rFonts w:asciiTheme="majorBidi" w:hAnsiTheme="majorBidi" w:cstheme="majorBidi"/>
              <w:noProof/>
              <w:webHidden/>
            </w:rPr>
            <w:t>92</w:t>
          </w:r>
        </w:p>
        <w:p w14:paraId="18E5B3B6" w14:textId="28C885CA"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6.1.5.3 Detailed explanation of model structure</w:t>
          </w:r>
          <w:r w:rsidRPr="002C2A95">
            <w:rPr>
              <w:rFonts w:asciiTheme="majorBidi" w:hAnsiTheme="majorBidi" w:cstheme="majorBidi"/>
              <w:noProof/>
              <w:webHidden/>
            </w:rPr>
            <w:tab/>
          </w:r>
          <w:r w:rsidR="007D1B7F">
            <w:rPr>
              <w:rFonts w:asciiTheme="majorBidi" w:hAnsiTheme="majorBidi" w:cstheme="majorBidi"/>
              <w:noProof/>
              <w:webHidden/>
            </w:rPr>
            <w:t>93</w:t>
          </w:r>
        </w:p>
        <w:p w14:paraId="3F2C1161" w14:textId="2C92BE3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6.1.5.4 Overview of economic results</w:t>
          </w:r>
          <w:r w:rsidRPr="002C2A95">
            <w:rPr>
              <w:rFonts w:asciiTheme="majorBidi" w:hAnsiTheme="majorBidi" w:cstheme="majorBidi"/>
              <w:noProof/>
              <w:webHidden/>
            </w:rPr>
            <w:tab/>
          </w:r>
          <w:r w:rsidR="007D1B7F">
            <w:rPr>
              <w:rFonts w:asciiTheme="majorBidi" w:hAnsiTheme="majorBidi" w:cstheme="majorBidi"/>
              <w:noProof/>
              <w:webHidden/>
            </w:rPr>
            <w:t>95</w:t>
          </w:r>
        </w:p>
        <w:p w14:paraId="18A37BED" w14:textId="3DB6D119"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6.1.5.5 Areas of inconsistency or lack of clarity in the company submission</w:t>
          </w:r>
          <w:r w:rsidRPr="002C2A95">
            <w:rPr>
              <w:rFonts w:asciiTheme="majorBidi" w:hAnsiTheme="majorBidi" w:cstheme="majorBidi"/>
              <w:noProof/>
              <w:webHidden/>
            </w:rPr>
            <w:tab/>
          </w:r>
          <w:r w:rsidR="007D1B7F">
            <w:rPr>
              <w:rFonts w:asciiTheme="majorBidi" w:hAnsiTheme="majorBidi" w:cstheme="majorBidi"/>
              <w:noProof/>
              <w:webHidden/>
            </w:rPr>
            <w:t>98</w:t>
          </w:r>
        </w:p>
        <w:p w14:paraId="52D5E3BA" w14:textId="148C028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6.1.5.6 Other concerns with the model</w:t>
          </w:r>
          <w:r w:rsidRPr="002C2A95">
            <w:rPr>
              <w:rFonts w:asciiTheme="majorBidi" w:hAnsiTheme="majorBidi" w:cstheme="majorBidi"/>
              <w:noProof/>
              <w:webHidden/>
            </w:rPr>
            <w:tab/>
          </w:r>
          <w:r w:rsidR="007D1B7F">
            <w:rPr>
              <w:rFonts w:asciiTheme="majorBidi" w:hAnsiTheme="majorBidi" w:cstheme="majorBidi"/>
              <w:noProof/>
              <w:webHidden/>
            </w:rPr>
            <w:t>102</w:t>
          </w:r>
        </w:p>
        <w:p w14:paraId="728E2BFC" w14:textId="2AE73E5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lastRenderedPageBreak/>
            <w:t>6.1.5.7 Conclusion</w:t>
          </w:r>
          <w:r w:rsidRPr="002C2A95">
            <w:rPr>
              <w:rFonts w:asciiTheme="majorBidi" w:hAnsiTheme="majorBidi" w:cstheme="majorBidi"/>
              <w:noProof/>
              <w:webHidden/>
            </w:rPr>
            <w:tab/>
          </w:r>
          <w:r w:rsidR="007D1B7F">
            <w:rPr>
              <w:rFonts w:asciiTheme="majorBidi" w:hAnsiTheme="majorBidi" w:cstheme="majorBidi"/>
              <w:noProof/>
              <w:webHidden/>
            </w:rPr>
            <w:t>103</w:t>
          </w:r>
        </w:p>
        <w:p w14:paraId="533A6572" w14:textId="760DAE1F"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7</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Methods for EEPRU quantitative assessment of value</w:t>
          </w:r>
          <w:r w:rsidRPr="002C2A95">
            <w:rPr>
              <w:rFonts w:asciiTheme="majorBidi" w:hAnsiTheme="majorBidi" w:cstheme="majorBidi"/>
              <w:b w:val="0"/>
              <w:bCs w:val="0"/>
              <w:webHidden/>
            </w:rPr>
            <w:tab/>
          </w:r>
          <w:r w:rsidR="007D1B7F">
            <w:rPr>
              <w:rFonts w:asciiTheme="majorBidi" w:hAnsiTheme="majorBidi" w:cstheme="majorBidi"/>
              <w:b w:val="0"/>
              <w:bCs w:val="0"/>
              <w:webHidden/>
            </w:rPr>
            <w:t>104</w:t>
          </w:r>
        </w:p>
        <w:p w14:paraId="0252ACD8" w14:textId="2E0C3418"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7.1</w:t>
          </w:r>
          <w:r w:rsidRPr="002C2A95">
            <w:rPr>
              <w:rFonts w:asciiTheme="majorBidi" w:eastAsiaTheme="minorEastAsia" w:hAnsiTheme="majorBidi" w:cstheme="majorBidi"/>
              <w:noProof/>
              <w:lang w:eastAsia="zh-CN"/>
            </w:rPr>
            <w:tab/>
          </w:r>
          <w:r w:rsidRPr="00174117">
            <w:rPr>
              <w:rFonts w:asciiTheme="majorBidi" w:hAnsiTheme="majorBidi" w:cstheme="majorBidi"/>
              <w:noProof/>
            </w:rPr>
            <w:t>Overview of EEPRU approach</w:t>
          </w:r>
          <w:r w:rsidRPr="002C2A95">
            <w:rPr>
              <w:rFonts w:asciiTheme="majorBidi" w:hAnsiTheme="majorBidi" w:cstheme="majorBidi"/>
              <w:noProof/>
              <w:webHidden/>
            </w:rPr>
            <w:tab/>
          </w:r>
          <w:r w:rsidR="007D1B7F">
            <w:rPr>
              <w:rFonts w:asciiTheme="majorBidi" w:hAnsiTheme="majorBidi" w:cstheme="majorBidi"/>
              <w:noProof/>
              <w:webHidden/>
            </w:rPr>
            <w:t>104</w:t>
          </w:r>
        </w:p>
        <w:p w14:paraId="38BD998F" w14:textId="3D901C5A"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w:t>
          </w:r>
          <w:r w:rsidRPr="002C2A95">
            <w:rPr>
              <w:rFonts w:asciiTheme="majorBidi" w:eastAsiaTheme="minorEastAsia" w:hAnsiTheme="majorBidi" w:cstheme="majorBidi"/>
              <w:noProof/>
              <w:lang w:eastAsia="zh-CN"/>
            </w:rPr>
            <w:tab/>
          </w:r>
          <w:r w:rsidRPr="00174117">
            <w:rPr>
              <w:rFonts w:asciiTheme="majorBidi" w:hAnsiTheme="majorBidi" w:cstheme="majorBidi"/>
              <w:noProof/>
            </w:rPr>
            <w:t>Modelling direct patient net health effects (NHE) in HVCS</w:t>
          </w:r>
          <w:r w:rsidRPr="002C2A95">
            <w:rPr>
              <w:rFonts w:asciiTheme="majorBidi" w:hAnsiTheme="majorBidi" w:cstheme="majorBidi"/>
              <w:noProof/>
              <w:webHidden/>
            </w:rPr>
            <w:tab/>
          </w:r>
          <w:r w:rsidR="007D1B7F">
            <w:rPr>
              <w:rFonts w:asciiTheme="majorBidi" w:hAnsiTheme="majorBidi" w:cstheme="majorBidi"/>
              <w:noProof/>
              <w:webHidden/>
            </w:rPr>
            <w:t>105</w:t>
          </w:r>
        </w:p>
        <w:p w14:paraId="5CB8DA8B" w14:textId="1A0807AF"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7.2.1 Relationship with decision problem</w:t>
          </w:r>
          <w:r w:rsidRPr="002C2A95">
            <w:rPr>
              <w:rFonts w:asciiTheme="majorBidi" w:hAnsiTheme="majorBidi" w:cstheme="majorBidi"/>
              <w:noProof/>
              <w:webHidden/>
            </w:rPr>
            <w:tab/>
          </w:r>
          <w:r w:rsidR="007D1B7F">
            <w:rPr>
              <w:rFonts w:asciiTheme="majorBidi" w:hAnsiTheme="majorBidi" w:cstheme="majorBidi"/>
              <w:noProof/>
              <w:webHidden/>
            </w:rPr>
            <w:t>105</w:t>
          </w:r>
        </w:p>
        <w:p w14:paraId="3AA4DDF0" w14:textId="7B05985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7.2.1.1 Population</w:t>
          </w:r>
          <w:r w:rsidRPr="002C2A95">
            <w:rPr>
              <w:rFonts w:asciiTheme="majorBidi" w:hAnsiTheme="majorBidi" w:cstheme="majorBidi"/>
              <w:noProof/>
              <w:webHidden/>
            </w:rPr>
            <w:tab/>
          </w:r>
          <w:r w:rsidR="007D1B7F">
            <w:rPr>
              <w:rFonts w:asciiTheme="majorBidi" w:hAnsiTheme="majorBidi" w:cstheme="majorBidi"/>
              <w:noProof/>
              <w:webHidden/>
            </w:rPr>
            <w:t>105</w:t>
          </w:r>
        </w:p>
        <w:p w14:paraId="61E3190D" w14:textId="64FD29D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7.2.1.2  Intervention</w:t>
          </w:r>
          <w:r w:rsidRPr="002C2A95">
            <w:rPr>
              <w:rFonts w:asciiTheme="majorBidi" w:hAnsiTheme="majorBidi" w:cstheme="majorBidi"/>
              <w:noProof/>
              <w:webHidden/>
            </w:rPr>
            <w:tab/>
          </w:r>
          <w:r w:rsidR="007D1B7F">
            <w:rPr>
              <w:rFonts w:asciiTheme="majorBidi" w:hAnsiTheme="majorBidi" w:cstheme="majorBidi"/>
              <w:noProof/>
              <w:webHidden/>
            </w:rPr>
            <w:t>105</w:t>
          </w:r>
        </w:p>
        <w:p w14:paraId="6044F1E5" w14:textId="7891B5E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7.2.1.3 Comparators</w:t>
          </w:r>
          <w:r w:rsidRPr="002C2A95">
            <w:rPr>
              <w:rFonts w:asciiTheme="majorBidi" w:hAnsiTheme="majorBidi" w:cstheme="majorBidi"/>
              <w:noProof/>
              <w:webHidden/>
            </w:rPr>
            <w:tab/>
          </w:r>
          <w:r w:rsidR="007D1B7F">
            <w:rPr>
              <w:rFonts w:asciiTheme="majorBidi" w:hAnsiTheme="majorBidi" w:cstheme="majorBidi"/>
              <w:noProof/>
              <w:webHidden/>
            </w:rPr>
            <w:t>106</w:t>
          </w:r>
        </w:p>
        <w:p w14:paraId="5000C6CA" w14:textId="509FD2E9"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7.2.2 Model structure</w:t>
          </w:r>
          <w:r w:rsidRPr="002C2A95">
            <w:rPr>
              <w:rFonts w:asciiTheme="majorBidi" w:hAnsiTheme="majorBidi" w:cstheme="majorBidi"/>
              <w:noProof/>
              <w:webHidden/>
            </w:rPr>
            <w:tab/>
          </w:r>
          <w:r w:rsidR="007D1B7F">
            <w:rPr>
              <w:rFonts w:asciiTheme="majorBidi" w:hAnsiTheme="majorBidi" w:cstheme="majorBidi"/>
              <w:noProof/>
              <w:webHidden/>
            </w:rPr>
            <w:t>106</w:t>
          </w:r>
        </w:p>
        <w:p w14:paraId="48D7231A" w14:textId="1AC16A6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7.2.2.1 Model structure for microbiology directed setting</w:t>
          </w:r>
          <w:r w:rsidRPr="002C2A95">
            <w:rPr>
              <w:rFonts w:asciiTheme="majorBidi" w:hAnsiTheme="majorBidi" w:cstheme="majorBidi"/>
              <w:noProof/>
              <w:webHidden/>
            </w:rPr>
            <w:tab/>
          </w:r>
          <w:r w:rsidR="007D1B7F">
            <w:rPr>
              <w:rFonts w:asciiTheme="majorBidi" w:hAnsiTheme="majorBidi" w:cstheme="majorBidi"/>
              <w:noProof/>
              <w:webHidden/>
            </w:rPr>
            <w:t>107</w:t>
          </w:r>
        </w:p>
        <w:p w14:paraId="006A6F9F" w14:textId="1ACFF9A9"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7.2.2.2 Model structure for the risk-based empiric setting (ES)</w:t>
          </w:r>
          <w:r w:rsidRPr="002C2A95">
            <w:rPr>
              <w:rFonts w:asciiTheme="majorBidi" w:hAnsiTheme="majorBidi" w:cstheme="majorBidi"/>
              <w:noProof/>
              <w:webHidden/>
            </w:rPr>
            <w:tab/>
          </w:r>
          <w:r w:rsidR="007D1B7F">
            <w:rPr>
              <w:rFonts w:asciiTheme="majorBidi" w:hAnsiTheme="majorBidi" w:cstheme="majorBidi"/>
              <w:noProof/>
              <w:webHidden/>
            </w:rPr>
            <w:t>111</w:t>
          </w:r>
        </w:p>
        <w:p w14:paraId="0E48CBB4" w14:textId="01B9272A"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7.2.3   Sources of evidence</w:t>
          </w:r>
          <w:r w:rsidRPr="002C2A95">
            <w:rPr>
              <w:rFonts w:asciiTheme="majorBidi" w:hAnsiTheme="majorBidi" w:cstheme="majorBidi"/>
              <w:noProof/>
              <w:webHidden/>
            </w:rPr>
            <w:tab/>
          </w:r>
          <w:r w:rsidR="007D1B7F">
            <w:rPr>
              <w:rFonts w:asciiTheme="majorBidi" w:hAnsiTheme="majorBidi" w:cstheme="majorBidi"/>
              <w:noProof/>
              <w:webHidden/>
            </w:rPr>
            <w:t>119</w:t>
          </w:r>
        </w:p>
        <w:p w14:paraId="19BB80ED" w14:textId="093F23E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7.2.3.1 Identification of evidence</w:t>
          </w:r>
          <w:r w:rsidRPr="002C2A95">
            <w:rPr>
              <w:rFonts w:asciiTheme="majorBidi" w:hAnsiTheme="majorBidi" w:cstheme="majorBidi"/>
              <w:noProof/>
              <w:webHidden/>
            </w:rPr>
            <w:tab/>
          </w:r>
          <w:r w:rsidR="007D1B7F">
            <w:rPr>
              <w:rFonts w:asciiTheme="majorBidi" w:hAnsiTheme="majorBidi" w:cstheme="majorBidi"/>
              <w:noProof/>
              <w:webHidden/>
            </w:rPr>
            <w:t>119</w:t>
          </w:r>
        </w:p>
        <w:p w14:paraId="494DBC7B" w14:textId="4ADCB79B"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7.2.3.2</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Clinical parameters – susceptibility evidence</w:t>
          </w:r>
          <w:r w:rsidRPr="002C2A95">
            <w:rPr>
              <w:rFonts w:asciiTheme="majorBidi" w:hAnsiTheme="majorBidi" w:cstheme="majorBidi"/>
              <w:noProof/>
              <w:webHidden/>
            </w:rPr>
            <w:tab/>
          </w:r>
          <w:r w:rsidR="007D1B7F">
            <w:rPr>
              <w:rFonts w:asciiTheme="majorBidi" w:hAnsiTheme="majorBidi" w:cstheme="majorBidi"/>
              <w:noProof/>
              <w:webHidden/>
            </w:rPr>
            <w:t>119</w:t>
          </w:r>
        </w:p>
        <w:p w14:paraId="46449B9A" w14:textId="20029614" w:rsidR="002C2A95" w:rsidRPr="002C2A95" w:rsidRDefault="002C2A95">
          <w:pPr>
            <w:pStyle w:val="TOC2"/>
            <w:tabs>
              <w:tab w:val="left" w:pos="132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7.2.3.3 </w:t>
          </w:r>
          <w:r w:rsidRPr="002C2A95">
            <w:rPr>
              <w:rFonts w:asciiTheme="majorBidi" w:eastAsiaTheme="minorEastAsia" w:hAnsiTheme="majorBidi" w:cstheme="majorBidi"/>
              <w:noProof/>
              <w:lang w:eastAsia="zh-CN"/>
            </w:rPr>
            <w:tab/>
          </w:r>
          <w:r w:rsidRPr="00174117">
            <w:rPr>
              <w:rFonts w:asciiTheme="majorBidi" w:hAnsiTheme="majorBidi" w:cstheme="majorBidi"/>
              <w:noProof/>
            </w:rPr>
            <w:t>Clinical parameters – linking susceptibility to 30-day outcomes in the MDS</w:t>
          </w:r>
          <w:r w:rsidRPr="002C2A95">
            <w:rPr>
              <w:rFonts w:asciiTheme="majorBidi" w:hAnsiTheme="majorBidi" w:cstheme="majorBidi"/>
              <w:noProof/>
              <w:webHidden/>
            </w:rPr>
            <w:tab/>
          </w:r>
          <w:r w:rsidR="007D1B7F">
            <w:rPr>
              <w:rFonts w:asciiTheme="majorBidi" w:hAnsiTheme="majorBidi" w:cstheme="majorBidi"/>
              <w:noProof/>
              <w:webHidden/>
            </w:rPr>
            <w:t>124</w:t>
          </w:r>
        </w:p>
        <w:p w14:paraId="51124E18" w14:textId="68146242" w:rsidR="002C2A95" w:rsidRPr="002C2A95" w:rsidRDefault="002C2A95">
          <w:pPr>
            <w:pStyle w:val="TOC2"/>
            <w:tabs>
              <w:tab w:val="left" w:pos="132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7.2.3.4 </w:t>
          </w:r>
          <w:r w:rsidRPr="002C2A95">
            <w:rPr>
              <w:rFonts w:asciiTheme="majorBidi" w:eastAsiaTheme="minorEastAsia" w:hAnsiTheme="majorBidi" w:cstheme="majorBidi"/>
              <w:noProof/>
              <w:lang w:eastAsia="zh-CN"/>
            </w:rPr>
            <w:tab/>
          </w:r>
          <w:r w:rsidRPr="00174117">
            <w:rPr>
              <w:rFonts w:asciiTheme="majorBidi" w:hAnsiTheme="majorBidi" w:cstheme="majorBidi"/>
              <w:noProof/>
            </w:rPr>
            <w:t>Clinical parameters – AKI risk and subsequent outcomes</w:t>
          </w:r>
          <w:r w:rsidRPr="002C2A95">
            <w:rPr>
              <w:rFonts w:asciiTheme="majorBidi" w:hAnsiTheme="majorBidi" w:cstheme="majorBidi"/>
              <w:noProof/>
              <w:webHidden/>
            </w:rPr>
            <w:tab/>
          </w:r>
          <w:r w:rsidR="007D1B7F">
            <w:rPr>
              <w:rFonts w:asciiTheme="majorBidi" w:hAnsiTheme="majorBidi" w:cstheme="majorBidi"/>
              <w:noProof/>
              <w:webHidden/>
            </w:rPr>
            <w:t>124</w:t>
          </w:r>
        </w:p>
        <w:p w14:paraId="464ABED1" w14:textId="47639DE2" w:rsidR="002C2A95" w:rsidRPr="002C2A95" w:rsidRDefault="002C2A95">
          <w:pPr>
            <w:pStyle w:val="TOC2"/>
            <w:tabs>
              <w:tab w:val="left" w:pos="132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7.2.3.5 </w:t>
          </w:r>
          <w:r w:rsidRPr="002C2A95">
            <w:rPr>
              <w:rFonts w:asciiTheme="majorBidi" w:eastAsiaTheme="minorEastAsia" w:hAnsiTheme="majorBidi" w:cstheme="majorBidi"/>
              <w:noProof/>
              <w:lang w:eastAsia="zh-CN"/>
            </w:rPr>
            <w:tab/>
          </w:r>
          <w:r w:rsidRPr="00174117">
            <w:rPr>
              <w:rFonts w:asciiTheme="majorBidi" w:hAnsiTheme="majorBidi" w:cstheme="majorBidi"/>
              <w:noProof/>
            </w:rPr>
            <w:t>Clinical parameters – linking susceptibility to 30-day outcomes in the ES</w:t>
          </w:r>
          <w:r w:rsidRPr="002C2A95">
            <w:rPr>
              <w:rFonts w:asciiTheme="majorBidi" w:hAnsiTheme="majorBidi" w:cstheme="majorBidi"/>
              <w:noProof/>
              <w:webHidden/>
            </w:rPr>
            <w:tab/>
          </w:r>
          <w:r w:rsidR="007D1B7F">
            <w:rPr>
              <w:rFonts w:asciiTheme="majorBidi" w:hAnsiTheme="majorBidi" w:cstheme="majorBidi"/>
              <w:noProof/>
              <w:webHidden/>
            </w:rPr>
            <w:t>127</w:t>
          </w:r>
        </w:p>
        <w:p w14:paraId="3C87386F" w14:textId="3EA68AD0"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7.2.3.6</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Clinical evidence – long-term mortality</w:t>
          </w:r>
          <w:r w:rsidRPr="002C2A95">
            <w:rPr>
              <w:rFonts w:asciiTheme="majorBidi" w:hAnsiTheme="majorBidi" w:cstheme="majorBidi"/>
              <w:noProof/>
              <w:webHidden/>
            </w:rPr>
            <w:tab/>
          </w:r>
          <w:r w:rsidR="007D1B7F">
            <w:rPr>
              <w:rFonts w:asciiTheme="majorBidi" w:hAnsiTheme="majorBidi" w:cstheme="majorBidi"/>
              <w:noProof/>
              <w:webHidden/>
            </w:rPr>
            <w:t>129</w:t>
          </w:r>
        </w:p>
        <w:p w14:paraId="2A8CD25E" w14:textId="12048C83" w:rsidR="002C2A95" w:rsidRPr="002C2A95" w:rsidRDefault="002C2A95">
          <w:pPr>
            <w:pStyle w:val="TOC2"/>
            <w:tabs>
              <w:tab w:val="left" w:pos="132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7.2.3.7  </w:t>
          </w:r>
          <w:r w:rsidRPr="002C2A95">
            <w:rPr>
              <w:rFonts w:asciiTheme="majorBidi" w:eastAsiaTheme="minorEastAsia" w:hAnsiTheme="majorBidi" w:cstheme="majorBidi"/>
              <w:noProof/>
              <w:lang w:eastAsia="zh-CN"/>
            </w:rPr>
            <w:tab/>
          </w:r>
          <w:r w:rsidRPr="00174117">
            <w:rPr>
              <w:rFonts w:asciiTheme="majorBidi" w:hAnsiTheme="majorBidi" w:cstheme="majorBidi"/>
              <w:noProof/>
            </w:rPr>
            <w:t>Health-related quality of life</w:t>
          </w:r>
          <w:r w:rsidRPr="002C2A95">
            <w:rPr>
              <w:rFonts w:asciiTheme="majorBidi" w:hAnsiTheme="majorBidi" w:cstheme="majorBidi"/>
              <w:noProof/>
              <w:webHidden/>
            </w:rPr>
            <w:tab/>
          </w:r>
          <w:r w:rsidR="007D1B7F">
            <w:rPr>
              <w:rFonts w:asciiTheme="majorBidi" w:hAnsiTheme="majorBidi" w:cstheme="majorBidi"/>
              <w:noProof/>
              <w:webHidden/>
            </w:rPr>
            <w:t>133</w:t>
          </w:r>
        </w:p>
        <w:p w14:paraId="776F2408" w14:textId="426DA20A"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7.2.3.8</w:t>
          </w:r>
          <w:r w:rsidRPr="002C2A95">
            <w:rPr>
              <w:rFonts w:asciiTheme="majorBidi" w:eastAsiaTheme="minorEastAsia" w:hAnsiTheme="majorBidi" w:cstheme="majorBidi"/>
              <w:noProof/>
              <w:lang w:eastAsia="zh-CN"/>
            </w:rPr>
            <w:tab/>
          </w:r>
          <w:r w:rsidRPr="00174117">
            <w:rPr>
              <w:rFonts w:asciiTheme="majorBidi" w:hAnsiTheme="majorBidi" w:cstheme="majorBidi"/>
              <w:noProof/>
            </w:rPr>
            <w:t>Resource use and costs</w:t>
          </w:r>
          <w:r w:rsidRPr="002C2A95">
            <w:rPr>
              <w:rFonts w:asciiTheme="majorBidi" w:hAnsiTheme="majorBidi" w:cstheme="majorBidi"/>
              <w:noProof/>
              <w:webHidden/>
            </w:rPr>
            <w:tab/>
          </w:r>
          <w:r w:rsidR="007D1B7F">
            <w:rPr>
              <w:rFonts w:asciiTheme="majorBidi" w:hAnsiTheme="majorBidi" w:cstheme="majorBidi"/>
              <w:noProof/>
              <w:webHidden/>
            </w:rPr>
            <w:t>134</w:t>
          </w:r>
        </w:p>
        <w:p w14:paraId="7DC63679" w14:textId="7E401BEA"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7.2.4</w:t>
          </w:r>
          <w:r w:rsidRPr="002C2A95">
            <w:rPr>
              <w:rFonts w:asciiTheme="majorBidi" w:eastAsiaTheme="minorEastAsia" w:hAnsiTheme="majorBidi" w:cstheme="majorBidi"/>
              <w:noProof/>
              <w:lang w:eastAsia="zh-CN"/>
            </w:rPr>
            <w:tab/>
          </w:r>
          <w:r w:rsidRPr="00174117">
            <w:rPr>
              <w:rFonts w:asciiTheme="majorBidi" w:hAnsiTheme="majorBidi" w:cstheme="majorBidi"/>
              <w:noProof/>
            </w:rPr>
            <w:t>Model outputs and uncertainty analysis</w:t>
          </w:r>
          <w:r w:rsidRPr="002C2A95">
            <w:rPr>
              <w:rFonts w:asciiTheme="majorBidi" w:hAnsiTheme="majorBidi" w:cstheme="majorBidi"/>
              <w:noProof/>
              <w:webHidden/>
            </w:rPr>
            <w:tab/>
          </w:r>
          <w:r w:rsidR="007D1B7F">
            <w:rPr>
              <w:rFonts w:asciiTheme="majorBidi" w:hAnsiTheme="majorBidi" w:cstheme="majorBidi"/>
              <w:noProof/>
              <w:webHidden/>
            </w:rPr>
            <w:t>139</w:t>
          </w:r>
        </w:p>
        <w:p w14:paraId="3824ABA1" w14:textId="07746565"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7.2.5</w:t>
          </w:r>
          <w:r w:rsidRPr="002C2A95">
            <w:rPr>
              <w:rFonts w:asciiTheme="majorBidi" w:eastAsiaTheme="minorEastAsia" w:hAnsiTheme="majorBidi" w:cstheme="majorBidi"/>
              <w:noProof/>
              <w:lang w:eastAsia="zh-CN"/>
            </w:rPr>
            <w:tab/>
          </w:r>
          <w:r w:rsidRPr="00174117">
            <w:rPr>
              <w:rFonts w:asciiTheme="majorBidi" w:hAnsiTheme="majorBidi" w:cstheme="majorBidi"/>
              <w:noProof/>
            </w:rPr>
            <w:t>Modelling direct population net health effects in HVCS</w:t>
          </w:r>
          <w:r w:rsidRPr="002C2A95">
            <w:rPr>
              <w:rFonts w:asciiTheme="majorBidi" w:hAnsiTheme="majorBidi" w:cstheme="majorBidi"/>
              <w:noProof/>
              <w:webHidden/>
            </w:rPr>
            <w:tab/>
          </w:r>
          <w:r w:rsidR="007D1B7F">
            <w:rPr>
              <w:rFonts w:asciiTheme="majorBidi" w:hAnsiTheme="majorBidi" w:cstheme="majorBidi"/>
              <w:noProof/>
              <w:webHidden/>
            </w:rPr>
            <w:t>140</w:t>
          </w:r>
        </w:p>
        <w:p w14:paraId="71D91A13" w14:textId="6DCC424C"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7.2.5.1 Predicting the future sizes of the HVCS</w:t>
          </w:r>
          <w:r w:rsidRPr="002C2A95">
            <w:rPr>
              <w:rFonts w:asciiTheme="majorBidi" w:hAnsiTheme="majorBidi" w:cstheme="majorBidi"/>
              <w:noProof/>
              <w:webHidden/>
            </w:rPr>
            <w:tab/>
          </w:r>
          <w:r w:rsidR="007D1B7F">
            <w:rPr>
              <w:rFonts w:asciiTheme="majorBidi" w:hAnsiTheme="majorBidi" w:cstheme="majorBidi"/>
              <w:noProof/>
              <w:webHidden/>
            </w:rPr>
            <w:t>141</w:t>
          </w:r>
        </w:p>
        <w:p w14:paraId="30CA3BE5" w14:textId="22E054B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7.2.5.2 Predicting future rates of resistance for current practice</w:t>
          </w:r>
          <w:r w:rsidRPr="002C2A95">
            <w:rPr>
              <w:rFonts w:asciiTheme="majorBidi" w:hAnsiTheme="majorBidi" w:cstheme="majorBidi"/>
              <w:noProof/>
              <w:webHidden/>
            </w:rPr>
            <w:tab/>
          </w:r>
          <w:r w:rsidR="007D1B7F">
            <w:rPr>
              <w:rFonts w:asciiTheme="majorBidi" w:hAnsiTheme="majorBidi" w:cstheme="majorBidi"/>
              <w:noProof/>
              <w:webHidden/>
            </w:rPr>
            <w:t>144</w:t>
          </w:r>
        </w:p>
        <w:p w14:paraId="596896BB" w14:textId="34661FEB" w:rsidR="002C2A95" w:rsidRPr="002C2A95" w:rsidRDefault="002C2A95">
          <w:pPr>
            <w:pStyle w:val="TOC2"/>
            <w:tabs>
              <w:tab w:val="left" w:pos="50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7.5.2.3 Predicting future resistance trajectories for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CAZ-AVI</w:t>
          </w:r>
          <w:r w:rsidRPr="002C2A95">
            <w:rPr>
              <w:rFonts w:asciiTheme="majorBidi" w:hAnsiTheme="majorBidi" w:cstheme="majorBidi"/>
              <w:noProof/>
              <w:webHidden/>
            </w:rPr>
            <w:tab/>
          </w:r>
          <w:r w:rsidR="007D1B7F">
            <w:rPr>
              <w:rFonts w:asciiTheme="majorBidi" w:hAnsiTheme="majorBidi" w:cstheme="majorBidi"/>
              <w:noProof/>
              <w:webHidden/>
            </w:rPr>
            <w:t>145</w:t>
          </w:r>
        </w:p>
        <w:p w14:paraId="1C6B7C45" w14:textId="092B97B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7.5.2.4 Predicting the impact of reduced drug use on resistance</w:t>
          </w:r>
          <w:r w:rsidRPr="002C2A95">
            <w:rPr>
              <w:rFonts w:asciiTheme="majorBidi" w:hAnsiTheme="majorBidi" w:cstheme="majorBidi"/>
              <w:noProof/>
              <w:webHidden/>
            </w:rPr>
            <w:tab/>
          </w:r>
          <w:r w:rsidR="007D1B7F">
            <w:rPr>
              <w:rFonts w:asciiTheme="majorBidi" w:hAnsiTheme="majorBidi" w:cstheme="majorBidi"/>
              <w:noProof/>
              <w:webHidden/>
            </w:rPr>
            <w:t>148</w:t>
          </w:r>
        </w:p>
        <w:p w14:paraId="628B31F7" w14:textId="222A9491"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7.5.2.5</w:t>
          </w:r>
          <w:r w:rsidRPr="002C2A95">
            <w:rPr>
              <w:rFonts w:asciiTheme="majorBidi" w:eastAsiaTheme="minorEastAsia" w:hAnsiTheme="majorBidi" w:cstheme="majorBidi"/>
              <w:noProof/>
              <w:lang w:eastAsia="zh-CN"/>
            </w:rPr>
            <w:tab/>
          </w:r>
          <w:r w:rsidRPr="00174117">
            <w:rPr>
              <w:rFonts w:asciiTheme="majorBidi" w:hAnsiTheme="majorBidi" w:cstheme="majorBidi"/>
              <w:noProof/>
            </w:rPr>
            <w:t>Extrapolation from HVCS to expected usage</w:t>
          </w:r>
          <w:r w:rsidRPr="002C2A95">
            <w:rPr>
              <w:rFonts w:asciiTheme="majorBidi" w:hAnsiTheme="majorBidi" w:cstheme="majorBidi"/>
              <w:noProof/>
              <w:webHidden/>
            </w:rPr>
            <w:tab/>
          </w:r>
          <w:r w:rsidR="007D1B7F">
            <w:rPr>
              <w:rFonts w:asciiTheme="majorBidi" w:hAnsiTheme="majorBidi" w:cstheme="majorBidi"/>
              <w:noProof/>
              <w:webHidden/>
            </w:rPr>
            <w:t>148</w:t>
          </w:r>
        </w:p>
        <w:p w14:paraId="1108B4D6" w14:textId="33FA517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7.5.2.6 Areas of expected usage</w:t>
          </w:r>
          <w:r w:rsidRPr="002C2A95">
            <w:rPr>
              <w:rFonts w:asciiTheme="majorBidi" w:hAnsiTheme="majorBidi" w:cstheme="majorBidi"/>
              <w:noProof/>
              <w:webHidden/>
            </w:rPr>
            <w:tab/>
          </w:r>
          <w:r w:rsidR="007D1B7F">
            <w:rPr>
              <w:rFonts w:asciiTheme="majorBidi" w:hAnsiTheme="majorBidi" w:cstheme="majorBidi"/>
              <w:noProof/>
              <w:webHidden/>
            </w:rPr>
            <w:t>149</w:t>
          </w:r>
        </w:p>
        <w:p w14:paraId="160E42FF" w14:textId="5E9E6BE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7.5.2.7 Quantitative extrapolation to expected usage</w:t>
          </w:r>
          <w:r w:rsidRPr="002C2A95">
            <w:rPr>
              <w:rFonts w:asciiTheme="majorBidi" w:hAnsiTheme="majorBidi" w:cstheme="majorBidi"/>
              <w:noProof/>
              <w:webHidden/>
            </w:rPr>
            <w:tab/>
          </w:r>
          <w:r w:rsidR="007D1B7F">
            <w:rPr>
              <w:rFonts w:asciiTheme="majorBidi" w:hAnsiTheme="majorBidi" w:cstheme="majorBidi"/>
              <w:noProof/>
              <w:webHidden/>
            </w:rPr>
            <w:t>151</w:t>
          </w:r>
        </w:p>
        <w:p w14:paraId="3C2CEE87" w14:textId="3397EE56" w:rsidR="002C2A95" w:rsidRPr="002C2A95" w:rsidRDefault="002C2A95">
          <w:pPr>
            <w:pStyle w:val="TOC1"/>
            <w:tabs>
              <w:tab w:val="left" w:pos="440"/>
            </w:tabs>
            <w:rPr>
              <w:rFonts w:asciiTheme="majorBidi" w:eastAsiaTheme="minorEastAsia" w:hAnsiTheme="majorBidi" w:cstheme="majorBidi"/>
              <w:b w:val="0"/>
              <w:bCs w:val="0"/>
              <w:lang w:eastAsia="zh-CN"/>
            </w:rPr>
          </w:pPr>
          <w:r w:rsidRPr="00174117">
            <w:rPr>
              <w:rFonts w:asciiTheme="majorBidi" w:hAnsiTheme="majorBidi" w:cstheme="majorBidi"/>
              <w:b w:val="0"/>
              <w:bCs w:val="0"/>
            </w:rPr>
            <w:t>8</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Results of quantification of value</w:t>
          </w:r>
          <w:r w:rsidRPr="002C2A95">
            <w:rPr>
              <w:rFonts w:asciiTheme="majorBidi" w:hAnsiTheme="majorBidi" w:cstheme="majorBidi"/>
              <w:b w:val="0"/>
              <w:bCs w:val="0"/>
              <w:webHidden/>
            </w:rPr>
            <w:tab/>
          </w:r>
          <w:r w:rsidR="007D1B7F">
            <w:rPr>
              <w:rFonts w:asciiTheme="majorBidi" w:hAnsiTheme="majorBidi" w:cstheme="majorBidi"/>
              <w:b w:val="0"/>
              <w:bCs w:val="0"/>
              <w:webHidden/>
            </w:rPr>
            <w:t>158</w:t>
          </w:r>
        </w:p>
        <w:p w14:paraId="22C78C3C" w14:textId="4D5019B2"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8.1</w:t>
          </w:r>
          <w:r w:rsidRPr="002C2A95">
            <w:rPr>
              <w:rFonts w:asciiTheme="majorBidi" w:eastAsiaTheme="minorEastAsia" w:hAnsiTheme="majorBidi" w:cstheme="majorBidi"/>
              <w:noProof/>
              <w:lang w:eastAsia="zh-CN"/>
            </w:rPr>
            <w:tab/>
          </w:r>
          <w:r w:rsidRPr="00174117">
            <w:rPr>
              <w:rFonts w:asciiTheme="majorBidi" w:hAnsiTheme="majorBidi" w:cstheme="majorBidi"/>
              <w:noProof/>
            </w:rPr>
            <w:t>Direct patient net health effects in HVCS</w:t>
          </w:r>
          <w:r w:rsidRPr="002C2A95">
            <w:rPr>
              <w:rFonts w:asciiTheme="majorBidi" w:hAnsiTheme="majorBidi" w:cstheme="majorBidi"/>
              <w:noProof/>
              <w:webHidden/>
            </w:rPr>
            <w:tab/>
          </w:r>
          <w:r w:rsidR="007D1B7F">
            <w:rPr>
              <w:rFonts w:asciiTheme="majorBidi" w:hAnsiTheme="majorBidi" w:cstheme="majorBidi"/>
              <w:noProof/>
              <w:webHidden/>
            </w:rPr>
            <w:t>158</w:t>
          </w:r>
        </w:p>
        <w:p w14:paraId="5C5B8F72" w14:textId="2EC9C4F0"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8.1.1</w:t>
          </w:r>
          <w:r w:rsidRPr="002C2A95">
            <w:rPr>
              <w:rFonts w:asciiTheme="majorBidi" w:eastAsiaTheme="minorEastAsia" w:hAnsiTheme="majorBidi" w:cstheme="majorBidi"/>
              <w:noProof/>
              <w:lang w:eastAsia="zh-CN"/>
            </w:rPr>
            <w:tab/>
          </w:r>
          <w:r w:rsidRPr="00174117">
            <w:rPr>
              <w:rFonts w:asciiTheme="majorBidi" w:hAnsiTheme="majorBidi" w:cstheme="majorBidi"/>
              <w:noProof/>
            </w:rPr>
            <w:t>OXA-48 Empiric setting HAP/ VAP</w:t>
          </w:r>
          <w:r w:rsidRPr="002C2A95">
            <w:rPr>
              <w:rFonts w:asciiTheme="majorBidi" w:hAnsiTheme="majorBidi" w:cstheme="majorBidi"/>
              <w:noProof/>
              <w:webHidden/>
            </w:rPr>
            <w:tab/>
          </w:r>
          <w:r w:rsidR="007D1B7F">
            <w:rPr>
              <w:rFonts w:asciiTheme="majorBidi" w:hAnsiTheme="majorBidi" w:cstheme="majorBidi"/>
              <w:noProof/>
              <w:webHidden/>
            </w:rPr>
            <w:t>158</w:t>
          </w:r>
        </w:p>
        <w:p w14:paraId="3F9AE45A" w14:textId="1E03E7C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8.1.2 OXA-48 Microbiology-directed setting HAP/VAP and cUTI</w:t>
          </w:r>
          <w:r w:rsidRPr="002C2A95">
            <w:rPr>
              <w:rFonts w:asciiTheme="majorBidi" w:hAnsiTheme="majorBidi" w:cstheme="majorBidi"/>
              <w:noProof/>
              <w:webHidden/>
            </w:rPr>
            <w:tab/>
          </w:r>
          <w:r w:rsidR="007D1B7F">
            <w:rPr>
              <w:rFonts w:asciiTheme="majorBidi" w:hAnsiTheme="majorBidi" w:cstheme="majorBidi"/>
              <w:noProof/>
              <w:webHidden/>
            </w:rPr>
            <w:t>163</w:t>
          </w:r>
        </w:p>
        <w:p w14:paraId="343725AA" w14:textId="46B4F76A"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8.2</w:t>
          </w:r>
          <w:r w:rsidRPr="002C2A95">
            <w:rPr>
              <w:rFonts w:asciiTheme="majorBidi" w:eastAsiaTheme="minorEastAsia" w:hAnsiTheme="majorBidi" w:cstheme="majorBidi"/>
              <w:noProof/>
              <w:lang w:eastAsia="zh-CN"/>
            </w:rPr>
            <w:tab/>
          </w:r>
          <w:r w:rsidRPr="00174117">
            <w:rPr>
              <w:rFonts w:asciiTheme="majorBidi" w:hAnsiTheme="majorBidi" w:cstheme="majorBidi"/>
              <w:noProof/>
            </w:rPr>
            <w:t>Direct population net health effects in HVCS and broader areas of expected usage</w:t>
          </w:r>
          <w:r w:rsidRPr="002C2A95">
            <w:rPr>
              <w:rFonts w:asciiTheme="majorBidi" w:hAnsiTheme="majorBidi" w:cstheme="majorBidi"/>
              <w:noProof/>
              <w:webHidden/>
            </w:rPr>
            <w:tab/>
          </w:r>
          <w:r w:rsidR="007D1B7F">
            <w:rPr>
              <w:rFonts w:asciiTheme="majorBidi" w:hAnsiTheme="majorBidi" w:cstheme="majorBidi"/>
              <w:noProof/>
              <w:webHidden/>
            </w:rPr>
            <w:t>167</w:t>
          </w:r>
        </w:p>
        <w:p w14:paraId="42ACC3D9" w14:textId="3E0B62EA" w:rsidR="002C2A95" w:rsidRPr="002C2A95" w:rsidRDefault="002C2A95">
          <w:pPr>
            <w:pStyle w:val="TOC2"/>
            <w:tabs>
              <w:tab w:val="left" w:pos="88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w:t>
          </w:r>
          <w:r w:rsidRPr="002C2A95">
            <w:rPr>
              <w:rFonts w:asciiTheme="majorBidi" w:eastAsiaTheme="minorEastAsia" w:hAnsiTheme="majorBidi" w:cstheme="majorBidi"/>
              <w:noProof/>
              <w:lang w:eastAsia="zh-CN"/>
            </w:rPr>
            <w:tab/>
          </w:r>
          <w:r w:rsidRPr="00174117">
            <w:rPr>
              <w:rFonts w:asciiTheme="majorBidi" w:hAnsiTheme="majorBidi" w:cstheme="majorBidi"/>
              <w:noProof/>
            </w:rPr>
            <w:t>Additional elements of value relevant to AMs</w:t>
          </w:r>
          <w:r w:rsidRPr="002C2A95">
            <w:rPr>
              <w:rFonts w:asciiTheme="majorBidi" w:hAnsiTheme="majorBidi" w:cstheme="majorBidi"/>
              <w:noProof/>
              <w:webHidden/>
            </w:rPr>
            <w:tab/>
          </w:r>
          <w:r w:rsidR="007D1B7F">
            <w:rPr>
              <w:rFonts w:asciiTheme="majorBidi" w:hAnsiTheme="majorBidi" w:cstheme="majorBidi"/>
              <w:noProof/>
              <w:webHidden/>
            </w:rPr>
            <w:t>174</w:t>
          </w:r>
        </w:p>
        <w:p w14:paraId="78E2348B" w14:textId="65AEE159"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8.3.1 Conceptualisation of additional elements of value</w:t>
          </w:r>
          <w:r w:rsidRPr="002C2A95">
            <w:rPr>
              <w:rFonts w:asciiTheme="majorBidi" w:hAnsiTheme="majorBidi" w:cstheme="majorBidi"/>
              <w:noProof/>
              <w:webHidden/>
            </w:rPr>
            <w:tab/>
          </w:r>
          <w:r w:rsidR="007D1B7F">
            <w:rPr>
              <w:rFonts w:asciiTheme="majorBidi" w:hAnsiTheme="majorBidi" w:cstheme="majorBidi"/>
              <w:noProof/>
              <w:webHidden/>
            </w:rPr>
            <w:t>174</w:t>
          </w:r>
        </w:p>
        <w:p w14:paraId="1906BB19" w14:textId="0D705B7C" w:rsidR="002C2A95" w:rsidRPr="002C2A95" w:rsidRDefault="002C2A95">
          <w:pPr>
            <w:pStyle w:val="TOC2"/>
            <w:tabs>
              <w:tab w:val="left" w:pos="60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8.3.2 Importance and quantification of additional elements of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value</w:t>
          </w:r>
          <w:r w:rsidRPr="002C2A95">
            <w:rPr>
              <w:rFonts w:asciiTheme="majorBidi" w:hAnsiTheme="majorBidi" w:cstheme="majorBidi"/>
              <w:noProof/>
              <w:webHidden/>
            </w:rPr>
            <w:tab/>
          </w:r>
          <w:r w:rsidR="007D1B7F">
            <w:rPr>
              <w:rFonts w:asciiTheme="majorBidi" w:hAnsiTheme="majorBidi" w:cstheme="majorBidi"/>
              <w:noProof/>
              <w:webHidden/>
            </w:rPr>
            <w:t>175</w:t>
          </w:r>
        </w:p>
        <w:p w14:paraId="324478A3" w14:textId="2009493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lastRenderedPageBreak/>
            <w:t>8.3.2.1 Enablement value</w:t>
          </w:r>
          <w:r w:rsidRPr="002C2A95">
            <w:rPr>
              <w:rFonts w:asciiTheme="majorBidi" w:hAnsiTheme="majorBidi" w:cstheme="majorBidi"/>
              <w:noProof/>
              <w:webHidden/>
            </w:rPr>
            <w:tab/>
          </w:r>
          <w:r w:rsidR="007D1B7F">
            <w:rPr>
              <w:rFonts w:asciiTheme="majorBidi" w:hAnsiTheme="majorBidi" w:cstheme="majorBidi"/>
              <w:noProof/>
              <w:webHidden/>
            </w:rPr>
            <w:t>175</w:t>
          </w:r>
        </w:p>
        <w:p w14:paraId="07D4D4CB" w14:textId="6A50B80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8.3.2.2 Diversity value</w:t>
          </w:r>
          <w:r w:rsidRPr="002C2A95">
            <w:rPr>
              <w:rFonts w:asciiTheme="majorBidi" w:hAnsiTheme="majorBidi" w:cstheme="majorBidi"/>
              <w:noProof/>
              <w:webHidden/>
            </w:rPr>
            <w:tab/>
          </w:r>
          <w:r w:rsidR="007D1B7F">
            <w:rPr>
              <w:rFonts w:asciiTheme="majorBidi" w:hAnsiTheme="majorBidi" w:cstheme="majorBidi"/>
              <w:noProof/>
              <w:webHidden/>
            </w:rPr>
            <w:t>176</w:t>
          </w:r>
        </w:p>
        <w:p w14:paraId="0AF41F7B" w14:textId="4A5522C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8.3.2.3 Insurance value</w:t>
          </w:r>
          <w:r w:rsidRPr="002C2A95">
            <w:rPr>
              <w:rFonts w:asciiTheme="majorBidi" w:hAnsiTheme="majorBidi" w:cstheme="majorBidi"/>
              <w:noProof/>
              <w:webHidden/>
            </w:rPr>
            <w:tab/>
          </w:r>
          <w:r w:rsidR="007D1B7F">
            <w:rPr>
              <w:rFonts w:asciiTheme="majorBidi" w:hAnsiTheme="majorBidi" w:cstheme="majorBidi"/>
              <w:noProof/>
              <w:webHidden/>
            </w:rPr>
            <w:t>177</w:t>
          </w:r>
        </w:p>
        <w:p w14:paraId="526859D8" w14:textId="346584F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8.3.2.4 Transmission value</w:t>
          </w:r>
          <w:r w:rsidRPr="002C2A95">
            <w:rPr>
              <w:rFonts w:asciiTheme="majorBidi" w:hAnsiTheme="majorBidi" w:cstheme="majorBidi"/>
              <w:noProof/>
              <w:webHidden/>
            </w:rPr>
            <w:tab/>
          </w:r>
          <w:r w:rsidR="007D1B7F">
            <w:rPr>
              <w:rFonts w:asciiTheme="majorBidi" w:hAnsiTheme="majorBidi" w:cstheme="majorBidi"/>
              <w:noProof/>
              <w:webHidden/>
            </w:rPr>
            <w:t>177</w:t>
          </w:r>
        </w:p>
        <w:p w14:paraId="084B9B19" w14:textId="6EF80C3F"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8.3.2.5</w:t>
          </w:r>
          <w:r w:rsidRPr="002C2A95">
            <w:rPr>
              <w:rFonts w:asciiTheme="majorBidi" w:eastAsiaTheme="minorEastAsia" w:hAnsiTheme="majorBidi" w:cstheme="majorBidi"/>
              <w:noProof/>
              <w:lang w:eastAsia="zh-CN"/>
            </w:rPr>
            <w:tab/>
          </w:r>
          <w:r w:rsidRPr="00174117">
            <w:rPr>
              <w:rFonts w:asciiTheme="majorBidi" w:hAnsiTheme="majorBidi" w:cstheme="majorBidi"/>
              <w:noProof/>
            </w:rPr>
            <w:t>Spectrum value</w:t>
          </w:r>
          <w:r w:rsidRPr="002C2A95">
            <w:rPr>
              <w:rFonts w:asciiTheme="majorBidi" w:hAnsiTheme="majorBidi" w:cstheme="majorBidi"/>
              <w:noProof/>
              <w:webHidden/>
            </w:rPr>
            <w:tab/>
          </w:r>
          <w:r w:rsidR="007D1B7F">
            <w:rPr>
              <w:rFonts w:asciiTheme="majorBidi" w:hAnsiTheme="majorBidi" w:cstheme="majorBidi"/>
              <w:noProof/>
              <w:webHidden/>
            </w:rPr>
            <w:t>178</w:t>
          </w:r>
        </w:p>
        <w:p w14:paraId="5789C993" w14:textId="0E8558CD"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8.3.1</w:t>
          </w:r>
          <w:r w:rsidRPr="002C2A95">
            <w:rPr>
              <w:rFonts w:asciiTheme="majorBidi" w:eastAsiaTheme="minorEastAsia" w:hAnsiTheme="majorBidi" w:cstheme="majorBidi"/>
              <w:noProof/>
              <w:lang w:eastAsia="zh-CN"/>
            </w:rPr>
            <w:tab/>
          </w:r>
          <w:r w:rsidRPr="00174117">
            <w:rPr>
              <w:rFonts w:asciiTheme="majorBidi" w:hAnsiTheme="majorBidi" w:cstheme="majorBidi"/>
              <w:noProof/>
            </w:rPr>
            <w:t>Summary</w:t>
          </w:r>
          <w:r w:rsidRPr="002C2A95">
            <w:rPr>
              <w:rFonts w:asciiTheme="majorBidi" w:hAnsiTheme="majorBidi" w:cstheme="majorBidi"/>
              <w:noProof/>
              <w:webHidden/>
            </w:rPr>
            <w:tab/>
          </w:r>
          <w:r w:rsidR="007D1B7F">
            <w:rPr>
              <w:rFonts w:asciiTheme="majorBidi" w:hAnsiTheme="majorBidi" w:cstheme="majorBidi"/>
              <w:noProof/>
              <w:webHidden/>
            </w:rPr>
            <w:t>179</w:t>
          </w:r>
        </w:p>
        <w:p w14:paraId="5C06EEC8" w14:textId="03F92AB8" w:rsidR="002C2A95" w:rsidRPr="002C2A95" w:rsidRDefault="002C2A95">
          <w:pPr>
            <w:pStyle w:val="TOC1"/>
            <w:rPr>
              <w:rFonts w:asciiTheme="majorBidi" w:eastAsiaTheme="minorEastAsia" w:hAnsiTheme="majorBidi" w:cstheme="majorBidi"/>
              <w:b w:val="0"/>
              <w:bCs w:val="0"/>
              <w:lang w:eastAsia="zh-CN"/>
            </w:rPr>
          </w:pPr>
          <w:r w:rsidRPr="00174117">
            <w:rPr>
              <w:rFonts w:asciiTheme="majorBidi" w:hAnsiTheme="majorBidi" w:cstheme="majorBidi"/>
              <w:b w:val="0"/>
              <w:bCs w:val="0"/>
            </w:rPr>
            <w:t>9. Discussion and conclusion</w:t>
          </w:r>
          <w:r w:rsidRPr="002C2A95">
            <w:rPr>
              <w:rFonts w:asciiTheme="majorBidi" w:hAnsiTheme="majorBidi" w:cstheme="majorBidi"/>
              <w:b w:val="0"/>
              <w:bCs w:val="0"/>
              <w:webHidden/>
            </w:rPr>
            <w:tab/>
          </w:r>
          <w:r w:rsidR="007D1B7F">
            <w:rPr>
              <w:rFonts w:asciiTheme="majorBidi" w:hAnsiTheme="majorBidi" w:cstheme="majorBidi"/>
              <w:b w:val="0"/>
              <w:bCs w:val="0"/>
              <w:webHidden/>
            </w:rPr>
            <w:t>180</w:t>
          </w:r>
        </w:p>
        <w:p w14:paraId="11035B75" w14:textId="6B26285F"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9.1 Conclusion</w:t>
          </w:r>
          <w:r w:rsidRPr="002C2A95">
            <w:rPr>
              <w:rFonts w:asciiTheme="majorBidi" w:hAnsiTheme="majorBidi" w:cstheme="majorBidi"/>
              <w:noProof/>
              <w:webHidden/>
            </w:rPr>
            <w:tab/>
          </w:r>
          <w:r w:rsidR="007D1B7F">
            <w:rPr>
              <w:rFonts w:asciiTheme="majorBidi" w:hAnsiTheme="majorBidi" w:cstheme="majorBidi"/>
              <w:noProof/>
              <w:webHidden/>
            </w:rPr>
            <w:t>183</w:t>
          </w:r>
        </w:p>
        <w:p w14:paraId="48D84117" w14:textId="0EF60D8D" w:rsidR="002C2A95" w:rsidRPr="002C2A95" w:rsidRDefault="002C2A95">
          <w:pPr>
            <w:pStyle w:val="TOC1"/>
            <w:tabs>
              <w:tab w:val="left" w:pos="660"/>
            </w:tabs>
            <w:rPr>
              <w:rFonts w:asciiTheme="majorBidi" w:eastAsiaTheme="minorEastAsia" w:hAnsiTheme="majorBidi" w:cstheme="majorBidi"/>
              <w:b w:val="0"/>
              <w:bCs w:val="0"/>
              <w:lang w:eastAsia="zh-CN"/>
            </w:rPr>
          </w:pPr>
          <w:r w:rsidRPr="00174117">
            <w:rPr>
              <w:rFonts w:asciiTheme="majorBidi" w:hAnsiTheme="majorBidi" w:cstheme="majorBidi"/>
              <w:b w:val="0"/>
              <w:bCs w:val="0"/>
            </w:rPr>
            <w:t>10.</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References</w:t>
          </w:r>
          <w:r w:rsidRPr="002C2A95">
            <w:rPr>
              <w:rFonts w:asciiTheme="majorBidi" w:hAnsiTheme="majorBidi" w:cstheme="majorBidi"/>
              <w:b w:val="0"/>
              <w:bCs w:val="0"/>
              <w:webHidden/>
            </w:rPr>
            <w:tab/>
          </w:r>
          <w:r w:rsidR="007D1B7F">
            <w:rPr>
              <w:rFonts w:asciiTheme="majorBidi" w:hAnsiTheme="majorBidi" w:cstheme="majorBidi"/>
              <w:b w:val="0"/>
              <w:bCs w:val="0"/>
              <w:webHidden/>
            </w:rPr>
            <w:t>184</w:t>
          </w:r>
        </w:p>
        <w:p w14:paraId="2B45E1EE" w14:textId="6D8D8F45" w:rsidR="002C2A95" w:rsidRPr="002C2A95" w:rsidRDefault="002C2A95">
          <w:pPr>
            <w:pStyle w:val="TOC1"/>
            <w:tabs>
              <w:tab w:val="left" w:pos="660"/>
            </w:tabs>
            <w:rPr>
              <w:rFonts w:asciiTheme="majorBidi" w:eastAsiaTheme="minorEastAsia" w:hAnsiTheme="majorBidi" w:cstheme="majorBidi"/>
              <w:b w:val="0"/>
              <w:bCs w:val="0"/>
              <w:lang w:eastAsia="zh-CN"/>
            </w:rPr>
          </w:pPr>
          <w:r w:rsidRPr="00174117">
            <w:rPr>
              <w:rFonts w:asciiTheme="majorBidi" w:hAnsiTheme="majorBidi" w:cstheme="majorBidi"/>
              <w:b w:val="0"/>
              <w:bCs w:val="0"/>
            </w:rPr>
            <w:t>11.</w:t>
          </w:r>
          <w:r w:rsidRPr="002C2A95">
            <w:rPr>
              <w:rFonts w:asciiTheme="majorBidi" w:eastAsiaTheme="minorEastAsia" w:hAnsiTheme="majorBidi" w:cstheme="majorBidi"/>
              <w:b w:val="0"/>
              <w:bCs w:val="0"/>
              <w:lang w:eastAsia="zh-CN"/>
            </w:rPr>
            <w:tab/>
          </w:r>
          <w:r w:rsidRPr="00174117">
            <w:rPr>
              <w:rFonts w:asciiTheme="majorBidi" w:hAnsiTheme="majorBidi" w:cstheme="majorBidi"/>
              <w:b w:val="0"/>
              <w:bCs w:val="0"/>
            </w:rPr>
            <w:t>Appendices</w:t>
          </w:r>
          <w:r w:rsidRPr="002C2A95">
            <w:rPr>
              <w:rFonts w:asciiTheme="majorBidi" w:hAnsiTheme="majorBidi" w:cstheme="majorBidi"/>
              <w:b w:val="0"/>
              <w:bCs w:val="0"/>
              <w:webHidden/>
            </w:rPr>
            <w:tab/>
          </w:r>
          <w:r w:rsidR="007D1B7F">
            <w:rPr>
              <w:rFonts w:asciiTheme="majorBidi" w:hAnsiTheme="majorBidi" w:cstheme="majorBidi"/>
              <w:b w:val="0"/>
              <w:bCs w:val="0"/>
              <w:webHidden/>
            </w:rPr>
            <w:t>196</w:t>
          </w:r>
        </w:p>
        <w:p w14:paraId="32F92162" w14:textId="732FB53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 Search strategies</w:t>
          </w:r>
          <w:r w:rsidRPr="002C2A95">
            <w:rPr>
              <w:rFonts w:asciiTheme="majorBidi" w:hAnsiTheme="majorBidi" w:cstheme="majorBidi"/>
              <w:noProof/>
              <w:webHidden/>
            </w:rPr>
            <w:tab/>
          </w:r>
          <w:r w:rsidR="007D1B7F">
            <w:rPr>
              <w:rFonts w:asciiTheme="majorBidi" w:hAnsiTheme="majorBidi" w:cstheme="majorBidi"/>
              <w:noProof/>
              <w:webHidden/>
            </w:rPr>
            <w:t>196</w:t>
          </w:r>
        </w:p>
        <w:p w14:paraId="1A826FBD" w14:textId="66CDC631" w:rsidR="002C2A95" w:rsidRPr="002C2A95" w:rsidRDefault="002C2A95">
          <w:pPr>
            <w:pStyle w:val="TOC3"/>
            <w:rPr>
              <w:rFonts w:eastAsiaTheme="minorEastAsia"/>
              <w:lang w:eastAsia="zh-CN"/>
            </w:rPr>
          </w:pPr>
          <w:r w:rsidRPr="00174117">
            <w:t>A1.1 CAZ/AVI</w:t>
          </w:r>
          <w:r w:rsidRPr="002C2A95">
            <w:rPr>
              <w:webHidden/>
            </w:rPr>
            <w:tab/>
          </w:r>
          <w:r w:rsidR="007D1B7F">
            <w:rPr>
              <w:webHidden/>
            </w:rPr>
            <w:t>196</w:t>
          </w:r>
        </w:p>
        <w:p w14:paraId="190575E9" w14:textId="62034E7E" w:rsidR="002C2A95" w:rsidRPr="002C2A95" w:rsidRDefault="002C2A95">
          <w:pPr>
            <w:pStyle w:val="TOC3"/>
            <w:rPr>
              <w:rFonts w:eastAsiaTheme="minorEastAsia"/>
              <w:lang w:eastAsia="zh-CN"/>
            </w:rPr>
          </w:pPr>
          <w:r w:rsidRPr="00174117">
            <w:t>A1.2 CAZ/AVI CEA models</w:t>
          </w:r>
          <w:r w:rsidRPr="002C2A95">
            <w:rPr>
              <w:webHidden/>
            </w:rPr>
            <w:tab/>
          </w:r>
          <w:r w:rsidR="007D1B7F">
            <w:rPr>
              <w:webHidden/>
            </w:rPr>
            <w:t>204</w:t>
          </w:r>
        </w:p>
        <w:p w14:paraId="018933BB" w14:textId="331F36E9" w:rsidR="002C2A95" w:rsidRPr="002C2A95" w:rsidRDefault="002C2A95">
          <w:pPr>
            <w:pStyle w:val="TOC3"/>
            <w:rPr>
              <w:rFonts w:eastAsiaTheme="minorEastAsia"/>
              <w:lang w:eastAsia="zh-CN"/>
            </w:rPr>
          </w:pPr>
          <w:r w:rsidRPr="00174117">
            <w:t>A1.3 Non-Clinical Evidence</w:t>
          </w:r>
          <w:r w:rsidRPr="002C2A95">
            <w:rPr>
              <w:webHidden/>
            </w:rPr>
            <w:tab/>
          </w:r>
          <w:r w:rsidR="007D1B7F">
            <w:rPr>
              <w:webHidden/>
            </w:rPr>
            <w:t>206</w:t>
          </w:r>
        </w:p>
        <w:p w14:paraId="0792365F" w14:textId="33A5FDB7"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2: Data requests</w:t>
          </w:r>
          <w:r w:rsidRPr="002C2A95">
            <w:rPr>
              <w:rFonts w:asciiTheme="majorBidi" w:hAnsiTheme="majorBidi" w:cstheme="majorBidi"/>
              <w:noProof/>
              <w:webHidden/>
            </w:rPr>
            <w:tab/>
          </w:r>
          <w:r w:rsidR="007D1B7F">
            <w:rPr>
              <w:rFonts w:asciiTheme="majorBidi" w:hAnsiTheme="majorBidi" w:cstheme="majorBidi"/>
              <w:noProof/>
              <w:webHidden/>
            </w:rPr>
            <w:t>220</w:t>
          </w:r>
        </w:p>
        <w:p w14:paraId="0F3C9F27" w14:textId="337F33F8" w:rsidR="002C2A95" w:rsidRPr="002C2A95" w:rsidRDefault="002C2A95">
          <w:pPr>
            <w:pStyle w:val="TOC3"/>
            <w:tabs>
              <w:tab w:val="left" w:pos="6996"/>
            </w:tabs>
            <w:rPr>
              <w:rFonts w:eastAsiaTheme="minorEastAsia"/>
              <w:lang w:eastAsia="zh-CN"/>
            </w:rPr>
          </w:pPr>
          <w:r w:rsidRPr="00174117">
            <w:t xml:space="preserve">A2.1 Submitted to NICE for the attention of Pfizer on 21st May 2021 – </w:t>
          </w:r>
          <w:r w:rsidRPr="002C2A95">
            <w:rPr>
              <w:rFonts w:eastAsiaTheme="minorEastAsia"/>
              <w:lang w:eastAsia="zh-CN"/>
            </w:rPr>
            <w:tab/>
          </w:r>
          <w:r w:rsidRPr="00174117">
            <w:t>request for any data relating to observational studies they may have access  to IPD for</w:t>
          </w:r>
          <w:r w:rsidRPr="002C2A95">
            <w:rPr>
              <w:webHidden/>
            </w:rPr>
            <w:tab/>
          </w:r>
          <w:r w:rsidR="007D1B7F">
            <w:rPr>
              <w:webHidden/>
            </w:rPr>
            <w:t>220</w:t>
          </w:r>
        </w:p>
        <w:p w14:paraId="23B24278" w14:textId="4FF6063D" w:rsidR="002C2A95" w:rsidRPr="002C2A95" w:rsidRDefault="002C2A95">
          <w:pPr>
            <w:pStyle w:val="TOC3"/>
            <w:tabs>
              <w:tab w:val="left" w:pos="7021"/>
            </w:tabs>
            <w:rPr>
              <w:rFonts w:eastAsiaTheme="minorEastAsia"/>
              <w:lang w:eastAsia="zh-CN"/>
            </w:rPr>
          </w:pPr>
          <w:r w:rsidRPr="00174117">
            <w:t xml:space="preserve">A2.2 Submitted to NICE for the attention of Pfizer on 18th June 2021 – </w:t>
          </w:r>
          <w:r w:rsidRPr="002C2A95">
            <w:rPr>
              <w:rFonts w:eastAsiaTheme="minorEastAsia"/>
              <w:lang w:eastAsia="zh-CN"/>
            </w:rPr>
            <w:tab/>
          </w:r>
          <w:r w:rsidRPr="00174117">
            <w:t xml:space="preserve">Any OXA-48 </w:t>
          </w:r>
          <w:r w:rsidRPr="00174117">
            <w:rPr>
              <w:i/>
              <w:iCs/>
            </w:rPr>
            <w:t>Enterobacterales</w:t>
          </w:r>
          <w:r w:rsidRPr="00174117">
            <w:t xml:space="preserve"> susceptibility data they had access to, for  CAZ-AVI and the HVCS comparators</w:t>
          </w:r>
          <w:r w:rsidRPr="002C2A95">
            <w:rPr>
              <w:webHidden/>
            </w:rPr>
            <w:tab/>
          </w:r>
          <w:r w:rsidR="007D1B7F">
            <w:rPr>
              <w:webHidden/>
            </w:rPr>
            <w:t>221</w:t>
          </w:r>
        </w:p>
        <w:p w14:paraId="08ACC6A2" w14:textId="3D21636C" w:rsidR="002C2A95" w:rsidRPr="002C2A95" w:rsidRDefault="002C2A95">
          <w:pPr>
            <w:pStyle w:val="TOC3"/>
            <w:rPr>
              <w:rFonts w:eastAsiaTheme="minorEastAsia"/>
              <w:lang w:eastAsia="zh-CN"/>
            </w:rPr>
          </w:pPr>
          <w:r w:rsidRPr="00174117">
            <w:t>A2.3 Data request to PHE</w:t>
          </w:r>
          <w:r w:rsidRPr="002C2A95">
            <w:rPr>
              <w:webHidden/>
            </w:rPr>
            <w:tab/>
          </w:r>
          <w:r w:rsidR="007D1B7F">
            <w:rPr>
              <w:webHidden/>
            </w:rPr>
            <w:t>225</w:t>
          </w:r>
        </w:p>
        <w:p w14:paraId="674CE631" w14:textId="67ADCB8B" w:rsidR="002C2A95" w:rsidRPr="002C2A95" w:rsidRDefault="002C2A95">
          <w:pPr>
            <w:pStyle w:val="TOC3"/>
            <w:rPr>
              <w:rFonts w:eastAsiaTheme="minorEastAsia"/>
              <w:lang w:eastAsia="zh-CN"/>
            </w:rPr>
          </w:pPr>
          <w:r w:rsidRPr="00174117">
            <w:t>A2.4 Further information on PHE data</w:t>
          </w:r>
          <w:r w:rsidRPr="002C2A95">
            <w:rPr>
              <w:webHidden/>
            </w:rPr>
            <w:tab/>
          </w:r>
          <w:r w:rsidR="007D1B7F">
            <w:rPr>
              <w:webHidden/>
            </w:rPr>
            <w:t>229</w:t>
          </w:r>
        </w:p>
        <w:p w14:paraId="0C27C3E0" w14:textId="3733A5C1"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3: Data extraction fields</w:t>
          </w:r>
          <w:r w:rsidRPr="002C2A95">
            <w:rPr>
              <w:rFonts w:asciiTheme="majorBidi" w:hAnsiTheme="majorBidi" w:cstheme="majorBidi"/>
              <w:noProof/>
              <w:webHidden/>
            </w:rPr>
            <w:tab/>
          </w:r>
          <w:r w:rsidR="007D1B7F">
            <w:rPr>
              <w:rFonts w:asciiTheme="majorBidi" w:hAnsiTheme="majorBidi" w:cstheme="majorBidi"/>
              <w:noProof/>
              <w:webHidden/>
            </w:rPr>
            <w:t>231</w:t>
          </w:r>
        </w:p>
        <w:p w14:paraId="6C9230E7" w14:textId="3B26389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4: Risk of bias assessment tool and scores</w:t>
          </w:r>
          <w:r w:rsidRPr="002C2A95">
            <w:rPr>
              <w:rFonts w:asciiTheme="majorBidi" w:hAnsiTheme="majorBidi" w:cstheme="majorBidi"/>
              <w:noProof/>
              <w:webHidden/>
            </w:rPr>
            <w:tab/>
          </w:r>
          <w:r w:rsidR="007D1B7F">
            <w:rPr>
              <w:rFonts w:asciiTheme="majorBidi" w:hAnsiTheme="majorBidi" w:cstheme="majorBidi"/>
              <w:noProof/>
              <w:webHidden/>
            </w:rPr>
            <w:t>233</w:t>
          </w:r>
        </w:p>
        <w:p w14:paraId="3F6B0787" w14:textId="65B17497" w:rsidR="002C2A95" w:rsidRPr="002C2A95" w:rsidRDefault="002C2A95">
          <w:pPr>
            <w:pStyle w:val="TOC3"/>
            <w:rPr>
              <w:rFonts w:eastAsiaTheme="minorEastAsia"/>
              <w:lang w:eastAsia="zh-CN"/>
            </w:rPr>
          </w:pPr>
          <w:r w:rsidRPr="00174117">
            <w:t>A4.1 The bespoke risk of bias assessment tool</w:t>
          </w:r>
          <w:r w:rsidRPr="002C2A95">
            <w:rPr>
              <w:webHidden/>
            </w:rPr>
            <w:tab/>
          </w:r>
          <w:r w:rsidR="007D1B7F">
            <w:rPr>
              <w:webHidden/>
            </w:rPr>
            <w:t>233</w:t>
          </w:r>
        </w:p>
        <w:p w14:paraId="080C9865" w14:textId="2A33B9BB" w:rsidR="002C2A95" w:rsidRPr="002C2A95" w:rsidRDefault="002C2A95">
          <w:pPr>
            <w:pStyle w:val="TOC3"/>
            <w:rPr>
              <w:rFonts w:eastAsiaTheme="minorEastAsia"/>
              <w:lang w:eastAsia="zh-CN"/>
            </w:rPr>
          </w:pPr>
          <w:r w:rsidRPr="00174117">
            <w:t>A4.2 Risk of bias scores with reasons</w:t>
          </w:r>
          <w:r w:rsidRPr="002C2A95">
            <w:rPr>
              <w:webHidden/>
            </w:rPr>
            <w:tab/>
          </w:r>
          <w:r w:rsidR="007D1B7F">
            <w:rPr>
              <w:webHidden/>
            </w:rPr>
            <w:t>236</w:t>
          </w:r>
        </w:p>
        <w:p w14:paraId="663EFFB4" w14:textId="6751B22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5: Data sources excluded from susceptibility review</w:t>
          </w:r>
          <w:r w:rsidRPr="002C2A95">
            <w:rPr>
              <w:rFonts w:asciiTheme="majorBidi" w:hAnsiTheme="majorBidi" w:cstheme="majorBidi"/>
              <w:noProof/>
              <w:webHidden/>
            </w:rPr>
            <w:tab/>
          </w:r>
          <w:r w:rsidR="007D1B7F">
            <w:rPr>
              <w:rFonts w:asciiTheme="majorBidi" w:hAnsiTheme="majorBidi" w:cstheme="majorBidi"/>
              <w:noProof/>
              <w:webHidden/>
            </w:rPr>
            <w:t>243</w:t>
          </w:r>
        </w:p>
        <w:p w14:paraId="19E49241" w14:textId="090D084A" w:rsidR="002C2A95" w:rsidRPr="002C2A95" w:rsidRDefault="002C2A95">
          <w:pPr>
            <w:pStyle w:val="TOC3"/>
            <w:rPr>
              <w:rFonts w:eastAsiaTheme="minorEastAsia"/>
              <w:lang w:eastAsia="zh-CN"/>
            </w:rPr>
          </w:pPr>
          <w:r w:rsidRPr="00174117">
            <w:t>A5.1 Susceptibility studies excluded on the basis of their full text (n=32)</w:t>
          </w:r>
          <w:r w:rsidRPr="002C2A95">
            <w:rPr>
              <w:webHidden/>
            </w:rPr>
            <w:tab/>
          </w:r>
          <w:r w:rsidR="007D1B7F">
            <w:rPr>
              <w:webHidden/>
            </w:rPr>
            <w:t>243</w:t>
          </w:r>
        </w:p>
        <w:p w14:paraId="70CB96BC" w14:textId="179E8C82" w:rsidR="002C2A95" w:rsidRPr="002C2A95" w:rsidRDefault="002C2A95">
          <w:pPr>
            <w:pStyle w:val="TOC3"/>
            <w:rPr>
              <w:rFonts w:eastAsiaTheme="minorEastAsia"/>
              <w:lang w:eastAsia="zh-CN"/>
            </w:rPr>
          </w:pPr>
          <w:r w:rsidRPr="00174117">
            <w:t>A5.2 Surveillance study databases excluded from the review</w:t>
          </w:r>
          <w:r w:rsidRPr="002C2A95">
            <w:rPr>
              <w:webHidden/>
            </w:rPr>
            <w:tab/>
          </w:r>
          <w:r w:rsidR="007D1B7F">
            <w:rPr>
              <w:webHidden/>
            </w:rPr>
            <w:t>243</w:t>
          </w:r>
        </w:p>
        <w:p w14:paraId="4D62A34E" w14:textId="58883F9E" w:rsidR="002C2A95" w:rsidRPr="002C2A95" w:rsidRDefault="002C2A95">
          <w:pPr>
            <w:pStyle w:val="TOC3"/>
            <w:rPr>
              <w:rFonts w:eastAsiaTheme="minorEastAsia"/>
              <w:lang w:eastAsia="zh-CN"/>
            </w:rPr>
          </w:pPr>
          <w:r w:rsidRPr="00174117">
            <w:t>A5.3 Studies excluded from the meta-analysis (n=12)</w:t>
          </w:r>
          <w:r w:rsidRPr="002C2A95">
            <w:rPr>
              <w:webHidden/>
            </w:rPr>
            <w:tab/>
          </w:r>
          <w:r w:rsidR="007D1B7F">
            <w:rPr>
              <w:webHidden/>
            </w:rPr>
            <w:t>244</w:t>
          </w:r>
        </w:p>
        <w:p w14:paraId="5C1FCEA9" w14:textId="059D507C"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eastAsiaTheme="majorEastAsia" w:hAnsiTheme="majorBidi" w:cstheme="majorBidi"/>
              <w:noProof/>
              <w:lang w:eastAsia="zh-CN"/>
            </w:rPr>
            <w:t>Appendix 6: Reviews 1 &amp; 2 results</w:t>
          </w:r>
          <w:r w:rsidRPr="002C2A95">
            <w:rPr>
              <w:rFonts w:asciiTheme="majorBidi" w:hAnsiTheme="majorBidi" w:cstheme="majorBidi"/>
              <w:noProof/>
              <w:webHidden/>
            </w:rPr>
            <w:tab/>
          </w:r>
          <w:r w:rsidR="007D1B7F">
            <w:rPr>
              <w:rFonts w:asciiTheme="majorBidi" w:hAnsiTheme="majorBidi" w:cstheme="majorBidi"/>
              <w:noProof/>
              <w:webHidden/>
            </w:rPr>
            <w:t>249</w:t>
          </w:r>
        </w:p>
        <w:p w14:paraId="4B4815BE" w14:textId="7B2D2F22" w:rsidR="002C2A95" w:rsidRPr="002C2A95" w:rsidRDefault="002C2A95">
          <w:pPr>
            <w:pStyle w:val="TOC3"/>
            <w:rPr>
              <w:rFonts w:eastAsiaTheme="minorEastAsia"/>
              <w:lang w:eastAsia="zh-CN"/>
            </w:rPr>
          </w:pPr>
          <w:r w:rsidRPr="00174117">
            <w:t>A6.1 Review 1: RCTs in HAP/VAP and/or cUTI</w:t>
          </w:r>
          <w:r w:rsidRPr="002C2A95">
            <w:rPr>
              <w:webHidden/>
            </w:rPr>
            <w:tab/>
          </w:r>
          <w:r w:rsidR="007D1B7F">
            <w:rPr>
              <w:webHidden/>
            </w:rPr>
            <w:t>249</w:t>
          </w:r>
        </w:p>
        <w:p w14:paraId="2776E687" w14:textId="07B7223B" w:rsidR="002C2A95" w:rsidRPr="002C2A95" w:rsidRDefault="002C2A95">
          <w:pPr>
            <w:pStyle w:val="TOC3"/>
            <w:tabs>
              <w:tab w:val="left" w:pos="7356"/>
            </w:tabs>
            <w:rPr>
              <w:rFonts w:eastAsiaTheme="minorEastAsia"/>
              <w:lang w:eastAsia="zh-CN"/>
            </w:rPr>
          </w:pPr>
          <w:r w:rsidRPr="00174117">
            <w:t xml:space="preserve">A6.2 Summary of results for the phase II study (Vazquez et al. 2012)34 not </w:t>
          </w:r>
          <w:r w:rsidRPr="002C2A95">
            <w:rPr>
              <w:rFonts w:eastAsiaTheme="minorEastAsia"/>
              <w:lang w:eastAsia="zh-CN"/>
            </w:rPr>
            <w:tab/>
          </w:r>
          <w:r w:rsidRPr="00174117">
            <w:t>included in the Pfizer company submission</w:t>
          </w:r>
          <w:r w:rsidRPr="002C2A95">
            <w:rPr>
              <w:webHidden/>
            </w:rPr>
            <w:tab/>
          </w:r>
          <w:r w:rsidR="007D1B7F">
            <w:rPr>
              <w:webHidden/>
            </w:rPr>
            <w:t>252</w:t>
          </w:r>
        </w:p>
        <w:p w14:paraId="17768DFB" w14:textId="61DA7678" w:rsidR="002C2A95" w:rsidRPr="002C2A95" w:rsidRDefault="002C2A95">
          <w:pPr>
            <w:pStyle w:val="TOC3"/>
            <w:rPr>
              <w:rFonts w:eastAsiaTheme="minorEastAsia"/>
              <w:lang w:eastAsia="zh-CN"/>
            </w:rPr>
          </w:pPr>
          <w:r w:rsidRPr="00174117">
            <w:t>A6.3 Review 2: Observational studies</w:t>
          </w:r>
          <w:r w:rsidRPr="002C2A95">
            <w:rPr>
              <w:webHidden/>
            </w:rPr>
            <w:tab/>
          </w:r>
          <w:r w:rsidR="007D1B7F">
            <w:rPr>
              <w:webHidden/>
            </w:rPr>
            <w:t>254</w:t>
          </w:r>
        </w:p>
        <w:p w14:paraId="3A318DDB" w14:textId="0A311E1F" w:rsidR="002C2A95" w:rsidRPr="002C2A95" w:rsidRDefault="002C2A95">
          <w:pPr>
            <w:pStyle w:val="TOC2"/>
            <w:tabs>
              <w:tab w:val="left" w:pos="5835"/>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7: Susceptibility synthesis methods and sensitivity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analysis results</w:t>
          </w:r>
          <w:r w:rsidRPr="002C2A95">
            <w:rPr>
              <w:rFonts w:asciiTheme="majorBidi" w:hAnsiTheme="majorBidi" w:cstheme="majorBidi"/>
              <w:noProof/>
              <w:webHidden/>
            </w:rPr>
            <w:tab/>
          </w:r>
          <w:r w:rsidR="007D1B7F">
            <w:rPr>
              <w:rFonts w:asciiTheme="majorBidi" w:hAnsiTheme="majorBidi" w:cstheme="majorBidi"/>
              <w:noProof/>
              <w:webHidden/>
            </w:rPr>
            <w:t>257</w:t>
          </w:r>
        </w:p>
        <w:p w14:paraId="1A1BE2D4" w14:textId="68921508" w:rsidR="002C2A95" w:rsidRPr="002C2A95" w:rsidRDefault="002C2A95">
          <w:pPr>
            <w:pStyle w:val="TOC3"/>
            <w:rPr>
              <w:rFonts w:eastAsiaTheme="minorEastAsia"/>
              <w:lang w:eastAsia="zh-CN"/>
            </w:rPr>
          </w:pPr>
          <w:r w:rsidRPr="00174117">
            <w:t>A7.1 Statistical model for the network meta-analysis</w:t>
          </w:r>
          <w:r w:rsidRPr="002C2A95">
            <w:rPr>
              <w:webHidden/>
            </w:rPr>
            <w:tab/>
          </w:r>
          <w:r w:rsidR="007D1B7F">
            <w:rPr>
              <w:webHidden/>
            </w:rPr>
            <w:t>257</w:t>
          </w:r>
        </w:p>
        <w:p w14:paraId="3AD99171" w14:textId="1C0B4140" w:rsidR="002C2A95" w:rsidRPr="002C2A95" w:rsidRDefault="002C2A95">
          <w:pPr>
            <w:pStyle w:val="TOC3"/>
            <w:rPr>
              <w:rFonts w:eastAsiaTheme="minorEastAsia"/>
              <w:lang w:eastAsia="zh-CN"/>
            </w:rPr>
          </w:pPr>
          <w:r w:rsidRPr="00174117">
            <w:t>A7.2 Sensitivity analysis NMA results</w:t>
          </w:r>
          <w:r w:rsidRPr="002C2A95">
            <w:rPr>
              <w:webHidden/>
            </w:rPr>
            <w:tab/>
          </w:r>
          <w:r w:rsidR="007D1B7F">
            <w:rPr>
              <w:webHidden/>
            </w:rPr>
            <w:t>257</w:t>
          </w:r>
        </w:p>
        <w:p w14:paraId="47AD7F41" w14:textId="703FB01F" w:rsidR="002C2A95" w:rsidRPr="002C2A95" w:rsidRDefault="002C2A95">
          <w:pPr>
            <w:pStyle w:val="TOC3"/>
            <w:rPr>
              <w:rFonts w:eastAsiaTheme="minorEastAsia"/>
              <w:lang w:eastAsia="zh-CN"/>
            </w:rPr>
          </w:pPr>
          <w:r w:rsidRPr="00174117">
            <w:lastRenderedPageBreak/>
            <w:t>A7.3 Inconsistency checks</w:t>
          </w:r>
          <w:r w:rsidRPr="002C2A95">
            <w:rPr>
              <w:webHidden/>
            </w:rPr>
            <w:tab/>
          </w:r>
          <w:r w:rsidR="007D1B7F">
            <w:rPr>
              <w:webHidden/>
            </w:rPr>
            <w:t>272</w:t>
          </w:r>
        </w:p>
        <w:p w14:paraId="65F7CD55" w14:textId="51324409"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8: Additional content for review 4</w:t>
          </w:r>
          <w:r w:rsidRPr="002C2A95">
            <w:rPr>
              <w:rFonts w:asciiTheme="majorBidi" w:hAnsiTheme="majorBidi" w:cstheme="majorBidi"/>
              <w:noProof/>
              <w:webHidden/>
            </w:rPr>
            <w:tab/>
          </w:r>
          <w:r w:rsidR="007D1B7F">
            <w:rPr>
              <w:rFonts w:asciiTheme="majorBidi" w:hAnsiTheme="majorBidi" w:cstheme="majorBidi"/>
              <w:noProof/>
              <w:webHidden/>
            </w:rPr>
            <w:t>274</w:t>
          </w:r>
        </w:p>
        <w:p w14:paraId="6E8D2538" w14:textId="5B2E6089" w:rsidR="002C2A95" w:rsidRPr="002C2A95" w:rsidRDefault="002C2A95">
          <w:pPr>
            <w:pStyle w:val="TOC3"/>
            <w:rPr>
              <w:rFonts w:eastAsiaTheme="minorEastAsia"/>
              <w:lang w:eastAsia="zh-CN"/>
            </w:rPr>
          </w:pPr>
          <w:r w:rsidRPr="00174117">
            <w:t>A8.1 Quality assessment of Bassetti et al. 2020.</w:t>
          </w:r>
          <w:r w:rsidRPr="002C2A95">
            <w:rPr>
              <w:webHidden/>
            </w:rPr>
            <w:tab/>
          </w:r>
          <w:r w:rsidR="007D1B7F">
            <w:rPr>
              <w:webHidden/>
            </w:rPr>
            <w:t>274</w:t>
          </w:r>
        </w:p>
        <w:p w14:paraId="37D9D266" w14:textId="10896396" w:rsidR="002C2A95" w:rsidRPr="002C2A95" w:rsidRDefault="002C2A95">
          <w:pPr>
            <w:pStyle w:val="TOC3"/>
            <w:rPr>
              <w:rFonts w:eastAsiaTheme="minorEastAsia"/>
              <w:lang w:eastAsia="zh-CN"/>
            </w:rPr>
          </w:pPr>
          <w:r w:rsidRPr="00174117">
            <w:t>A8.2 Other searches conducted</w:t>
          </w:r>
          <w:r w:rsidRPr="002C2A95">
            <w:rPr>
              <w:webHidden/>
            </w:rPr>
            <w:tab/>
          </w:r>
          <w:r w:rsidR="007D1B7F">
            <w:rPr>
              <w:webHidden/>
            </w:rPr>
            <w:t>277</w:t>
          </w:r>
        </w:p>
        <w:p w14:paraId="3A69730A" w14:textId="637CE09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9: Structured expert elicitation</w:t>
          </w:r>
          <w:r w:rsidRPr="002C2A95">
            <w:rPr>
              <w:rFonts w:asciiTheme="majorBidi" w:hAnsiTheme="majorBidi" w:cstheme="majorBidi"/>
              <w:noProof/>
              <w:webHidden/>
            </w:rPr>
            <w:tab/>
          </w:r>
          <w:r w:rsidR="007D1B7F">
            <w:rPr>
              <w:rFonts w:asciiTheme="majorBidi" w:hAnsiTheme="majorBidi" w:cstheme="majorBidi"/>
              <w:noProof/>
              <w:webHidden/>
            </w:rPr>
            <w:t>279</w:t>
          </w:r>
        </w:p>
        <w:p w14:paraId="7A6F1441" w14:textId="546543D8"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A9.1 Description of elicited parameters</w:t>
          </w:r>
          <w:r w:rsidRPr="002C2A95">
            <w:rPr>
              <w:rFonts w:asciiTheme="majorBidi" w:hAnsiTheme="majorBidi" w:cstheme="majorBidi"/>
              <w:noProof/>
              <w:webHidden/>
            </w:rPr>
            <w:tab/>
          </w:r>
          <w:r w:rsidR="007D1B7F">
            <w:rPr>
              <w:rFonts w:asciiTheme="majorBidi" w:hAnsiTheme="majorBidi" w:cstheme="majorBidi"/>
              <w:noProof/>
              <w:webHidden/>
            </w:rPr>
            <w:t>279</w:t>
          </w:r>
        </w:p>
        <w:p w14:paraId="126908B6" w14:textId="126D5D4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A9.2 Protocol for elicitation</w:t>
          </w:r>
          <w:r w:rsidRPr="002C2A95">
            <w:rPr>
              <w:rFonts w:asciiTheme="majorBidi" w:hAnsiTheme="majorBidi" w:cstheme="majorBidi"/>
              <w:noProof/>
              <w:webHidden/>
            </w:rPr>
            <w:tab/>
          </w:r>
          <w:r w:rsidR="007D1B7F">
            <w:rPr>
              <w:rFonts w:asciiTheme="majorBidi" w:hAnsiTheme="majorBidi" w:cstheme="majorBidi"/>
              <w:noProof/>
              <w:webHidden/>
            </w:rPr>
            <w:t>279</w:t>
          </w:r>
        </w:p>
        <w:p w14:paraId="627FF4C6" w14:textId="0E5B477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A9.2.1Selecting the quantities (preparation and design stage)</w:t>
          </w:r>
          <w:r w:rsidRPr="002C2A95">
            <w:rPr>
              <w:rFonts w:asciiTheme="majorBidi" w:hAnsiTheme="majorBidi" w:cstheme="majorBidi"/>
              <w:noProof/>
              <w:webHidden/>
            </w:rPr>
            <w:tab/>
          </w:r>
          <w:r w:rsidR="007D1B7F">
            <w:rPr>
              <w:rFonts w:asciiTheme="majorBidi" w:hAnsiTheme="majorBidi" w:cstheme="majorBidi"/>
              <w:noProof/>
              <w:webHidden/>
            </w:rPr>
            <w:t>280</w:t>
          </w:r>
        </w:p>
        <w:p w14:paraId="61DE34C8" w14:textId="6A2B059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A9.2.2 Methods to encode judgements (preparation and design stage)</w:t>
          </w:r>
          <w:r w:rsidRPr="002C2A95">
            <w:rPr>
              <w:rFonts w:asciiTheme="majorBidi" w:hAnsiTheme="majorBidi" w:cstheme="majorBidi"/>
              <w:noProof/>
              <w:webHidden/>
            </w:rPr>
            <w:tab/>
          </w:r>
          <w:r w:rsidR="007D1B7F">
            <w:rPr>
              <w:rFonts w:asciiTheme="majorBidi" w:hAnsiTheme="majorBidi" w:cstheme="majorBidi"/>
              <w:noProof/>
              <w:webHidden/>
            </w:rPr>
            <w:t>280</w:t>
          </w:r>
        </w:p>
        <w:p w14:paraId="249BC93B" w14:textId="1BA4C16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A9.2.3 Validation (preparation and design stage)</w:t>
          </w:r>
          <w:r w:rsidRPr="002C2A95">
            <w:rPr>
              <w:rFonts w:asciiTheme="majorBidi" w:hAnsiTheme="majorBidi" w:cstheme="majorBidi"/>
              <w:noProof/>
              <w:webHidden/>
            </w:rPr>
            <w:tab/>
          </w:r>
          <w:r w:rsidR="007D1B7F">
            <w:rPr>
              <w:rFonts w:asciiTheme="majorBidi" w:hAnsiTheme="majorBidi" w:cstheme="majorBidi"/>
              <w:noProof/>
              <w:webHidden/>
            </w:rPr>
            <w:t>280</w:t>
          </w:r>
        </w:p>
        <w:p w14:paraId="0783977B" w14:textId="623C27B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A9.2.4 Selecting experts (preparation and design stage)</w:t>
          </w:r>
          <w:r w:rsidRPr="002C2A95">
            <w:rPr>
              <w:rFonts w:asciiTheme="majorBidi" w:hAnsiTheme="majorBidi" w:cstheme="majorBidi"/>
              <w:noProof/>
              <w:webHidden/>
            </w:rPr>
            <w:tab/>
          </w:r>
          <w:r w:rsidR="007D1B7F">
            <w:rPr>
              <w:rFonts w:asciiTheme="majorBidi" w:hAnsiTheme="majorBidi" w:cstheme="majorBidi"/>
              <w:noProof/>
              <w:webHidden/>
            </w:rPr>
            <w:t>280</w:t>
          </w:r>
        </w:p>
        <w:p w14:paraId="5E570241" w14:textId="44E78C1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A9.3 Pilot exercise (preparation and design stage)</w:t>
          </w:r>
          <w:r w:rsidRPr="002C2A95">
            <w:rPr>
              <w:rFonts w:asciiTheme="majorBidi" w:hAnsiTheme="majorBidi" w:cstheme="majorBidi"/>
              <w:noProof/>
              <w:webHidden/>
            </w:rPr>
            <w:tab/>
          </w:r>
          <w:r w:rsidR="007D1B7F">
            <w:rPr>
              <w:rFonts w:asciiTheme="majorBidi" w:hAnsiTheme="majorBidi" w:cstheme="majorBidi"/>
              <w:noProof/>
              <w:webHidden/>
            </w:rPr>
            <w:t>281</w:t>
          </w:r>
        </w:p>
        <w:p w14:paraId="4AFE56C6" w14:textId="5E9C9B8E" w:rsidR="002C2A95" w:rsidRPr="002C2A95" w:rsidRDefault="002C2A95">
          <w:pPr>
            <w:pStyle w:val="TOC2"/>
            <w:tabs>
              <w:tab w:val="left" w:pos="6553"/>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A9.3.2 Training and preparation for experts (preparation and design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stage)</w:t>
          </w:r>
          <w:r w:rsidRPr="002C2A95">
            <w:rPr>
              <w:rFonts w:asciiTheme="majorBidi" w:hAnsiTheme="majorBidi" w:cstheme="majorBidi"/>
              <w:noProof/>
              <w:webHidden/>
            </w:rPr>
            <w:tab/>
          </w:r>
          <w:r w:rsidR="007D1B7F">
            <w:rPr>
              <w:rFonts w:asciiTheme="majorBidi" w:hAnsiTheme="majorBidi" w:cstheme="majorBidi"/>
              <w:noProof/>
              <w:webHidden/>
            </w:rPr>
            <w:t>281</w:t>
          </w:r>
        </w:p>
        <w:p w14:paraId="1A53B7A2" w14:textId="0D1E704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A9.3.2 Level of elicitation (elicitation stage)</w:t>
          </w:r>
          <w:r w:rsidRPr="002C2A95">
            <w:rPr>
              <w:rFonts w:asciiTheme="majorBidi" w:hAnsiTheme="majorBidi" w:cstheme="majorBidi"/>
              <w:noProof/>
              <w:webHidden/>
            </w:rPr>
            <w:tab/>
          </w:r>
          <w:r w:rsidR="007D1B7F">
            <w:rPr>
              <w:rFonts w:asciiTheme="majorBidi" w:hAnsiTheme="majorBidi" w:cstheme="majorBidi"/>
              <w:noProof/>
              <w:webHidden/>
            </w:rPr>
            <w:t>281</w:t>
          </w:r>
        </w:p>
        <w:p w14:paraId="18B88331" w14:textId="39F85A2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A9.3.3 Mode of administration (elicitation stage)</w:t>
          </w:r>
          <w:r w:rsidRPr="002C2A95">
            <w:rPr>
              <w:rFonts w:asciiTheme="majorBidi" w:hAnsiTheme="majorBidi" w:cstheme="majorBidi"/>
              <w:noProof/>
              <w:webHidden/>
            </w:rPr>
            <w:tab/>
          </w:r>
          <w:r w:rsidR="007D1B7F">
            <w:rPr>
              <w:rFonts w:asciiTheme="majorBidi" w:hAnsiTheme="majorBidi" w:cstheme="majorBidi"/>
              <w:noProof/>
              <w:webHidden/>
            </w:rPr>
            <w:t>281</w:t>
          </w:r>
        </w:p>
        <w:p w14:paraId="798DB142" w14:textId="27C359D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A9.3.4 Feedback to experts and revision (elicitation stage)</w:t>
          </w:r>
          <w:r w:rsidRPr="002C2A95">
            <w:rPr>
              <w:rFonts w:asciiTheme="majorBidi" w:hAnsiTheme="majorBidi" w:cstheme="majorBidi"/>
              <w:noProof/>
              <w:webHidden/>
            </w:rPr>
            <w:tab/>
          </w:r>
          <w:r w:rsidR="007D1B7F">
            <w:rPr>
              <w:rFonts w:asciiTheme="majorBidi" w:hAnsiTheme="majorBidi" w:cstheme="majorBidi"/>
              <w:noProof/>
              <w:webHidden/>
            </w:rPr>
            <w:t>282</w:t>
          </w:r>
        </w:p>
        <w:p w14:paraId="4BD63599" w14:textId="749D5F9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A9.4 Results</w:t>
          </w:r>
          <w:r w:rsidRPr="002C2A95">
            <w:rPr>
              <w:rFonts w:asciiTheme="majorBidi" w:hAnsiTheme="majorBidi" w:cstheme="majorBidi"/>
              <w:noProof/>
              <w:webHidden/>
            </w:rPr>
            <w:tab/>
          </w:r>
          <w:r w:rsidR="007D1B7F">
            <w:rPr>
              <w:rFonts w:asciiTheme="majorBidi" w:hAnsiTheme="majorBidi" w:cstheme="majorBidi"/>
              <w:noProof/>
              <w:webHidden/>
            </w:rPr>
            <w:t>283</w:t>
          </w:r>
        </w:p>
        <w:p w14:paraId="73D31BE6" w14:textId="6CD7550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A9.4.1 Group summaries - base case</w:t>
          </w:r>
          <w:r w:rsidRPr="002C2A95">
            <w:rPr>
              <w:rFonts w:asciiTheme="majorBidi" w:hAnsiTheme="majorBidi" w:cstheme="majorBidi"/>
              <w:noProof/>
              <w:webHidden/>
            </w:rPr>
            <w:tab/>
          </w:r>
          <w:r w:rsidR="007D1B7F">
            <w:rPr>
              <w:rFonts w:asciiTheme="majorBidi" w:hAnsiTheme="majorBidi" w:cstheme="majorBidi"/>
              <w:noProof/>
              <w:webHidden/>
            </w:rPr>
            <w:t>283</w:t>
          </w:r>
        </w:p>
        <w:p w14:paraId="04E24749" w14:textId="650C4C4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A9.4.2 Group summaries - all experts included</w:t>
          </w:r>
          <w:r w:rsidRPr="002C2A95">
            <w:rPr>
              <w:rFonts w:asciiTheme="majorBidi" w:hAnsiTheme="majorBidi" w:cstheme="majorBidi"/>
              <w:noProof/>
              <w:webHidden/>
            </w:rPr>
            <w:tab/>
          </w:r>
          <w:r w:rsidR="007D1B7F">
            <w:rPr>
              <w:rFonts w:asciiTheme="majorBidi" w:hAnsiTheme="majorBidi" w:cstheme="majorBidi"/>
              <w:noProof/>
              <w:webHidden/>
            </w:rPr>
            <w:t>287</w:t>
          </w:r>
        </w:p>
        <w:p w14:paraId="77D57164" w14:textId="25C50B01" w:rsidR="002C2A95" w:rsidRPr="002C2A95" w:rsidRDefault="002C2A95">
          <w:pPr>
            <w:pStyle w:val="TOC2"/>
            <w:tabs>
              <w:tab w:val="left" w:pos="5401"/>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10: Structured expert elicitation: background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information provided to clinicians</w:t>
          </w:r>
          <w:r w:rsidRPr="002C2A95">
            <w:rPr>
              <w:rFonts w:asciiTheme="majorBidi" w:hAnsiTheme="majorBidi" w:cstheme="majorBidi"/>
              <w:noProof/>
              <w:webHidden/>
            </w:rPr>
            <w:tab/>
          </w:r>
          <w:r w:rsidR="007D1B7F">
            <w:rPr>
              <w:rFonts w:asciiTheme="majorBidi" w:hAnsiTheme="majorBidi" w:cstheme="majorBidi"/>
              <w:noProof/>
              <w:webHidden/>
            </w:rPr>
            <w:t>289</w:t>
          </w:r>
        </w:p>
        <w:p w14:paraId="526BFA2B" w14:textId="65D40EE2" w:rsidR="002C2A95" w:rsidRPr="002C2A95" w:rsidRDefault="002C2A95">
          <w:pPr>
            <w:pStyle w:val="TOC2"/>
            <w:tabs>
              <w:tab w:val="left" w:pos="1100"/>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A10.1</w:t>
          </w:r>
          <w:r w:rsidRPr="002C2A95">
            <w:rPr>
              <w:rFonts w:asciiTheme="majorBidi" w:eastAsiaTheme="minorEastAsia" w:hAnsiTheme="majorBidi" w:cstheme="majorBidi"/>
              <w:noProof/>
              <w:lang w:eastAsia="zh-CN"/>
            </w:rPr>
            <w:tab/>
          </w:r>
          <w:r w:rsidRPr="00174117">
            <w:rPr>
              <w:rFonts w:asciiTheme="majorBidi" w:hAnsiTheme="majorBidi" w:cstheme="majorBidi"/>
              <w:noProof/>
            </w:rPr>
            <w:t>Introduction</w:t>
          </w:r>
          <w:r w:rsidRPr="002C2A95">
            <w:rPr>
              <w:rFonts w:asciiTheme="majorBidi" w:hAnsiTheme="majorBidi" w:cstheme="majorBidi"/>
              <w:noProof/>
              <w:webHidden/>
            </w:rPr>
            <w:tab/>
          </w:r>
          <w:r w:rsidR="007D1B7F">
            <w:rPr>
              <w:rFonts w:asciiTheme="majorBidi" w:hAnsiTheme="majorBidi" w:cstheme="majorBidi"/>
              <w:noProof/>
              <w:webHidden/>
            </w:rPr>
            <w:t>289</w:t>
          </w:r>
        </w:p>
        <w:p w14:paraId="136932BE" w14:textId="0B5070E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lang w:eastAsia="en-GB"/>
            </w:rPr>
            <w:t>A10.2 Background information</w:t>
          </w:r>
          <w:r w:rsidRPr="002C2A95">
            <w:rPr>
              <w:rFonts w:asciiTheme="majorBidi" w:hAnsiTheme="majorBidi" w:cstheme="majorBidi"/>
              <w:noProof/>
              <w:webHidden/>
            </w:rPr>
            <w:tab/>
          </w:r>
          <w:r w:rsidR="007D1B7F">
            <w:rPr>
              <w:rFonts w:asciiTheme="majorBidi" w:hAnsiTheme="majorBidi" w:cstheme="majorBidi"/>
              <w:noProof/>
              <w:webHidden/>
            </w:rPr>
            <w:t>289</w:t>
          </w:r>
        </w:p>
        <w:p w14:paraId="45CC64CF" w14:textId="4CD5EC35"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lang w:eastAsia="en-GB"/>
            </w:rPr>
            <w:t>A10.3 What do we mean by microbiology-directed treatment?</w:t>
          </w:r>
          <w:r w:rsidRPr="002C2A95">
            <w:rPr>
              <w:rFonts w:asciiTheme="majorBidi" w:hAnsiTheme="majorBidi" w:cstheme="majorBidi"/>
              <w:noProof/>
              <w:webHidden/>
            </w:rPr>
            <w:tab/>
          </w:r>
          <w:r w:rsidR="007D1B7F">
            <w:rPr>
              <w:rFonts w:asciiTheme="majorBidi" w:hAnsiTheme="majorBidi" w:cstheme="majorBidi"/>
              <w:noProof/>
              <w:webHidden/>
            </w:rPr>
            <w:t>289</w:t>
          </w:r>
        </w:p>
        <w:p w14:paraId="4D444578" w14:textId="786398B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lang w:eastAsia="en-GB"/>
            </w:rPr>
            <w:t>A10.4 Outcomes of interest</w:t>
          </w:r>
          <w:r w:rsidRPr="002C2A95">
            <w:rPr>
              <w:rFonts w:asciiTheme="majorBidi" w:hAnsiTheme="majorBidi" w:cstheme="majorBidi"/>
              <w:noProof/>
              <w:webHidden/>
            </w:rPr>
            <w:tab/>
          </w:r>
          <w:r w:rsidR="007D1B7F">
            <w:rPr>
              <w:rFonts w:asciiTheme="majorBidi" w:hAnsiTheme="majorBidi" w:cstheme="majorBidi"/>
              <w:noProof/>
              <w:webHidden/>
            </w:rPr>
            <w:t>290</w:t>
          </w:r>
        </w:p>
        <w:p w14:paraId="4F29F87D" w14:textId="5BA00ED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eastAsia="Times New Roman" w:hAnsiTheme="majorBidi" w:cstheme="majorBidi"/>
              <w:noProof/>
              <w:lang w:eastAsia="en-GB"/>
            </w:rPr>
            <w:t>A10.5 Existing literature</w:t>
          </w:r>
          <w:r w:rsidRPr="002C2A95">
            <w:rPr>
              <w:rFonts w:asciiTheme="majorBidi" w:hAnsiTheme="majorBidi" w:cstheme="majorBidi"/>
              <w:noProof/>
              <w:webHidden/>
            </w:rPr>
            <w:tab/>
          </w:r>
          <w:r w:rsidR="007D1B7F">
            <w:rPr>
              <w:rFonts w:asciiTheme="majorBidi" w:hAnsiTheme="majorBidi" w:cstheme="majorBidi"/>
              <w:noProof/>
              <w:webHidden/>
            </w:rPr>
            <w:t>290</w:t>
          </w:r>
        </w:p>
        <w:p w14:paraId="182EC2D5" w14:textId="68A496E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11: Training slides</w:t>
          </w:r>
          <w:r w:rsidRPr="002C2A95">
            <w:rPr>
              <w:rFonts w:asciiTheme="majorBidi" w:hAnsiTheme="majorBidi" w:cstheme="majorBidi"/>
              <w:noProof/>
              <w:webHidden/>
            </w:rPr>
            <w:tab/>
          </w:r>
          <w:r w:rsidR="007D1B7F">
            <w:rPr>
              <w:rFonts w:asciiTheme="majorBidi" w:hAnsiTheme="majorBidi" w:cstheme="majorBidi"/>
              <w:noProof/>
              <w:webHidden/>
            </w:rPr>
            <w:t>292</w:t>
          </w:r>
        </w:p>
        <w:p w14:paraId="54F51CAD" w14:textId="795D51D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12: Review of existing economic evaluations</w:t>
          </w:r>
          <w:r w:rsidRPr="002C2A95">
            <w:rPr>
              <w:rFonts w:asciiTheme="majorBidi" w:hAnsiTheme="majorBidi" w:cstheme="majorBidi"/>
              <w:noProof/>
              <w:webHidden/>
            </w:rPr>
            <w:tab/>
          </w:r>
          <w:r w:rsidR="007D1B7F">
            <w:rPr>
              <w:rFonts w:asciiTheme="majorBidi" w:hAnsiTheme="majorBidi" w:cstheme="majorBidi"/>
              <w:noProof/>
              <w:webHidden/>
            </w:rPr>
            <w:t>302</w:t>
          </w:r>
        </w:p>
        <w:p w14:paraId="5A59F4A2" w14:textId="7C9929B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A12.1 Introduction and objectives</w:t>
          </w:r>
          <w:r w:rsidRPr="002C2A95">
            <w:rPr>
              <w:rFonts w:asciiTheme="majorBidi" w:hAnsiTheme="majorBidi" w:cstheme="majorBidi"/>
              <w:noProof/>
              <w:webHidden/>
            </w:rPr>
            <w:tab/>
          </w:r>
          <w:r w:rsidR="007D1B7F">
            <w:rPr>
              <w:rFonts w:asciiTheme="majorBidi" w:hAnsiTheme="majorBidi" w:cstheme="majorBidi"/>
              <w:noProof/>
              <w:webHidden/>
            </w:rPr>
            <w:t>302</w:t>
          </w:r>
        </w:p>
        <w:p w14:paraId="480AD83F" w14:textId="4A32C5B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A12.2 Methods</w:t>
          </w:r>
          <w:r w:rsidRPr="002C2A95">
            <w:rPr>
              <w:rFonts w:asciiTheme="majorBidi" w:hAnsiTheme="majorBidi" w:cstheme="majorBidi"/>
              <w:noProof/>
              <w:webHidden/>
            </w:rPr>
            <w:tab/>
          </w:r>
          <w:r w:rsidR="007D1B7F">
            <w:rPr>
              <w:rFonts w:asciiTheme="majorBidi" w:hAnsiTheme="majorBidi" w:cstheme="majorBidi"/>
              <w:noProof/>
              <w:webHidden/>
            </w:rPr>
            <w:t>302</w:t>
          </w:r>
        </w:p>
        <w:p w14:paraId="6316CA37" w14:textId="128482C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A12.3 Review 1: existing cost-effectiveness evidence for CAZ-AVI</w:t>
          </w:r>
          <w:r w:rsidRPr="002C2A95">
            <w:rPr>
              <w:rFonts w:asciiTheme="majorBidi" w:hAnsiTheme="majorBidi" w:cstheme="majorBidi"/>
              <w:noProof/>
              <w:webHidden/>
            </w:rPr>
            <w:tab/>
          </w:r>
          <w:r w:rsidR="007D1B7F">
            <w:rPr>
              <w:rFonts w:asciiTheme="majorBidi" w:hAnsiTheme="majorBidi" w:cstheme="majorBidi"/>
              <w:noProof/>
              <w:webHidden/>
            </w:rPr>
            <w:t>302</w:t>
          </w:r>
        </w:p>
        <w:p w14:paraId="7C589E4E" w14:textId="6AD52BC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A12.4 Review 2: modelling studies considering resistance</w:t>
          </w:r>
          <w:r w:rsidRPr="002C2A95">
            <w:rPr>
              <w:rFonts w:asciiTheme="majorBidi" w:hAnsiTheme="majorBidi" w:cstheme="majorBidi"/>
              <w:noProof/>
              <w:webHidden/>
            </w:rPr>
            <w:tab/>
          </w:r>
          <w:r w:rsidR="007D1B7F">
            <w:rPr>
              <w:rFonts w:asciiTheme="majorBidi" w:hAnsiTheme="majorBidi" w:cstheme="majorBidi"/>
              <w:noProof/>
              <w:webHidden/>
            </w:rPr>
            <w:t>306</w:t>
          </w:r>
        </w:p>
        <w:p w14:paraId="6EBE1FFA" w14:textId="100A4CE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A12.5 Review 3: modelling studies focused on HAP/VAP</w:t>
          </w:r>
          <w:r w:rsidRPr="002C2A95">
            <w:rPr>
              <w:rFonts w:asciiTheme="majorBidi" w:hAnsiTheme="majorBidi" w:cstheme="majorBidi"/>
              <w:noProof/>
              <w:webHidden/>
            </w:rPr>
            <w:tab/>
          </w:r>
          <w:r w:rsidR="007D1B7F">
            <w:rPr>
              <w:rFonts w:asciiTheme="majorBidi" w:hAnsiTheme="majorBidi" w:cstheme="majorBidi"/>
              <w:noProof/>
              <w:webHidden/>
            </w:rPr>
            <w:t>308</w:t>
          </w:r>
        </w:p>
        <w:p w14:paraId="0EDDAD96" w14:textId="3E50728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A12.6 Review 4: modelling studies focused on cUTI</w:t>
          </w:r>
          <w:r w:rsidRPr="002C2A95">
            <w:rPr>
              <w:rFonts w:asciiTheme="majorBidi" w:hAnsiTheme="majorBidi" w:cstheme="majorBidi"/>
              <w:noProof/>
              <w:webHidden/>
            </w:rPr>
            <w:tab/>
          </w:r>
          <w:r w:rsidR="007D1B7F">
            <w:rPr>
              <w:rFonts w:asciiTheme="majorBidi" w:hAnsiTheme="majorBidi" w:cstheme="majorBidi"/>
              <w:noProof/>
              <w:webHidden/>
            </w:rPr>
            <w:t>312</w:t>
          </w:r>
        </w:p>
        <w:p w14:paraId="69591F64" w14:textId="52EC987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Annex 1 to Appendix 12:  Search strategies</w:t>
          </w:r>
          <w:r w:rsidRPr="002C2A95">
            <w:rPr>
              <w:rFonts w:asciiTheme="majorBidi" w:hAnsiTheme="majorBidi" w:cstheme="majorBidi"/>
              <w:noProof/>
              <w:webHidden/>
            </w:rPr>
            <w:tab/>
          </w:r>
          <w:r w:rsidR="007D1B7F">
            <w:rPr>
              <w:rFonts w:asciiTheme="majorBidi" w:hAnsiTheme="majorBidi" w:cstheme="majorBidi"/>
              <w:noProof/>
              <w:webHidden/>
            </w:rPr>
            <w:t>314</w:t>
          </w:r>
        </w:p>
        <w:p w14:paraId="1B163F9C" w14:textId="2E4662A6"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Cefiderocol CEA models</w:t>
          </w:r>
          <w:r w:rsidRPr="002C2A95">
            <w:rPr>
              <w:rFonts w:asciiTheme="majorBidi" w:hAnsiTheme="majorBidi" w:cstheme="majorBidi"/>
              <w:noProof/>
              <w:webHidden/>
            </w:rPr>
            <w:tab/>
          </w:r>
          <w:r w:rsidR="007D1B7F">
            <w:rPr>
              <w:rFonts w:asciiTheme="majorBidi" w:hAnsiTheme="majorBidi" w:cstheme="majorBidi"/>
              <w:noProof/>
              <w:webHidden/>
            </w:rPr>
            <w:t>314</w:t>
          </w:r>
        </w:p>
        <w:p w14:paraId="3F92F5F3" w14:textId="508CE2F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CAZ/AVI CEA models</w:t>
          </w:r>
          <w:r w:rsidRPr="002C2A95">
            <w:rPr>
              <w:rFonts w:asciiTheme="majorBidi" w:hAnsiTheme="majorBidi" w:cstheme="majorBidi"/>
              <w:noProof/>
              <w:webHidden/>
            </w:rPr>
            <w:tab/>
          </w:r>
          <w:r w:rsidR="007D1B7F">
            <w:rPr>
              <w:rFonts w:asciiTheme="majorBidi" w:hAnsiTheme="majorBidi" w:cstheme="majorBidi"/>
              <w:noProof/>
              <w:webHidden/>
            </w:rPr>
            <w:t>317</w:t>
          </w:r>
        </w:p>
        <w:p w14:paraId="03F2408D" w14:textId="53535F7C" w:rsidR="002C2A95" w:rsidRPr="002C2A95" w:rsidRDefault="002C2A95">
          <w:pPr>
            <w:pStyle w:val="TOC2"/>
            <w:tabs>
              <w:tab w:val="left" w:pos="5756"/>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13: Incorporating susceptibility evidence into the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economic model</w:t>
          </w:r>
          <w:r w:rsidRPr="002C2A95">
            <w:rPr>
              <w:rFonts w:asciiTheme="majorBidi" w:hAnsiTheme="majorBidi" w:cstheme="majorBidi"/>
              <w:noProof/>
              <w:webHidden/>
            </w:rPr>
            <w:tab/>
          </w:r>
          <w:r w:rsidR="007D1B7F">
            <w:rPr>
              <w:rFonts w:asciiTheme="majorBidi" w:hAnsiTheme="majorBidi" w:cstheme="majorBidi"/>
              <w:noProof/>
              <w:webHidden/>
            </w:rPr>
            <w:t>324</w:t>
          </w:r>
        </w:p>
        <w:p w14:paraId="7FA30975" w14:textId="1D393877"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lastRenderedPageBreak/>
            <w:t>A13.1. Evidence on conditional susceptibilities</w:t>
          </w:r>
          <w:r w:rsidRPr="002C2A95">
            <w:rPr>
              <w:rFonts w:asciiTheme="majorBidi" w:hAnsiTheme="majorBidi" w:cstheme="majorBidi"/>
              <w:noProof/>
              <w:webHidden/>
            </w:rPr>
            <w:tab/>
          </w:r>
          <w:r w:rsidR="007D1B7F">
            <w:rPr>
              <w:rFonts w:asciiTheme="majorBidi" w:hAnsiTheme="majorBidi" w:cstheme="majorBidi"/>
              <w:noProof/>
              <w:webHidden/>
            </w:rPr>
            <w:t>324</w:t>
          </w:r>
        </w:p>
        <w:p w14:paraId="2CAEBC19" w14:textId="73A8FD48" w:rsidR="002C2A95" w:rsidRPr="002C2A95" w:rsidRDefault="002C2A95">
          <w:pPr>
            <w:pStyle w:val="TOC3"/>
            <w:rPr>
              <w:rFonts w:eastAsiaTheme="minorEastAsia"/>
              <w:lang w:eastAsia="zh-CN"/>
            </w:rPr>
          </w:pPr>
          <w:r w:rsidRPr="00174117">
            <w:t>Empiric setting</w:t>
          </w:r>
          <w:r w:rsidRPr="002C2A95">
            <w:rPr>
              <w:webHidden/>
            </w:rPr>
            <w:tab/>
          </w:r>
          <w:r w:rsidR="007D1B7F">
            <w:rPr>
              <w:webHidden/>
            </w:rPr>
            <w:t>324</w:t>
          </w:r>
        </w:p>
        <w:p w14:paraId="4672E8D1" w14:textId="15317A2B" w:rsidR="002C2A95" w:rsidRPr="002C2A95" w:rsidRDefault="002C2A95">
          <w:pPr>
            <w:pStyle w:val="TOC3"/>
            <w:rPr>
              <w:rFonts w:eastAsiaTheme="minorEastAsia"/>
              <w:lang w:eastAsia="zh-CN"/>
            </w:rPr>
          </w:pPr>
          <w:r w:rsidRPr="00174117">
            <w:t>Microbiology-directed setting</w:t>
          </w:r>
          <w:r w:rsidRPr="002C2A95">
            <w:rPr>
              <w:webHidden/>
            </w:rPr>
            <w:tab/>
          </w:r>
          <w:r w:rsidR="007D1B7F">
            <w:rPr>
              <w:webHidden/>
            </w:rPr>
            <w:t>326</w:t>
          </w:r>
        </w:p>
        <w:p w14:paraId="415A7CAE" w14:textId="69B7E36C" w:rsidR="002C2A95" w:rsidRPr="002C2A95" w:rsidRDefault="002C2A95">
          <w:pPr>
            <w:pStyle w:val="TOC3"/>
            <w:rPr>
              <w:rFonts w:eastAsiaTheme="minorEastAsia"/>
              <w:lang w:eastAsia="zh-CN"/>
            </w:rPr>
          </w:pPr>
          <w:r w:rsidRPr="00174117">
            <w:t>CAZ-AVI</w:t>
          </w:r>
          <w:r w:rsidRPr="002C2A95">
            <w:rPr>
              <w:webHidden/>
            </w:rPr>
            <w:tab/>
          </w:r>
          <w:r w:rsidR="007D1B7F">
            <w:rPr>
              <w:webHidden/>
            </w:rPr>
            <w:t>326</w:t>
          </w:r>
        </w:p>
        <w:p w14:paraId="476E087C" w14:textId="0B25F72C"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A13.2. Scenario analyses for susceptibility evidence</w:t>
          </w:r>
          <w:r w:rsidRPr="002C2A95">
            <w:rPr>
              <w:rFonts w:asciiTheme="majorBidi" w:hAnsiTheme="majorBidi" w:cstheme="majorBidi"/>
              <w:noProof/>
              <w:webHidden/>
            </w:rPr>
            <w:tab/>
          </w:r>
          <w:r w:rsidR="007D1B7F">
            <w:rPr>
              <w:rFonts w:asciiTheme="majorBidi" w:hAnsiTheme="majorBidi" w:cstheme="majorBidi"/>
              <w:noProof/>
              <w:webHidden/>
            </w:rPr>
            <w:t>326</w:t>
          </w:r>
        </w:p>
        <w:p w14:paraId="63485EC0" w14:textId="4CEFAA33"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14: Drug acquisition costs</w:t>
          </w:r>
          <w:r w:rsidRPr="002C2A95">
            <w:rPr>
              <w:rFonts w:asciiTheme="majorBidi" w:hAnsiTheme="majorBidi" w:cstheme="majorBidi"/>
              <w:noProof/>
              <w:webHidden/>
            </w:rPr>
            <w:tab/>
          </w:r>
          <w:r w:rsidR="007D1B7F">
            <w:rPr>
              <w:rFonts w:asciiTheme="majorBidi" w:hAnsiTheme="majorBidi" w:cstheme="majorBidi"/>
              <w:noProof/>
              <w:webHidden/>
            </w:rPr>
            <w:t>328</w:t>
          </w:r>
        </w:p>
        <w:p w14:paraId="6A67E68E" w14:textId="18A5844B"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15: Further details on Modelling direct population net health effects in HVCS</w:t>
          </w:r>
          <w:r w:rsidRPr="002C2A95">
            <w:rPr>
              <w:rFonts w:asciiTheme="majorBidi" w:hAnsiTheme="majorBidi" w:cstheme="majorBidi"/>
              <w:noProof/>
              <w:webHidden/>
            </w:rPr>
            <w:tab/>
          </w:r>
          <w:r w:rsidR="007D1B7F">
            <w:rPr>
              <w:rFonts w:asciiTheme="majorBidi" w:hAnsiTheme="majorBidi" w:cstheme="majorBidi"/>
              <w:noProof/>
              <w:webHidden/>
            </w:rPr>
            <w:t>329</w:t>
          </w:r>
        </w:p>
        <w:p w14:paraId="2F04CAA0" w14:textId="3BA03372"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A15.1. Predicting the future sizes of the HVCS</w:t>
          </w:r>
          <w:r w:rsidRPr="002C2A95">
            <w:rPr>
              <w:rFonts w:asciiTheme="majorBidi" w:hAnsiTheme="majorBidi" w:cstheme="majorBidi"/>
              <w:noProof/>
              <w:webHidden/>
            </w:rPr>
            <w:tab/>
          </w:r>
          <w:r w:rsidR="007D1B7F">
            <w:rPr>
              <w:rFonts w:asciiTheme="majorBidi" w:hAnsiTheme="majorBidi" w:cstheme="majorBidi"/>
              <w:noProof/>
              <w:webHidden/>
            </w:rPr>
            <w:t>329</w:t>
          </w:r>
        </w:p>
        <w:p w14:paraId="65DE2B52" w14:textId="6B7F434D"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Time-series models</w:t>
          </w:r>
          <w:r w:rsidRPr="002C2A95">
            <w:rPr>
              <w:rFonts w:asciiTheme="majorBidi" w:hAnsiTheme="majorBidi" w:cstheme="majorBidi"/>
              <w:noProof/>
              <w:webHidden/>
            </w:rPr>
            <w:tab/>
          </w:r>
          <w:r w:rsidR="007D1B7F">
            <w:rPr>
              <w:rFonts w:asciiTheme="majorBidi" w:hAnsiTheme="majorBidi" w:cstheme="majorBidi"/>
              <w:noProof/>
              <w:webHidden/>
            </w:rPr>
            <w:t>329</w:t>
          </w:r>
        </w:p>
        <w:p w14:paraId="1730E8C5" w14:textId="054FBFF8"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Incorporating forecasts in the economic model</w:t>
          </w:r>
          <w:r w:rsidRPr="002C2A95">
            <w:rPr>
              <w:rFonts w:asciiTheme="majorBidi" w:hAnsiTheme="majorBidi" w:cstheme="majorBidi"/>
              <w:noProof/>
              <w:webHidden/>
            </w:rPr>
            <w:tab/>
          </w:r>
          <w:r w:rsidR="007D1B7F">
            <w:rPr>
              <w:rFonts w:asciiTheme="majorBidi" w:hAnsiTheme="majorBidi" w:cstheme="majorBidi"/>
              <w:noProof/>
              <w:webHidden/>
            </w:rPr>
            <w:t>330</w:t>
          </w:r>
        </w:p>
        <w:p w14:paraId="4A5E8A55" w14:textId="7752A01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A15.2. Predicting future rates of resistance for current practice</w:t>
          </w:r>
          <w:r w:rsidRPr="002C2A95">
            <w:rPr>
              <w:rFonts w:asciiTheme="majorBidi" w:hAnsiTheme="majorBidi" w:cstheme="majorBidi"/>
              <w:noProof/>
              <w:webHidden/>
            </w:rPr>
            <w:tab/>
          </w:r>
          <w:r w:rsidR="007D1B7F">
            <w:rPr>
              <w:rFonts w:asciiTheme="majorBidi" w:hAnsiTheme="majorBidi" w:cstheme="majorBidi"/>
              <w:noProof/>
              <w:webHidden/>
            </w:rPr>
            <w:t>331</w:t>
          </w:r>
        </w:p>
        <w:p w14:paraId="27EDC4A2" w14:textId="4D67E930"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A15.3. Predicting future resistance trajectories for CAZ-AVI</w:t>
          </w:r>
          <w:r w:rsidRPr="002C2A95">
            <w:rPr>
              <w:rFonts w:asciiTheme="majorBidi" w:hAnsiTheme="majorBidi" w:cstheme="majorBidi"/>
              <w:noProof/>
              <w:webHidden/>
            </w:rPr>
            <w:tab/>
          </w:r>
          <w:r w:rsidR="007D1B7F">
            <w:rPr>
              <w:rFonts w:asciiTheme="majorBidi" w:hAnsiTheme="majorBidi" w:cstheme="majorBidi"/>
              <w:noProof/>
              <w:webHidden/>
            </w:rPr>
            <w:t>333</w:t>
          </w:r>
        </w:p>
        <w:p w14:paraId="679D47F3" w14:textId="45871C7E"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Supporting evidence</w:t>
          </w:r>
          <w:r w:rsidRPr="002C2A95">
            <w:rPr>
              <w:rFonts w:asciiTheme="majorBidi" w:hAnsiTheme="majorBidi" w:cstheme="majorBidi"/>
              <w:noProof/>
              <w:webHidden/>
            </w:rPr>
            <w:tab/>
          </w:r>
          <w:r w:rsidR="007D1B7F">
            <w:rPr>
              <w:rFonts w:asciiTheme="majorBidi" w:hAnsiTheme="majorBidi" w:cstheme="majorBidi"/>
              <w:noProof/>
              <w:webHidden/>
            </w:rPr>
            <w:t>333</w:t>
          </w:r>
        </w:p>
        <w:p w14:paraId="17DE31F6" w14:textId="690C577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Use-resistance association: statistical models considered</w:t>
          </w:r>
          <w:r w:rsidRPr="002C2A95">
            <w:rPr>
              <w:rFonts w:asciiTheme="majorBidi" w:hAnsiTheme="majorBidi" w:cstheme="majorBidi"/>
              <w:noProof/>
              <w:webHidden/>
            </w:rPr>
            <w:tab/>
          </w:r>
          <w:r w:rsidR="007D1B7F">
            <w:rPr>
              <w:rFonts w:asciiTheme="majorBidi" w:hAnsiTheme="majorBidi" w:cstheme="majorBidi"/>
              <w:noProof/>
              <w:webHidden/>
            </w:rPr>
            <w:t>338</w:t>
          </w:r>
        </w:p>
        <w:p w14:paraId="422F676F" w14:textId="160CC38A"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Appendix 16: Transmission model linking usage to resistance</w:t>
          </w:r>
          <w:r w:rsidRPr="002C2A95">
            <w:rPr>
              <w:rFonts w:asciiTheme="majorBidi" w:hAnsiTheme="majorBidi" w:cstheme="majorBidi"/>
              <w:noProof/>
              <w:webHidden/>
            </w:rPr>
            <w:tab/>
          </w:r>
          <w:r w:rsidR="007D1B7F">
            <w:rPr>
              <w:rFonts w:asciiTheme="majorBidi" w:hAnsiTheme="majorBidi" w:cstheme="majorBidi"/>
              <w:noProof/>
              <w:webHidden/>
            </w:rPr>
            <w:t>340</w:t>
          </w:r>
        </w:p>
        <w:p w14:paraId="2F9FE897" w14:textId="3F960347"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A16.1 Methods</w:t>
          </w:r>
          <w:r w:rsidRPr="002C2A95">
            <w:rPr>
              <w:rFonts w:asciiTheme="majorBidi" w:hAnsiTheme="majorBidi" w:cstheme="majorBidi"/>
              <w:noProof/>
              <w:webHidden/>
            </w:rPr>
            <w:tab/>
          </w:r>
          <w:r w:rsidR="007D1B7F">
            <w:rPr>
              <w:rFonts w:asciiTheme="majorBidi" w:hAnsiTheme="majorBidi" w:cstheme="majorBidi"/>
              <w:noProof/>
              <w:webHidden/>
            </w:rPr>
            <w:t>340</w:t>
          </w:r>
        </w:p>
        <w:p w14:paraId="24AAA579" w14:textId="5F44E504" w:rsidR="002C2A95" w:rsidRPr="002C2A95" w:rsidRDefault="002C2A95">
          <w:pPr>
            <w:pStyle w:val="TOC2"/>
            <w:tabs>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A16.2. Results: simulation study</w:t>
          </w:r>
          <w:r w:rsidRPr="002C2A95">
            <w:rPr>
              <w:rFonts w:asciiTheme="majorBidi" w:hAnsiTheme="majorBidi" w:cstheme="majorBidi"/>
              <w:noProof/>
              <w:webHidden/>
            </w:rPr>
            <w:tab/>
          </w:r>
          <w:r w:rsidR="007D1B7F">
            <w:rPr>
              <w:rFonts w:asciiTheme="majorBidi" w:hAnsiTheme="majorBidi" w:cstheme="majorBidi"/>
              <w:noProof/>
              <w:webHidden/>
            </w:rPr>
            <w:t>342</w:t>
          </w:r>
        </w:p>
        <w:p w14:paraId="419AEAC6" w14:textId="6FD8E523" w:rsidR="002C2A95" w:rsidRPr="002C2A95" w:rsidRDefault="002C2A95">
          <w:pPr>
            <w:pStyle w:val="TOC2"/>
            <w:tabs>
              <w:tab w:val="left" w:pos="6479"/>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17: Implementing the relationship between drug use and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resistance.</w:t>
          </w:r>
          <w:r w:rsidRPr="002C2A95">
            <w:rPr>
              <w:rFonts w:asciiTheme="majorBidi" w:hAnsiTheme="majorBidi" w:cstheme="majorBidi"/>
              <w:noProof/>
              <w:webHidden/>
            </w:rPr>
            <w:tab/>
          </w:r>
          <w:r w:rsidR="007D1B7F">
            <w:rPr>
              <w:rFonts w:asciiTheme="majorBidi" w:hAnsiTheme="majorBidi" w:cstheme="majorBidi"/>
              <w:noProof/>
              <w:webHidden/>
            </w:rPr>
            <w:t>347</w:t>
          </w:r>
        </w:p>
        <w:p w14:paraId="6F2D8345" w14:textId="0A06A46E" w:rsidR="002C2A95" w:rsidRPr="002C2A95" w:rsidRDefault="002C2A95">
          <w:pPr>
            <w:pStyle w:val="TOC2"/>
            <w:tabs>
              <w:tab w:val="left" w:pos="6181"/>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18: Plots of antimicrobial resistance over time: Public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Health England data.</w:t>
          </w:r>
          <w:r w:rsidRPr="002C2A95">
            <w:rPr>
              <w:rFonts w:asciiTheme="majorBidi" w:hAnsiTheme="majorBidi" w:cstheme="majorBidi"/>
              <w:noProof/>
              <w:webHidden/>
            </w:rPr>
            <w:tab/>
          </w:r>
          <w:r w:rsidR="007D1B7F">
            <w:rPr>
              <w:rFonts w:asciiTheme="majorBidi" w:hAnsiTheme="majorBidi" w:cstheme="majorBidi"/>
              <w:noProof/>
              <w:webHidden/>
            </w:rPr>
            <w:t>349</w:t>
          </w:r>
        </w:p>
        <w:p w14:paraId="4011EA00" w14:textId="2432BF7F" w:rsidR="002C2A95" w:rsidRPr="002C2A95" w:rsidRDefault="002C2A95">
          <w:pPr>
            <w:pStyle w:val="TOC2"/>
            <w:tabs>
              <w:tab w:val="left" w:pos="5542"/>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19: Plots of antimicrobial resistance over time: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surveillance data.</w:t>
          </w:r>
          <w:r w:rsidRPr="002C2A95">
            <w:rPr>
              <w:rFonts w:asciiTheme="majorBidi" w:hAnsiTheme="majorBidi" w:cstheme="majorBidi"/>
              <w:noProof/>
              <w:webHidden/>
            </w:rPr>
            <w:tab/>
          </w:r>
          <w:r w:rsidR="007D1B7F">
            <w:rPr>
              <w:rFonts w:asciiTheme="majorBidi" w:hAnsiTheme="majorBidi" w:cstheme="majorBidi"/>
              <w:noProof/>
              <w:webHidden/>
            </w:rPr>
            <w:t>350</w:t>
          </w:r>
        </w:p>
        <w:p w14:paraId="0A4AC643" w14:textId="338DCCCD" w:rsidR="002C2A95" w:rsidRPr="002C2A95" w:rsidRDefault="002C2A95">
          <w:pPr>
            <w:pStyle w:val="TOC2"/>
            <w:tabs>
              <w:tab w:val="left" w:pos="6082"/>
              <w:tab w:val="right" w:leader="dot" w:pos="9016"/>
            </w:tabs>
            <w:rPr>
              <w:rFonts w:asciiTheme="majorBidi" w:eastAsiaTheme="minorEastAsia" w:hAnsiTheme="majorBidi" w:cstheme="majorBidi"/>
              <w:noProof/>
              <w:lang w:eastAsia="zh-CN"/>
            </w:rPr>
          </w:pPr>
          <w:r w:rsidRPr="00174117">
            <w:rPr>
              <w:rFonts w:asciiTheme="majorBidi" w:hAnsiTheme="majorBidi" w:cstheme="majorBidi"/>
              <w:noProof/>
            </w:rPr>
            <w:t xml:space="preserve">Appendix 20: Total population INHE across the first 10 years of </w:t>
          </w:r>
          <w:r w:rsidRPr="002C2A95">
            <w:rPr>
              <w:rFonts w:asciiTheme="majorBidi" w:eastAsiaTheme="minorEastAsia" w:hAnsiTheme="majorBidi" w:cstheme="majorBidi"/>
              <w:noProof/>
              <w:lang w:eastAsia="zh-CN"/>
            </w:rPr>
            <w:tab/>
          </w:r>
          <w:r w:rsidRPr="00174117">
            <w:rPr>
              <w:rFonts w:asciiTheme="majorBidi" w:hAnsiTheme="majorBidi" w:cstheme="majorBidi"/>
              <w:noProof/>
            </w:rPr>
            <w:t xml:space="preserve"> usage</w:t>
          </w:r>
          <w:r w:rsidRPr="002C2A95">
            <w:rPr>
              <w:rFonts w:asciiTheme="majorBidi" w:hAnsiTheme="majorBidi" w:cstheme="majorBidi"/>
              <w:noProof/>
              <w:webHidden/>
            </w:rPr>
            <w:tab/>
          </w:r>
          <w:r w:rsidR="007D1B7F">
            <w:rPr>
              <w:rFonts w:asciiTheme="majorBidi" w:hAnsiTheme="majorBidi" w:cstheme="majorBidi"/>
              <w:noProof/>
              <w:webHidden/>
            </w:rPr>
            <w:t>363</w:t>
          </w:r>
        </w:p>
        <w:p w14:paraId="55C9E541" w14:textId="43ECA0F6" w:rsidR="002F692B" w:rsidRPr="002C2A95" w:rsidRDefault="0070201C" w:rsidP="002F692B">
          <w:pPr>
            <w:jc w:val="both"/>
            <w:rPr>
              <w:rFonts w:asciiTheme="majorBidi" w:hAnsiTheme="majorBidi" w:cstheme="majorBidi"/>
              <w:noProof/>
            </w:rPr>
          </w:pPr>
        </w:p>
      </w:sdtContent>
    </w:sdt>
    <w:p w14:paraId="2172897F" w14:textId="77777777" w:rsidR="005B25E5" w:rsidRPr="00685394" w:rsidRDefault="005B25E5">
      <w:pPr>
        <w:rPr>
          <w:rFonts w:asciiTheme="majorBidi" w:hAnsiTheme="majorBidi" w:cstheme="majorBidi"/>
          <w:bCs/>
          <w:sz w:val="32"/>
          <w:szCs w:val="32"/>
        </w:rPr>
      </w:pPr>
      <w:r w:rsidRPr="00685394">
        <w:rPr>
          <w:rFonts w:asciiTheme="majorBidi" w:hAnsiTheme="majorBidi" w:cstheme="majorBidi"/>
          <w:bCs/>
          <w:sz w:val="32"/>
          <w:szCs w:val="32"/>
        </w:rPr>
        <w:br w:type="page"/>
      </w:r>
    </w:p>
    <w:p w14:paraId="2199D0C1" w14:textId="7866F92F" w:rsidR="001009FF" w:rsidRPr="00685394" w:rsidRDefault="009D587F" w:rsidP="001009FF">
      <w:pPr>
        <w:rPr>
          <w:rFonts w:asciiTheme="majorBidi" w:hAnsiTheme="majorBidi" w:cstheme="majorBidi"/>
          <w:bCs/>
          <w:sz w:val="32"/>
          <w:szCs w:val="32"/>
        </w:rPr>
      </w:pPr>
      <w:r w:rsidRPr="00685394">
        <w:rPr>
          <w:rFonts w:asciiTheme="majorBidi" w:hAnsiTheme="majorBidi" w:cstheme="majorBidi"/>
          <w:bCs/>
          <w:sz w:val="32"/>
          <w:szCs w:val="32"/>
        </w:rPr>
        <w:lastRenderedPageBreak/>
        <w:t>List of Tables</w:t>
      </w:r>
    </w:p>
    <w:p w14:paraId="17B8A6BE" w14:textId="064B928C"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 PICOS for the HVCS</w:t>
      </w:r>
      <w:r w:rsidRPr="00685394">
        <w:rPr>
          <w:rFonts w:asciiTheme="majorBidi" w:hAnsiTheme="majorBidi" w:cstheme="majorBidi"/>
          <w:b w:val="0"/>
          <w:noProof/>
          <w:webHidden/>
        </w:rPr>
        <w:tab/>
        <w:t>25</w:t>
      </w:r>
    </w:p>
    <w:p w14:paraId="21E1794D" w14:textId="03A491CC" w:rsidR="008F7DED" w:rsidRPr="00685394" w:rsidRDefault="008F7DED">
      <w:pPr>
        <w:pStyle w:val="TableofFigures"/>
        <w:tabs>
          <w:tab w:val="left" w:pos="88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 xml:space="preserve"> Example of a susceptibility study data table</w:t>
      </w:r>
      <w:r w:rsidRPr="00685394">
        <w:rPr>
          <w:rFonts w:asciiTheme="majorBidi" w:hAnsiTheme="majorBidi" w:cstheme="majorBidi"/>
          <w:b w:val="0"/>
          <w:noProof/>
          <w:webHidden/>
        </w:rPr>
        <w:tab/>
        <w:t>29</w:t>
      </w:r>
    </w:p>
    <w:p w14:paraId="61F7543D" w14:textId="58A181A0" w:rsidR="008F7DED" w:rsidRPr="00685394" w:rsidRDefault="008F7DED">
      <w:pPr>
        <w:pStyle w:val="TableofFigures"/>
        <w:tabs>
          <w:tab w:val="left" w:pos="88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 xml:space="preserve"> Summary of the approaches to estimating comparative efficacy and safety</w:t>
      </w:r>
      <w:r w:rsidRPr="00685394">
        <w:rPr>
          <w:rFonts w:asciiTheme="majorBidi" w:hAnsiTheme="majorBidi" w:cstheme="majorBidi"/>
          <w:b w:val="0"/>
          <w:noProof/>
          <w:webHidden/>
        </w:rPr>
        <w:tab/>
        <w:t>32</w:t>
      </w:r>
    </w:p>
    <w:p w14:paraId="68679D1F" w14:textId="18EFC18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 Inclusion criteria at each stage of the mapping review</w:t>
      </w:r>
      <w:r w:rsidRPr="00685394">
        <w:rPr>
          <w:rFonts w:asciiTheme="majorBidi" w:hAnsiTheme="majorBidi" w:cstheme="majorBidi"/>
          <w:b w:val="0"/>
          <w:noProof/>
          <w:webHidden/>
        </w:rPr>
        <w:tab/>
        <w:t>37</w:t>
      </w:r>
    </w:p>
    <w:p w14:paraId="6A039CDB" w14:textId="44060D3C"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5: Additional study selection and prioritisation criteria for the review of susceptibility, developed through clinical advice</w:t>
      </w:r>
      <w:r w:rsidRPr="00685394">
        <w:rPr>
          <w:rFonts w:asciiTheme="majorBidi" w:hAnsiTheme="majorBidi" w:cstheme="majorBidi"/>
          <w:b w:val="0"/>
          <w:noProof/>
          <w:webHidden/>
        </w:rPr>
        <w:tab/>
        <w:t>38</w:t>
      </w:r>
    </w:p>
    <w:p w14:paraId="27A55B4C" w14:textId="320A5EF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 Study characteristics of studies reporting susceptibility of CAZ-AVI in OXA-48 Enterobacterales isolates, eligible for inclusion in the meta-analysis</w:t>
      </w:r>
      <w:r w:rsidRPr="00685394">
        <w:rPr>
          <w:rFonts w:asciiTheme="majorBidi" w:hAnsiTheme="majorBidi" w:cstheme="majorBidi"/>
          <w:b w:val="0"/>
          <w:noProof/>
          <w:webHidden/>
        </w:rPr>
        <w:tab/>
        <w:t>45</w:t>
      </w:r>
    </w:p>
    <w:p w14:paraId="0DAC2F01" w14:textId="77D79961" w:rsidR="008F7DED" w:rsidRPr="00685394" w:rsidRDefault="008F7DED">
      <w:pPr>
        <w:pStyle w:val="TableofFigures"/>
        <w:tabs>
          <w:tab w:val="left" w:pos="110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7</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iCs/>
          <w:noProof/>
        </w:rPr>
        <w:t>Reviewer judgement of risk of bias in studies included in the meta-analysis, or reporting outbreaks, according to a bespoke tool</w:t>
      </w:r>
      <w:r w:rsidRPr="00685394">
        <w:rPr>
          <w:rFonts w:asciiTheme="majorBidi" w:hAnsiTheme="majorBidi" w:cstheme="majorBidi"/>
          <w:b w:val="0"/>
          <w:noProof/>
          <w:webHidden/>
        </w:rPr>
        <w:tab/>
        <w:t>50</w:t>
      </w:r>
    </w:p>
    <w:p w14:paraId="2193FC47" w14:textId="38889D89" w:rsidR="008F7DED" w:rsidRPr="00685394" w:rsidRDefault="008F7DED">
      <w:pPr>
        <w:pStyle w:val="TableofFigures"/>
        <w:tabs>
          <w:tab w:val="left" w:pos="88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8</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Summary of planned analyses</w:t>
      </w:r>
      <w:r w:rsidRPr="00685394">
        <w:rPr>
          <w:rFonts w:asciiTheme="majorBidi" w:hAnsiTheme="majorBidi" w:cstheme="majorBidi"/>
          <w:b w:val="0"/>
          <w:noProof/>
          <w:webHidden/>
        </w:rPr>
        <w:tab/>
        <w:t>54</w:t>
      </w:r>
    </w:p>
    <w:p w14:paraId="4541EB23" w14:textId="0D72BFB2" w:rsidR="008F7DED" w:rsidRPr="00685394" w:rsidRDefault="008F7DED">
      <w:pPr>
        <w:pStyle w:val="TableofFigures"/>
        <w:tabs>
          <w:tab w:val="left" w:pos="88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9</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iCs/>
          <w:noProof/>
        </w:rPr>
        <w:t>Susceptibility of OXA-48 isolates to CAZ-AVI and comparators</w:t>
      </w:r>
      <w:r w:rsidRPr="00685394">
        <w:rPr>
          <w:rFonts w:asciiTheme="majorBidi" w:hAnsiTheme="majorBidi" w:cstheme="majorBidi"/>
          <w:b w:val="0"/>
          <w:noProof/>
          <w:webHidden/>
        </w:rPr>
        <w:tab/>
        <w:t>58</w:t>
      </w:r>
    </w:p>
    <w:p w14:paraId="0CE6722A" w14:textId="67F143B2"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10: Summary of key NMA analyses</w:t>
      </w:r>
      <w:r w:rsidRPr="00685394">
        <w:rPr>
          <w:rFonts w:asciiTheme="majorBidi" w:hAnsiTheme="majorBidi" w:cstheme="majorBidi"/>
          <w:b w:val="0"/>
          <w:noProof/>
          <w:webHidden/>
        </w:rPr>
        <w:tab/>
        <w:t>60</w:t>
      </w:r>
    </w:p>
    <w:p w14:paraId="7FB65D91" w14:textId="6577956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11: Inclusion criteria for the review of susceptibility and clinical outcomes</w:t>
      </w:r>
      <w:r w:rsidRPr="00685394">
        <w:rPr>
          <w:rFonts w:asciiTheme="majorBidi" w:hAnsiTheme="majorBidi" w:cstheme="majorBidi"/>
          <w:b w:val="0"/>
          <w:noProof/>
          <w:webHidden/>
        </w:rPr>
        <w:tab/>
        <w:t>69</w:t>
      </w:r>
    </w:p>
    <w:p w14:paraId="1230793E" w14:textId="49CFEDD6"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12: Inclusion criteria for the review of the long term risk of mortality for patients with carbapenem-resistant cUTI or HAP/VAP</w:t>
      </w:r>
      <w:r w:rsidRPr="00685394">
        <w:rPr>
          <w:rFonts w:asciiTheme="majorBidi" w:hAnsiTheme="majorBidi" w:cstheme="majorBidi"/>
          <w:b w:val="0"/>
          <w:noProof/>
          <w:webHidden/>
        </w:rPr>
        <w:tab/>
        <w:t>71</w:t>
      </w:r>
    </w:p>
    <w:p w14:paraId="68A7F2D9" w14:textId="60DD1C8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13 Summary of adverse event data in RCTs of CAZ-AVI in cUTI and HAP/VAP</w:t>
      </w:r>
      <w:r w:rsidRPr="00685394">
        <w:rPr>
          <w:rFonts w:asciiTheme="majorBidi" w:hAnsiTheme="majorBidi" w:cstheme="majorBidi"/>
          <w:b w:val="0"/>
          <w:noProof/>
          <w:webHidden/>
        </w:rPr>
        <w:tab/>
        <w:t>73</w:t>
      </w:r>
    </w:p>
    <w:p w14:paraId="0E1C58EF" w14:textId="2F64039C"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14. Proportion (%) of hospital stay spent on ICU, HDU and general medical ward.</w:t>
      </w:r>
      <w:r w:rsidRPr="00685394">
        <w:rPr>
          <w:rFonts w:asciiTheme="majorBidi" w:hAnsiTheme="majorBidi" w:cstheme="majorBidi"/>
          <w:b w:val="0"/>
          <w:noProof/>
          <w:webHidden/>
        </w:rPr>
        <w:tab/>
        <w:t>85</w:t>
      </w:r>
    </w:p>
    <w:p w14:paraId="708C8417" w14:textId="1E9C740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15: Description of key elements of the company model</w:t>
      </w:r>
      <w:r w:rsidRPr="00685394">
        <w:rPr>
          <w:rFonts w:asciiTheme="majorBidi" w:hAnsiTheme="majorBidi" w:cstheme="majorBidi"/>
          <w:b w:val="0"/>
          <w:noProof/>
          <w:webHidden/>
        </w:rPr>
        <w:tab/>
        <w:t>89</w:t>
      </w:r>
    </w:p>
    <w:p w14:paraId="59B45A32" w14:textId="6102BD86"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16: Summary of baseline resistance and treatment efficacy parameters included in the CAZ-AVI model</w:t>
      </w:r>
      <w:r w:rsidRPr="00685394">
        <w:rPr>
          <w:rFonts w:asciiTheme="majorBidi" w:hAnsiTheme="majorBidi" w:cstheme="majorBidi"/>
          <w:b w:val="0"/>
          <w:noProof/>
          <w:webHidden/>
        </w:rPr>
        <w:tab/>
        <w:t>92</w:t>
      </w:r>
    </w:p>
    <w:p w14:paraId="76F5031B" w14:textId="7026DEE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17: Base case analysis results; 1,000 patients over a 10-year horizon giving 93,432 beds occupied (from Table 62 of the company submission)</w:t>
      </w:r>
      <w:r w:rsidRPr="00685394">
        <w:rPr>
          <w:rFonts w:asciiTheme="majorBidi" w:hAnsiTheme="majorBidi" w:cstheme="majorBidi"/>
          <w:b w:val="0"/>
          <w:noProof/>
          <w:webHidden/>
        </w:rPr>
        <w:tab/>
        <w:t>95</w:t>
      </w:r>
    </w:p>
    <w:p w14:paraId="308525EF" w14:textId="733CF028"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18: Summary of intervention technology and comparators across indications</w:t>
      </w:r>
      <w:r w:rsidRPr="00685394">
        <w:rPr>
          <w:rFonts w:asciiTheme="majorBidi" w:hAnsiTheme="majorBidi" w:cstheme="majorBidi"/>
          <w:b w:val="0"/>
          <w:noProof/>
          <w:webHidden/>
        </w:rPr>
        <w:tab/>
        <w:t>101</w:t>
      </w:r>
    </w:p>
    <w:p w14:paraId="7F0D16DD" w14:textId="5D6465A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lang w:val="fr-FR"/>
        </w:rPr>
        <w:t>Table 19: HVCS patient populations modelled</w:t>
      </w:r>
      <w:r w:rsidRPr="00685394">
        <w:rPr>
          <w:rFonts w:asciiTheme="majorBidi" w:hAnsiTheme="majorBidi" w:cstheme="majorBidi"/>
          <w:b w:val="0"/>
          <w:noProof/>
          <w:webHidden/>
        </w:rPr>
        <w:tab/>
        <w:t>105</w:t>
      </w:r>
    </w:p>
    <w:p w14:paraId="343322B5" w14:textId="3692BC90"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20: Subgroups within the MDS and their treatment choices</w:t>
      </w:r>
      <w:r w:rsidRPr="00685394">
        <w:rPr>
          <w:rFonts w:asciiTheme="majorBidi" w:hAnsiTheme="majorBidi" w:cstheme="majorBidi"/>
          <w:b w:val="0"/>
          <w:noProof/>
          <w:webHidden/>
        </w:rPr>
        <w:tab/>
        <w:t>107</w:t>
      </w:r>
    </w:p>
    <w:p w14:paraId="28C74E80" w14:textId="5E09160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21: Comparator treatment pathways in the ES</w:t>
      </w:r>
      <w:r w:rsidRPr="00685394">
        <w:rPr>
          <w:rFonts w:asciiTheme="majorBidi" w:hAnsiTheme="majorBidi" w:cstheme="majorBidi"/>
          <w:b w:val="0"/>
          <w:noProof/>
          <w:webHidden/>
        </w:rPr>
        <w:tab/>
        <w:t>112</w:t>
      </w:r>
    </w:p>
    <w:p w14:paraId="011B48B0" w14:textId="6AE5C49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22: Susceptibility parameters by pathogen-mechanism subgroup (all evidence was from a combination of PHE data and the NMA)</w:t>
      </w:r>
      <w:r w:rsidRPr="00685394">
        <w:rPr>
          <w:rFonts w:asciiTheme="majorBidi" w:hAnsiTheme="majorBidi" w:cstheme="majorBidi"/>
          <w:b w:val="0"/>
          <w:noProof/>
          <w:webHidden/>
        </w:rPr>
        <w:tab/>
        <w:t>120</w:t>
      </w:r>
    </w:p>
    <w:p w14:paraId="0EC046A8" w14:textId="63769D14"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23: Sources and assumptions for susceptibility data</w:t>
      </w:r>
      <w:r w:rsidRPr="00685394">
        <w:rPr>
          <w:rFonts w:asciiTheme="majorBidi" w:hAnsiTheme="majorBidi" w:cstheme="majorBidi"/>
          <w:b w:val="0"/>
          <w:noProof/>
          <w:webHidden/>
        </w:rPr>
        <w:tab/>
        <w:t>123</w:t>
      </w:r>
    </w:p>
    <w:p w14:paraId="01634FC9" w14:textId="610B0C0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24: Susceptibility values used in the economic model</w:t>
      </w:r>
      <w:r w:rsidRPr="00685394">
        <w:rPr>
          <w:rFonts w:asciiTheme="majorBidi" w:hAnsiTheme="majorBidi" w:cstheme="majorBidi"/>
          <w:b w:val="0"/>
          <w:noProof/>
          <w:webHidden/>
        </w:rPr>
        <w:tab/>
        <w:t>123</w:t>
      </w:r>
    </w:p>
    <w:p w14:paraId="59F88C33" w14:textId="3C027618"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25: Parameters informing the 30-day MDS decision tree</w:t>
      </w:r>
      <w:r w:rsidRPr="00685394">
        <w:rPr>
          <w:rFonts w:asciiTheme="majorBidi" w:hAnsiTheme="majorBidi" w:cstheme="majorBidi"/>
          <w:b w:val="0"/>
          <w:noProof/>
          <w:webHidden/>
        </w:rPr>
        <w:tab/>
        <w:t>126</w:t>
      </w:r>
    </w:p>
    <w:p w14:paraId="2F276F3D" w14:textId="72C5669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26: Parameters informing the 30-day ES tree (HAP/VAP only)</w:t>
      </w:r>
      <w:r w:rsidRPr="00685394">
        <w:rPr>
          <w:rFonts w:asciiTheme="majorBidi" w:hAnsiTheme="majorBidi" w:cstheme="majorBidi"/>
          <w:b w:val="0"/>
          <w:noProof/>
          <w:webHidden/>
        </w:rPr>
        <w:tab/>
        <w:t>128</w:t>
      </w:r>
    </w:p>
    <w:p w14:paraId="16E3314F" w14:textId="17DF8E9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27: Summary of survival analytic model fit to CARBAR data</w:t>
      </w:r>
      <w:r w:rsidRPr="00685394">
        <w:rPr>
          <w:rFonts w:asciiTheme="majorBidi" w:hAnsiTheme="majorBidi" w:cstheme="majorBidi"/>
          <w:b w:val="0"/>
          <w:noProof/>
          <w:webHidden/>
        </w:rPr>
        <w:tab/>
        <w:t>130</w:t>
      </w:r>
    </w:p>
    <w:p w14:paraId="24E75561" w14:textId="16A4C8D8"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28: Post-30 day outcomes for patients with history of AKI</w:t>
      </w:r>
      <w:r w:rsidRPr="00685394">
        <w:rPr>
          <w:rFonts w:asciiTheme="majorBidi" w:hAnsiTheme="majorBidi" w:cstheme="majorBidi"/>
          <w:b w:val="0"/>
          <w:noProof/>
          <w:webHidden/>
        </w:rPr>
        <w:tab/>
        <w:t>132</w:t>
      </w:r>
    </w:p>
    <w:p w14:paraId="59C32E1F" w14:textId="7AD793C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29 CCI-related HRQoL weights</w:t>
      </w:r>
      <w:r w:rsidRPr="00685394">
        <w:rPr>
          <w:rFonts w:asciiTheme="majorBidi" w:hAnsiTheme="majorBidi" w:cstheme="majorBidi"/>
          <w:b w:val="0"/>
          <w:noProof/>
          <w:webHidden/>
        </w:rPr>
        <w:tab/>
        <w:t>134</w:t>
      </w:r>
    </w:p>
    <w:p w14:paraId="2FCD4AD5" w14:textId="5CB6C3E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30: Hospitalisation duration and unit costs</w:t>
      </w:r>
      <w:r w:rsidRPr="00685394">
        <w:rPr>
          <w:rFonts w:asciiTheme="majorBidi" w:hAnsiTheme="majorBidi" w:cstheme="majorBidi"/>
          <w:b w:val="0"/>
          <w:noProof/>
          <w:webHidden/>
        </w:rPr>
        <w:tab/>
        <w:t>136</w:t>
      </w:r>
    </w:p>
    <w:p w14:paraId="71BC929C" w14:textId="5D420719"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31. Drug acquisition cost for a full course of treatment, or five days of treatment while awaiting sensitivity results in ES.</w:t>
      </w:r>
      <w:r w:rsidRPr="00685394">
        <w:rPr>
          <w:rFonts w:asciiTheme="majorBidi" w:hAnsiTheme="majorBidi" w:cstheme="majorBidi"/>
          <w:b w:val="0"/>
          <w:noProof/>
          <w:webHidden/>
        </w:rPr>
        <w:tab/>
        <w:t>139</w:t>
      </w:r>
    </w:p>
    <w:p w14:paraId="6A516494" w14:textId="7BC180F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lastRenderedPageBreak/>
        <w:t>Table 32: Within-sample goodness of fit statistics</w:t>
      </w:r>
      <w:r w:rsidRPr="00685394">
        <w:rPr>
          <w:rFonts w:asciiTheme="majorBidi" w:hAnsiTheme="majorBidi" w:cstheme="majorBidi"/>
          <w:b w:val="0"/>
          <w:noProof/>
          <w:webHidden/>
        </w:rPr>
        <w:tab/>
        <w:t>142</w:t>
      </w:r>
    </w:p>
    <w:p w14:paraId="4F8C6FFC" w14:textId="1DE05EC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33. Classification of infection sites according to specimen type</w:t>
      </w:r>
      <w:r w:rsidRPr="00685394">
        <w:rPr>
          <w:rFonts w:asciiTheme="majorBidi" w:hAnsiTheme="majorBidi" w:cstheme="majorBidi"/>
          <w:b w:val="0"/>
          <w:noProof/>
          <w:webHidden/>
        </w:rPr>
        <w:tab/>
        <w:t>152</w:t>
      </w:r>
    </w:p>
    <w:p w14:paraId="59B0F7CD" w14:textId="0FD06E20"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34. Number of infections of interest (per annum)</w:t>
      </w:r>
      <w:r w:rsidRPr="00685394">
        <w:rPr>
          <w:rFonts w:asciiTheme="majorBidi" w:hAnsiTheme="majorBidi" w:cstheme="majorBidi"/>
          <w:b w:val="0"/>
          <w:noProof/>
          <w:webHidden/>
        </w:rPr>
        <w:tab/>
        <w:t>153</w:t>
      </w:r>
    </w:p>
    <w:p w14:paraId="751F6AD5" w14:textId="18399E9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35. Total number of patients initiating CAZ-AVI over 20 years</w:t>
      </w:r>
      <w:r w:rsidRPr="00685394">
        <w:rPr>
          <w:rFonts w:asciiTheme="majorBidi" w:hAnsiTheme="majorBidi" w:cstheme="majorBidi"/>
          <w:b w:val="0"/>
          <w:noProof/>
          <w:webHidden/>
        </w:rPr>
        <w:tab/>
        <w:t>156</w:t>
      </w:r>
    </w:p>
    <w:p w14:paraId="515254C7" w14:textId="577A571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 xml:space="preserve">Table 36: Per patient base-case results: OXA-48 </w:t>
      </w:r>
      <w:r w:rsidRPr="00174117">
        <w:rPr>
          <w:rFonts w:asciiTheme="majorBidi" w:hAnsiTheme="majorBidi" w:cstheme="majorBidi"/>
          <w:b w:val="0"/>
          <w:i/>
          <w:iCs/>
          <w:noProof/>
        </w:rPr>
        <w:t>Enterobacterales</w:t>
      </w:r>
      <w:r w:rsidRPr="00174117">
        <w:rPr>
          <w:rFonts w:asciiTheme="majorBidi" w:hAnsiTheme="majorBidi" w:cstheme="majorBidi"/>
          <w:b w:val="0"/>
          <w:noProof/>
        </w:rPr>
        <w:t xml:space="preserve"> HAP/VAP empiric setting (probabilistic, 2,000 simulations). Note incremental values for CAZ-AVI used in the MDS not shown for parsimony</w:t>
      </w:r>
      <w:r w:rsidRPr="00685394">
        <w:rPr>
          <w:rFonts w:asciiTheme="majorBidi" w:hAnsiTheme="majorBidi" w:cstheme="majorBidi"/>
          <w:b w:val="0"/>
          <w:noProof/>
          <w:webHidden/>
        </w:rPr>
        <w:tab/>
        <w:t>159</w:t>
      </w:r>
    </w:p>
    <w:p w14:paraId="5E8B499B" w14:textId="7A0BBE1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37: Per patient scenario analyses: OXA-48 Enterobacterales HAP/VAP empiric setting (deterministic)</w:t>
      </w:r>
      <w:r w:rsidRPr="00685394">
        <w:rPr>
          <w:rFonts w:asciiTheme="majorBidi" w:hAnsiTheme="majorBidi" w:cstheme="majorBidi"/>
          <w:b w:val="0"/>
          <w:noProof/>
          <w:webHidden/>
        </w:rPr>
        <w:tab/>
        <w:t>161</w:t>
      </w:r>
    </w:p>
    <w:p w14:paraId="2093AE0E" w14:textId="3EB4F646"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 xml:space="preserve">Table 38: Per patient base-case results: OXA-48 </w:t>
      </w:r>
      <w:r w:rsidRPr="00174117">
        <w:rPr>
          <w:rFonts w:asciiTheme="majorBidi" w:hAnsiTheme="majorBidi" w:cstheme="majorBidi"/>
          <w:b w:val="0"/>
          <w:i/>
          <w:iCs/>
          <w:noProof/>
        </w:rPr>
        <w:t>Enterobacterales</w:t>
      </w:r>
      <w:r w:rsidRPr="00174117">
        <w:rPr>
          <w:rFonts w:asciiTheme="majorBidi" w:hAnsiTheme="majorBidi" w:cstheme="majorBidi"/>
          <w:b w:val="0"/>
          <w:noProof/>
        </w:rPr>
        <w:t xml:space="preserve"> HAP/VAP and cUTI microbiology-directed setting (probabilistic, 2,000 simulations)</w:t>
      </w:r>
      <w:r w:rsidRPr="00685394">
        <w:rPr>
          <w:rFonts w:asciiTheme="majorBidi" w:hAnsiTheme="majorBidi" w:cstheme="majorBidi"/>
          <w:b w:val="0"/>
          <w:noProof/>
          <w:webHidden/>
        </w:rPr>
        <w:tab/>
        <w:t>163</w:t>
      </w:r>
    </w:p>
    <w:p w14:paraId="5C891465" w14:textId="51A4C18C"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39: Per patient scenario analyses: OXA-48 HAP/VAP and cUTI MDS (deterministic).</w:t>
      </w:r>
      <w:r w:rsidRPr="00685394">
        <w:rPr>
          <w:rFonts w:asciiTheme="majorBidi" w:hAnsiTheme="majorBidi" w:cstheme="majorBidi"/>
          <w:b w:val="0"/>
          <w:noProof/>
          <w:webHidden/>
        </w:rPr>
        <w:tab/>
        <w:t>165</w:t>
      </w:r>
    </w:p>
    <w:p w14:paraId="11E04135" w14:textId="278EB05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40. Total INHE across 20 years of usage</w:t>
      </w:r>
      <w:r w:rsidRPr="00685394">
        <w:rPr>
          <w:rFonts w:asciiTheme="majorBidi" w:hAnsiTheme="majorBidi" w:cstheme="majorBidi"/>
          <w:b w:val="0"/>
          <w:noProof/>
          <w:webHidden/>
        </w:rPr>
        <w:tab/>
        <w:t>169</w:t>
      </w:r>
    </w:p>
    <w:p w14:paraId="633251EA" w14:textId="06CE35C0"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41: Population-level INHE (QALYs) for patient-level scenario analyses (deterministic) – range derived from different assumptions about the population size (scenarios P1G1 and P2G2 in Figure 22).</w:t>
      </w:r>
      <w:r w:rsidRPr="00685394">
        <w:rPr>
          <w:rFonts w:asciiTheme="majorBidi" w:hAnsiTheme="majorBidi" w:cstheme="majorBidi"/>
          <w:b w:val="0"/>
          <w:noProof/>
          <w:webHidden/>
        </w:rPr>
        <w:tab/>
        <w:t>172</w:t>
      </w:r>
    </w:p>
    <w:p w14:paraId="1C7D58AC" w14:textId="3D75C56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42: Conceptualisation of additional elements of value</w:t>
      </w:r>
      <w:r w:rsidRPr="00685394">
        <w:rPr>
          <w:rFonts w:asciiTheme="majorBidi" w:hAnsiTheme="majorBidi" w:cstheme="majorBidi"/>
          <w:b w:val="0"/>
          <w:noProof/>
          <w:webHidden/>
        </w:rPr>
        <w:tab/>
        <w:t>174</w:t>
      </w:r>
    </w:p>
    <w:p w14:paraId="0FBF9016" w14:textId="1CB191A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43: Summary of importance of additional elements of value</w:t>
      </w:r>
      <w:r w:rsidRPr="00685394">
        <w:rPr>
          <w:rFonts w:asciiTheme="majorBidi" w:hAnsiTheme="majorBidi" w:cstheme="majorBidi"/>
          <w:b w:val="0"/>
          <w:noProof/>
          <w:webHidden/>
        </w:rPr>
        <w:tab/>
        <w:t>179</w:t>
      </w:r>
    </w:p>
    <w:p w14:paraId="4307480D" w14:textId="0ECBE95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44: Summary of patient-level INHEs (QALYs) by HVCS subgroup, results presented as base case (scenario range)</w:t>
      </w:r>
      <w:r w:rsidRPr="00685394">
        <w:rPr>
          <w:rFonts w:asciiTheme="majorBidi" w:hAnsiTheme="majorBidi" w:cstheme="majorBidi"/>
          <w:b w:val="0"/>
          <w:noProof/>
          <w:webHidden/>
        </w:rPr>
        <w:tab/>
        <w:t>180</w:t>
      </w:r>
    </w:p>
    <w:p w14:paraId="0963ED13" w14:textId="49C13620"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45: Summary of population-level INHEs (QALYs), range in brackets shows variation according to CAZ-AVI resistance levels</w:t>
      </w:r>
      <w:r w:rsidRPr="00685394">
        <w:rPr>
          <w:rFonts w:asciiTheme="majorBidi" w:hAnsiTheme="majorBidi" w:cstheme="majorBidi"/>
          <w:b w:val="0"/>
          <w:noProof/>
          <w:webHidden/>
        </w:rPr>
        <w:tab/>
        <w:t>181</w:t>
      </w:r>
    </w:p>
    <w:p w14:paraId="598A96EA" w14:textId="4AF19A22"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46: Additional elements of value</w:t>
      </w:r>
      <w:r w:rsidRPr="00685394">
        <w:rPr>
          <w:rFonts w:asciiTheme="majorBidi" w:hAnsiTheme="majorBidi" w:cstheme="majorBidi"/>
          <w:b w:val="0"/>
          <w:noProof/>
          <w:webHidden/>
        </w:rPr>
        <w:tab/>
        <w:t>183</w:t>
      </w:r>
    </w:p>
    <w:p w14:paraId="34CC84DF" w14:textId="111E2E2F"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47 - Number of records retrieved</w:t>
      </w:r>
      <w:r w:rsidRPr="00685394">
        <w:rPr>
          <w:rFonts w:asciiTheme="majorBidi" w:hAnsiTheme="majorBidi" w:cstheme="majorBidi"/>
          <w:b w:val="0"/>
          <w:noProof/>
          <w:webHidden/>
        </w:rPr>
        <w:tab/>
        <w:t>196</w:t>
      </w:r>
    </w:p>
    <w:p w14:paraId="25122E23" w14:textId="7BF15DF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48  Number of records retrieved</w:t>
      </w:r>
      <w:r w:rsidRPr="00685394">
        <w:rPr>
          <w:rFonts w:asciiTheme="majorBidi" w:hAnsiTheme="majorBidi" w:cstheme="majorBidi"/>
          <w:b w:val="0"/>
          <w:noProof/>
          <w:webHidden/>
        </w:rPr>
        <w:tab/>
        <w:t>206</w:t>
      </w:r>
    </w:p>
    <w:p w14:paraId="4580C75C" w14:textId="57892BE8" w:rsidR="008F7DED" w:rsidRPr="00685394" w:rsidRDefault="008F7DED">
      <w:pPr>
        <w:pStyle w:val="TableofFigures"/>
        <w:tabs>
          <w:tab w:val="left" w:pos="110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49</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Bespoke risk of bias assessment tool for in vitro susceptibility studies.</w:t>
      </w:r>
      <w:r w:rsidRPr="00685394">
        <w:rPr>
          <w:rFonts w:asciiTheme="majorBidi" w:hAnsiTheme="majorBidi" w:cstheme="majorBidi"/>
          <w:b w:val="0"/>
          <w:noProof/>
          <w:webHidden/>
        </w:rPr>
        <w:tab/>
        <w:t>233</w:t>
      </w:r>
    </w:p>
    <w:p w14:paraId="786CFBAC" w14:textId="2D269F62" w:rsidR="008F7DED" w:rsidRPr="00685394" w:rsidRDefault="008F7DED">
      <w:pPr>
        <w:pStyle w:val="TableofFigures"/>
        <w:tabs>
          <w:tab w:val="left" w:pos="110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50</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 xml:space="preserve"> Reviewer’s risk of bias scores with reasons</w:t>
      </w:r>
      <w:r w:rsidRPr="00685394">
        <w:rPr>
          <w:rFonts w:asciiTheme="majorBidi" w:hAnsiTheme="majorBidi" w:cstheme="majorBidi"/>
          <w:b w:val="0"/>
          <w:noProof/>
          <w:webHidden/>
        </w:rPr>
        <w:tab/>
        <w:t>236</w:t>
      </w:r>
    </w:p>
    <w:p w14:paraId="07FFDADE" w14:textId="437CD035" w:rsidR="008F7DED" w:rsidRPr="00685394" w:rsidRDefault="008F7DED">
      <w:pPr>
        <w:pStyle w:val="TableofFigures"/>
        <w:tabs>
          <w:tab w:val="left" w:pos="110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51</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Studies excluded from the susceptibility sift after consulting their full text</w:t>
      </w:r>
      <w:r w:rsidRPr="00685394">
        <w:rPr>
          <w:rFonts w:asciiTheme="majorBidi" w:hAnsiTheme="majorBidi" w:cstheme="majorBidi"/>
          <w:b w:val="0"/>
          <w:noProof/>
          <w:webHidden/>
        </w:rPr>
        <w:tab/>
        <w:t>243</w:t>
      </w:r>
    </w:p>
    <w:p w14:paraId="7D7C20FB" w14:textId="62C57ACF" w:rsidR="008F7DED" w:rsidRPr="00685394" w:rsidRDefault="008F7DED">
      <w:pPr>
        <w:pStyle w:val="TableofFigures"/>
        <w:tabs>
          <w:tab w:val="left" w:pos="1100"/>
        </w:tab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52</w:t>
      </w:r>
      <w:r w:rsidRPr="00685394">
        <w:rPr>
          <w:rFonts w:asciiTheme="majorBidi" w:eastAsiaTheme="minorEastAsia" w:hAnsiTheme="majorBidi" w:cstheme="majorBidi"/>
          <w:b w:val="0"/>
          <w:bCs w:val="0"/>
          <w:noProof/>
          <w:sz w:val="22"/>
          <w:szCs w:val="22"/>
          <w:lang w:eastAsia="en-GB"/>
        </w:rPr>
        <w:tab/>
      </w:r>
      <w:r w:rsidRPr="00174117">
        <w:rPr>
          <w:rFonts w:asciiTheme="majorBidi" w:hAnsiTheme="majorBidi" w:cstheme="majorBidi"/>
          <w:b w:val="0"/>
          <w:noProof/>
        </w:rPr>
        <w:t>Studies that met the inclusion criteria for the review, but were excluded from the meta-analysis</w:t>
      </w:r>
      <w:r w:rsidRPr="00685394">
        <w:rPr>
          <w:rFonts w:asciiTheme="majorBidi" w:hAnsiTheme="majorBidi" w:cstheme="majorBidi"/>
          <w:b w:val="0"/>
          <w:noProof/>
          <w:webHidden/>
        </w:rPr>
        <w:tab/>
        <w:t>246</w:t>
      </w:r>
    </w:p>
    <w:p w14:paraId="1E0A2F14" w14:textId="2D92F0C9"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Table 53:  RCT studies reporting treatment of patients with CAZ-AVI in HAP/VAP or cUTI</w:t>
      </w:r>
      <w:r w:rsidRPr="00685394">
        <w:rPr>
          <w:rFonts w:asciiTheme="majorBidi" w:hAnsiTheme="majorBidi" w:cstheme="majorBidi"/>
          <w:b w:val="0"/>
          <w:noProof/>
          <w:webHidden/>
        </w:rPr>
        <w:tab/>
        <w:t>250</w:t>
      </w:r>
    </w:p>
    <w:p w14:paraId="07BCC957" w14:textId="77C356F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54 Vazquez 2012</w:t>
      </w:r>
      <w:r w:rsidRPr="00174117">
        <w:rPr>
          <w:rFonts w:asciiTheme="majorBidi" w:hAnsiTheme="majorBidi" w:cstheme="majorBidi"/>
          <w:b w:val="0"/>
          <w:noProof/>
          <w:vertAlign w:val="superscript"/>
        </w:rPr>
        <w:t>34</w:t>
      </w:r>
      <w:r w:rsidRPr="00174117">
        <w:rPr>
          <w:rFonts w:asciiTheme="majorBidi" w:hAnsiTheme="majorBidi" w:cstheme="majorBidi"/>
          <w:b w:val="0"/>
          <w:noProof/>
        </w:rPr>
        <w:t xml:space="preserve"> RCT summary of results</w:t>
      </w:r>
      <w:r w:rsidRPr="00685394">
        <w:rPr>
          <w:rFonts w:asciiTheme="majorBidi" w:hAnsiTheme="majorBidi" w:cstheme="majorBidi"/>
          <w:b w:val="0"/>
          <w:noProof/>
          <w:webHidden/>
        </w:rPr>
        <w:tab/>
        <w:t>252</w:t>
      </w:r>
    </w:p>
    <w:p w14:paraId="7084D57C" w14:textId="2591D912"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55:  Observational studies reporting treatment of patients with CAZ-AVI</w:t>
      </w:r>
      <w:r w:rsidRPr="00685394">
        <w:rPr>
          <w:rFonts w:asciiTheme="majorBidi" w:hAnsiTheme="majorBidi" w:cstheme="majorBidi"/>
          <w:b w:val="0"/>
          <w:noProof/>
          <w:webHidden/>
        </w:rPr>
        <w:tab/>
        <w:t>255</w:t>
      </w:r>
    </w:p>
    <w:p w14:paraId="32FEEFCE" w14:textId="390998B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56. AMSTAR-2 quality assessment of the Bassetti et al. (2020) systematic review</w:t>
      </w:r>
      <w:r w:rsidRPr="00685394">
        <w:rPr>
          <w:rFonts w:asciiTheme="majorBidi" w:hAnsiTheme="majorBidi" w:cstheme="majorBidi"/>
          <w:b w:val="0"/>
          <w:noProof/>
          <w:webHidden/>
        </w:rPr>
        <w:tab/>
        <w:t>275</w:t>
      </w:r>
    </w:p>
    <w:p w14:paraId="7942921E" w14:textId="3FCD4D4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57. Proportion (%) of hospital stay spent on ICU, HDU and general medical ward.</w:t>
      </w:r>
      <w:r w:rsidRPr="00685394">
        <w:rPr>
          <w:rFonts w:asciiTheme="majorBidi" w:hAnsiTheme="majorBidi" w:cstheme="majorBidi"/>
          <w:b w:val="0"/>
          <w:noProof/>
          <w:webHidden/>
        </w:rPr>
        <w:tab/>
        <w:t>285</w:t>
      </w:r>
    </w:p>
    <w:p w14:paraId="09EC7267" w14:textId="4B4804E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58 Proportion (%) of hospital stay spent on ICU, HDU and general medical ward.</w:t>
      </w:r>
      <w:r w:rsidRPr="00685394">
        <w:rPr>
          <w:rFonts w:asciiTheme="majorBidi" w:hAnsiTheme="majorBidi" w:cstheme="majorBidi"/>
          <w:b w:val="0"/>
          <w:noProof/>
          <w:webHidden/>
        </w:rPr>
        <w:tab/>
        <w:t>287</w:t>
      </w:r>
    </w:p>
    <w:p w14:paraId="4EED834D" w14:textId="4DC4A84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59. Proportion (%) of hospital stay spent on ICU, HDU and general medical ward.</w:t>
      </w:r>
      <w:r w:rsidRPr="00685394">
        <w:rPr>
          <w:rFonts w:asciiTheme="majorBidi" w:hAnsiTheme="majorBidi" w:cstheme="majorBidi"/>
          <w:b w:val="0"/>
          <w:noProof/>
          <w:webHidden/>
        </w:rPr>
        <w:tab/>
        <w:t>288</w:t>
      </w:r>
    </w:p>
    <w:p w14:paraId="08D30F6C" w14:textId="596B94F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60: Summary of included cost-effectiveness studies of CAZ-AVI</w:t>
      </w:r>
      <w:r w:rsidRPr="00685394">
        <w:rPr>
          <w:rFonts w:asciiTheme="majorBidi" w:hAnsiTheme="majorBidi" w:cstheme="majorBidi"/>
          <w:b w:val="0"/>
          <w:noProof/>
          <w:webHidden/>
        </w:rPr>
        <w:tab/>
        <w:t>305</w:t>
      </w:r>
    </w:p>
    <w:p w14:paraId="24034BAC" w14:textId="3B8B5F3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61: Summary of included resistance modelling studies (including those from CAZ-AVI cost-effectiveness studies review in Table 53).</w:t>
      </w:r>
      <w:r w:rsidRPr="00685394">
        <w:rPr>
          <w:rFonts w:asciiTheme="majorBidi" w:hAnsiTheme="majorBidi" w:cstheme="majorBidi"/>
          <w:b w:val="0"/>
          <w:noProof/>
          <w:webHidden/>
        </w:rPr>
        <w:tab/>
        <w:t>306</w:t>
      </w:r>
    </w:p>
    <w:p w14:paraId="2D7ACA1F" w14:textId="225E908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62: Summary of included HAP/VAP modelling studies based on in the review by Wagner et al</w:t>
      </w:r>
      <w:r w:rsidRPr="00174117">
        <w:rPr>
          <w:rFonts w:asciiTheme="majorBidi" w:hAnsiTheme="majorBidi" w:cstheme="majorBidi"/>
          <w:b w:val="0"/>
          <w:noProof/>
          <w:vertAlign w:val="superscript"/>
        </w:rPr>
        <w:t>111</w:t>
      </w:r>
      <w:r w:rsidRPr="00685394">
        <w:rPr>
          <w:rFonts w:asciiTheme="majorBidi" w:hAnsiTheme="majorBidi" w:cstheme="majorBidi"/>
          <w:b w:val="0"/>
          <w:noProof/>
          <w:webHidden/>
        </w:rPr>
        <w:tab/>
        <w:t>310</w:t>
      </w:r>
    </w:p>
    <w:p w14:paraId="5AA8C96C" w14:textId="337F80F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63: Summary of included cUTI modelling studies in addition to those in Review 1</w:t>
      </w:r>
      <w:r w:rsidRPr="00685394">
        <w:rPr>
          <w:rFonts w:asciiTheme="majorBidi" w:hAnsiTheme="majorBidi" w:cstheme="majorBidi"/>
          <w:b w:val="0"/>
          <w:noProof/>
          <w:webHidden/>
        </w:rPr>
        <w:tab/>
        <w:t>313</w:t>
      </w:r>
    </w:p>
    <w:p w14:paraId="18441CFD" w14:textId="6E67A98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 xml:space="preserve">Table 64 Absolute and conditional susceptibility evidence from Vasquex-Ucha </w:t>
      </w:r>
      <w:r w:rsidRPr="00174117">
        <w:rPr>
          <w:rFonts w:asciiTheme="majorBidi" w:hAnsiTheme="majorBidi" w:cstheme="majorBidi"/>
          <w:b w:val="0"/>
          <w:i/>
          <w:noProof/>
        </w:rPr>
        <w:t xml:space="preserve">et al </w:t>
      </w:r>
      <w:r w:rsidRPr="00174117">
        <w:rPr>
          <w:rFonts w:asciiTheme="majorBidi" w:hAnsiTheme="majorBidi" w:cstheme="majorBidi"/>
          <w:b w:val="0"/>
          <w:i/>
          <w:noProof/>
          <w:vertAlign w:val="superscript"/>
        </w:rPr>
        <w:t>1</w:t>
      </w:r>
      <w:r w:rsidRPr="00174117">
        <w:rPr>
          <w:rFonts w:asciiTheme="majorBidi" w:hAnsiTheme="majorBidi" w:cstheme="majorBidi"/>
          <w:b w:val="0"/>
          <w:i/>
          <w:noProof/>
        </w:rPr>
        <w:t>.</w:t>
      </w:r>
      <w:r w:rsidRPr="00685394">
        <w:rPr>
          <w:rFonts w:asciiTheme="majorBidi" w:hAnsiTheme="majorBidi" w:cstheme="majorBidi"/>
          <w:b w:val="0"/>
          <w:noProof/>
          <w:webHidden/>
        </w:rPr>
        <w:tab/>
        <w:t>325</w:t>
      </w:r>
    </w:p>
    <w:p w14:paraId="0818C6D8" w14:textId="58745230"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65: Overview of susceptibility data from Public Health England</w:t>
      </w:r>
      <w:r w:rsidRPr="00685394">
        <w:rPr>
          <w:rFonts w:asciiTheme="majorBidi" w:hAnsiTheme="majorBidi" w:cstheme="majorBidi"/>
          <w:b w:val="0"/>
          <w:noProof/>
          <w:webHidden/>
        </w:rPr>
        <w:tab/>
        <w:t>332</w:t>
      </w:r>
    </w:p>
    <w:p w14:paraId="3990F109" w14:textId="4B37EDC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lastRenderedPageBreak/>
        <w:t>Table 66: Studies assessing the relationship between antimicrobial use and rates of resistance</w:t>
      </w:r>
      <w:r w:rsidRPr="00685394">
        <w:rPr>
          <w:rFonts w:asciiTheme="majorBidi" w:hAnsiTheme="majorBidi" w:cstheme="majorBidi"/>
          <w:b w:val="0"/>
          <w:noProof/>
          <w:webHidden/>
        </w:rPr>
        <w:tab/>
        <w:t>333</w:t>
      </w:r>
    </w:p>
    <w:p w14:paraId="087BB253" w14:textId="09981A06"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67: Summary of estimates of the relationship between AM use and AM resistance</w:t>
      </w:r>
      <w:r w:rsidRPr="00685394">
        <w:rPr>
          <w:rFonts w:asciiTheme="majorBidi" w:hAnsiTheme="majorBidi" w:cstheme="majorBidi"/>
          <w:b w:val="0"/>
          <w:noProof/>
          <w:webHidden/>
        </w:rPr>
        <w:tab/>
        <w:t>337</w:t>
      </w:r>
    </w:p>
    <w:p w14:paraId="0C74DBA5" w14:textId="3DB6503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Table 68. Total INHE across 10 years of usage</w:t>
      </w:r>
      <w:r w:rsidRPr="00685394">
        <w:rPr>
          <w:rFonts w:asciiTheme="majorBidi" w:hAnsiTheme="majorBidi" w:cstheme="majorBidi"/>
          <w:b w:val="0"/>
          <w:noProof/>
          <w:webHidden/>
        </w:rPr>
        <w:tab/>
        <w:t>363</w:t>
      </w:r>
    </w:p>
    <w:p w14:paraId="387CC9C5" w14:textId="0048DCCF" w:rsidR="00D63AA3" w:rsidRPr="00685394" w:rsidRDefault="00D63AA3" w:rsidP="00E273CC">
      <w:pPr>
        <w:pStyle w:val="EEPRUListofFiguresonContentsPage"/>
        <w:rPr>
          <w:b w:val="0"/>
        </w:rPr>
      </w:pPr>
    </w:p>
    <w:p w14:paraId="5F48923F" w14:textId="23627A46" w:rsidR="009D587F" w:rsidRPr="00685394" w:rsidRDefault="009D587F" w:rsidP="00BE13AC">
      <w:pPr>
        <w:spacing w:line="360" w:lineRule="auto"/>
        <w:jc w:val="both"/>
        <w:rPr>
          <w:rFonts w:asciiTheme="majorBidi" w:hAnsiTheme="majorBidi" w:cstheme="majorBidi"/>
          <w:bCs/>
          <w:sz w:val="32"/>
          <w:szCs w:val="32"/>
        </w:rPr>
      </w:pPr>
      <w:r w:rsidRPr="00685394">
        <w:rPr>
          <w:rFonts w:asciiTheme="majorBidi" w:eastAsiaTheme="majorEastAsia" w:hAnsiTheme="majorBidi" w:cstheme="majorBidi"/>
          <w:bCs/>
          <w:sz w:val="32"/>
          <w:szCs w:val="32"/>
        </w:rPr>
        <w:t>List of figures</w:t>
      </w:r>
    </w:p>
    <w:p w14:paraId="5B723329" w14:textId="5160FFD6"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1:  PRISMA Flow diagram for the CAZ-AVI Clinical Effectiveness Review</w:t>
      </w:r>
      <w:r w:rsidRPr="00685394">
        <w:rPr>
          <w:rFonts w:asciiTheme="majorBidi" w:hAnsiTheme="majorBidi" w:cstheme="majorBidi"/>
          <w:b w:val="0"/>
          <w:noProof/>
          <w:webHidden/>
        </w:rPr>
        <w:tab/>
        <w:t>42</w:t>
      </w:r>
    </w:p>
    <w:p w14:paraId="472186EF" w14:textId="406E1F8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2: Network diagram of all studies contributing to the NMA</w:t>
      </w:r>
      <w:r w:rsidRPr="00685394">
        <w:rPr>
          <w:rFonts w:asciiTheme="majorBidi" w:hAnsiTheme="majorBidi" w:cstheme="majorBidi"/>
          <w:b w:val="0"/>
          <w:noProof/>
          <w:webHidden/>
        </w:rPr>
        <w:tab/>
        <w:t>61</w:t>
      </w:r>
    </w:p>
    <w:p w14:paraId="6C424CE6" w14:textId="50E754F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 Network diagram of using reduced dataset contributing to the NMA</w:t>
      </w:r>
      <w:r w:rsidRPr="00685394">
        <w:rPr>
          <w:rFonts w:asciiTheme="majorBidi" w:hAnsiTheme="majorBidi" w:cstheme="majorBidi"/>
          <w:b w:val="0"/>
          <w:noProof/>
          <w:webHidden/>
        </w:rPr>
        <w:tab/>
        <w:t>63</w:t>
      </w:r>
    </w:p>
    <w:p w14:paraId="468CF7BC" w14:textId="12E3CFBF"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4: Forest plot of OR vs colistin for reduced data set, NMA model</w:t>
      </w:r>
      <w:r w:rsidRPr="00685394">
        <w:rPr>
          <w:rFonts w:asciiTheme="majorBidi" w:hAnsiTheme="majorBidi" w:cstheme="majorBidi"/>
          <w:b w:val="0"/>
          <w:noProof/>
          <w:webHidden/>
        </w:rPr>
        <w:tab/>
        <w:t>64</w:t>
      </w:r>
    </w:p>
    <w:p w14:paraId="2908BB98" w14:textId="18F91B7F"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5: Network diagram studies contributing to the NMA restricted to EUCAST breakpoints</w:t>
      </w:r>
      <w:r w:rsidRPr="00685394">
        <w:rPr>
          <w:rFonts w:asciiTheme="majorBidi" w:hAnsiTheme="majorBidi" w:cstheme="majorBidi"/>
          <w:b w:val="0"/>
          <w:noProof/>
          <w:webHidden/>
        </w:rPr>
        <w:tab/>
        <w:t>66</w:t>
      </w:r>
    </w:p>
    <w:p w14:paraId="4F1176F5" w14:textId="26B7B97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6: Forest plot of OR vs colistin for EUCAST studies subgroup</w:t>
      </w:r>
      <w:r w:rsidRPr="00685394">
        <w:rPr>
          <w:rFonts w:asciiTheme="majorBidi" w:hAnsiTheme="majorBidi" w:cstheme="majorBidi"/>
          <w:b w:val="0"/>
          <w:noProof/>
          <w:webHidden/>
        </w:rPr>
        <w:tab/>
        <w:t>67</w:t>
      </w:r>
    </w:p>
    <w:p w14:paraId="6C0D6C71" w14:textId="0B1E2C4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7.  30 day surivival with HAP/VAP combined</w:t>
      </w:r>
      <w:r w:rsidRPr="00685394">
        <w:rPr>
          <w:rFonts w:asciiTheme="majorBidi" w:hAnsiTheme="majorBidi" w:cstheme="majorBidi"/>
          <w:b w:val="0"/>
          <w:noProof/>
          <w:webHidden/>
        </w:rPr>
        <w:tab/>
        <w:t>85</w:t>
      </w:r>
    </w:p>
    <w:p w14:paraId="5A062A47" w14:textId="39FCD642"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8. Expected LOS with HAP/VAP combined.</w:t>
      </w:r>
      <w:r w:rsidRPr="00685394">
        <w:rPr>
          <w:rFonts w:asciiTheme="majorBidi" w:hAnsiTheme="majorBidi" w:cstheme="majorBidi"/>
          <w:b w:val="0"/>
          <w:noProof/>
          <w:webHidden/>
        </w:rPr>
        <w:tab/>
        <w:t>85</w:t>
      </w:r>
    </w:p>
    <w:p w14:paraId="3990D01E" w14:textId="1C4742D8"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9: Diagram of the transmission pathway structure (from Figure 13 of the company submission)</w:t>
      </w:r>
      <w:r w:rsidRPr="00685394">
        <w:rPr>
          <w:rFonts w:asciiTheme="majorBidi" w:hAnsiTheme="majorBidi" w:cstheme="majorBidi"/>
          <w:b w:val="0"/>
          <w:noProof/>
          <w:webHidden/>
        </w:rPr>
        <w:tab/>
        <w:t>92</w:t>
      </w:r>
    </w:p>
    <w:p w14:paraId="038CDF13" w14:textId="5227558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10: Overview of transmission in the infectious environment (from Figure 4 of the company submission Appendix K)</w:t>
      </w:r>
      <w:r w:rsidRPr="00685394">
        <w:rPr>
          <w:rFonts w:asciiTheme="majorBidi" w:hAnsiTheme="majorBidi" w:cstheme="majorBidi"/>
          <w:b w:val="0"/>
          <w:noProof/>
          <w:webHidden/>
        </w:rPr>
        <w:tab/>
        <w:t>94</w:t>
      </w:r>
    </w:p>
    <w:p w14:paraId="4E569D04" w14:textId="29B6B374"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11: Overview of the treatment pathway (from Figure 13 of the company submission)</w:t>
      </w:r>
      <w:r w:rsidRPr="00685394">
        <w:rPr>
          <w:rFonts w:asciiTheme="majorBidi" w:hAnsiTheme="majorBidi" w:cstheme="majorBidi"/>
          <w:b w:val="0"/>
          <w:noProof/>
          <w:webHidden/>
        </w:rPr>
        <w:tab/>
        <w:t>94</w:t>
      </w:r>
    </w:p>
    <w:p w14:paraId="6BD2765F" w14:textId="7E34B4B8"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12: Tornado diagram showing uncertainty analysis (from Figure 17 of the company submission)</w:t>
      </w:r>
      <w:r w:rsidRPr="00685394">
        <w:rPr>
          <w:rFonts w:asciiTheme="majorBidi" w:hAnsiTheme="majorBidi" w:cstheme="majorBidi"/>
          <w:b w:val="0"/>
          <w:noProof/>
          <w:webHidden/>
        </w:rPr>
        <w:tab/>
        <w:t>97</w:t>
      </w:r>
    </w:p>
    <w:p w14:paraId="04140523" w14:textId="009E693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13: Annual NMB outcomes based on the uncertainty analysis on key model parameters (from Figure 16 of the company submission)</w:t>
      </w:r>
      <w:r w:rsidRPr="00685394">
        <w:rPr>
          <w:rFonts w:asciiTheme="majorBidi" w:hAnsiTheme="majorBidi" w:cstheme="majorBidi"/>
          <w:b w:val="0"/>
          <w:noProof/>
          <w:webHidden/>
        </w:rPr>
        <w:tab/>
        <w:t>97</w:t>
      </w:r>
    </w:p>
    <w:p w14:paraId="0F15D57A" w14:textId="799BA8C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 xml:space="preserve"> Figure 14: 30-day outcomes in the MDS</w:t>
      </w:r>
      <w:r w:rsidRPr="00685394">
        <w:rPr>
          <w:rFonts w:asciiTheme="majorBidi" w:hAnsiTheme="majorBidi" w:cstheme="majorBidi"/>
          <w:b w:val="0"/>
          <w:noProof/>
          <w:webHidden/>
        </w:rPr>
        <w:tab/>
        <w:t>110</w:t>
      </w:r>
    </w:p>
    <w:p w14:paraId="53AB60EB" w14:textId="09B7C57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15: Decision tree used to calculate impact of AKIs on 30-day outcomes in MDS</w:t>
      </w:r>
      <w:r w:rsidRPr="00685394">
        <w:rPr>
          <w:rFonts w:asciiTheme="majorBidi" w:hAnsiTheme="majorBidi" w:cstheme="majorBidi"/>
          <w:b w:val="0"/>
          <w:noProof/>
          <w:webHidden/>
        </w:rPr>
        <w:tab/>
        <w:t>111</w:t>
      </w:r>
    </w:p>
    <w:p w14:paraId="70B1E8AA" w14:textId="14F024A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16: Markov model used to calculate post-30-day outcomes in patients with recovered renal function and irreversible renal failure</w:t>
      </w:r>
      <w:r w:rsidRPr="00685394">
        <w:rPr>
          <w:rFonts w:asciiTheme="majorBidi" w:hAnsiTheme="majorBidi" w:cstheme="majorBidi"/>
          <w:b w:val="0"/>
          <w:noProof/>
          <w:webHidden/>
        </w:rPr>
        <w:tab/>
        <w:t>112</w:t>
      </w:r>
    </w:p>
    <w:p w14:paraId="7437C508" w14:textId="0AC1224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17: First component of 30-day outcomes model for ES: risk of carrying pathogen-mechanism of concern</w:t>
      </w:r>
      <w:r w:rsidRPr="00685394">
        <w:rPr>
          <w:rFonts w:asciiTheme="majorBidi" w:hAnsiTheme="majorBidi" w:cstheme="majorBidi"/>
          <w:b w:val="0"/>
          <w:noProof/>
          <w:webHidden/>
        </w:rPr>
        <w:tab/>
        <w:t>115</w:t>
      </w:r>
    </w:p>
    <w:p w14:paraId="1A8EA6BD" w14:textId="43D7A18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18: Second component of 30-day outcomes model for ES: outcomes at the point at which patients are assessed for MD treatment. Note that mortality (p_bgrd_Dst_S and p_bgrdDst_nonS) is also adjusted to reflected differences in mortality due to AKI, in the same way as shown in Figure 6, but this is not shown for parsimony.</w:t>
      </w:r>
      <w:r w:rsidRPr="00685394">
        <w:rPr>
          <w:rFonts w:asciiTheme="majorBidi" w:hAnsiTheme="majorBidi" w:cstheme="majorBidi"/>
          <w:b w:val="0"/>
          <w:noProof/>
          <w:webHidden/>
        </w:rPr>
        <w:tab/>
        <w:t>117</w:t>
      </w:r>
    </w:p>
    <w:p w14:paraId="6D9F6A9D" w14:textId="3FFF447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19: Third component of 30-day outcomes model for ES: 30-day outcomes following assessment for MDS treatment</w:t>
      </w:r>
      <w:r w:rsidRPr="00685394">
        <w:rPr>
          <w:rFonts w:asciiTheme="majorBidi" w:hAnsiTheme="majorBidi" w:cstheme="majorBidi"/>
          <w:b w:val="0"/>
          <w:noProof/>
          <w:webHidden/>
        </w:rPr>
        <w:tab/>
        <w:t>119</w:t>
      </w:r>
    </w:p>
    <w:p w14:paraId="17C9ED97" w14:textId="73C70B32"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20: Change in population size over time (top pane = invasive isolates, bottom = screening isolates)</w:t>
      </w:r>
      <w:r w:rsidRPr="00685394">
        <w:rPr>
          <w:rFonts w:asciiTheme="majorBidi" w:hAnsiTheme="majorBidi" w:cstheme="majorBidi"/>
          <w:b w:val="0"/>
          <w:noProof/>
          <w:webHidden/>
        </w:rPr>
        <w:tab/>
        <w:t>144</w:t>
      </w:r>
    </w:p>
    <w:p w14:paraId="38AC8AB4" w14:textId="2B214F2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21. Population size.</w:t>
      </w:r>
      <w:r w:rsidRPr="00685394">
        <w:rPr>
          <w:rFonts w:asciiTheme="majorBidi" w:hAnsiTheme="majorBidi" w:cstheme="majorBidi"/>
          <w:b w:val="0"/>
          <w:noProof/>
          <w:webHidden/>
        </w:rPr>
        <w:tab/>
        <w:t>156</w:t>
      </w:r>
    </w:p>
    <w:p w14:paraId="4E51F4DB" w14:textId="4DCD3389"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22: Distribution of per patient INHEs of CAZ-AVI in OXA-48 HAP/VAP empiric setting compared to (a) non-colistin/aminoglycoside-based therapy and (b) colistin/aminoglycoside-based therapy and (2,000 simulations)</w:t>
      </w:r>
      <w:r w:rsidRPr="00685394">
        <w:rPr>
          <w:rFonts w:asciiTheme="majorBidi" w:hAnsiTheme="majorBidi" w:cstheme="majorBidi"/>
          <w:b w:val="0"/>
          <w:noProof/>
          <w:webHidden/>
        </w:rPr>
        <w:tab/>
        <w:t>161</w:t>
      </w:r>
    </w:p>
    <w:p w14:paraId="392B4AC1" w14:textId="5EAF721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lastRenderedPageBreak/>
        <w:t xml:space="preserve">Figure 23: Distribution of INHEs of introducing CAZ-AVI in to the MDS compared to existing therapies: (a) OXA-48 </w:t>
      </w:r>
      <w:r w:rsidRPr="00174117">
        <w:rPr>
          <w:rFonts w:asciiTheme="majorBidi" w:hAnsiTheme="majorBidi" w:cstheme="majorBidi"/>
          <w:b w:val="0"/>
          <w:i/>
          <w:iCs/>
          <w:noProof/>
        </w:rPr>
        <w:t>Enterobacterales</w:t>
      </w:r>
      <w:r w:rsidRPr="00174117">
        <w:rPr>
          <w:rFonts w:asciiTheme="majorBidi" w:hAnsiTheme="majorBidi" w:cstheme="majorBidi"/>
          <w:b w:val="0"/>
          <w:noProof/>
        </w:rPr>
        <w:t xml:space="preserve"> HAP/VAP and (b) OXA-48 </w:t>
      </w:r>
      <w:r w:rsidRPr="00174117">
        <w:rPr>
          <w:rFonts w:asciiTheme="majorBidi" w:hAnsiTheme="majorBidi" w:cstheme="majorBidi"/>
          <w:b w:val="0"/>
          <w:i/>
          <w:iCs/>
          <w:noProof/>
        </w:rPr>
        <w:t>Enterobacterales</w:t>
      </w:r>
      <w:r w:rsidRPr="00174117">
        <w:rPr>
          <w:rFonts w:asciiTheme="majorBidi" w:hAnsiTheme="majorBidi" w:cstheme="majorBidi"/>
          <w:b w:val="0"/>
          <w:noProof/>
        </w:rPr>
        <w:t xml:space="preserve"> cUTI (2,000 simulations)</w:t>
      </w:r>
      <w:r w:rsidRPr="00685394">
        <w:rPr>
          <w:rFonts w:asciiTheme="majorBidi" w:hAnsiTheme="majorBidi" w:cstheme="majorBidi"/>
          <w:b w:val="0"/>
          <w:noProof/>
          <w:webHidden/>
        </w:rPr>
        <w:tab/>
        <w:t>165</w:t>
      </w:r>
    </w:p>
    <w:p w14:paraId="4CDF95BF" w14:textId="365CCC5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24. Population INHE (QALYs) over 20 years based on two population size scenarios. P1: baseline population based on PHE categorisation of infection sites; P2: baseline population based on clinical advisors’ categorisation of infection sites; G1: damped growth rate; G2: growth rate not damped; R1: 1% resistance after 20 years; R2: 10% resistance after 20 years; R3: 30% resistance after 20 years</w:t>
      </w:r>
      <w:r w:rsidRPr="00685394">
        <w:rPr>
          <w:rFonts w:asciiTheme="majorBidi" w:hAnsiTheme="majorBidi" w:cstheme="majorBidi"/>
          <w:b w:val="0"/>
          <w:noProof/>
          <w:webHidden/>
        </w:rPr>
        <w:tab/>
        <w:t>169</w:t>
      </w:r>
    </w:p>
    <w:p w14:paraId="38808CBD" w14:textId="7CD5EF65"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25. Distribution of total population INHEs of CAZ-AVI (2,000 simulations)</w:t>
      </w:r>
      <w:r w:rsidRPr="00685394">
        <w:rPr>
          <w:rFonts w:asciiTheme="majorBidi" w:hAnsiTheme="majorBidi" w:cstheme="majorBidi"/>
          <w:b w:val="0"/>
          <w:noProof/>
          <w:webHidden/>
        </w:rPr>
        <w:tab/>
        <w:t>171</w:t>
      </w:r>
    </w:p>
    <w:p w14:paraId="36A40C06" w14:textId="327AA0A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26: Forest plot of OR vs colistin for reduced dataset, meta-regression model for unusual inclusion criteria</w:t>
      </w:r>
      <w:r w:rsidRPr="00685394">
        <w:rPr>
          <w:rFonts w:asciiTheme="majorBidi" w:hAnsiTheme="majorBidi" w:cstheme="majorBidi"/>
          <w:b w:val="0"/>
          <w:noProof/>
          <w:webHidden/>
        </w:rPr>
        <w:tab/>
        <w:t>259</w:t>
      </w:r>
    </w:p>
    <w:p w14:paraId="4E6E0218" w14:textId="39DD7DD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27: Forest plot of OR vs colistin for reduced dataset, subgroup analysis for unusual inclusion criteria</w:t>
      </w:r>
      <w:r w:rsidRPr="00685394">
        <w:rPr>
          <w:rFonts w:asciiTheme="majorBidi" w:hAnsiTheme="majorBidi" w:cstheme="majorBidi"/>
          <w:b w:val="0"/>
          <w:noProof/>
          <w:webHidden/>
        </w:rPr>
        <w:tab/>
        <w:t>260</w:t>
      </w:r>
    </w:p>
    <w:p w14:paraId="6D532A3C" w14:textId="3896BE7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28: Forest plot of OR vs colistin for reduced dataset, NMA model for MBL cocarriage subgroup</w:t>
      </w:r>
      <w:r w:rsidRPr="00685394">
        <w:rPr>
          <w:rFonts w:asciiTheme="majorBidi" w:hAnsiTheme="majorBidi" w:cstheme="majorBidi"/>
          <w:b w:val="0"/>
          <w:noProof/>
          <w:webHidden/>
        </w:rPr>
        <w:tab/>
        <w:t>262</w:t>
      </w:r>
    </w:p>
    <w:p w14:paraId="2A881FA2" w14:textId="13FEFB1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29: Forest plot of OR vs colistin for reduced dataset, meta-regression model for carbapenum susceptibility</w:t>
      </w:r>
      <w:r w:rsidRPr="00685394">
        <w:rPr>
          <w:rFonts w:asciiTheme="majorBidi" w:hAnsiTheme="majorBidi" w:cstheme="majorBidi"/>
          <w:b w:val="0"/>
          <w:noProof/>
          <w:webHidden/>
        </w:rPr>
        <w:tab/>
        <w:t>263</w:t>
      </w:r>
    </w:p>
    <w:p w14:paraId="4332499E" w14:textId="7366E9E9"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30: Forest plot of OR vs colistin for reduced dataset, meta-regression model for consecutive samples</w:t>
      </w:r>
      <w:r w:rsidRPr="00685394">
        <w:rPr>
          <w:rFonts w:asciiTheme="majorBidi" w:hAnsiTheme="majorBidi" w:cstheme="majorBidi"/>
          <w:b w:val="0"/>
          <w:noProof/>
          <w:webHidden/>
        </w:rPr>
        <w:tab/>
        <w:t>265</w:t>
      </w:r>
    </w:p>
    <w:p w14:paraId="7B3EFBFA" w14:textId="5FDABC0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iCs/>
          <w:noProof/>
        </w:rPr>
        <w:t>Figure 31: Forest plot of OR vs colistin for full data, NMA model</w:t>
      </w:r>
      <w:r w:rsidRPr="00685394">
        <w:rPr>
          <w:rFonts w:asciiTheme="majorBidi" w:hAnsiTheme="majorBidi" w:cstheme="majorBidi"/>
          <w:b w:val="0"/>
          <w:noProof/>
          <w:webHidden/>
        </w:rPr>
        <w:tab/>
        <w:t>266</w:t>
      </w:r>
    </w:p>
    <w:p w14:paraId="3A558DE5" w14:textId="1C51810E"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32: Forest plot of OR vs colistin for full dataset, meta-regression model for unusual inclusion criteria</w:t>
      </w:r>
      <w:r w:rsidRPr="00685394">
        <w:rPr>
          <w:rFonts w:asciiTheme="majorBidi" w:hAnsiTheme="majorBidi" w:cstheme="majorBidi"/>
          <w:b w:val="0"/>
          <w:noProof/>
          <w:webHidden/>
        </w:rPr>
        <w:tab/>
        <w:t>268</w:t>
      </w:r>
    </w:p>
    <w:p w14:paraId="7F316F91" w14:textId="42B33D24"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33: Forest plot of OR vs colistin for full dataset, subgroup analysis for unusual inclusion criteria</w:t>
      </w:r>
      <w:r w:rsidRPr="00685394">
        <w:rPr>
          <w:rFonts w:asciiTheme="majorBidi" w:hAnsiTheme="majorBidi" w:cstheme="majorBidi"/>
          <w:b w:val="0"/>
          <w:noProof/>
          <w:webHidden/>
        </w:rPr>
        <w:tab/>
        <w:t>269</w:t>
      </w:r>
    </w:p>
    <w:p w14:paraId="269204AA" w14:textId="06BEACB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34: Forest plot of OR vs colistin for full dataset, NMA model for MBL cocarriage subgroup</w:t>
      </w:r>
      <w:r w:rsidRPr="00685394">
        <w:rPr>
          <w:rFonts w:asciiTheme="majorBidi" w:hAnsiTheme="majorBidi" w:cstheme="majorBidi"/>
          <w:b w:val="0"/>
          <w:noProof/>
          <w:webHidden/>
        </w:rPr>
        <w:tab/>
        <w:t>270</w:t>
      </w:r>
    </w:p>
    <w:p w14:paraId="4AC9B251" w14:textId="4312819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35: Forest plot of OR vs colistin for full dataset, meta-regression model for carbapenum susceptibility</w:t>
      </w:r>
      <w:r w:rsidRPr="00685394">
        <w:rPr>
          <w:rFonts w:asciiTheme="majorBidi" w:hAnsiTheme="majorBidi" w:cstheme="majorBidi"/>
          <w:b w:val="0"/>
          <w:noProof/>
          <w:webHidden/>
        </w:rPr>
        <w:tab/>
        <w:t>271</w:t>
      </w:r>
    </w:p>
    <w:p w14:paraId="36CAAEFC" w14:textId="5921AEB7"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36: Forest plot of OR vs colistin for full dataset, meta-regression model for consecutive samples</w:t>
      </w:r>
      <w:r w:rsidRPr="00685394">
        <w:rPr>
          <w:rFonts w:asciiTheme="majorBidi" w:hAnsiTheme="majorBidi" w:cstheme="majorBidi"/>
          <w:b w:val="0"/>
          <w:noProof/>
          <w:webHidden/>
        </w:rPr>
        <w:tab/>
        <w:t>272</w:t>
      </w:r>
    </w:p>
    <w:p w14:paraId="18A7C00F" w14:textId="3057A04A"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37:Deviance contribution plot for the full data analysis</w:t>
      </w:r>
      <w:r w:rsidRPr="00685394">
        <w:rPr>
          <w:rFonts w:asciiTheme="majorBidi" w:hAnsiTheme="majorBidi" w:cstheme="majorBidi"/>
          <w:b w:val="0"/>
          <w:noProof/>
          <w:webHidden/>
        </w:rPr>
        <w:tab/>
        <w:t>273</w:t>
      </w:r>
    </w:p>
    <w:p w14:paraId="767FB000" w14:textId="40A8D51B"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38:Deviance contribution plot for the reduced data analysis</w:t>
      </w:r>
      <w:r w:rsidRPr="00685394">
        <w:rPr>
          <w:rFonts w:asciiTheme="majorBidi" w:hAnsiTheme="majorBidi" w:cstheme="majorBidi"/>
          <w:b w:val="0"/>
          <w:noProof/>
          <w:webHidden/>
        </w:rPr>
        <w:tab/>
        <w:t>273</w:t>
      </w:r>
    </w:p>
    <w:p w14:paraId="1B8FE4D1" w14:textId="0752F0F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39. 30-day survival</w:t>
      </w:r>
      <w:r w:rsidRPr="00685394">
        <w:rPr>
          <w:rFonts w:asciiTheme="majorBidi" w:hAnsiTheme="majorBidi" w:cstheme="majorBidi"/>
          <w:b w:val="0"/>
          <w:noProof/>
          <w:webHidden/>
        </w:rPr>
        <w:tab/>
        <w:t>285</w:t>
      </w:r>
    </w:p>
    <w:p w14:paraId="7A49E04B" w14:textId="3157D1C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40 Expected LOS</w:t>
      </w:r>
      <w:r w:rsidRPr="00685394">
        <w:rPr>
          <w:rFonts w:asciiTheme="majorBidi" w:hAnsiTheme="majorBidi" w:cstheme="majorBidi"/>
          <w:b w:val="0"/>
          <w:noProof/>
          <w:webHidden/>
        </w:rPr>
        <w:tab/>
        <w:t>286</w:t>
      </w:r>
    </w:p>
    <w:p w14:paraId="7F2E8A30" w14:textId="1191E24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41 30-day survival with HAP/VAP combined.</w:t>
      </w:r>
      <w:r w:rsidRPr="00685394">
        <w:rPr>
          <w:rFonts w:asciiTheme="majorBidi" w:hAnsiTheme="majorBidi" w:cstheme="majorBidi"/>
          <w:b w:val="0"/>
          <w:noProof/>
          <w:webHidden/>
        </w:rPr>
        <w:tab/>
        <w:t>287</w:t>
      </w:r>
    </w:p>
    <w:p w14:paraId="377857D6" w14:textId="75E0EBA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42 Expected LOS with HAP/VAP combined.</w:t>
      </w:r>
      <w:r w:rsidRPr="00685394">
        <w:rPr>
          <w:rFonts w:asciiTheme="majorBidi" w:hAnsiTheme="majorBidi" w:cstheme="majorBidi"/>
          <w:b w:val="0"/>
          <w:noProof/>
          <w:webHidden/>
        </w:rPr>
        <w:tab/>
        <w:t>287</w:t>
      </w:r>
    </w:p>
    <w:p w14:paraId="1ECE8516" w14:textId="6FE693A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43 30-day mortality - all experts.</w:t>
      </w:r>
      <w:r w:rsidRPr="00685394">
        <w:rPr>
          <w:rFonts w:asciiTheme="majorBidi" w:hAnsiTheme="majorBidi" w:cstheme="majorBidi"/>
          <w:b w:val="0"/>
          <w:noProof/>
          <w:webHidden/>
        </w:rPr>
        <w:tab/>
        <w:t>288</w:t>
      </w:r>
    </w:p>
    <w:p w14:paraId="73D45662" w14:textId="46C5352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44 Expected LOS - all experts</w:t>
      </w:r>
      <w:r w:rsidRPr="00685394">
        <w:rPr>
          <w:rFonts w:asciiTheme="majorBidi" w:hAnsiTheme="majorBidi" w:cstheme="majorBidi"/>
          <w:b w:val="0"/>
          <w:noProof/>
          <w:webHidden/>
        </w:rPr>
        <w:tab/>
        <w:t>289</w:t>
      </w:r>
    </w:p>
    <w:p w14:paraId="3402F30D" w14:textId="20D03B4F"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45 length of time-series and convergence</w:t>
      </w:r>
      <w:r w:rsidRPr="00685394">
        <w:rPr>
          <w:rFonts w:asciiTheme="majorBidi" w:hAnsiTheme="majorBidi" w:cstheme="majorBidi"/>
          <w:b w:val="0"/>
          <w:noProof/>
          <w:webHidden/>
        </w:rPr>
        <w:tab/>
        <w:t>344</w:t>
      </w:r>
    </w:p>
    <w:p w14:paraId="70330087" w14:textId="2B452E71"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46 Resistance development, natural mutation (θ)</w:t>
      </w:r>
      <w:r w:rsidRPr="00685394">
        <w:rPr>
          <w:rFonts w:asciiTheme="majorBidi" w:hAnsiTheme="majorBidi" w:cstheme="majorBidi"/>
          <w:b w:val="0"/>
          <w:noProof/>
          <w:webHidden/>
        </w:rPr>
        <w:tab/>
        <w:t>345</w:t>
      </w:r>
    </w:p>
    <w:p w14:paraId="6FA82DD5" w14:textId="7B38DB5D"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47 Resistance development, amplification (δ)</w:t>
      </w:r>
      <w:r w:rsidRPr="00685394">
        <w:rPr>
          <w:rFonts w:asciiTheme="majorBidi" w:hAnsiTheme="majorBidi" w:cstheme="majorBidi"/>
          <w:b w:val="0"/>
          <w:noProof/>
          <w:webHidden/>
        </w:rPr>
        <w:tab/>
        <w:t>346</w:t>
      </w:r>
    </w:p>
    <w:p w14:paraId="21F328B6" w14:textId="5FC16273" w:rsidR="008F7DED" w:rsidRPr="00685394" w:rsidRDefault="008F7DED">
      <w:pPr>
        <w:pStyle w:val="TableofFigures"/>
        <w:rPr>
          <w:rFonts w:asciiTheme="majorBidi" w:eastAsiaTheme="minorEastAsia" w:hAnsiTheme="majorBidi" w:cstheme="majorBidi"/>
          <w:b w:val="0"/>
          <w:bCs w:val="0"/>
          <w:noProof/>
          <w:sz w:val="22"/>
          <w:szCs w:val="22"/>
          <w:lang w:eastAsia="en-GB"/>
        </w:rPr>
      </w:pPr>
      <w:r w:rsidRPr="00174117">
        <w:rPr>
          <w:rFonts w:asciiTheme="majorBidi" w:hAnsiTheme="majorBidi" w:cstheme="majorBidi"/>
          <w:b w:val="0"/>
          <w:noProof/>
        </w:rPr>
        <w:t>Figure 48 Resistance loss (σ)</w:t>
      </w:r>
      <w:r w:rsidRPr="00685394">
        <w:rPr>
          <w:rFonts w:asciiTheme="majorBidi" w:hAnsiTheme="majorBidi" w:cstheme="majorBidi"/>
          <w:b w:val="0"/>
          <w:noProof/>
          <w:webHidden/>
        </w:rPr>
        <w:tab/>
        <w:t>347</w:t>
      </w:r>
    </w:p>
    <w:p w14:paraId="13F988FA" w14:textId="351713D7" w:rsidR="009D587F" w:rsidRPr="00685394" w:rsidRDefault="009D587F" w:rsidP="00BE13AC">
      <w:pPr>
        <w:spacing w:line="360" w:lineRule="auto"/>
        <w:jc w:val="both"/>
        <w:rPr>
          <w:rFonts w:asciiTheme="majorBidi" w:hAnsiTheme="majorBidi" w:cstheme="majorBidi"/>
        </w:rPr>
      </w:pPr>
    </w:p>
    <w:p w14:paraId="42E1E84B" w14:textId="77777777" w:rsidR="009D587F" w:rsidRPr="008F7DED" w:rsidRDefault="009D587F">
      <w:pPr>
        <w:rPr>
          <w:rFonts w:asciiTheme="majorBidi" w:eastAsiaTheme="majorEastAsia" w:hAnsiTheme="majorBidi" w:cstheme="majorBidi"/>
        </w:rPr>
      </w:pPr>
      <w:r w:rsidRPr="008F7DED">
        <w:rPr>
          <w:rFonts w:asciiTheme="majorBidi" w:eastAsiaTheme="majorEastAsia" w:hAnsiTheme="majorBidi" w:cstheme="majorBidi"/>
        </w:rPr>
        <w:br w:type="page"/>
      </w:r>
    </w:p>
    <w:p w14:paraId="7E1F5911" w14:textId="3217827F" w:rsidR="00F80F5F" w:rsidRPr="006A4082" w:rsidRDefault="00F80F5F" w:rsidP="009E5E96">
      <w:pPr>
        <w:pStyle w:val="EEPRUMainHeading"/>
      </w:pPr>
      <w:bookmarkStart w:id="22" w:name="_Toc535480418"/>
      <w:r w:rsidRPr="006A4082">
        <w:lastRenderedPageBreak/>
        <w:t xml:space="preserve">Abbreviations </w:t>
      </w:r>
      <w:bookmarkEnd w:id="22"/>
    </w:p>
    <w:tbl>
      <w:tblPr>
        <w:tblStyle w:val="TableGrid1"/>
        <w:tblW w:w="0" w:type="auto"/>
        <w:tblInd w:w="5" w:type="dxa"/>
        <w:tblLook w:val="04A0" w:firstRow="1" w:lastRow="0" w:firstColumn="1" w:lastColumn="0" w:noHBand="0" w:noVBand="1"/>
      </w:tblPr>
      <w:tblGrid>
        <w:gridCol w:w="1390"/>
        <w:gridCol w:w="7621"/>
      </w:tblGrid>
      <w:tr w:rsidR="00664C88" w:rsidRPr="008F7DED" w14:paraId="10F7A6B9" w14:textId="77777777" w:rsidTr="002E032F">
        <w:tc>
          <w:tcPr>
            <w:tcW w:w="0" w:type="auto"/>
          </w:tcPr>
          <w:p w14:paraId="143DEB67" w14:textId="35C584E7"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AE</w:t>
            </w:r>
          </w:p>
        </w:tc>
        <w:tc>
          <w:tcPr>
            <w:tcW w:w="0" w:type="auto"/>
          </w:tcPr>
          <w:p w14:paraId="267C7DED" w14:textId="3D0FA20F"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Adverse </w:t>
            </w:r>
            <w:r w:rsidR="00E01FDE" w:rsidRPr="008F7DED">
              <w:rPr>
                <w:rFonts w:ascii="Times New Roman" w:eastAsia="Times New Roman" w:hAnsi="Times New Roman" w:cs="Times New Roman"/>
                <w:color w:val="000000"/>
                <w:lang w:eastAsia="zh-CN"/>
              </w:rPr>
              <w:t>e</w:t>
            </w:r>
            <w:r w:rsidRPr="008F7DED">
              <w:rPr>
                <w:rFonts w:ascii="Times New Roman" w:eastAsia="Times New Roman" w:hAnsi="Times New Roman" w:cs="Times New Roman"/>
                <w:color w:val="000000"/>
                <w:lang w:eastAsia="zh-CN"/>
              </w:rPr>
              <w:t>vent</w:t>
            </w:r>
          </w:p>
        </w:tc>
      </w:tr>
      <w:tr w:rsidR="00664C88" w:rsidRPr="008F7DED" w14:paraId="545E62BC" w14:textId="77777777" w:rsidTr="002E032F">
        <w:tc>
          <w:tcPr>
            <w:tcW w:w="0" w:type="auto"/>
          </w:tcPr>
          <w:p w14:paraId="56CE5294" w14:textId="7D0D938D"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AIC</w:t>
            </w:r>
          </w:p>
        </w:tc>
        <w:tc>
          <w:tcPr>
            <w:tcW w:w="0" w:type="auto"/>
          </w:tcPr>
          <w:p w14:paraId="4442DE7E" w14:textId="1E7CD5C5"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 xml:space="preserve">Akaike’s </w:t>
            </w:r>
            <w:r w:rsidR="00C94007" w:rsidRPr="008F7DED">
              <w:rPr>
                <w:rFonts w:ascii="Times New Roman" w:hAnsi="Times New Roman" w:cs="Times New Roman"/>
                <w:color w:val="000000"/>
              </w:rPr>
              <w:t>i</w:t>
            </w:r>
            <w:r w:rsidRPr="008F7DED">
              <w:rPr>
                <w:rFonts w:ascii="Times New Roman" w:hAnsi="Times New Roman" w:cs="Times New Roman"/>
                <w:color w:val="000000"/>
              </w:rPr>
              <w:t xml:space="preserve">nformation </w:t>
            </w:r>
            <w:r w:rsidR="00C94007" w:rsidRPr="008F7DED">
              <w:rPr>
                <w:rFonts w:ascii="Times New Roman" w:hAnsi="Times New Roman" w:cs="Times New Roman"/>
                <w:color w:val="000000"/>
              </w:rPr>
              <w:t>c</w:t>
            </w:r>
            <w:r w:rsidRPr="008F7DED">
              <w:rPr>
                <w:rFonts w:ascii="Times New Roman" w:hAnsi="Times New Roman" w:cs="Times New Roman"/>
                <w:color w:val="000000"/>
              </w:rPr>
              <w:t>riteria</w:t>
            </w:r>
          </w:p>
        </w:tc>
      </w:tr>
      <w:tr w:rsidR="00664C88" w:rsidRPr="008F7DED" w14:paraId="2F98352F" w14:textId="77777777" w:rsidTr="002E032F">
        <w:tc>
          <w:tcPr>
            <w:tcW w:w="0" w:type="auto"/>
          </w:tcPr>
          <w:p w14:paraId="21C64837" w14:textId="26ADD418"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AKI</w:t>
            </w:r>
          </w:p>
        </w:tc>
        <w:tc>
          <w:tcPr>
            <w:tcW w:w="0" w:type="auto"/>
          </w:tcPr>
          <w:p w14:paraId="4ECD2884" w14:textId="6808F9DC"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Acute kidney injury</w:t>
            </w:r>
          </w:p>
        </w:tc>
      </w:tr>
      <w:tr w:rsidR="00E273CC" w:rsidRPr="008F7DED" w14:paraId="3E98E588" w14:textId="77777777" w:rsidTr="002E032F">
        <w:tc>
          <w:tcPr>
            <w:tcW w:w="0" w:type="auto"/>
            <w:hideMark/>
          </w:tcPr>
          <w:p w14:paraId="43EE338D" w14:textId="1FD86632" w:rsidR="00E273CC" w:rsidRPr="008F7DED" w:rsidRDefault="00664C88"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 xml:space="preserve">AM </w:t>
            </w:r>
          </w:p>
        </w:tc>
        <w:tc>
          <w:tcPr>
            <w:tcW w:w="0" w:type="auto"/>
            <w:hideMark/>
          </w:tcPr>
          <w:p w14:paraId="243C7673"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Antimicrobial</w:t>
            </w:r>
          </w:p>
        </w:tc>
      </w:tr>
      <w:tr w:rsidR="00664C88" w:rsidRPr="008F7DED" w14:paraId="09FF2FAD" w14:textId="77777777" w:rsidTr="002E032F">
        <w:tc>
          <w:tcPr>
            <w:tcW w:w="0" w:type="auto"/>
          </w:tcPr>
          <w:p w14:paraId="497324A3" w14:textId="092D2FBD" w:rsidR="00664C88" w:rsidRPr="008F7DED" w:rsidRDefault="00664C88"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AmpC</w:t>
            </w:r>
            <w:proofErr w:type="spellEnd"/>
          </w:p>
        </w:tc>
        <w:tc>
          <w:tcPr>
            <w:tcW w:w="0" w:type="auto"/>
          </w:tcPr>
          <w:p w14:paraId="615160E6" w14:textId="72F6E19F" w:rsidR="00664C88" w:rsidRPr="008F7DED" w:rsidRDefault="00664C88" w:rsidP="00E273CC">
            <w:pPr>
              <w:rPr>
                <w:rFonts w:ascii="Times New Roman" w:eastAsia="Times New Roman" w:hAnsi="Times New Roman" w:cs="Times New Roman"/>
                <w:color w:val="000000"/>
                <w:lang w:eastAsia="zh-CN"/>
              </w:rPr>
            </w:pPr>
            <w:proofErr w:type="spellStart"/>
            <w:r w:rsidRPr="008F7DED">
              <w:rPr>
                <w:rFonts w:ascii="Times New Roman" w:hAnsi="Times New Roman" w:cs="Times New Roman"/>
                <w:color w:val="000000"/>
              </w:rPr>
              <w:t>Ampicillinase</w:t>
            </w:r>
            <w:proofErr w:type="spellEnd"/>
            <w:r w:rsidRPr="008F7DED">
              <w:rPr>
                <w:rFonts w:ascii="Times New Roman" w:hAnsi="Times New Roman" w:cs="Times New Roman"/>
                <w:color w:val="000000"/>
              </w:rPr>
              <w:t xml:space="preserve"> C</w:t>
            </w:r>
          </w:p>
        </w:tc>
      </w:tr>
      <w:tr w:rsidR="00E273CC" w:rsidRPr="008F7DED" w14:paraId="54AC8791" w14:textId="77777777" w:rsidTr="002E032F">
        <w:tc>
          <w:tcPr>
            <w:tcW w:w="0" w:type="auto"/>
            <w:hideMark/>
          </w:tcPr>
          <w:p w14:paraId="0AAA5E63"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AMRHAI</w:t>
            </w:r>
          </w:p>
        </w:tc>
        <w:tc>
          <w:tcPr>
            <w:tcW w:w="0" w:type="auto"/>
            <w:hideMark/>
          </w:tcPr>
          <w:p w14:paraId="44F3B67C"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Antimicrobial resistance and healthcare associated infections</w:t>
            </w:r>
          </w:p>
        </w:tc>
      </w:tr>
      <w:tr w:rsidR="00664C88" w:rsidRPr="008F7DED" w14:paraId="1121088B" w14:textId="77777777" w:rsidTr="002E032F">
        <w:tc>
          <w:tcPr>
            <w:tcW w:w="0" w:type="auto"/>
          </w:tcPr>
          <w:p w14:paraId="7D24A5A9" w14:textId="40B388A2"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AST</w:t>
            </w:r>
          </w:p>
        </w:tc>
        <w:tc>
          <w:tcPr>
            <w:tcW w:w="0" w:type="auto"/>
          </w:tcPr>
          <w:p w14:paraId="01F43850" w14:textId="44D14AA1" w:rsidR="00664C88" w:rsidRPr="008F7DED" w:rsidRDefault="00C94007"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A</w:t>
            </w:r>
            <w:r w:rsidR="00664C88" w:rsidRPr="008F7DED">
              <w:rPr>
                <w:rFonts w:ascii="Times New Roman" w:hAnsi="Times New Roman" w:cs="Times New Roman"/>
                <w:color w:val="000000"/>
              </w:rPr>
              <w:t>ntimicrobial susceptibility testing</w:t>
            </w:r>
          </w:p>
        </w:tc>
      </w:tr>
      <w:tr w:rsidR="00664C88" w:rsidRPr="008F7DED" w14:paraId="25E41DF5" w14:textId="77777777" w:rsidTr="002E032F">
        <w:tc>
          <w:tcPr>
            <w:tcW w:w="0" w:type="auto"/>
          </w:tcPr>
          <w:p w14:paraId="02048508" w14:textId="412A94C8"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ATLAS</w:t>
            </w:r>
          </w:p>
        </w:tc>
        <w:tc>
          <w:tcPr>
            <w:tcW w:w="0" w:type="auto"/>
          </w:tcPr>
          <w:p w14:paraId="02703669" w14:textId="32669608" w:rsidR="00664C88" w:rsidRPr="008F7DED" w:rsidRDefault="00B80D8B"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ATLAS</w:t>
            </w:r>
          </w:p>
        </w:tc>
      </w:tr>
      <w:tr w:rsidR="00161C00" w:rsidRPr="008F7DED" w14:paraId="36F01E4E" w14:textId="77777777" w:rsidTr="002E032F">
        <w:tc>
          <w:tcPr>
            <w:tcW w:w="0" w:type="auto"/>
          </w:tcPr>
          <w:p w14:paraId="2EFE47A9" w14:textId="2D22735B" w:rsidR="00161C00" w:rsidRPr="008F7DED" w:rsidRDefault="00161C00"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AWARE</w:t>
            </w:r>
          </w:p>
        </w:tc>
        <w:tc>
          <w:tcPr>
            <w:tcW w:w="0" w:type="auto"/>
          </w:tcPr>
          <w:p w14:paraId="6C0FD876" w14:textId="1DB02CBF" w:rsidR="00161C00" w:rsidRPr="008F7DED" w:rsidRDefault="00161C00" w:rsidP="00E273CC">
            <w:pPr>
              <w:rPr>
                <w:rFonts w:ascii="Times New Roman" w:hAnsi="Times New Roman" w:cs="Times New Roman"/>
                <w:color w:val="000000"/>
              </w:rPr>
            </w:pPr>
            <w:r w:rsidRPr="00673BF6">
              <w:rPr>
                <w:rFonts w:asciiTheme="majorBidi" w:hAnsiTheme="majorBidi" w:cstheme="majorBidi"/>
              </w:rPr>
              <w:t>European Surveillance of Antimicrobial Consumption Network</w:t>
            </w:r>
          </w:p>
        </w:tc>
      </w:tr>
      <w:tr w:rsidR="00664C88" w:rsidRPr="008F7DED" w14:paraId="1327D55D" w14:textId="77777777" w:rsidTr="002E032F">
        <w:tc>
          <w:tcPr>
            <w:tcW w:w="0" w:type="auto"/>
          </w:tcPr>
          <w:p w14:paraId="79D634A1" w14:textId="410FD37F"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BSAC</w:t>
            </w:r>
          </w:p>
        </w:tc>
        <w:tc>
          <w:tcPr>
            <w:tcW w:w="0" w:type="auto"/>
          </w:tcPr>
          <w:p w14:paraId="29ADFF4C" w14:textId="31EC4A72"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British Society for Antimicrobial Chemotherapy</w:t>
            </w:r>
          </w:p>
        </w:tc>
      </w:tr>
      <w:tr w:rsidR="00664C88" w:rsidRPr="008F7DED" w14:paraId="3F714482" w14:textId="77777777" w:rsidTr="002E032F">
        <w:tc>
          <w:tcPr>
            <w:tcW w:w="0" w:type="auto"/>
          </w:tcPr>
          <w:p w14:paraId="40FB2BC3" w14:textId="798D247E" w:rsidR="00664C88" w:rsidRPr="008F7DED" w:rsidRDefault="00664C88"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BSI</w:t>
            </w:r>
          </w:p>
        </w:tc>
        <w:tc>
          <w:tcPr>
            <w:tcW w:w="0" w:type="auto"/>
          </w:tcPr>
          <w:p w14:paraId="7ECAA6E3" w14:textId="506D52DA" w:rsidR="00664C88" w:rsidRPr="008F7DED" w:rsidRDefault="00C94007"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B</w:t>
            </w:r>
            <w:r w:rsidR="00664C88" w:rsidRPr="008F7DED">
              <w:rPr>
                <w:rFonts w:ascii="Times New Roman" w:eastAsia="Times New Roman" w:hAnsi="Times New Roman" w:cs="Times New Roman"/>
                <w:color w:val="000000"/>
                <w:lang w:eastAsia="zh-CN"/>
              </w:rPr>
              <w:t>lood stream infections</w:t>
            </w:r>
          </w:p>
        </w:tc>
      </w:tr>
      <w:tr w:rsidR="00E273CC" w:rsidRPr="008F7DED" w14:paraId="248C15CA" w14:textId="77777777" w:rsidTr="002E032F">
        <w:tc>
          <w:tcPr>
            <w:tcW w:w="0" w:type="auto"/>
            <w:hideMark/>
          </w:tcPr>
          <w:p w14:paraId="79D99B51"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CAZ-AVI</w:t>
            </w:r>
          </w:p>
        </w:tc>
        <w:tc>
          <w:tcPr>
            <w:tcW w:w="0" w:type="auto"/>
            <w:hideMark/>
          </w:tcPr>
          <w:p w14:paraId="2C2863DE"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Ceftazidime-avibactam</w:t>
            </w:r>
          </w:p>
        </w:tc>
      </w:tr>
      <w:tr w:rsidR="008F3500" w:rsidRPr="008F7DED" w14:paraId="1AD20B32" w14:textId="77777777" w:rsidTr="002E032F">
        <w:tc>
          <w:tcPr>
            <w:tcW w:w="0" w:type="auto"/>
          </w:tcPr>
          <w:p w14:paraId="6451540C" w14:textId="58D822D9"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CCI</w:t>
            </w:r>
          </w:p>
        </w:tc>
        <w:tc>
          <w:tcPr>
            <w:tcW w:w="0" w:type="auto"/>
          </w:tcPr>
          <w:p w14:paraId="1F124447" w14:textId="7A1DD31E" w:rsidR="008F3500" w:rsidRPr="008F7DED" w:rsidRDefault="008F3500"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Charlson</w:t>
            </w:r>
            <w:proofErr w:type="spellEnd"/>
            <w:r w:rsidRPr="008F7DED">
              <w:rPr>
                <w:rFonts w:ascii="Times New Roman" w:eastAsia="Times New Roman" w:hAnsi="Times New Roman" w:cs="Times New Roman"/>
                <w:color w:val="000000"/>
                <w:lang w:eastAsia="zh-CN"/>
              </w:rPr>
              <w:t xml:space="preserve"> </w:t>
            </w:r>
            <w:r w:rsidR="00C94007" w:rsidRPr="008F7DED">
              <w:rPr>
                <w:rFonts w:ascii="Times New Roman" w:eastAsia="Times New Roman" w:hAnsi="Times New Roman" w:cs="Times New Roman"/>
                <w:color w:val="000000"/>
                <w:lang w:eastAsia="zh-CN"/>
              </w:rPr>
              <w:t>c</w:t>
            </w:r>
            <w:r w:rsidRPr="008F7DED">
              <w:rPr>
                <w:rFonts w:ascii="Times New Roman" w:eastAsia="Times New Roman" w:hAnsi="Times New Roman" w:cs="Times New Roman"/>
                <w:color w:val="000000"/>
                <w:lang w:eastAsia="zh-CN"/>
              </w:rPr>
              <w:t xml:space="preserve">omorbidity </w:t>
            </w:r>
            <w:r w:rsidR="00C94007" w:rsidRPr="008F7DED">
              <w:rPr>
                <w:rFonts w:ascii="Times New Roman" w:eastAsia="Times New Roman" w:hAnsi="Times New Roman" w:cs="Times New Roman"/>
                <w:color w:val="000000"/>
                <w:lang w:eastAsia="zh-CN"/>
              </w:rPr>
              <w:t>i</w:t>
            </w:r>
            <w:r w:rsidRPr="008F7DED">
              <w:rPr>
                <w:rFonts w:ascii="Times New Roman" w:eastAsia="Times New Roman" w:hAnsi="Times New Roman" w:cs="Times New Roman"/>
                <w:color w:val="000000"/>
                <w:lang w:eastAsia="zh-CN"/>
              </w:rPr>
              <w:t>ndex</w:t>
            </w:r>
          </w:p>
        </w:tc>
      </w:tr>
      <w:tr w:rsidR="008F3500" w:rsidRPr="008F7DED" w14:paraId="4F166134" w14:textId="77777777" w:rsidTr="002E032F">
        <w:tc>
          <w:tcPr>
            <w:tcW w:w="0" w:type="auto"/>
          </w:tcPr>
          <w:p w14:paraId="5853CF66" w14:textId="090D721F"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CKD</w:t>
            </w:r>
          </w:p>
        </w:tc>
        <w:tc>
          <w:tcPr>
            <w:tcW w:w="0" w:type="auto"/>
          </w:tcPr>
          <w:p w14:paraId="224869FA" w14:textId="5D6EBA12" w:rsidR="008F3500" w:rsidRPr="008F7DED" w:rsidRDefault="008F3500" w:rsidP="00E273CC">
            <w:pPr>
              <w:rPr>
                <w:rFonts w:ascii="Times New Roman" w:hAnsi="Times New Roman" w:cs="Times New Roman"/>
              </w:rPr>
            </w:pPr>
            <w:r w:rsidRPr="008F7DED">
              <w:rPr>
                <w:rFonts w:ascii="Times New Roman" w:hAnsi="Times New Roman" w:cs="Times New Roman"/>
                <w:color w:val="000000"/>
              </w:rPr>
              <w:t xml:space="preserve">Chronic </w:t>
            </w:r>
            <w:r w:rsidR="00C94007" w:rsidRPr="008F7DED">
              <w:rPr>
                <w:rFonts w:ascii="Times New Roman" w:hAnsi="Times New Roman" w:cs="Times New Roman"/>
                <w:color w:val="000000"/>
              </w:rPr>
              <w:t>k</w:t>
            </w:r>
            <w:r w:rsidRPr="008F7DED">
              <w:rPr>
                <w:rFonts w:ascii="Times New Roman" w:hAnsi="Times New Roman" w:cs="Times New Roman"/>
                <w:color w:val="000000"/>
              </w:rPr>
              <w:t xml:space="preserve">idney </w:t>
            </w:r>
            <w:r w:rsidR="00C94007" w:rsidRPr="008F7DED">
              <w:rPr>
                <w:rFonts w:ascii="Times New Roman" w:hAnsi="Times New Roman" w:cs="Times New Roman"/>
                <w:color w:val="000000"/>
              </w:rPr>
              <w:t>d</w:t>
            </w:r>
            <w:r w:rsidRPr="008F7DED">
              <w:rPr>
                <w:rFonts w:ascii="Times New Roman" w:hAnsi="Times New Roman" w:cs="Times New Roman"/>
                <w:color w:val="000000"/>
              </w:rPr>
              <w:t>isease</w:t>
            </w:r>
          </w:p>
        </w:tc>
      </w:tr>
      <w:tr w:rsidR="008F3500" w:rsidRPr="008F7DED" w14:paraId="6F19195E" w14:textId="77777777" w:rsidTr="002E032F">
        <w:tc>
          <w:tcPr>
            <w:tcW w:w="0" w:type="auto"/>
          </w:tcPr>
          <w:p w14:paraId="69271EEA" w14:textId="419F5228"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CLSI</w:t>
            </w:r>
          </w:p>
        </w:tc>
        <w:tc>
          <w:tcPr>
            <w:tcW w:w="0" w:type="auto"/>
          </w:tcPr>
          <w:p w14:paraId="1CD9EB00" w14:textId="7DB8C52D" w:rsidR="008F3500" w:rsidRPr="008F7DED" w:rsidRDefault="008F3500" w:rsidP="00E273CC">
            <w:pPr>
              <w:rPr>
                <w:rFonts w:ascii="Times New Roman" w:hAnsi="Times New Roman" w:cs="Times New Roman"/>
              </w:rPr>
            </w:pPr>
            <w:r w:rsidRPr="008F7DED">
              <w:rPr>
                <w:rFonts w:ascii="Times New Roman" w:hAnsi="Times New Roman" w:cs="Times New Roman"/>
                <w:color w:val="000000"/>
              </w:rPr>
              <w:t>Clinical Laboratory Standards Institute</w:t>
            </w:r>
          </w:p>
        </w:tc>
      </w:tr>
      <w:tr w:rsidR="008F3500" w:rsidRPr="008F7DED" w14:paraId="3DB9D3B6" w14:textId="77777777" w:rsidTr="002E032F">
        <w:tc>
          <w:tcPr>
            <w:tcW w:w="0" w:type="auto"/>
          </w:tcPr>
          <w:p w14:paraId="2ABC6FAF" w14:textId="2CCCB83B" w:rsidR="008F3500" w:rsidRPr="008F7DED" w:rsidRDefault="008F3500"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cIAI</w:t>
            </w:r>
            <w:proofErr w:type="spellEnd"/>
          </w:p>
        </w:tc>
        <w:tc>
          <w:tcPr>
            <w:tcW w:w="0" w:type="auto"/>
          </w:tcPr>
          <w:p w14:paraId="1A1549B8" w14:textId="1F66A570" w:rsidR="008F3500" w:rsidRPr="008F7DED" w:rsidRDefault="00C94007" w:rsidP="00E273CC">
            <w:pPr>
              <w:rPr>
                <w:rFonts w:ascii="Times New Roman" w:hAnsi="Times New Roman" w:cs="Times New Roman"/>
              </w:rPr>
            </w:pPr>
            <w:r w:rsidRPr="008F7DED">
              <w:rPr>
                <w:rFonts w:ascii="Times New Roman" w:hAnsi="Times New Roman" w:cs="Times New Roman"/>
              </w:rPr>
              <w:t>C</w:t>
            </w:r>
            <w:r w:rsidR="008F3500" w:rsidRPr="008F7DED">
              <w:rPr>
                <w:rFonts w:ascii="Times New Roman" w:hAnsi="Times New Roman" w:cs="Times New Roman"/>
              </w:rPr>
              <w:t>omplicated intra-abdominal infections</w:t>
            </w:r>
          </w:p>
        </w:tc>
      </w:tr>
      <w:tr w:rsidR="00286E46" w:rsidRPr="008F7DED" w14:paraId="7D80CDBF" w14:textId="77777777" w:rsidTr="002E032F">
        <w:tc>
          <w:tcPr>
            <w:tcW w:w="0" w:type="auto"/>
          </w:tcPr>
          <w:p w14:paraId="26B13AD0" w14:textId="5348750D" w:rsidR="00286E46" w:rsidRPr="008F7DED" w:rsidRDefault="00286E46"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CRD</w:t>
            </w:r>
          </w:p>
        </w:tc>
        <w:tc>
          <w:tcPr>
            <w:tcW w:w="0" w:type="auto"/>
          </w:tcPr>
          <w:p w14:paraId="7829FAA0" w14:textId="509AE081" w:rsidR="00286E46" w:rsidRPr="008F7DED" w:rsidRDefault="00286E46" w:rsidP="00E273CC">
            <w:pPr>
              <w:rPr>
                <w:rFonts w:ascii="Times New Roman" w:hAnsi="Times New Roman" w:cs="Times New Roman"/>
                <w:color w:val="000000"/>
              </w:rPr>
            </w:pPr>
            <w:r>
              <w:rPr>
                <w:rFonts w:ascii="Times New Roman" w:hAnsi="Times New Roman" w:cs="Times New Roman"/>
                <w:color w:val="000000"/>
              </w:rPr>
              <w:t>Centre for Reviews and Dissemination</w:t>
            </w:r>
          </w:p>
        </w:tc>
      </w:tr>
      <w:tr w:rsidR="008F3500" w:rsidRPr="008F7DED" w14:paraId="3FBB5995" w14:textId="77777777" w:rsidTr="002E032F">
        <w:tc>
          <w:tcPr>
            <w:tcW w:w="0" w:type="auto"/>
          </w:tcPr>
          <w:p w14:paraId="55E8A4D7" w14:textId="004F2291" w:rsidR="008F3500" w:rsidRPr="008F7DED" w:rsidRDefault="008F3500"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CrI</w:t>
            </w:r>
            <w:proofErr w:type="spellEnd"/>
          </w:p>
        </w:tc>
        <w:tc>
          <w:tcPr>
            <w:tcW w:w="0" w:type="auto"/>
          </w:tcPr>
          <w:p w14:paraId="5908C005" w14:textId="63E98444" w:rsidR="008F3500" w:rsidRPr="008F7DED" w:rsidRDefault="00C94007"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C</w:t>
            </w:r>
            <w:r w:rsidR="008F3500" w:rsidRPr="008F7DED">
              <w:rPr>
                <w:rFonts w:ascii="Times New Roman" w:hAnsi="Times New Roman" w:cs="Times New Roman"/>
                <w:color w:val="000000"/>
              </w:rPr>
              <w:t>redible intervals</w:t>
            </w:r>
          </w:p>
        </w:tc>
      </w:tr>
      <w:tr w:rsidR="008F3500" w:rsidRPr="008F7DED" w14:paraId="19590571" w14:textId="77777777" w:rsidTr="002E032F">
        <w:tc>
          <w:tcPr>
            <w:tcW w:w="0" w:type="auto"/>
          </w:tcPr>
          <w:p w14:paraId="40997409" w14:textId="580DE6DD"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CMY</w:t>
            </w:r>
          </w:p>
        </w:tc>
        <w:tc>
          <w:tcPr>
            <w:tcW w:w="0" w:type="auto"/>
          </w:tcPr>
          <w:p w14:paraId="5A055349" w14:textId="473A24D0" w:rsidR="008F3500" w:rsidRPr="008F7DED" w:rsidRDefault="000C33AD" w:rsidP="00E273CC">
            <w:pPr>
              <w:rPr>
                <w:rFonts w:ascii="Times New Roman" w:eastAsia="Times New Roman" w:hAnsi="Times New Roman" w:cs="Times New Roman"/>
                <w:color w:val="000000"/>
                <w:lang w:eastAsia="zh-CN"/>
              </w:rPr>
            </w:pPr>
            <w:proofErr w:type="spellStart"/>
            <w:r w:rsidRPr="008F7DED">
              <w:rPr>
                <w:rFonts w:ascii="Times New Roman" w:hAnsi="Times New Roman" w:cs="Times New Roman"/>
                <w:color w:val="000000"/>
              </w:rPr>
              <w:t>C</w:t>
            </w:r>
            <w:r w:rsidR="008F3500" w:rsidRPr="008F7DED">
              <w:rPr>
                <w:rFonts w:ascii="Times New Roman" w:hAnsi="Times New Roman" w:cs="Times New Roman"/>
                <w:color w:val="000000"/>
              </w:rPr>
              <w:t>ephamy</w:t>
            </w:r>
            <w:r w:rsidR="00BD5C7C">
              <w:rPr>
                <w:rFonts w:ascii="Times New Roman" w:hAnsi="Times New Roman" w:cs="Times New Roman"/>
                <w:color w:val="000000"/>
              </w:rPr>
              <w:t>a</w:t>
            </w:r>
            <w:r w:rsidR="008F3500" w:rsidRPr="008F7DED">
              <w:rPr>
                <w:rFonts w:ascii="Times New Roman" w:hAnsi="Times New Roman" w:cs="Times New Roman"/>
                <w:color w:val="000000"/>
              </w:rPr>
              <w:t>cinases</w:t>
            </w:r>
            <w:proofErr w:type="spellEnd"/>
          </w:p>
        </w:tc>
      </w:tr>
      <w:tr w:rsidR="008F3500" w:rsidRPr="008F7DED" w14:paraId="73265DE1" w14:textId="77777777" w:rsidTr="002E032F">
        <w:tc>
          <w:tcPr>
            <w:tcW w:w="0" w:type="auto"/>
          </w:tcPr>
          <w:p w14:paraId="2FFF0C4B" w14:textId="7B257B90"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CPE</w:t>
            </w:r>
          </w:p>
        </w:tc>
        <w:tc>
          <w:tcPr>
            <w:tcW w:w="0" w:type="auto"/>
          </w:tcPr>
          <w:p w14:paraId="66876479" w14:textId="5186060A" w:rsidR="008F3500" w:rsidRPr="008F7DED" w:rsidRDefault="00C94007" w:rsidP="00E273CC">
            <w:pPr>
              <w:rPr>
                <w:rFonts w:ascii="Times New Roman" w:eastAsia="Times New Roman" w:hAnsi="Times New Roman" w:cs="Times New Roman"/>
                <w:color w:val="000000"/>
                <w:lang w:eastAsia="zh-CN"/>
              </w:rPr>
            </w:pPr>
            <w:proofErr w:type="spellStart"/>
            <w:r w:rsidRPr="008F7DED">
              <w:rPr>
                <w:rFonts w:ascii="Times New Roman" w:hAnsi="Times New Roman" w:cs="Times New Roman"/>
                <w:color w:val="000000"/>
              </w:rPr>
              <w:t>C</w:t>
            </w:r>
            <w:r w:rsidR="008F3500" w:rsidRPr="008F7DED">
              <w:rPr>
                <w:rFonts w:ascii="Times New Roman" w:hAnsi="Times New Roman" w:cs="Times New Roman"/>
                <w:color w:val="000000"/>
              </w:rPr>
              <w:t>arbapenemases</w:t>
            </w:r>
            <w:proofErr w:type="spellEnd"/>
            <w:r w:rsidR="008F3500" w:rsidRPr="008F7DED">
              <w:rPr>
                <w:rFonts w:ascii="Times New Roman" w:hAnsi="Times New Roman" w:cs="Times New Roman"/>
                <w:color w:val="000000"/>
              </w:rPr>
              <w:t xml:space="preserve">-producing </w:t>
            </w:r>
            <w:proofErr w:type="spellStart"/>
            <w:r w:rsidR="00D931C7">
              <w:rPr>
                <w:rFonts w:ascii="Times New Roman" w:hAnsi="Times New Roman" w:cs="Times New Roman"/>
                <w:color w:val="000000"/>
              </w:rPr>
              <w:t>E</w:t>
            </w:r>
            <w:r w:rsidR="00FE2007" w:rsidRPr="008F7DED">
              <w:rPr>
                <w:rFonts w:ascii="Times New Roman" w:hAnsi="Times New Roman" w:cs="Times New Roman"/>
                <w:i/>
                <w:iCs/>
                <w:color w:val="000000"/>
              </w:rPr>
              <w:t>nterobacterales</w:t>
            </w:r>
            <w:proofErr w:type="spellEnd"/>
          </w:p>
        </w:tc>
      </w:tr>
      <w:tr w:rsidR="00D931C7" w:rsidRPr="008F7DED" w14:paraId="0177E44D" w14:textId="77777777" w:rsidTr="002E032F">
        <w:tc>
          <w:tcPr>
            <w:tcW w:w="0" w:type="auto"/>
          </w:tcPr>
          <w:p w14:paraId="6A7D1265" w14:textId="70154EB2" w:rsidR="00D931C7" w:rsidRPr="008F7DED" w:rsidRDefault="00D931C7"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CRE</w:t>
            </w:r>
          </w:p>
        </w:tc>
        <w:tc>
          <w:tcPr>
            <w:tcW w:w="0" w:type="auto"/>
          </w:tcPr>
          <w:p w14:paraId="5B37A9BF" w14:textId="0585FBD4" w:rsidR="00D931C7" w:rsidRPr="008F7DED" w:rsidRDefault="00D931C7" w:rsidP="00E273CC">
            <w:pPr>
              <w:rPr>
                <w:rFonts w:ascii="Times New Roman" w:hAnsi="Times New Roman" w:cs="Times New Roman"/>
                <w:color w:val="000000"/>
              </w:rPr>
            </w:pPr>
            <w:r w:rsidRPr="008F7DED">
              <w:rPr>
                <w:rFonts w:ascii="Times New Roman" w:hAnsi="Times New Roman" w:cs="Times New Roman"/>
                <w:color w:val="000000"/>
              </w:rPr>
              <w:t>Carbapenem</w:t>
            </w:r>
            <w:r>
              <w:rPr>
                <w:rFonts w:ascii="Times New Roman" w:hAnsi="Times New Roman" w:cs="Times New Roman"/>
                <w:color w:val="000000"/>
              </w:rPr>
              <w:t xml:space="preserve"> resistant</w:t>
            </w:r>
            <w:r w:rsidRPr="008F7DED">
              <w:rPr>
                <w:rFonts w:ascii="Times New Roman" w:hAnsi="Times New Roman" w:cs="Times New Roman"/>
                <w:color w:val="000000"/>
              </w:rPr>
              <w:t xml:space="preserve"> </w:t>
            </w:r>
            <w:proofErr w:type="spellStart"/>
            <w:r>
              <w:rPr>
                <w:rFonts w:ascii="Times New Roman" w:hAnsi="Times New Roman" w:cs="Times New Roman"/>
                <w:color w:val="000000"/>
              </w:rPr>
              <w:t>E</w:t>
            </w:r>
            <w:r w:rsidRPr="008F7DED">
              <w:rPr>
                <w:rFonts w:ascii="Times New Roman" w:hAnsi="Times New Roman" w:cs="Times New Roman"/>
                <w:i/>
                <w:iCs/>
                <w:color w:val="000000"/>
              </w:rPr>
              <w:t>nterobacterales</w:t>
            </w:r>
            <w:proofErr w:type="spellEnd"/>
          </w:p>
        </w:tc>
      </w:tr>
      <w:tr w:rsidR="008F3500" w:rsidRPr="008F7DED" w14:paraId="00D286E4" w14:textId="77777777" w:rsidTr="002E032F">
        <w:tc>
          <w:tcPr>
            <w:tcW w:w="0" w:type="auto"/>
          </w:tcPr>
          <w:p w14:paraId="7C7F0981" w14:textId="3C65B68B" w:rsidR="008F3500" w:rsidRPr="008F7DED" w:rsidRDefault="008F3500" w:rsidP="008F3500">
            <w:pPr>
              <w:rPr>
                <w:rFonts w:ascii="Times New Roman" w:eastAsia="Times New Roman" w:hAnsi="Times New Roman" w:cs="Times New Roman"/>
                <w:color w:val="000000"/>
                <w:lang w:eastAsia="zh-CN"/>
              </w:rPr>
            </w:pPr>
            <w:proofErr w:type="spellStart"/>
            <w:r w:rsidRPr="008F7DED">
              <w:rPr>
                <w:rFonts w:ascii="Times New Roman" w:hAnsi="Times New Roman" w:cs="Times New Roman"/>
              </w:rPr>
              <w:t>cUTI</w:t>
            </w:r>
            <w:proofErr w:type="spellEnd"/>
          </w:p>
        </w:tc>
        <w:tc>
          <w:tcPr>
            <w:tcW w:w="0" w:type="auto"/>
          </w:tcPr>
          <w:p w14:paraId="309C8CCE" w14:textId="4AF57A66" w:rsidR="008F3500" w:rsidRPr="008F7DED" w:rsidRDefault="00C94007" w:rsidP="008F3500">
            <w:pPr>
              <w:rPr>
                <w:rFonts w:ascii="Times New Roman" w:eastAsia="Times New Roman" w:hAnsi="Times New Roman" w:cs="Times New Roman"/>
                <w:color w:val="000000"/>
                <w:lang w:eastAsia="zh-CN"/>
              </w:rPr>
            </w:pPr>
            <w:r w:rsidRPr="008F7DED">
              <w:rPr>
                <w:rFonts w:ascii="Times New Roman" w:hAnsi="Times New Roman" w:cs="Times New Roman"/>
              </w:rPr>
              <w:t>C</w:t>
            </w:r>
            <w:r w:rsidR="008F3500" w:rsidRPr="008F7DED">
              <w:rPr>
                <w:rFonts w:ascii="Times New Roman" w:hAnsi="Times New Roman" w:cs="Times New Roman"/>
              </w:rPr>
              <w:t>omplicated UTI</w:t>
            </w:r>
          </w:p>
        </w:tc>
      </w:tr>
      <w:tr w:rsidR="008F3500" w:rsidRPr="008F7DED" w14:paraId="4F5327F8" w14:textId="77777777" w:rsidTr="002E032F">
        <w:tc>
          <w:tcPr>
            <w:tcW w:w="0" w:type="auto"/>
          </w:tcPr>
          <w:p w14:paraId="2AB3387F" w14:textId="0B1F939D"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DDD</w:t>
            </w:r>
          </w:p>
        </w:tc>
        <w:tc>
          <w:tcPr>
            <w:tcW w:w="0" w:type="auto"/>
          </w:tcPr>
          <w:p w14:paraId="388B33E8" w14:textId="039D45CC" w:rsidR="008F3500" w:rsidRPr="008F7DED" w:rsidRDefault="001D350A"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Defined daily dose</w:t>
            </w:r>
          </w:p>
        </w:tc>
      </w:tr>
      <w:tr w:rsidR="008F3500" w:rsidRPr="008F7DED" w14:paraId="759BEF26" w14:textId="77777777" w:rsidTr="002E032F">
        <w:tc>
          <w:tcPr>
            <w:tcW w:w="0" w:type="auto"/>
          </w:tcPr>
          <w:p w14:paraId="516FA7B9" w14:textId="19712C58"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DIC</w:t>
            </w:r>
          </w:p>
        </w:tc>
        <w:tc>
          <w:tcPr>
            <w:tcW w:w="0" w:type="auto"/>
          </w:tcPr>
          <w:p w14:paraId="4382379A" w14:textId="3C3CB2A2" w:rsidR="008F3500" w:rsidRPr="008F7DED" w:rsidRDefault="00C94007"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D</w:t>
            </w:r>
            <w:r w:rsidR="008F3500" w:rsidRPr="008F7DED">
              <w:rPr>
                <w:rFonts w:ascii="Times New Roman" w:hAnsi="Times New Roman" w:cs="Times New Roman"/>
                <w:color w:val="000000"/>
              </w:rPr>
              <w:t>eviance information criterion</w:t>
            </w:r>
          </w:p>
        </w:tc>
      </w:tr>
      <w:tr w:rsidR="00161C00" w:rsidRPr="007D1B7F" w14:paraId="5592A60B" w14:textId="77777777" w:rsidTr="002E032F">
        <w:tc>
          <w:tcPr>
            <w:tcW w:w="0" w:type="auto"/>
          </w:tcPr>
          <w:p w14:paraId="74DBC690" w14:textId="377E8FF4" w:rsidR="00161C00" w:rsidRPr="008F7DED" w:rsidRDefault="00161C00" w:rsidP="008F3500">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EARS-Net</w:t>
            </w:r>
          </w:p>
        </w:tc>
        <w:tc>
          <w:tcPr>
            <w:tcW w:w="0" w:type="auto"/>
          </w:tcPr>
          <w:p w14:paraId="2E5D8A62" w14:textId="4A4DF4A3" w:rsidR="00161C00" w:rsidRPr="007D1B7F" w:rsidRDefault="00161C00" w:rsidP="00E273CC">
            <w:pPr>
              <w:rPr>
                <w:rFonts w:ascii="Times New Roman" w:hAnsi="Times New Roman" w:cs="Times New Roman"/>
                <w:color w:val="000000"/>
                <w:lang w:val="fr-FR"/>
              </w:rPr>
            </w:pPr>
            <w:proofErr w:type="spellStart"/>
            <w:r w:rsidRPr="007D1B7F">
              <w:rPr>
                <w:rFonts w:asciiTheme="majorBidi" w:hAnsiTheme="majorBidi" w:cstheme="majorBidi"/>
                <w:lang w:val="fr-FR"/>
              </w:rPr>
              <w:t>European</w:t>
            </w:r>
            <w:proofErr w:type="spellEnd"/>
            <w:r w:rsidRPr="007D1B7F">
              <w:rPr>
                <w:rFonts w:asciiTheme="majorBidi" w:hAnsiTheme="majorBidi" w:cstheme="majorBidi"/>
                <w:lang w:val="fr-FR"/>
              </w:rPr>
              <w:t xml:space="preserve"> </w:t>
            </w:r>
            <w:proofErr w:type="spellStart"/>
            <w:r w:rsidRPr="007D1B7F">
              <w:rPr>
                <w:rFonts w:asciiTheme="majorBidi" w:hAnsiTheme="majorBidi" w:cstheme="majorBidi"/>
                <w:lang w:val="fr-FR"/>
              </w:rPr>
              <w:t>Antimicrobial</w:t>
            </w:r>
            <w:proofErr w:type="spellEnd"/>
            <w:r w:rsidRPr="007D1B7F">
              <w:rPr>
                <w:rFonts w:asciiTheme="majorBidi" w:hAnsiTheme="majorBidi" w:cstheme="majorBidi"/>
                <w:lang w:val="fr-FR"/>
              </w:rPr>
              <w:t xml:space="preserve"> Resistance Surveillance Network</w:t>
            </w:r>
          </w:p>
        </w:tc>
      </w:tr>
      <w:tr w:rsidR="008F3500" w:rsidRPr="008F7DED" w14:paraId="5C04032E" w14:textId="77777777" w:rsidTr="002E032F">
        <w:tc>
          <w:tcPr>
            <w:tcW w:w="0" w:type="auto"/>
          </w:tcPr>
          <w:p w14:paraId="3EA03233" w14:textId="0C20C394" w:rsidR="008F3500" w:rsidRPr="008F7DED" w:rsidRDefault="008F3500" w:rsidP="008F3500">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EEPRU</w:t>
            </w:r>
          </w:p>
          <w:p w14:paraId="7D3F7065" w14:textId="1EAF1AB4" w:rsidR="008F3500" w:rsidRPr="008F7DED" w:rsidRDefault="008F3500" w:rsidP="008F3500">
            <w:pPr>
              <w:rPr>
                <w:rFonts w:ascii="Times New Roman" w:eastAsia="Times New Roman" w:hAnsi="Times New Roman" w:cs="Times New Roman"/>
                <w:color w:val="000000"/>
                <w:lang w:eastAsia="zh-CN"/>
              </w:rPr>
            </w:pPr>
          </w:p>
        </w:tc>
        <w:tc>
          <w:tcPr>
            <w:tcW w:w="0" w:type="auto"/>
          </w:tcPr>
          <w:p w14:paraId="05C7C603" w14:textId="19C96EF7" w:rsidR="008F3500" w:rsidRPr="008F7DED" w:rsidRDefault="008F3500"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 xml:space="preserve">Policy </w:t>
            </w:r>
            <w:r w:rsidR="00C94007" w:rsidRPr="008F7DED">
              <w:rPr>
                <w:rFonts w:ascii="Times New Roman" w:hAnsi="Times New Roman" w:cs="Times New Roman"/>
                <w:color w:val="000000"/>
              </w:rPr>
              <w:t>r</w:t>
            </w:r>
            <w:r w:rsidRPr="008F7DED">
              <w:rPr>
                <w:rFonts w:ascii="Times New Roman" w:hAnsi="Times New Roman" w:cs="Times New Roman"/>
                <w:color w:val="000000"/>
              </w:rPr>
              <w:t xml:space="preserve">esearch </w:t>
            </w:r>
            <w:r w:rsidR="00C94007" w:rsidRPr="008F7DED">
              <w:rPr>
                <w:rFonts w:ascii="Times New Roman" w:hAnsi="Times New Roman" w:cs="Times New Roman"/>
                <w:color w:val="000000"/>
              </w:rPr>
              <w:t>u</w:t>
            </w:r>
            <w:r w:rsidRPr="008F7DED">
              <w:rPr>
                <w:rFonts w:ascii="Times New Roman" w:hAnsi="Times New Roman" w:cs="Times New Roman"/>
                <w:color w:val="000000"/>
              </w:rPr>
              <w:t xml:space="preserve">nit in </w:t>
            </w:r>
            <w:r w:rsidR="00C94007" w:rsidRPr="008F7DED">
              <w:rPr>
                <w:rFonts w:ascii="Times New Roman" w:hAnsi="Times New Roman" w:cs="Times New Roman"/>
                <w:color w:val="000000"/>
              </w:rPr>
              <w:t>e</w:t>
            </w:r>
            <w:r w:rsidRPr="008F7DED">
              <w:rPr>
                <w:rFonts w:ascii="Times New Roman" w:hAnsi="Times New Roman" w:cs="Times New Roman"/>
                <w:color w:val="000000"/>
              </w:rPr>
              <w:t xml:space="preserve">conomic </w:t>
            </w:r>
            <w:r w:rsidR="00C94007" w:rsidRPr="008F7DED">
              <w:rPr>
                <w:rFonts w:ascii="Times New Roman" w:hAnsi="Times New Roman" w:cs="Times New Roman"/>
                <w:color w:val="000000"/>
              </w:rPr>
              <w:t>m</w:t>
            </w:r>
            <w:r w:rsidRPr="008F7DED">
              <w:rPr>
                <w:rFonts w:ascii="Times New Roman" w:hAnsi="Times New Roman" w:cs="Times New Roman"/>
                <w:color w:val="000000"/>
              </w:rPr>
              <w:t xml:space="preserve">ethods of </w:t>
            </w:r>
            <w:r w:rsidR="00C94007" w:rsidRPr="008F7DED">
              <w:rPr>
                <w:rFonts w:ascii="Times New Roman" w:hAnsi="Times New Roman" w:cs="Times New Roman"/>
                <w:color w:val="000000"/>
              </w:rPr>
              <w:t>e</w:t>
            </w:r>
            <w:r w:rsidRPr="008F7DED">
              <w:rPr>
                <w:rFonts w:ascii="Times New Roman" w:hAnsi="Times New Roman" w:cs="Times New Roman"/>
                <w:color w:val="000000"/>
              </w:rPr>
              <w:t xml:space="preserve">valuation in </w:t>
            </w:r>
            <w:r w:rsidR="00C94007" w:rsidRPr="008F7DED">
              <w:rPr>
                <w:rFonts w:ascii="Times New Roman" w:hAnsi="Times New Roman" w:cs="Times New Roman"/>
                <w:color w:val="000000"/>
              </w:rPr>
              <w:t>h</w:t>
            </w:r>
            <w:r w:rsidRPr="008F7DED">
              <w:rPr>
                <w:rFonts w:ascii="Times New Roman" w:hAnsi="Times New Roman" w:cs="Times New Roman"/>
                <w:color w:val="000000"/>
              </w:rPr>
              <w:t xml:space="preserve">ealth and </w:t>
            </w:r>
            <w:r w:rsidR="00C94007" w:rsidRPr="008F7DED">
              <w:rPr>
                <w:rFonts w:ascii="Times New Roman" w:hAnsi="Times New Roman" w:cs="Times New Roman"/>
                <w:color w:val="000000"/>
              </w:rPr>
              <w:t>s</w:t>
            </w:r>
            <w:r w:rsidRPr="008F7DED">
              <w:rPr>
                <w:rFonts w:ascii="Times New Roman" w:hAnsi="Times New Roman" w:cs="Times New Roman"/>
                <w:color w:val="000000"/>
              </w:rPr>
              <w:t xml:space="preserve">ocial </w:t>
            </w:r>
            <w:r w:rsidR="00C94007" w:rsidRPr="008F7DED">
              <w:rPr>
                <w:rFonts w:ascii="Times New Roman" w:hAnsi="Times New Roman" w:cs="Times New Roman"/>
                <w:color w:val="000000"/>
              </w:rPr>
              <w:t>c</w:t>
            </w:r>
            <w:r w:rsidRPr="008F7DED">
              <w:rPr>
                <w:rFonts w:ascii="Times New Roman" w:hAnsi="Times New Roman" w:cs="Times New Roman"/>
                <w:color w:val="000000"/>
              </w:rPr>
              <w:t xml:space="preserve">are </w:t>
            </w:r>
            <w:r w:rsidR="00C94007" w:rsidRPr="008F7DED">
              <w:rPr>
                <w:rFonts w:ascii="Times New Roman" w:hAnsi="Times New Roman" w:cs="Times New Roman"/>
                <w:color w:val="000000"/>
              </w:rPr>
              <w:t>i</w:t>
            </w:r>
            <w:r w:rsidRPr="008F7DED">
              <w:rPr>
                <w:rFonts w:ascii="Times New Roman" w:hAnsi="Times New Roman" w:cs="Times New Roman"/>
                <w:color w:val="000000"/>
              </w:rPr>
              <w:t>nterventions</w:t>
            </w:r>
          </w:p>
        </w:tc>
      </w:tr>
      <w:tr w:rsidR="00C11D9C" w:rsidRPr="008F7DED" w14:paraId="0D05D702" w14:textId="77777777" w:rsidTr="002E032F">
        <w:tc>
          <w:tcPr>
            <w:tcW w:w="0" w:type="auto"/>
          </w:tcPr>
          <w:p w14:paraId="2F98A3B4" w14:textId="41A81253" w:rsidR="00C11D9C" w:rsidRPr="008F7DED" w:rsidRDefault="00C11D9C"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EKHUFT</w:t>
            </w:r>
          </w:p>
        </w:tc>
        <w:tc>
          <w:tcPr>
            <w:tcW w:w="0" w:type="auto"/>
          </w:tcPr>
          <w:p w14:paraId="0DCD0357" w14:textId="1DA28647" w:rsidR="00C11D9C" w:rsidRPr="008F7DED" w:rsidRDefault="00C11D9C"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East Kent Hospitals University NHS</w:t>
            </w:r>
            <w:r w:rsidR="00BD5C7C">
              <w:rPr>
                <w:rFonts w:ascii="Times New Roman" w:eastAsia="Times New Roman" w:hAnsi="Times New Roman" w:cs="Times New Roman"/>
                <w:color w:val="000000"/>
                <w:lang w:eastAsia="zh-CN"/>
              </w:rPr>
              <w:t xml:space="preserve"> Foundation </w:t>
            </w:r>
            <w:r w:rsidRPr="008F7DED">
              <w:rPr>
                <w:rFonts w:ascii="Times New Roman" w:eastAsia="Times New Roman" w:hAnsi="Times New Roman" w:cs="Times New Roman"/>
                <w:color w:val="000000"/>
                <w:lang w:eastAsia="zh-CN"/>
              </w:rPr>
              <w:t>Trust</w:t>
            </w:r>
          </w:p>
        </w:tc>
      </w:tr>
      <w:tr w:rsidR="00E273CC" w:rsidRPr="008F7DED" w14:paraId="1CEB8FDB" w14:textId="77777777" w:rsidTr="002E032F">
        <w:tc>
          <w:tcPr>
            <w:tcW w:w="0" w:type="auto"/>
            <w:hideMark/>
          </w:tcPr>
          <w:p w14:paraId="2D2CAD91"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ERS</w:t>
            </w:r>
          </w:p>
        </w:tc>
        <w:tc>
          <w:tcPr>
            <w:tcW w:w="0" w:type="auto"/>
            <w:hideMark/>
          </w:tcPr>
          <w:p w14:paraId="260B5C95"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Electronic reporting system</w:t>
            </w:r>
          </w:p>
        </w:tc>
      </w:tr>
      <w:tr w:rsidR="00E273CC" w:rsidRPr="008F7DED" w14:paraId="413AB212" w14:textId="77777777" w:rsidTr="002E032F">
        <w:tc>
          <w:tcPr>
            <w:tcW w:w="0" w:type="auto"/>
            <w:hideMark/>
          </w:tcPr>
          <w:p w14:paraId="13FA823A"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ES</w:t>
            </w:r>
          </w:p>
        </w:tc>
        <w:tc>
          <w:tcPr>
            <w:tcW w:w="0" w:type="auto"/>
            <w:hideMark/>
          </w:tcPr>
          <w:p w14:paraId="0C62B15B" w14:textId="77777777" w:rsidR="00E273CC" w:rsidRPr="008F7DED" w:rsidRDefault="00E273CC" w:rsidP="00E273C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Empiric setting</w:t>
            </w:r>
          </w:p>
        </w:tc>
      </w:tr>
      <w:tr w:rsidR="00161C00" w:rsidRPr="008F7DED" w14:paraId="125145EE" w14:textId="77777777" w:rsidTr="002E032F">
        <w:tc>
          <w:tcPr>
            <w:tcW w:w="0" w:type="auto"/>
          </w:tcPr>
          <w:p w14:paraId="6B0753C2" w14:textId="18774FB1" w:rsidR="00161C00" w:rsidRPr="008F7DED" w:rsidRDefault="00161C00"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ESAC-Net</w:t>
            </w:r>
          </w:p>
        </w:tc>
        <w:tc>
          <w:tcPr>
            <w:tcW w:w="0" w:type="auto"/>
          </w:tcPr>
          <w:p w14:paraId="13252035" w14:textId="7069F05F" w:rsidR="00161C00" w:rsidRPr="008F7DED" w:rsidRDefault="00161C00" w:rsidP="00E273CC">
            <w:pPr>
              <w:rPr>
                <w:rFonts w:ascii="Times New Roman" w:eastAsia="Times New Roman" w:hAnsi="Times New Roman" w:cs="Times New Roman"/>
                <w:color w:val="000000"/>
                <w:lang w:eastAsia="zh-CN"/>
              </w:rPr>
            </w:pPr>
            <w:r w:rsidRPr="00673BF6">
              <w:rPr>
                <w:rFonts w:asciiTheme="majorBidi" w:hAnsiTheme="majorBidi" w:cstheme="majorBidi"/>
              </w:rPr>
              <w:t>European Surveillance of Antimicrobial Consumption Network</w:t>
            </w:r>
          </w:p>
        </w:tc>
      </w:tr>
      <w:tr w:rsidR="00C01E9D" w:rsidRPr="008F7DED" w14:paraId="0C3709D0" w14:textId="77777777" w:rsidTr="002E032F">
        <w:tc>
          <w:tcPr>
            <w:tcW w:w="0" w:type="auto"/>
          </w:tcPr>
          <w:p w14:paraId="000D3DDA" w14:textId="381F653D" w:rsidR="00C01E9D" w:rsidRPr="008F7DED" w:rsidRDefault="00C01E9D"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Esbl</w:t>
            </w:r>
            <w:proofErr w:type="spellEnd"/>
          </w:p>
        </w:tc>
        <w:tc>
          <w:tcPr>
            <w:tcW w:w="0" w:type="auto"/>
          </w:tcPr>
          <w:p w14:paraId="170A965C" w14:textId="675C0CF3" w:rsidR="00C01E9D" w:rsidRPr="008F7DED" w:rsidRDefault="00C94007"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E</w:t>
            </w:r>
            <w:r w:rsidR="00C01E9D" w:rsidRPr="008F7DED">
              <w:rPr>
                <w:rFonts w:ascii="Times New Roman" w:hAnsi="Times New Roman" w:cs="Times New Roman"/>
                <w:color w:val="000000"/>
              </w:rPr>
              <w:t>xtended-spectrum β-lactamase</w:t>
            </w:r>
          </w:p>
        </w:tc>
      </w:tr>
      <w:tr w:rsidR="00C01E9D" w:rsidRPr="008F7DED" w14:paraId="37EC35DC" w14:textId="77777777" w:rsidTr="002E032F">
        <w:tc>
          <w:tcPr>
            <w:tcW w:w="0" w:type="auto"/>
          </w:tcPr>
          <w:p w14:paraId="1DF20AA6" w14:textId="6C1118FB" w:rsidR="00C01E9D" w:rsidRPr="008F7DED" w:rsidRDefault="00C01E9D"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ESPAUR</w:t>
            </w:r>
          </w:p>
        </w:tc>
        <w:tc>
          <w:tcPr>
            <w:tcW w:w="0" w:type="auto"/>
          </w:tcPr>
          <w:p w14:paraId="698F4237" w14:textId="00426EEC" w:rsidR="00C01E9D" w:rsidRPr="008F7DED" w:rsidRDefault="00C01E9D" w:rsidP="00E273CC">
            <w:pPr>
              <w:rPr>
                <w:rFonts w:ascii="Times New Roman" w:eastAsia="Times New Roman" w:hAnsi="Times New Roman" w:cs="Times New Roman"/>
                <w:color w:val="000000"/>
                <w:lang w:eastAsia="zh-CN"/>
              </w:rPr>
            </w:pPr>
            <w:r w:rsidRPr="008F7DED">
              <w:rPr>
                <w:rFonts w:ascii="Times New Roman" w:hAnsi="Times New Roman" w:cs="Times New Roman"/>
              </w:rPr>
              <w:t>English Surveillance Programme for Antimicrobial Utilisation and Resistance</w:t>
            </w:r>
          </w:p>
        </w:tc>
      </w:tr>
      <w:tr w:rsidR="008E01D0" w:rsidRPr="008F7DED" w14:paraId="4D336FED" w14:textId="77777777" w:rsidTr="002E032F">
        <w:tc>
          <w:tcPr>
            <w:tcW w:w="0" w:type="auto"/>
          </w:tcPr>
          <w:p w14:paraId="11A5283C" w14:textId="245479A4" w:rsidR="008E01D0" w:rsidRPr="008F7DED" w:rsidRDefault="008E01D0"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ESRD</w:t>
            </w:r>
          </w:p>
        </w:tc>
        <w:tc>
          <w:tcPr>
            <w:tcW w:w="0" w:type="auto"/>
          </w:tcPr>
          <w:p w14:paraId="080544F7" w14:textId="29F38E5D" w:rsidR="008E01D0" w:rsidRPr="008F7DED" w:rsidRDefault="008E01D0" w:rsidP="00E273CC">
            <w:pPr>
              <w:rPr>
                <w:rFonts w:ascii="Times New Roman" w:hAnsi="Times New Roman" w:cs="Times New Roman"/>
              </w:rPr>
            </w:pPr>
            <w:r>
              <w:rPr>
                <w:rFonts w:ascii="Times New Roman" w:eastAsia="Times New Roman" w:hAnsi="Times New Roman" w:cs="Times New Roman"/>
                <w:color w:val="000000"/>
                <w:lang w:eastAsia="zh-CN"/>
              </w:rPr>
              <w:t>End-stage renal disease</w:t>
            </w:r>
          </w:p>
        </w:tc>
      </w:tr>
      <w:tr w:rsidR="00C01E9D" w:rsidRPr="008F7DED" w14:paraId="5D8A93ED" w14:textId="77777777" w:rsidTr="002E032F">
        <w:tc>
          <w:tcPr>
            <w:tcW w:w="0" w:type="auto"/>
          </w:tcPr>
          <w:p w14:paraId="358540C3" w14:textId="712DEFD5" w:rsidR="00C01E9D" w:rsidRPr="008F7DED" w:rsidRDefault="00C01E9D"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EUCAST</w:t>
            </w:r>
          </w:p>
        </w:tc>
        <w:tc>
          <w:tcPr>
            <w:tcW w:w="0" w:type="auto"/>
          </w:tcPr>
          <w:p w14:paraId="54124FC1" w14:textId="75CFD436" w:rsidR="00C01E9D" w:rsidRPr="008F7DED" w:rsidRDefault="00C01E9D" w:rsidP="00E273CC">
            <w:pPr>
              <w:rPr>
                <w:rFonts w:ascii="Times New Roman" w:eastAsia="Times New Roman" w:hAnsi="Times New Roman" w:cs="Times New Roman"/>
                <w:color w:val="000000"/>
                <w:lang w:eastAsia="zh-CN"/>
              </w:rPr>
            </w:pPr>
            <w:r w:rsidRPr="008F7DED">
              <w:rPr>
                <w:rFonts w:ascii="Times New Roman" w:hAnsi="Times New Roman" w:cs="Times New Roman"/>
                <w:color w:val="000000"/>
              </w:rPr>
              <w:t>European Committee on Antimicrobial Susceptibility Testing</w:t>
            </w:r>
          </w:p>
        </w:tc>
      </w:tr>
      <w:tr w:rsidR="00785C3A" w:rsidRPr="008F7DED" w14:paraId="0F60B8C6" w14:textId="77777777" w:rsidTr="002E032F">
        <w:tc>
          <w:tcPr>
            <w:tcW w:w="0" w:type="auto"/>
          </w:tcPr>
          <w:p w14:paraId="3A160280" w14:textId="5780FD3E" w:rsidR="00785C3A" w:rsidRPr="008F7DED" w:rsidRDefault="00785C3A"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EUNETHTA</w:t>
            </w:r>
          </w:p>
        </w:tc>
        <w:tc>
          <w:tcPr>
            <w:tcW w:w="0" w:type="auto"/>
          </w:tcPr>
          <w:p w14:paraId="796AC050" w14:textId="0A801828" w:rsidR="00785C3A" w:rsidRPr="008F7DED" w:rsidRDefault="00785C3A" w:rsidP="00E273CC">
            <w:pPr>
              <w:rPr>
                <w:rFonts w:ascii="Times New Roman" w:hAnsi="Times New Roman" w:cs="Times New Roman"/>
                <w:color w:val="000000"/>
              </w:rPr>
            </w:pPr>
            <w:r>
              <w:rPr>
                <w:rFonts w:asciiTheme="majorBidi" w:hAnsiTheme="majorBidi" w:cstheme="majorBidi"/>
              </w:rPr>
              <w:t>European Network for Health Technology Assessment</w:t>
            </w:r>
          </w:p>
        </w:tc>
      </w:tr>
      <w:tr w:rsidR="00C01E9D" w:rsidRPr="007D1B7F" w14:paraId="1336BB31" w14:textId="77777777" w:rsidTr="002E032F">
        <w:tc>
          <w:tcPr>
            <w:tcW w:w="0" w:type="auto"/>
          </w:tcPr>
          <w:p w14:paraId="302A5564" w14:textId="77777777" w:rsidR="00C01E9D" w:rsidRPr="008F7DED" w:rsidRDefault="00C01E9D" w:rsidP="00C01E9D">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GES</w:t>
            </w:r>
          </w:p>
        </w:tc>
        <w:tc>
          <w:tcPr>
            <w:tcW w:w="0" w:type="auto"/>
          </w:tcPr>
          <w:p w14:paraId="631AB8F7" w14:textId="77777777" w:rsidR="00C01E9D" w:rsidRPr="008F7DED" w:rsidRDefault="00C01E9D"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 xml:space="preserve">Guiana extended-spectrum </w:t>
            </w:r>
            <w:r w:rsidRPr="008F7DED">
              <w:rPr>
                <w:rFonts w:ascii="Times New Roman" w:eastAsia="Times New Roman" w:hAnsi="Times New Roman" w:cs="Times New Roman"/>
                <w:color w:val="000000"/>
                <w:lang w:eastAsia="zh-CN"/>
              </w:rPr>
              <w:t>β</w:t>
            </w:r>
            <w:r w:rsidRPr="008F7DED">
              <w:rPr>
                <w:rFonts w:ascii="Times New Roman" w:eastAsia="Times New Roman" w:hAnsi="Times New Roman" w:cs="Times New Roman"/>
                <w:color w:val="000000"/>
                <w:lang w:val="pt-PT" w:eastAsia="zh-CN"/>
              </w:rPr>
              <w:t xml:space="preserve">-lactamase </w:t>
            </w:r>
          </w:p>
        </w:tc>
      </w:tr>
      <w:tr w:rsidR="00C01E9D" w:rsidRPr="008F7DED" w14:paraId="337623DB" w14:textId="77777777" w:rsidTr="002E032F">
        <w:tc>
          <w:tcPr>
            <w:tcW w:w="0" w:type="auto"/>
          </w:tcPr>
          <w:p w14:paraId="19383FF7" w14:textId="77777777" w:rsidR="00C01E9D" w:rsidRPr="008F7DED" w:rsidRDefault="00C01E9D"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GIM</w:t>
            </w:r>
          </w:p>
        </w:tc>
        <w:tc>
          <w:tcPr>
            <w:tcW w:w="0" w:type="auto"/>
          </w:tcPr>
          <w:p w14:paraId="1DFAA419" w14:textId="77777777" w:rsidR="00C01E9D" w:rsidRPr="008F7DED" w:rsidRDefault="00C01E9D"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 xml:space="preserve">Germany imipenemase </w:t>
            </w:r>
          </w:p>
        </w:tc>
      </w:tr>
      <w:tr w:rsidR="00C01E9D" w:rsidRPr="008F7DED" w14:paraId="5EF0C27E" w14:textId="77777777" w:rsidTr="002E032F">
        <w:tc>
          <w:tcPr>
            <w:tcW w:w="0" w:type="auto"/>
          </w:tcPr>
          <w:p w14:paraId="415C23CC" w14:textId="77777777" w:rsidR="00C01E9D" w:rsidRPr="008F7DED" w:rsidRDefault="00C01E9D"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HAP</w:t>
            </w:r>
          </w:p>
        </w:tc>
        <w:tc>
          <w:tcPr>
            <w:tcW w:w="0" w:type="auto"/>
          </w:tcPr>
          <w:p w14:paraId="06D61BAF" w14:textId="608E9E43" w:rsidR="00C01E9D" w:rsidRPr="008F7DED" w:rsidRDefault="00C94007"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H</w:t>
            </w:r>
            <w:r w:rsidR="00C01E9D" w:rsidRPr="008F7DED">
              <w:rPr>
                <w:rFonts w:ascii="Times New Roman" w:eastAsia="Times New Roman" w:hAnsi="Times New Roman" w:cs="Times New Roman"/>
                <w:color w:val="000000"/>
                <w:lang w:val="pt-PT" w:eastAsia="zh-CN"/>
              </w:rPr>
              <w:t>ospital-acquired pneumonia</w:t>
            </w:r>
          </w:p>
        </w:tc>
      </w:tr>
      <w:tr w:rsidR="00C01E9D" w:rsidRPr="008F7DED" w14:paraId="7A25014A" w14:textId="77777777" w:rsidTr="002E032F">
        <w:tc>
          <w:tcPr>
            <w:tcW w:w="0" w:type="auto"/>
          </w:tcPr>
          <w:p w14:paraId="55624546" w14:textId="77777777" w:rsidR="00C01E9D" w:rsidRPr="008F7DED" w:rsidRDefault="00C01E9D"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HDU</w:t>
            </w:r>
          </w:p>
        </w:tc>
        <w:tc>
          <w:tcPr>
            <w:tcW w:w="0" w:type="auto"/>
          </w:tcPr>
          <w:p w14:paraId="36085EAE" w14:textId="5604AB10" w:rsidR="00C01E9D" w:rsidRPr="008F7DED" w:rsidRDefault="00C94007" w:rsidP="00C01E9D">
            <w:pPr>
              <w:rPr>
                <w:rFonts w:ascii="Times New Roman" w:eastAsia="Times New Roman" w:hAnsi="Times New Roman" w:cs="Times New Roman"/>
                <w:color w:val="000000"/>
                <w:lang w:val="pt-PT" w:eastAsia="zh-CN"/>
              </w:rPr>
            </w:pPr>
            <w:r w:rsidRPr="008F7DED">
              <w:rPr>
                <w:rFonts w:ascii="Times New Roman" w:eastAsia="Times New Roman" w:hAnsi="Times New Roman" w:cs="Times New Roman"/>
                <w:color w:val="000000"/>
                <w:lang w:val="pt-PT" w:eastAsia="zh-CN"/>
              </w:rPr>
              <w:t>H</w:t>
            </w:r>
            <w:r w:rsidR="00C01E9D" w:rsidRPr="008F7DED">
              <w:rPr>
                <w:rFonts w:ascii="Times New Roman" w:eastAsia="Times New Roman" w:hAnsi="Times New Roman" w:cs="Times New Roman"/>
                <w:color w:val="000000"/>
                <w:lang w:val="pt-PT" w:eastAsia="zh-CN"/>
              </w:rPr>
              <w:t>igh dependency units</w:t>
            </w:r>
          </w:p>
        </w:tc>
      </w:tr>
      <w:tr w:rsidR="009D587F" w:rsidRPr="008F7DED" w14:paraId="79D2255A" w14:textId="77777777" w:rsidTr="002E032F">
        <w:tc>
          <w:tcPr>
            <w:tcW w:w="0" w:type="auto"/>
          </w:tcPr>
          <w:p w14:paraId="3BDDA2E5" w14:textId="0B21C364" w:rsidR="009D587F" w:rsidRPr="008F7DED" w:rsidRDefault="009D587F" w:rsidP="00E273C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HRQoL</w:t>
            </w:r>
            <w:proofErr w:type="spellEnd"/>
          </w:p>
        </w:tc>
        <w:tc>
          <w:tcPr>
            <w:tcW w:w="0" w:type="auto"/>
          </w:tcPr>
          <w:p w14:paraId="40BEFBE4" w14:textId="0D3D002E" w:rsidR="009D587F" w:rsidRPr="008F7DED" w:rsidRDefault="009D587F" w:rsidP="00E273C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Health-related quality of life</w:t>
            </w:r>
          </w:p>
        </w:tc>
      </w:tr>
      <w:tr w:rsidR="008E01D0" w:rsidRPr="008F7DED" w14:paraId="0F06BA95" w14:textId="77777777" w:rsidTr="002E032F">
        <w:tc>
          <w:tcPr>
            <w:tcW w:w="0" w:type="auto"/>
          </w:tcPr>
          <w:p w14:paraId="7E681AD1" w14:textId="3A5F2418" w:rsidR="008E01D0" w:rsidRPr="008F7DED" w:rsidRDefault="008E01D0"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HS</w:t>
            </w:r>
            <w:r w:rsidR="00F54B1C">
              <w:rPr>
                <w:rFonts w:ascii="Times New Roman" w:eastAsia="Times New Roman" w:hAnsi="Times New Roman" w:cs="Times New Roman"/>
                <w:color w:val="000000"/>
                <w:lang w:eastAsia="zh-CN"/>
              </w:rPr>
              <w:t>E</w:t>
            </w:r>
          </w:p>
        </w:tc>
        <w:tc>
          <w:tcPr>
            <w:tcW w:w="0" w:type="auto"/>
          </w:tcPr>
          <w:p w14:paraId="7AD9C27A" w14:textId="753C5257" w:rsidR="008E01D0" w:rsidRPr="008F7DED" w:rsidRDefault="00F54B1C" w:rsidP="00E273C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Health survey for England</w:t>
            </w:r>
          </w:p>
        </w:tc>
      </w:tr>
      <w:tr w:rsidR="00F54B1C" w:rsidRPr="008F7DED" w14:paraId="21D53C9D" w14:textId="77777777" w:rsidTr="002E032F">
        <w:tc>
          <w:tcPr>
            <w:tcW w:w="0" w:type="auto"/>
            <w:hideMark/>
          </w:tcPr>
          <w:p w14:paraId="03CE375B" w14:textId="7F0600B2"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HTA</w:t>
            </w:r>
          </w:p>
        </w:tc>
        <w:tc>
          <w:tcPr>
            <w:tcW w:w="0" w:type="auto"/>
            <w:hideMark/>
          </w:tcPr>
          <w:p w14:paraId="192E573B" w14:textId="042665CC"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 xml:space="preserve">Health technology assessment </w:t>
            </w:r>
          </w:p>
        </w:tc>
      </w:tr>
      <w:tr w:rsidR="00F54B1C" w:rsidRPr="008F7DED" w14:paraId="69EFEC10" w14:textId="77777777" w:rsidTr="002E032F">
        <w:tc>
          <w:tcPr>
            <w:tcW w:w="0" w:type="auto"/>
          </w:tcPr>
          <w:p w14:paraId="702A3D93" w14:textId="501C0173" w:rsidR="00F54B1C" w:rsidRPr="008F7DED" w:rsidRDefault="00F54B1C" w:rsidP="00F54B1C">
            <w:pPr>
              <w:rPr>
                <w:rFonts w:ascii="Times New Roman" w:eastAsia="Times New Roman" w:hAnsi="Times New Roman" w:cs="Times New Roman"/>
                <w:color w:val="000000"/>
                <w:lang w:eastAsia="zh-CN"/>
              </w:rPr>
            </w:pPr>
          </w:p>
        </w:tc>
        <w:tc>
          <w:tcPr>
            <w:tcW w:w="0" w:type="auto"/>
          </w:tcPr>
          <w:p w14:paraId="1F891B7A" w14:textId="3EA1E0CB" w:rsidR="00F54B1C" w:rsidRPr="008F7DED" w:rsidRDefault="00F54B1C" w:rsidP="00F54B1C">
            <w:pPr>
              <w:rPr>
                <w:rFonts w:ascii="Times New Roman" w:eastAsia="Times New Roman" w:hAnsi="Times New Roman" w:cs="Times New Roman"/>
                <w:color w:val="000000"/>
                <w:lang w:eastAsia="zh-CN"/>
              </w:rPr>
            </w:pPr>
          </w:p>
        </w:tc>
      </w:tr>
      <w:tr w:rsidR="00F54B1C" w:rsidRPr="008F7DED" w14:paraId="3CFCDAE6" w14:textId="77777777" w:rsidTr="002E032F">
        <w:tc>
          <w:tcPr>
            <w:tcW w:w="0" w:type="auto"/>
            <w:hideMark/>
          </w:tcPr>
          <w:p w14:paraId="76267B13"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ICU</w:t>
            </w:r>
          </w:p>
        </w:tc>
        <w:tc>
          <w:tcPr>
            <w:tcW w:w="0" w:type="auto"/>
            <w:hideMark/>
          </w:tcPr>
          <w:p w14:paraId="3D4C8E53" w14:textId="62878DAD"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Intensive care unit</w:t>
            </w:r>
          </w:p>
        </w:tc>
      </w:tr>
      <w:tr w:rsidR="00F54B1C" w:rsidRPr="008F7DED" w14:paraId="3C30BDC6" w14:textId="77777777" w:rsidTr="002E032F">
        <w:tc>
          <w:tcPr>
            <w:tcW w:w="0" w:type="auto"/>
            <w:hideMark/>
          </w:tcPr>
          <w:p w14:paraId="4B666DBD" w14:textId="44433894"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hAnsi="Times New Roman" w:cs="Times New Roman"/>
              </w:rPr>
              <w:t>IMI/NMC</w:t>
            </w:r>
            <w:r w:rsidRPr="008F7DED">
              <w:rPr>
                <w:rFonts w:ascii="Times New Roman" w:eastAsia="Times New Roman" w:hAnsi="Times New Roman" w:cs="Times New Roman"/>
                <w:color w:val="000000"/>
                <w:lang w:eastAsia="zh-CN"/>
              </w:rPr>
              <w:t xml:space="preserve"> </w:t>
            </w:r>
          </w:p>
        </w:tc>
        <w:tc>
          <w:tcPr>
            <w:tcW w:w="0" w:type="auto"/>
            <w:hideMark/>
          </w:tcPr>
          <w:p w14:paraId="338CD0BD" w14:textId="61DE6B84" w:rsidR="00F54B1C" w:rsidRPr="008F7DED" w:rsidRDefault="00F54B1C" w:rsidP="00F54B1C">
            <w:pPr>
              <w:rPr>
                <w:rFonts w:ascii="Times New Roman" w:eastAsia="Times New Roman" w:hAnsi="Times New Roman" w:cs="Times New Roman"/>
                <w:color w:val="000000"/>
                <w:lang w:eastAsia="zh-CN"/>
              </w:rPr>
            </w:pPr>
            <w:proofErr w:type="spellStart"/>
            <w:r w:rsidRPr="008F7DED">
              <w:rPr>
                <w:rFonts w:ascii="Times New Roman" w:hAnsi="Times New Roman" w:cs="Times New Roman"/>
              </w:rPr>
              <w:t>Imipenemase</w:t>
            </w:r>
            <w:proofErr w:type="spellEnd"/>
            <w:r w:rsidRPr="008F7DED">
              <w:rPr>
                <w:rFonts w:ascii="Times New Roman" w:hAnsi="Times New Roman" w:cs="Times New Roman"/>
              </w:rPr>
              <w:t>/non-</w:t>
            </w:r>
            <w:proofErr w:type="spellStart"/>
            <w:r w:rsidRPr="008F7DED">
              <w:rPr>
                <w:rFonts w:ascii="Times New Roman" w:hAnsi="Times New Roman" w:cs="Times New Roman"/>
              </w:rPr>
              <w:t>metallocarbapenemase</w:t>
            </w:r>
            <w:proofErr w:type="spellEnd"/>
            <w:r w:rsidRPr="008F7DED">
              <w:rPr>
                <w:rFonts w:ascii="Times New Roman" w:hAnsi="Times New Roman" w:cs="Times New Roman"/>
              </w:rPr>
              <w:t xml:space="preserve">-A </w:t>
            </w:r>
          </w:p>
        </w:tc>
      </w:tr>
      <w:tr w:rsidR="00F54B1C" w:rsidRPr="008F7DED" w14:paraId="2BF63D8C" w14:textId="77777777" w:rsidTr="002E032F">
        <w:tc>
          <w:tcPr>
            <w:tcW w:w="0" w:type="auto"/>
            <w:hideMark/>
          </w:tcPr>
          <w:p w14:paraId="34ED29F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IMP</w:t>
            </w:r>
          </w:p>
        </w:tc>
        <w:tc>
          <w:tcPr>
            <w:tcW w:w="0" w:type="auto"/>
            <w:hideMark/>
          </w:tcPr>
          <w:p w14:paraId="09701585" w14:textId="77777777" w:rsidR="00F54B1C" w:rsidRPr="008F7DED" w:rsidRDefault="00F54B1C" w:rsidP="00F54B1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Imipenemase</w:t>
            </w:r>
            <w:proofErr w:type="spellEnd"/>
            <w:r w:rsidRPr="008F7DED">
              <w:rPr>
                <w:rFonts w:ascii="Times New Roman" w:eastAsia="Times New Roman" w:hAnsi="Times New Roman" w:cs="Times New Roman"/>
                <w:color w:val="000000"/>
                <w:lang w:eastAsia="zh-CN"/>
              </w:rPr>
              <w:t xml:space="preserve"> </w:t>
            </w:r>
          </w:p>
        </w:tc>
      </w:tr>
      <w:tr w:rsidR="00F54B1C" w:rsidRPr="008F7DED" w14:paraId="3D217A0F" w14:textId="77777777" w:rsidTr="002E032F">
        <w:tc>
          <w:tcPr>
            <w:tcW w:w="0" w:type="auto"/>
          </w:tcPr>
          <w:p w14:paraId="25C9DCB5" w14:textId="79297B7C"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INFORM</w:t>
            </w:r>
          </w:p>
        </w:tc>
        <w:tc>
          <w:tcPr>
            <w:tcW w:w="0" w:type="auto"/>
          </w:tcPr>
          <w:p w14:paraId="4C24DC3A" w14:textId="2DDF820D" w:rsidR="00F54B1C" w:rsidRPr="008F7DED" w:rsidRDefault="00F54B1C" w:rsidP="00F54B1C">
            <w:pPr>
              <w:rPr>
                <w:rFonts w:ascii="Times New Roman" w:eastAsia="Times New Roman" w:hAnsi="Times New Roman" w:cs="Times New Roman"/>
                <w:color w:val="000000"/>
                <w:lang w:eastAsia="zh-CN"/>
              </w:rPr>
            </w:pPr>
            <w:r w:rsidRPr="00885DFB">
              <w:rPr>
                <w:rFonts w:asciiTheme="majorBidi" w:hAnsiTheme="majorBidi" w:cstheme="majorBidi"/>
              </w:rPr>
              <w:t>International Network for Optimal Resistance Monitoring</w:t>
            </w:r>
          </w:p>
        </w:tc>
      </w:tr>
      <w:tr w:rsidR="00F54B1C" w:rsidRPr="008F7DED" w14:paraId="409E335F" w14:textId="77777777" w:rsidTr="002E032F">
        <w:tc>
          <w:tcPr>
            <w:tcW w:w="0" w:type="auto"/>
            <w:hideMark/>
          </w:tcPr>
          <w:p w14:paraId="20A4007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INHE</w:t>
            </w:r>
          </w:p>
        </w:tc>
        <w:tc>
          <w:tcPr>
            <w:tcW w:w="0" w:type="auto"/>
            <w:hideMark/>
          </w:tcPr>
          <w:p w14:paraId="4EB2E8EA" w14:textId="2D22F72C"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Incremental net health effects</w:t>
            </w:r>
          </w:p>
        </w:tc>
      </w:tr>
      <w:tr w:rsidR="00F54B1C" w:rsidRPr="008F7DED" w14:paraId="5CEEF342" w14:textId="77777777" w:rsidTr="002E032F">
        <w:tc>
          <w:tcPr>
            <w:tcW w:w="0" w:type="auto"/>
            <w:hideMark/>
          </w:tcPr>
          <w:p w14:paraId="10259F9A"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lastRenderedPageBreak/>
              <w:t xml:space="preserve">IPD </w:t>
            </w:r>
          </w:p>
        </w:tc>
        <w:tc>
          <w:tcPr>
            <w:tcW w:w="0" w:type="auto"/>
            <w:hideMark/>
          </w:tcPr>
          <w:p w14:paraId="0E68937E" w14:textId="527E50D3"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Individual patient data</w:t>
            </w:r>
          </w:p>
        </w:tc>
      </w:tr>
      <w:tr w:rsidR="00F54B1C" w:rsidRPr="008F7DED" w14:paraId="38E49085" w14:textId="77777777" w:rsidTr="002E032F">
        <w:tc>
          <w:tcPr>
            <w:tcW w:w="0" w:type="auto"/>
            <w:hideMark/>
          </w:tcPr>
          <w:p w14:paraId="55F70471"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KPC</w:t>
            </w:r>
          </w:p>
        </w:tc>
        <w:tc>
          <w:tcPr>
            <w:tcW w:w="0" w:type="auto"/>
            <w:hideMark/>
          </w:tcPr>
          <w:p w14:paraId="0072384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Klebsiella </w:t>
            </w:r>
            <w:proofErr w:type="spellStart"/>
            <w:r w:rsidRPr="008F7DED">
              <w:rPr>
                <w:rFonts w:ascii="Times New Roman" w:eastAsia="Times New Roman" w:hAnsi="Times New Roman" w:cs="Times New Roman"/>
                <w:color w:val="000000"/>
                <w:lang w:eastAsia="zh-CN"/>
              </w:rPr>
              <w:t>pnuemoniae</w:t>
            </w:r>
            <w:proofErr w:type="spellEnd"/>
            <w:r w:rsidRPr="008F7DED">
              <w:rPr>
                <w:rFonts w:ascii="Times New Roman" w:eastAsia="Times New Roman" w:hAnsi="Times New Roman" w:cs="Times New Roman"/>
                <w:color w:val="000000"/>
                <w:lang w:eastAsia="zh-CN"/>
              </w:rPr>
              <w:t xml:space="preserve"> </w:t>
            </w:r>
            <w:proofErr w:type="spellStart"/>
            <w:r w:rsidRPr="008F7DED">
              <w:rPr>
                <w:rFonts w:ascii="Times New Roman" w:eastAsia="Times New Roman" w:hAnsi="Times New Roman" w:cs="Times New Roman"/>
                <w:color w:val="000000"/>
                <w:lang w:eastAsia="zh-CN"/>
              </w:rPr>
              <w:t>carbapenemase</w:t>
            </w:r>
            <w:proofErr w:type="spellEnd"/>
            <w:r w:rsidRPr="008F7DED">
              <w:rPr>
                <w:rFonts w:ascii="Times New Roman" w:eastAsia="Times New Roman" w:hAnsi="Times New Roman" w:cs="Times New Roman"/>
                <w:color w:val="000000"/>
                <w:lang w:eastAsia="zh-CN"/>
              </w:rPr>
              <w:t xml:space="preserve"> </w:t>
            </w:r>
          </w:p>
        </w:tc>
      </w:tr>
      <w:tr w:rsidR="00F54B1C" w:rsidRPr="008F7DED" w14:paraId="495B642C" w14:textId="77777777" w:rsidTr="002E032F">
        <w:tc>
          <w:tcPr>
            <w:tcW w:w="0" w:type="auto"/>
            <w:hideMark/>
          </w:tcPr>
          <w:p w14:paraId="33890AAC"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LOS</w:t>
            </w:r>
          </w:p>
        </w:tc>
        <w:tc>
          <w:tcPr>
            <w:tcW w:w="0" w:type="auto"/>
            <w:hideMark/>
          </w:tcPr>
          <w:p w14:paraId="2B6B2AF3" w14:textId="4E33CED4"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Length of stay </w:t>
            </w:r>
          </w:p>
        </w:tc>
      </w:tr>
      <w:tr w:rsidR="00F54B1C" w:rsidRPr="008F7DED" w14:paraId="2E4265FA" w14:textId="77777777" w:rsidTr="002E032F">
        <w:tc>
          <w:tcPr>
            <w:tcW w:w="0" w:type="auto"/>
            <w:hideMark/>
          </w:tcPr>
          <w:p w14:paraId="38A5FCD6"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MBL</w:t>
            </w:r>
          </w:p>
        </w:tc>
        <w:tc>
          <w:tcPr>
            <w:tcW w:w="0" w:type="auto"/>
            <w:hideMark/>
          </w:tcPr>
          <w:p w14:paraId="52E17495" w14:textId="77777777" w:rsidR="00F54B1C" w:rsidRPr="008F7DED" w:rsidRDefault="00F54B1C" w:rsidP="00F54B1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Metallo</w:t>
            </w:r>
            <w:proofErr w:type="spellEnd"/>
            <w:r w:rsidRPr="008F7DED">
              <w:rPr>
                <w:rFonts w:ascii="Times New Roman" w:eastAsia="Times New Roman" w:hAnsi="Times New Roman" w:cs="Times New Roman"/>
                <w:color w:val="000000"/>
                <w:lang w:eastAsia="zh-CN"/>
              </w:rPr>
              <w:t xml:space="preserve">-beta-lactamases </w:t>
            </w:r>
          </w:p>
        </w:tc>
      </w:tr>
      <w:tr w:rsidR="00F54B1C" w:rsidRPr="008F7DED" w14:paraId="2B52ADF4" w14:textId="77777777" w:rsidTr="002E032F">
        <w:tc>
          <w:tcPr>
            <w:tcW w:w="0" w:type="auto"/>
          </w:tcPr>
          <w:p w14:paraId="7E30B77A" w14:textId="5F3E0703"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MCMC</w:t>
            </w:r>
          </w:p>
        </w:tc>
        <w:tc>
          <w:tcPr>
            <w:tcW w:w="0" w:type="auto"/>
          </w:tcPr>
          <w:p w14:paraId="2DFBAE19" w14:textId="34A4C49A" w:rsidR="00F54B1C" w:rsidRPr="008F7DED" w:rsidRDefault="00F54B1C" w:rsidP="00F54B1C">
            <w:pPr>
              <w:rPr>
                <w:rFonts w:ascii="Times New Roman" w:eastAsia="Times New Roman" w:hAnsi="Times New Roman" w:cs="Times New Roman"/>
                <w:color w:val="000000"/>
                <w:lang w:eastAsia="zh-CN"/>
              </w:rPr>
            </w:pPr>
            <w:r w:rsidRPr="003E40BE">
              <w:rPr>
                <w:rFonts w:asciiTheme="majorBidi" w:hAnsiTheme="majorBidi" w:cstheme="majorBidi"/>
              </w:rPr>
              <w:t>Markov chain Monte Carl</w:t>
            </w:r>
            <w:r>
              <w:rPr>
                <w:rFonts w:asciiTheme="majorBidi" w:hAnsiTheme="majorBidi" w:cstheme="majorBidi"/>
              </w:rPr>
              <w:t>o</w:t>
            </w:r>
          </w:p>
        </w:tc>
      </w:tr>
      <w:tr w:rsidR="00F54B1C" w:rsidRPr="008F7DED" w14:paraId="5DD9FDDF" w14:textId="77777777" w:rsidTr="002E032F">
        <w:tc>
          <w:tcPr>
            <w:tcW w:w="0" w:type="auto"/>
            <w:hideMark/>
          </w:tcPr>
          <w:p w14:paraId="0BDAD4B3"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MDR</w:t>
            </w:r>
          </w:p>
        </w:tc>
        <w:tc>
          <w:tcPr>
            <w:tcW w:w="0" w:type="auto"/>
            <w:hideMark/>
          </w:tcPr>
          <w:p w14:paraId="651E7E23"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Multi-drug resistant </w:t>
            </w:r>
          </w:p>
        </w:tc>
      </w:tr>
      <w:tr w:rsidR="00F54B1C" w:rsidRPr="008F7DED" w14:paraId="1752EE98" w14:textId="77777777" w:rsidTr="002E032F">
        <w:tc>
          <w:tcPr>
            <w:tcW w:w="0" w:type="auto"/>
            <w:hideMark/>
          </w:tcPr>
          <w:p w14:paraId="0C832622" w14:textId="77777777"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MDS</w:t>
            </w:r>
          </w:p>
        </w:tc>
        <w:tc>
          <w:tcPr>
            <w:tcW w:w="0" w:type="auto"/>
            <w:hideMark/>
          </w:tcPr>
          <w:p w14:paraId="1E5AAAB0" w14:textId="77777777"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Microbiology-directed setting</w:t>
            </w:r>
          </w:p>
        </w:tc>
      </w:tr>
      <w:tr w:rsidR="00F54B1C" w:rsidRPr="008F7DED" w14:paraId="3A913394" w14:textId="77777777" w:rsidTr="002E032F">
        <w:tc>
          <w:tcPr>
            <w:tcW w:w="0" w:type="auto"/>
            <w:hideMark/>
          </w:tcPr>
          <w:p w14:paraId="4DF664CF"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MIC</w:t>
            </w:r>
          </w:p>
        </w:tc>
        <w:tc>
          <w:tcPr>
            <w:tcW w:w="0" w:type="auto"/>
            <w:hideMark/>
          </w:tcPr>
          <w:p w14:paraId="00864852" w14:textId="62CE0460"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Minimum inhibitory concentration</w:t>
            </w:r>
          </w:p>
        </w:tc>
      </w:tr>
      <w:tr w:rsidR="00F54B1C" w:rsidRPr="008F7DED" w14:paraId="48FC855C" w14:textId="77777777" w:rsidTr="002E032F">
        <w:tc>
          <w:tcPr>
            <w:tcW w:w="0" w:type="auto"/>
          </w:tcPr>
          <w:p w14:paraId="5AF27921" w14:textId="20E4C339"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MRC</w:t>
            </w:r>
          </w:p>
        </w:tc>
        <w:tc>
          <w:tcPr>
            <w:tcW w:w="0" w:type="auto"/>
          </w:tcPr>
          <w:p w14:paraId="231DCADF" w14:textId="526CE927"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Medical Research Council</w:t>
            </w:r>
          </w:p>
        </w:tc>
      </w:tr>
      <w:tr w:rsidR="00F54B1C" w:rsidRPr="008F7DED" w14:paraId="57D35ADF" w14:textId="77777777" w:rsidTr="002E032F">
        <w:tc>
          <w:tcPr>
            <w:tcW w:w="0" w:type="auto"/>
          </w:tcPr>
          <w:p w14:paraId="28F49026" w14:textId="08B38997" w:rsidR="00F54B1C" w:rsidRPr="008F7DED" w:rsidRDefault="00F54B1C" w:rsidP="00F54B1C">
            <w:pPr>
              <w:rPr>
                <w:rFonts w:ascii="Times New Roman" w:eastAsia="Times New Roman" w:hAnsi="Times New Roman" w:cs="Times New Roman"/>
                <w:color w:val="000000"/>
                <w:lang w:eastAsia="zh-CN"/>
              </w:rPr>
            </w:pPr>
            <w:r w:rsidRPr="002961EA">
              <w:rPr>
                <w:rFonts w:ascii="Times New Roman" w:eastAsia="Times New Roman" w:hAnsi="Times New Roman" w:cs="Times New Roman"/>
                <w:color w:val="000000"/>
                <w:lang w:eastAsia="zh-CN"/>
              </w:rPr>
              <w:t>MIC 50</w:t>
            </w:r>
          </w:p>
        </w:tc>
        <w:tc>
          <w:tcPr>
            <w:tcW w:w="0" w:type="auto"/>
          </w:tcPr>
          <w:p w14:paraId="494ADB7E" w14:textId="407A5747" w:rsidR="00F54B1C" w:rsidRPr="008F7DED" w:rsidRDefault="00F54B1C" w:rsidP="00F54B1C">
            <w:pPr>
              <w:rPr>
                <w:rFonts w:ascii="Times New Roman" w:eastAsia="Times New Roman" w:hAnsi="Times New Roman" w:cs="Times New Roman"/>
                <w:color w:val="000000"/>
                <w:lang w:eastAsia="zh-CN"/>
              </w:rPr>
            </w:pPr>
            <w:r w:rsidRPr="002961EA">
              <w:rPr>
                <w:rFonts w:ascii="Times New Roman" w:eastAsia="Times New Roman" w:hAnsi="Times New Roman" w:cs="Times New Roman"/>
                <w:color w:val="000000"/>
                <w:lang w:eastAsia="zh-CN"/>
              </w:rPr>
              <w:t>Minimum inhibitory concentration</w:t>
            </w:r>
            <w:r>
              <w:rPr>
                <w:rFonts w:ascii="Times New Roman" w:eastAsia="Times New Roman" w:hAnsi="Times New Roman" w:cs="Times New Roman"/>
                <w:color w:val="000000"/>
                <w:lang w:eastAsia="zh-CN"/>
              </w:rPr>
              <w:t xml:space="preserve"> 50%</w:t>
            </w:r>
          </w:p>
        </w:tc>
      </w:tr>
      <w:tr w:rsidR="00F54B1C" w:rsidRPr="008F7DED" w14:paraId="492AEAEC" w14:textId="77777777" w:rsidTr="002E032F">
        <w:tc>
          <w:tcPr>
            <w:tcW w:w="0" w:type="auto"/>
          </w:tcPr>
          <w:p w14:paraId="46AF54AB" w14:textId="700A6B86" w:rsidR="00F54B1C" w:rsidRPr="008F7DED" w:rsidRDefault="00F54B1C" w:rsidP="00F54B1C">
            <w:pPr>
              <w:rPr>
                <w:rFonts w:ascii="Times New Roman" w:eastAsia="Times New Roman" w:hAnsi="Times New Roman" w:cs="Times New Roman"/>
                <w:color w:val="000000"/>
                <w:lang w:eastAsia="zh-CN"/>
              </w:rPr>
            </w:pPr>
            <w:r w:rsidRPr="002961EA">
              <w:rPr>
                <w:rFonts w:ascii="Times New Roman" w:eastAsia="Times New Roman" w:hAnsi="Times New Roman" w:cs="Times New Roman"/>
                <w:color w:val="000000"/>
                <w:lang w:eastAsia="zh-CN"/>
              </w:rPr>
              <w:t xml:space="preserve">MIC </w:t>
            </w:r>
            <w:r>
              <w:rPr>
                <w:rFonts w:ascii="Times New Roman" w:eastAsia="Times New Roman" w:hAnsi="Times New Roman" w:cs="Times New Roman"/>
                <w:color w:val="000000"/>
                <w:lang w:eastAsia="zh-CN"/>
              </w:rPr>
              <w:t>9</w:t>
            </w:r>
            <w:r w:rsidRPr="002961EA">
              <w:rPr>
                <w:rFonts w:ascii="Times New Roman" w:eastAsia="Times New Roman" w:hAnsi="Times New Roman" w:cs="Times New Roman"/>
                <w:color w:val="000000"/>
                <w:lang w:eastAsia="zh-CN"/>
              </w:rPr>
              <w:t>0</w:t>
            </w:r>
          </w:p>
        </w:tc>
        <w:tc>
          <w:tcPr>
            <w:tcW w:w="0" w:type="auto"/>
          </w:tcPr>
          <w:p w14:paraId="4F4FF305" w14:textId="597E0322" w:rsidR="00F54B1C" w:rsidRPr="008F7DED" w:rsidRDefault="00F54B1C" w:rsidP="00F54B1C">
            <w:pPr>
              <w:rPr>
                <w:rFonts w:ascii="Times New Roman" w:eastAsia="Times New Roman" w:hAnsi="Times New Roman" w:cs="Times New Roman"/>
                <w:color w:val="000000"/>
                <w:lang w:eastAsia="zh-CN"/>
              </w:rPr>
            </w:pPr>
            <w:r w:rsidRPr="002961EA">
              <w:rPr>
                <w:rFonts w:ascii="Times New Roman" w:eastAsia="Times New Roman" w:hAnsi="Times New Roman" w:cs="Times New Roman"/>
                <w:color w:val="000000"/>
                <w:lang w:eastAsia="zh-CN"/>
              </w:rPr>
              <w:t>Minimum inhibitory concentration</w:t>
            </w:r>
            <w:r>
              <w:rPr>
                <w:rFonts w:ascii="Times New Roman" w:eastAsia="Times New Roman" w:hAnsi="Times New Roman" w:cs="Times New Roman"/>
                <w:color w:val="000000"/>
                <w:lang w:eastAsia="zh-CN"/>
              </w:rPr>
              <w:t xml:space="preserve"> 90%</w:t>
            </w:r>
          </w:p>
        </w:tc>
      </w:tr>
      <w:tr w:rsidR="00F54B1C" w:rsidRPr="008F7DED" w14:paraId="3E7A8F12" w14:textId="77777777" w:rsidTr="002E032F">
        <w:tc>
          <w:tcPr>
            <w:tcW w:w="0" w:type="auto"/>
            <w:hideMark/>
          </w:tcPr>
          <w:p w14:paraId="44C9105A"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NDM</w:t>
            </w:r>
          </w:p>
        </w:tc>
        <w:tc>
          <w:tcPr>
            <w:tcW w:w="0" w:type="auto"/>
            <w:hideMark/>
          </w:tcPr>
          <w:p w14:paraId="7085221C" w14:textId="3427C1B8"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New Delhi </w:t>
            </w:r>
            <w:r w:rsidR="00BD5C7C" w:rsidRPr="008F7DED">
              <w:rPr>
                <w:rFonts w:ascii="Times New Roman" w:eastAsia="Times New Roman" w:hAnsi="Times New Roman" w:cs="Times New Roman"/>
                <w:color w:val="000000"/>
                <w:lang w:eastAsia="zh-CN"/>
              </w:rPr>
              <w:t>Metallo-beta-lactamase</w:t>
            </w:r>
            <w:r w:rsidRPr="008F7DED">
              <w:rPr>
                <w:rFonts w:ascii="Times New Roman" w:eastAsia="Times New Roman" w:hAnsi="Times New Roman" w:cs="Times New Roman"/>
                <w:color w:val="000000"/>
                <w:lang w:eastAsia="zh-CN"/>
              </w:rPr>
              <w:t xml:space="preserve"> </w:t>
            </w:r>
          </w:p>
        </w:tc>
      </w:tr>
      <w:tr w:rsidR="00F54B1C" w:rsidRPr="008F7DED" w14:paraId="645EAAD0" w14:textId="77777777" w:rsidTr="002E032F">
        <w:tc>
          <w:tcPr>
            <w:tcW w:w="0" w:type="auto"/>
            <w:hideMark/>
          </w:tcPr>
          <w:p w14:paraId="7ECF8BF6"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NHE</w:t>
            </w:r>
          </w:p>
        </w:tc>
        <w:tc>
          <w:tcPr>
            <w:tcW w:w="0" w:type="auto"/>
            <w:hideMark/>
          </w:tcPr>
          <w:p w14:paraId="7B39682E" w14:textId="7D456F69"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Net health effects</w:t>
            </w:r>
          </w:p>
        </w:tc>
      </w:tr>
      <w:tr w:rsidR="00F54B1C" w:rsidRPr="008F7DED" w14:paraId="51E91062" w14:textId="77777777" w:rsidTr="002E032F">
        <w:tc>
          <w:tcPr>
            <w:tcW w:w="0" w:type="auto"/>
            <w:hideMark/>
          </w:tcPr>
          <w:p w14:paraId="1ECBE261"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NHS</w:t>
            </w:r>
          </w:p>
        </w:tc>
        <w:tc>
          <w:tcPr>
            <w:tcW w:w="0" w:type="auto"/>
            <w:hideMark/>
          </w:tcPr>
          <w:p w14:paraId="0EB85D8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National Health Service</w:t>
            </w:r>
          </w:p>
        </w:tc>
      </w:tr>
      <w:tr w:rsidR="00F54B1C" w:rsidRPr="008F7DED" w14:paraId="0B35A03B" w14:textId="77777777" w:rsidTr="002E032F">
        <w:tc>
          <w:tcPr>
            <w:tcW w:w="0" w:type="auto"/>
          </w:tcPr>
          <w:p w14:paraId="107870AA" w14:textId="3917C7A5"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NHSE</w:t>
            </w:r>
          </w:p>
        </w:tc>
        <w:tc>
          <w:tcPr>
            <w:tcW w:w="0" w:type="auto"/>
          </w:tcPr>
          <w:p w14:paraId="7786D8BC" w14:textId="4CE1FCFB"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National Health Service England</w:t>
            </w:r>
          </w:p>
        </w:tc>
      </w:tr>
      <w:tr w:rsidR="00F54B1C" w:rsidRPr="008F7DED" w14:paraId="054349C2" w14:textId="77777777" w:rsidTr="002E032F">
        <w:tc>
          <w:tcPr>
            <w:tcW w:w="0" w:type="auto"/>
            <w:hideMark/>
          </w:tcPr>
          <w:p w14:paraId="7526619B"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NMA </w:t>
            </w:r>
          </w:p>
        </w:tc>
        <w:tc>
          <w:tcPr>
            <w:tcW w:w="0" w:type="auto"/>
            <w:hideMark/>
          </w:tcPr>
          <w:p w14:paraId="5C7B67A0" w14:textId="460EDBA6"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Network </w:t>
            </w:r>
            <w:proofErr w:type="spellStart"/>
            <w:proofErr w:type="gramStart"/>
            <w:r w:rsidRPr="008F7DED">
              <w:rPr>
                <w:rFonts w:ascii="Times New Roman" w:eastAsia="Times New Roman" w:hAnsi="Times New Roman" w:cs="Times New Roman"/>
                <w:color w:val="000000"/>
                <w:lang w:eastAsia="zh-CN"/>
              </w:rPr>
              <w:t>meta analysis</w:t>
            </w:r>
            <w:proofErr w:type="spellEnd"/>
            <w:proofErr w:type="gramEnd"/>
          </w:p>
        </w:tc>
      </w:tr>
      <w:tr w:rsidR="00F54B1C" w:rsidRPr="008F7DED" w14:paraId="4E308BA0" w14:textId="77777777" w:rsidTr="002E032F">
        <w:tc>
          <w:tcPr>
            <w:tcW w:w="0" w:type="auto"/>
            <w:hideMark/>
          </w:tcPr>
          <w:p w14:paraId="017148C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NMC</w:t>
            </w:r>
          </w:p>
        </w:tc>
        <w:tc>
          <w:tcPr>
            <w:tcW w:w="0" w:type="auto"/>
            <w:hideMark/>
          </w:tcPr>
          <w:p w14:paraId="7201E80F" w14:textId="6EA22EC9"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Non-</w:t>
            </w:r>
            <w:proofErr w:type="spellStart"/>
            <w:r w:rsidRPr="008F7DED">
              <w:rPr>
                <w:rFonts w:ascii="Times New Roman" w:eastAsia="Times New Roman" w:hAnsi="Times New Roman" w:cs="Times New Roman"/>
                <w:color w:val="000000"/>
                <w:lang w:eastAsia="zh-CN"/>
              </w:rPr>
              <w:t>metallocarbapenemase</w:t>
            </w:r>
            <w:proofErr w:type="spellEnd"/>
            <w:r w:rsidRPr="008F7DED">
              <w:rPr>
                <w:rFonts w:ascii="Times New Roman" w:eastAsia="Times New Roman" w:hAnsi="Times New Roman" w:cs="Times New Roman"/>
                <w:color w:val="000000"/>
                <w:lang w:eastAsia="zh-CN"/>
              </w:rPr>
              <w:t xml:space="preserve">-A </w:t>
            </w:r>
          </w:p>
        </w:tc>
      </w:tr>
      <w:tr w:rsidR="00F54B1C" w:rsidRPr="008F7DED" w14:paraId="340D7ACD" w14:textId="77777777" w:rsidTr="002E032F">
        <w:tc>
          <w:tcPr>
            <w:tcW w:w="0" w:type="auto"/>
            <w:hideMark/>
          </w:tcPr>
          <w:p w14:paraId="6397E9B9" w14:textId="77777777"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NICE</w:t>
            </w:r>
          </w:p>
        </w:tc>
        <w:tc>
          <w:tcPr>
            <w:tcW w:w="0" w:type="auto"/>
            <w:hideMark/>
          </w:tcPr>
          <w:p w14:paraId="55EE5A5D" w14:textId="77777777" w:rsidR="00F54B1C" w:rsidRPr="008F7DED" w:rsidRDefault="00F54B1C" w:rsidP="00F54B1C">
            <w:pPr>
              <w:rPr>
                <w:rFonts w:ascii="Times New Roman" w:eastAsia="Times New Roman" w:hAnsi="Times New Roman" w:cs="Times New Roman"/>
                <w:lang w:eastAsia="zh-CN"/>
              </w:rPr>
            </w:pPr>
            <w:r w:rsidRPr="008F7DED">
              <w:rPr>
                <w:rFonts w:ascii="Times New Roman" w:eastAsia="Times New Roman" w:hAnsi="Times New Roman" w:cs="Times New Roman"/>
                <w:color w:val="000000"/>
                <w:lang w:eastAsia="zh-CN"/>
              </w:rPr>
              <w:t>National Institute for Health and Care Excellence</w:t>
            </w:r>
          </w:p>
        </w:tc>
      </w:tr>
      <w:tr w:rsidR="00F54B1C" w:rsidRPr="008F7DED" w14:paraId="6D7E2B17" w14:textId="77777777" w:rsidTr="002E032F">
        <w:tc>
          <w:tcPr>
            <w:tcW w:w="0" w:type="auto"/>
            <w:hideMark/>
          </w:tcPr>
          <w:p w14:paraId="00E28C0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OR</w:t>
            </w:r>
          </w:p>
        </w:tc>
        <w:tc>
          <w:tcPr>
            <w:tcW w:w="0" w:type="auto"/>
            <w:hideMark/>
          </w:tcPr>
          <w:p w14:paraId="0E22F0D7" w14:textId="48DCDD8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Odds ratios </w:t>
            </w:r>
          </w:p>
        </w:tc>
      </w:tr>
      <w:tr w:rsidR="00F54B1C" w:rsidRPr="008F7DED" w14:paraId="00F0D583" w14:textId="77777777" w:rsidTr="002E032F">
        <w:tc>
          <w:tcPr>
            <w:tcW w:w="0" w:type="auto"/>
            <w:hideMark/>
          </w:tcPr>
          <w:p w14:paraId="1C480589" w14:textId="07AAB19F"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OXA</w:t>
            </w:r>
            <w:r>
              <w:rPr>
                <w:rFonts w:ascii="Times New Roman" w:eastAsia="Times New Roman" w:hAnsi="Times New Roman" w:cs="Times New Roman"/>
                <w:color w:val="000000"/>
                <w:lang w:eastAsia="zh-CN"/>
              </w:rPr>
              <w:t>-48</w:t>
            </w:r>
          </w:p>
        </w:tc>
        <w:tc>
          <w:tcPr>
            <w:tcW w:w="0" w:type="auto"/>
            <w:hideMark/>
          </w:tcPr>
          <w:p w14:paraId="1209117E" w14:textId="743F706E"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Oxacillinase</w:t>
            </w:r>
            <w:r>
              <w:rPr>
                <w:rFonts w:ascii="Times New Roman" w:eastAsia="Times New Roman" w:hAnsi="Times New Roman" w:cs="Times New Roman"/>
                <w:color w:val="000000"/>
                <w:lang w:eastAsia="zh-CN"/>
              </w:rPr>
              <w:t>-48</w:t>
            </w:r>
          </w:p>
        </w:tc>
      </w:tr>
      <w:tr w:rsidR="00F54B1C" w:rsidRPr="008F7DED" w14:paraId="5CFF9676" w14:textId="77777777" w:rsidTr="002E032F">
        <w:tc>
          <w:tcPr>
            <w:tcW w:w="0" w:type="auto"/>
            <w:hideMark/>
          </w:tcPr>
          <w:p w14:paraId="323BA1B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PA </w:t>
            </w:r>
          </w:p>
        </w:tc>
        <w:tc>
          <w:tcPr>
            <w:tcW w:w="0" w:type="auto"/>
            <w:hideMark/>
          </w:tcPr>
          <w:p w14:paraId="34B69F07" w14:textId="05A6A552" w:rsidR="00F54B1C" w:rsidRPr="008F7DED" w:rsidRDefault="00F54B1C" w:rsidP="00F54B1C">
            <w:pPr>
              <w:rPr>
                <w:rFonts w:ascii="Times New Roman" w:eastAsia="Times New Roman" w:hAnsi="Times New Roman" w:cs="Times New Roman"/>
                <w:i/>
                <w:iCs/>
                <w:color w:val="000000"/>
                <w:lang w:eastAsia="zh-CN"/>
              </w:rPr>
            </w:pPr>
            <w:r w:rsidRPr="008F7DED">
              <w:rPr>
                <w:rFonts w:ascii="Times New Roman" w:eastAsia="Times New Roman" w:hAnsi="Times New Roman" w:cs="Times New Roman"/>
                <w:i/>
                <w:iCs/>
                <w:color w:val="000000"/>
                <w:lang w:eastAsia="zh-CN"/>
              </w:rPr>
              <w:t>Pseudomonas aeruginosa</w:t>
            </w:r>
          </w:p>
        </w:tc>
      </w:tr>
      <w:tr w:rsidR="00F54B1C" w:rsidRPr="008F7DED" w14:paraId="167F8F62" w14:textId="77777777" w:rsidTr="002E032F">
        <w:tc>
          <w:tcPr>
            <w:tcW w:w="0" w:type="auto"/>
            <w:hideMark/>
          </w:tcPr>
          <w:p w14:paraId="543C16ED"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PCR</w:t>
            </w:r>
          </w:p>
        </w:tc>
        <w:tc>
          <w:tcPr>
            <w:tcW w:w="0" w:type="auto"/>
            <w:hideMark/>
          </w:tcPr>
          <w:p w14:paraId="20487364" w14:textId="3DBA3D59"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Polymerase chain reaction</w:t>
            </w:r>
          </w:p>
        </w:tc>
      </w:tr>
      <w:tr w:rsidR="00F54B1C" w:rsidRPr="008F7DED" w14:paraId="290C4022" w14:textId="77777777" w:rsidTr="002E032F">
        <w:tc>
          <w:tcPr>
            <w:tcW w:w="0" w:type="auto"/>
            <w:hideMark/>
          </w:tcPr>
          <w:p w14:paraId="36AC6417"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PD</w:t>
            </w:r>
          </w:p>
        </w:tc>
        <w:tc>
          <w:tcPr>
            <w:tcW w:w="0" w:type="auto"/>
            <w:hideMark/>
          </w:tcPr>
          <w:p w14:paraId="0E8896C2" w14:textId="4D507D4E"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Pharmacodynamic </w:t>
            </w:r>
          </w:p>
        </w:tc>
      </w:tr>
      <w:tr w:rsidR="00F54B1C" w:rsidRPr="008F7DED" w14:paraId="02693507" w14:textId="77777777" w:rsidTr="002E032F">
        <w:tc>
          <w:tcPr>
            <w:tcW w:w="0" w:type="auto"/>
            <w:hideMark/>
          </w:tcPr>
          <w:p w14:paraId="56051FE8" w14:textId="5594FA7E"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PICOS</w:t>
            </w:r>
          </w:p>
        </w:tc>
        <w:tc>
          <w:tcPr>
            <w:tcW w:w="0" w:type="auto"/>
            <w:hideMark/>
          </w:tcPr>
          <w:p w14:paraId="1DA5F308" w14:textId="1212F082"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Population, intervention, comparator, outcome, study design</w:t>
            </w:r>
          </w:p>
        </w:tc>
      </w:tr>
      <w:tr w:rsidR="00F54B1C" w:rsidRPr="008F7DED" w14:paraId="5DDDBA33" w14:textId="77777777" w:rsidTr="002E032F">
        <w:tc>
          <w:tcPr>
            <w:tcW w:w="0" w:type="auto"/>
            <w:hideMark/>
          </w:tcPr>
          <w:p w14:paraId="19240D16"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PK</w:t>
            </w:r>
          </w:p>
        </w:tc>
        <w:tc>
          <w:tcPr>
            <w:tcW w:w="0" w:type="auto"/>
            <w:hideMark/>
          </w:tcPr>
          <w:p w14:paraId="1716B9AC"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Pharmacokinetic </w:t>
            </w:r>
          </w:p>
        </w:tc>
      </w:tr>
      <w:tr w:rsidR="00F54B1C" w:rsidRPr="008F7DED" w14:paraId="07AAD4D3" w14:textId="77777777" w:rsidTr="002E032F">
        <w:tc>
          <w:tcPr>
            <w:tcW w:w="0" w:type="auto"/>
            <w:hideMark/>
          </w:tcPr>
          <w:p w14:paraId="1E3D11A4"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PHE</w:t>
            </w:r>
          </w:p>
        </w:tc>
        <w:tc>
          <w:tcPr>
            <w:tcW w:w="0" w:type="auto"/>
            <w:hideMark/>
          </w:tcPr>
          <w:p w14:paraId="27DA95A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Public Health England </w:t>
            </w:r>
          </w:p>
        </w:tc>
      </w:tr>
      <w:tr w:rsidR="00F54B1C" w:rsidRPr="008F7DED" w14:paraId="5521E366" w14:textId="77777777" w:rsidTr="002E032F">
        <w:tc>
          <w:tcPr>
            <w:tcW w:w="0" w:type="auto"/>
          </w:tcPr>
          <w:p w14:paraId="1E5E3372" w14:textId="77777777" w:rsidR="00F54B1C" w:rsidRPr="008F7DED" w:rsidRDefault="00F54B1C" w:rsidP="00F54B1C">
            <w:pPr>
              <w:rPr>
                <w:rFonts w:ascii="Times New Roman" w:eastAsia="Times New Roman" w:hAnsi="Times New Roman" w:cs="Times New Roman"/>
                <w:color w:val="000000"/>
                <w:lang w:eastAsia="zh-CN"/>
              </w:rPr>
            </w:pPr>
            <w:proofErr w:type="spellStart"/>
            <w:r w:rsidRPr="008F7DED">
              <w:rPr>
                <w:rFonts w:ascii="Times New Roman" w:eastAsia="Times New Roman" w:hAnsi="Times New Roman" w:cs="Times New Roman"/>
                <w:color w:val="000000"/>
                <w:lang w:eastAsia="zh-CN"/>
              </w:rPr>
              <w:t>PrI</w:t>
            </w:r>
            <w:proofErr w:type="spellEnd"/>
          </w:p>
        </w:tc>
        <w:tc>
          <w:tcPr>
            <w:tcW w:w="0" w:type="auto"/>
          </w:tcPr>
          <w:p w14:paraId="1EE86971" w14:textId="1CF6E211"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Prediction intervals </w:t>
            </w:r>
          </w:p>
        </w:tc>
      </w:tr>
      <w:tr w:rsidR="00F54B1C" w:rsidRPr="008F7DED" w14:paraId="76E124AA" w14:textId="77777777" w:rsidTr="002E032F">
        <w:tc>
          <w:tcPr>
            <w:tcW w:w="0" w:type="auto"/>
          </w:tcPr>
          <w:p w14:paraId="101DA79C"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PRISMA</w:t>
            </w:r>
          </w:p>
        </w:tc>
        <w:tc>
          <w:tcPr>
            <w:tcW w:w="0" w:type="auto"/>
          </w:tcPr>
          <w:p w14:paraId="5CB3C032" w14:textId="33495C5D"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Preferred reporting items for systematic reviews and meta-analyses</w:t>
            </w:r>
          </w:p>
        </w:tc>
      </w:tr>
      <w:tr w:rsidR="00F54B1C" w:rsidRPr="008F7DED" w14:paraId="2B068AC1" w14:textId="77777777" w:rsidTr="002E032F">
        <w:tc>
          <w:tcPr>
            <w:tcW w:w="0" w:type="auto"/>
          </w:tcPr>
          <w:p w14:paraId="4CF86C3F" w14:textId="23EB241C"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PROSPERO</w:t>
            </w:r>
          </w:p>
        </w:tc>
        <w:tc>
          <w:tcPr>
            <w:tcW w:w="0" w:type="auto"/>
          </w:tcPr>
          <w:p w14:paraId="715D800E" w14:textId="276C8ACD" w:rsidR="00F54B1C" w:rsidRPr="008F7DED" w:rsidRDefault="00F54B1C" w:rsidP="00F54B1C">
            <w:pPr>
              <w:rPr>
                <w:rFonts w:ascii="Times New Roman" w:eastAsia="Times New Roman" w:hAnsi="Times New Roman" w:cs="Times New Roman"/>
                <w:color w:val="000000"/>
                <w:lang w:eastAsia="zh-CN"/>
              </w:rPr>
            </w:pPr>
            <w:r w:rsidRPr="009578AF">
              <w:rPr>
                <w:rFonts w:ascii="Times New Roman" w:hAnsi="Times New Roman" w:cs="Times New Roman"/>
              </w:rPr>
              <w:t>International prospective register of systematic reviews</w:t>
            </w:r>
          </w:p>
        </w:tc>
      </w:tr>
      <w:tr w:rsidR="00F54B1C" w:rsidRPr="008F7DED" w14:paraId="0D793794" w14:textId="77777777" w:rsidTr="002E032F">
        <w:tc>
          <w:tcPr>
            <w:tcW w:w="0" w:type="auto"/>
          </w:tcPr>
          <w:p w14:paraId="0F26DB38" w14:textId="1C76B804"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QALY</w:t>
            </w:r>
          </w:p>
        </w:tc>
        <w:tc>
          <w:tcPr>
            <w:tcW w:w="0" w:type="auto"/>
          </w:tcPr>
          <w:p w14:paraId="60B4A70B" w14:textId="218973C1"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Quality-adjusted life-year</w:t>
            </w:r>
          </w:p>
        </w:tc>
      </w:tr>
      <w:tr w:rsidR="00F54B1C" w:rsidRPr="008F7DED" w14:paraId="362A5E98" w14:textId="77777777" w:rsidTr="002E032F">
        <w:tc>
          <w:tcPr>
            <w:tcW w:w="0" w:type="auto"/>
          </w:tcPr>
          <w:p w14:paraId="45EA4371"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R&amp;D</w:t>
            </w:r>
          </w:p>
        </w:tc>
        <w:tc>
          <w:tcPr>
            <w:tcW w:w="0" w:type="auto"/>
          </w:tcPr>
          <w:p w14:paraId="472A206A"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Research and development</w:t>
            </w:r>
          </w:p>
        </w:tc>
      </w:tr>
      <w:tr w:rsidR="00F54B1C" w:rsidRPr="008F7DED" w14:paraId="244D9ABC" w14:textId="77777777" w:rsidTr="002E032F">
        <w:tc>
          <w:tcPr>
            <w:tcW w:w="0" w:type="auto"/>
          </w:tcPr>
          <w:p w14:paraId="7858A6DE"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RCT</w:t>
            </w:r>
          </w:p>
        </w:tc>
        <w:tc>
          <w:tcPr>
            <w:tcW w:w="0" w:type="auto"/>
          </w:tcPr>
          <w:p w14:paraId="7C0699F7"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Randomised controlled trials </w:t>
            </w:r>
          </w:p>
        </w:tc>
      </w:tr>
      <w:tr w:rsidR="00F54B1C" w:rsidRPr="008F7DED" w14:paraId="77DEA697" w14:textId="77777777" w:rsidTr="002E032F">
        <w:tc>
          <w:tcPr>
            <w:tcW w:w="0" w:type="auto"/>
          </w:tcPr>
          <w:p w14:paraId="2972F76C" w14:textId="173F7B7A"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RE</w:t>
            </w:r>
          </w:p>
        </w:tc>
        <w:tc>
          <w:tcPr>
            <w:tcW w:w="0" w:type="auto"/>
          </w:tcPr>
          <w:p w14:paraId="3A8ABF6E" w14:textId="3947F7D9"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Random effects</w:t>
            </w:r>
          </w:p>
        </w:tc>
      </w:tr>
      <w:tr w:rsidR="00F54B1C" w:rsidRPr="008F7DED" w14:paraId="7E2C6E32" w14:textId="77777777" w:rsidTr="002E032F">
        <w:tc>
          <w:tcPr>
            <w:tcW w:w="0" w:type="auto"/>
          </w:tcPr>
          <w:p w14:paraId="1BF6D3E1"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SAE</w:t>
            </w:r>
          </w:p>
        </w:tc>
        <w:tc>
          <w:tcPr>
            <w:tcW w:w="0" w:type="auto"/>
          </w:tcPr>
          <w:p w14:paraId="672B2B63" w14:textId="59542B95"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Serious adverse event</w:t>
            </w:r>
          </w:p>
        </w:tc>
      </w:tr>
      <w:tr w:rsidR="00F54B1C" w:rsidRPr="008F7DED" w14:paraId="6C4FDA73" w14:textId="77777777" w:rsidTr="002E032F">
        <w:tc>
          <w:tcPr>
            <w:tcW w:w="0" w:type="auto"/>
          </w:tcPr>
          <w:p w14:paraId="098C7053"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SD</w:t>
            </w:r>
          </w:p>
        </w:tc>
        <w:tc>
          <w:tcPr>
            <w:tcW w:w="0" w:type="auto"/>
          </w:tcPr>
          <w:p w14:paraId="6BBDD2E0" w14:textId="0F6A2A81"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Standard deviation</w:t>
            </w:r>
          </w:p>
        </w:tc>
      </w:tr>
      <w:tr w:rsidR="00F54B1C" w:rsidRPr="008F7DED" w14:paraId="10CE5253" w14:textId="77777777" w:rsidTr="002E032F">
        <w:tc>
          <w:tcPr>
            <w:tcW w:w="0" w:type="auto"/>
          </w:tcPr>
          <w:p w14:paraId="4E7C706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SGSS</w:t>
            </w:r>
          </w:p>
        </w:tc>
        <w:tc>
          <w:tcPr>
            <w:tcW w:w="0" w:type="auto"/>
          </w:tcPr>
          <w:p w14:paraId="16F003CB" w14:textId="6E409150"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Second generation surveillance system </w:t>
            </w:r>
          </w:p>
        </w:tc>
      </w:tr>
      <w:tr w:rsidR="00F54B1C" w:rsidRPr="008F7DED" w14:paraId="76554EBF" w14:textId="77777777" w:rsidTr="002E032F">
        <w:tc>
          <w:tcPr>
            <w:tcW w:w="0" w:type="auto"/>
          </w:tcPr>
          <w:p w14:paraId="5638E9E1"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SME</w:t>
            </w:r>
          </w:p>
        </w:tc>
        <w:tc>
          <w:tcPr>
            <w:tcW w:w="0" w:type="auto"/>
          </w:tcPr>
          <w:p w14:paraId="607151A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Serratia marcescens enzyme </w:t>
            </w:r>
          </w:p>
        </w:tc>
      </w:tr>
      <w:tr w:rsidR="00F54B1C" w:rsidRPr="008F7DED" w14:paraId="3F0CDD7A" w14:textId="77777777" w:rsidTr="002E032F">
        <w:tc>
          <w:tcPr>
            <w:tcW w:w="0" w:type="auto"/>
          </w:tcPr>
          <w:p w14:paraId="41BAFD9B"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SPM</w:t>
            </w:r>
          </w:p>
        </w:tc>
        <w:tc>
          <w:tcPr>
            <w:tcW w:w="0" w:type="auto"/>
          </w:tcPr>
          <w:p w14:paraId="3DA005D7"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Sao Paulo MBL </w:t>
            </w:r>
          </w:p>
        </w:tc>
      </w:tr>
      <w:tr w:rsidR="00F54B1C" w:rsidRPr="008F7DED" w14:paraId="744CF6D7" w14:textId="77777777" w:rsidTr="002E032F">
        <w:tc>
          <w:tcPr>
            <w:tcW w:w="0" w:type="auto"/>
          </w:tcPr>
          <w:p w14:paraId="631F7070" w14:textId="1A943D15"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TEST</w:t>
            </w:r>
          </w:p>
        </w:tc>
        <w:tc>
          <w:tcPr>
            <w:tcW w:w="0" w:type="auto"/>
          </w:tcPr>
          <w:p w14:paraId="48295274" w14:textId="1F3BAD88" w:rsidR="00F54B1C" w:rsidRPr="008F7DED" w:rsidRDefault="00F54B1C" w:rsidP="00F54B1C">
            <w:pPr>
              <w:rPr>
                <w:rFonts w:ascii="Times New Roman" w:eastAsia="Times New Roman" w:hAnsi="Times New Roman" w:cs="Times New Roman"/>
                <w:color w:val="000000"/>
                <w:lang w:eastAsia="zh-CN"/>
              </w:rPr>
            </w:pPr>
            <w:r w:rsidRPr="00885DFB">
              <w:rPr>
                <w:rFonts w:asciiTheme="majorBidi" w:hAnsiTheme="majorBidi" w:cstheme="majorBidi"/>
              </w:rPr>
              <w:t>Tigecycline Evaluation Surveillance Trial</w:t>
            </w:r>
          </w:p>
        </w:tc>
      </w:tr>
      <w:tr w:rsidR="00F54B1C" w:rsidRPr="008F7DED" w14:paraId="4B70704A" w14:textId="77777777" w:rsidTr="002E032F">
        <w:tc>
          <w:tcPr>
            <w:tcW w:w="0" w:type="auto"/>
          </w:tcPr>
          <w:p w14:paraId="417ACC35" w14:textId="5AD4A48A"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TSD</w:t>
            </w:r>
          </w:p>
        </w:tc>
        <w:tc>
          <w:tcPr>
            <w:tcW w:w="0" w:type="auto"/>
          </w:tcPr>
          <w:p w14:paraId="1EF8D783" w14:textId="1348D82F" w:rsidR="00F54B1C" w:rsidRPr="008F7DED" w:rsidRDefault="00F54B1C" w:rsidP="00F54B1C">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Technical support document</w:t>
            </w:r>
          </w:p>
        </w:tc>
      </w:tr>
      <w:tr w:rsidR="00F54B1C" w:rsidRPr="008F7DED" w14:paraId="176DDB87" w14:textId="77777777" w:rsidTr="002E032F">
        <w:tc>
          <w:tcPr>
            <w:tcW w:w="0" w:type="auto"/>
          </w:tcPr>
          <w:p w14:paraId="6B995906"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UME</w:t>
            </w:r>
          </w:p>
        </w:tc>
        <w:tc>
          <w:tcPr>
            <w:tcW w:w="0" w:type="auto"/>
          </w:tcPr>
          <w:p w14:paraId="74F934DC" w14:textId="132A27DF"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Unrelated mean effects </w:t>
            </w:r>
          </w:p>
        </w:tc>
      </w:tr>
      <w:tr w:rsidR="00F54B1C" w:rsidRPr="008F7DED" w14:paraId="618F70A4" w14:textId="77777777" w:rsidTr="002E032F">
        <w:tc>
          <w:tcPr>
            <w:tcW w:w="0" w:type="auto"/>
          </w:tcPr>
          <w:p w14:paraId="6C8B8A67"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UTI</w:t>
            </w:r>
          </w:p>
        </w:tc>
        <w:tc>
          <w:tcPr>
            <w:tcW w:w="0" w:type="auto"/>
          </w:tcPr>
          <w:p w14:paraId="404992BF" w14:textId="16943975"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Urinary tract infections </w:t>
            </w:r>
          </w:p>
        </w:tc>
      </w:tr>
      <w:tr w:rsidR="00F54B1C" w:rsidRPr="008F7DED" w14:paraId="0B606973" w14:textId="77777777" w:rsidTr="002E032F">
        <w:tc>
          <w:tcPr>
            <w:tcW w:w="0" w:type="auto"/>
          </w:tcPr>
          <w:p w14:paraId="56E139D0"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VAP</w:t>
            </w:r>
          </w:p>
        </w:tc>
        <w:tc>
          <w:tcPr>
            <w:tcW w:w="0" w:type="auto"/>
          </w:tcPr>
          <w:p w14:paraId="1973D288" w14:textId="2209777C"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Ventilator-associated pneumonia </w:t>
            </w:r>
          </w:p>
        </w:tc>
      </w:tr>
      <w:tr w:rsidR="00F54B1C" w:rsidRPr="008F7DED" w14:paraId="767DD29A" w14:textId="77777777" w:rsidTr="002E032F">
        <w:tc>
          <w:tcPr>
            <w:tcW w:w="0" w:type="auto"/>
          </w:tcPr>
          <w:p w14:paraId="0CBA238B"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VIM</w:t>
            </w:r>
          </w:p>
        </w:tc>
        <w:tc>
          <w:tcPr>
            <w:tcW w:w="0" w:type="auto"/>
          </w:tcPr>
          <w:p w14:paraId="5BF238E7" w14:textId="65244733"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Verona integrated-encoded </w:t>
            </w:r>
            <w:r w:rsidR="00BD5C7C" w:rsidRPr="008F7DED">
              <w:rPr>
                <w:rFonts w:ascii="Times New Roman" w:eastAsia="Times New Roman" w:hAnsi="Times New Roman" w:cs="Times New Roman"/>
                <w:color w:val="000000"/>
                <w:lang w:eastAsia="zh-CN"/>
              </w:rPr>
              <w:t>Metallo-beta-lactamase</w:t>
            </w:r>
          </w:p>
        </w:tc>
      </w:tr>
      <w:tr w:rsidR="00F54B1C" w:rsidRPr="008F7DED" w14:paraId="432BC218" w14:textId="77777777" w:rsidTr="002E032F">
        <w:tc>
          <w:tcPr>
            <w:tcW w:w="0" w:type="auto"/>
          </w:tcPr>
          <w:p w14:paraId="5405523C"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WHO</w:t>
            </w:r>
          </w:p>
        </w:tc>
        <w:tc>
          <w:tcPr>
            <w:tcW w:w="0" w:type="auto"/>
          </w:tcPr>
          <w:p w14:paraId="6B309E09"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World Health Organisation </w:t>
            </w:r>
          </w:p>
        </w:tc>
      </w:tr>
      <w:tr w:rsidR="00F54B1C" w:rsidRPr="008F7DED" w14:paraId="20554BD8" w14:textId="77777777" w:rsidTr="002E032F">
        <w:tc>
          <w:tcPr>
            <w:tcW w:w="0" w:type="auto"/>
          </w:tcPr>
          <w:p w14:paraId="00C1F242" w14:textId="77777777"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XDR</w:t>
            </w:r>
          </w:p>
        </w:tc>
        <w:tc>
          <w:tcPr>
            <w:tcW w:w="0" w:type="auto"/>
          </w:tcPr>
          <w:p w14:paraId="2B7771CB" w14:textId="1E70E410" w:rsidR="00F54B1C" w:rsidRPr="008F7DED" w:rsidRDefault="00F54B1C" w:rsidP="00F54B1C">
            <w:pPr>
              <w:rPr>
                <w:rFonts w:ascii="Times New Roman" w:eastAsia="Times New Roman" w:hAnsi="Times New Roman" w:cs="Times New Roman"/>
                <w:color w:val="000000"/>
                <w:lang w:eastAsia="zh-CN"/>
              </w:rPr>
            </w:pPr>
            <w:r w:rsidRPr="008F7DED">
              <w:rPr>
                <w:rFonts w:ascii="Times New Roman" w:eastAsia="Times New Roman" w:hAnsi="Times New Roman" w:cs="Times New Roman"/>
                <w:color w:val="000000"/>
                <w:lang w:eastAsia="zh-CN"/>
              </w:rPr>
              <w:t xml:space="preserve">Extensively-drug resistant </w:t>
            </w:r>
          </w:p>
        </w:tc>
      </w:tr>
    </w:tbl>
    <w:p w14:paraId="13A8EDBF" w14:textId="77777777" w:rsidR="00325235" w:rsidRPr="006A4082" w:rsidRDefault="00325235" w:rsidP="00CA0C57">
      <w:pPr>
        <w:pStyle w:val="EEPRUMainBodyText"/>
      </w:pPr>
    </w:p>
    <w:p w14:paraId="17B01BF4" w14:textId="77777777" w:rsidR="00B514D2" w:rsidRPr="006A4082" w:rsidRDefault="00B514D2">
      <w:pPr>
        <w:rPr>
          <w:rFonts w:asciiTheme="majorBidi" w:hAnsiTheme="majorBidi" w:cstheme="majorBidi"/>
          <w:sz w:val="32"/>
          <w:szCs w:val="32"/>
        </w:rPr>
        <w:sectPr w:rsidR="00B514D2" w:rsidRPr="006A4082" w:rsidSect="00325235">
          <w:footerReference w:type="even" r:id="rId12"/>
          <w:headerReference w:type="first" r:id="rId13"/>
          <w:pgSz w:w="11906" w:h="16838"/>
          <w:pgMar w:top="1440" w:right="1440" w:bottom="1440" w:left="1440" w:header="708" w:footer="708" w:gutter="0"/>
          <w:pgNumType w:start="1"/>
          <w:cols w:space="708"/>
          <w:titlePg/>
          <w:docGrid w:linePitch="360"/>
        </w:sectPr>
      </w:pPr>
    </w:p>
    <w:p w14:paraId="233FF9D9" w14:textId="77777777" w:rsidR="00273565" w:rsidRDefault="00AC2D72" w:rsidP="00273565">
      <w:pPr>
        <w:pStyle w:val="EEPRUnumberedLevel1Headingnew"/>
      </w:pPr>
      <w:bookmarkStart w:id="23" w:name="_Toc535480419"/>
      <w:bookmarkStart w:id="24" w:name="_Toc77952380"/>
      <w:bookmarkStart w:id="25" w:name="_Ref78190310"/>
      <w:bookmarkStart w:id="26" w:name="_Ref78190339"/>
      <w:bookmarkStart w:id="27" w:name="_Toc83890494"/>
      <w:bookmarkStart w:id="28" w:name="_Toc87462967"/>
      <w:r w:rsidRPr="00273565">
        <w:lastRenderedPageBreak/>
        <w:t>Introduction</w:t>
      </w:r>
      <w:bookmarkStart w:id="29" w:name="_Hlk84595597"/>
      <w:bookmarkEnd w:id="23"/>
      <w:bookmarkEnd w:id="24"/>
      <w:bookmarkEnd w:id="25"/>
      <w:bookmarkEnd w:id="26"/>
      <w:bookmarkEnd w:id="27"/>
      <w:bookmarkEnd w:id="28"/>
    </w:p>
    <w:p w14:paraId="4FD0ACE5" w14:textId="42251268" w:rsidR="00390AD1" w:rsidRPr="00273565" w:rsidRDefault="00390AD1" w:rsidP="00273565">
      <w:pPr>
        <w:pStyle w:val="EEPRUnumberedLevel2Headingnew"/>
      </w:pPr>
      <w:bookmarkStart w:id="30" w:name="_Toc87462968"/>
      <w:r w:rsidRPr="00273565">
        <w:t>Antimicrobial resistance</w:t>
      </w:r>
      <w:bookmarkEnd w:id="30"/>
    </w:p>
    <w:p w14:paraId="026E0C6F" w14:textId="644C300D" w:rsidR="009F1D70" w:rsidRPr="008628FC" w:rsidRDefault="009F1D70" w:rsidP="00A83123">
      <w:pPr>
        <w:pStyle w:val="BodyText"/>
        <w:spacing w:after="160" w:line="360" w:lineRule="auto"/>
        <w:jc w:val="both"/>
        <w:rPr>
          <w:rFonts w:asciiTheme="majorBidi" w:hAnsiTheme="majorBidi" w:cstheme="majorBidi"/>
        </w:rPr>
      </w:pPr>
      <w:r w:rsidRPr="008628FC">
        <w:rPr>
          <w:rFonts w:asciiTheme="majorBidi" w:hAnsiTheme="majorBidi" w:cstheme="majorBidi"/>
        </w:rPr>
        <w:t xml:space="preserve">Antimicrobial (AM) resistance develops when bacteria with mutations that prevent the activity of AMs emerge through selection pressure exerted </w:t>
      </w:r>
      <w:proofErr w:type="gramStart"/>
      <w:r w:rsidRPr="008628FC">
        <w:rPr>
          <w:rFonts w:asciiTheme="majorBidi" w:hAnsiTheme="majorBidi" w:cstheme="majorBidi"/>
        </w:rPr>
        <w:t>by the use of</w:t>
      </w:r>
      <w:proofErr w:type="gramEnd"/>
      <w:r w:rsidRPr="008628FC">
        <w:rPr>
          <w:rFonts w:asciiTheme="majorBidi" w:hAnsiTheme="majorBidi" w:cstheme="majorBidi"/>
        </w:rPr>
        <w:t xml:space="preserve"> AM agents. There are two major genetic processes involved: mutations in the genes native to the organism usually associated with the mechanism of action of the compound; and acquisition of foreign DNA coding for resistance determinants through horizontal gene transfer of plasmids / genes (e.g., transposons)</w:t>
      </w:r>
      <w:r w:rsidR="00731D83" w:rsidRPr="008628FC">
        <w:rPr>
          <w:rFonts w:asciiTheme="majorBidi" w:hAnsiTheme="majorBidi" w:cstheme="majorBidi"/>
        </w:rPr>
        <w:t>.</w:t>
      </w:r>
      <w:r w:rsidR="00A83123" w:rsidRPr="00A83123">
        <w:rPr>
          <w:rFonts w:asciiTheme="majorBidi" w:hAnsiTheme="majorBidi" w:cstheme="majorBidi"/>
          <w:noProof/>
          <w:vertAlign w:val="superscript"/>
        </w:rPr>
        <w:t>2,</w:t>
      </w:r>
      <w:proofErr w:type="gramStart"/>
      <w:r w:rsidR="00A83123" w:rsidRPr="00A83123">
        <w:rPr>
          <w:rFonts w:asciiTheme="majorBidi" w:hAnsiTheme="majorBidi" w:cstheme="majorBidi"/>
          <w:noProof/>
          <w:vertAlign w:val="superscript"/>
        </w:rPr>
        <w:t>3</w:t>
      </w:r>
      <w:r w:rsidRPr="008628FC">
        <w:rPr>
          <w:rFonts w:asciiTheme="majorBidi" w:hAnsiTheme="majorBidi" w:cstheme="majorBidi"/>
        </w:rPr>
        <w:t xml:space="preserve">  The</w:t>
      </w:r>
      <w:proofErr w:type="gramEnd"/>
      <w:r w:rsidRPr="008628FC">
        <w:rPr>
          <w:rFonts w:asciiTheme="majorBidi" w:hAnsiTheme="majorBidi" w:cstheme="majorBidi"/>
        </w:rPr>
        <w:t xml:space="preserve"> majority of pathogenic microorganisms appear to have the capability to develop resistance to at least some AM agents. Mechanisms of resistance include limiting uptake of a drug</w:t>
      </w:r>
      <w:r w:rsidR="00731D83">
        <w:rPr>
          <w:rFonts w:asciiTheme="majorBidi" w:hAnsiTheme="majorBidi" w:cstheme="majorBidi"/>
        </w:rPr>
        <w:t xml:space="preserve"> by the microbe</w:t>
      </w:r>
      <w:r w:rsidRPr="008628FC">
        <w:rPr>
          <w:rFonts w:asciiTheme="majorBidi" w:hAnsiTheme="majorBidi" w:cstheme="majorBidi"/>
        </w:rPr>
        <w:t xml:space="preserve">, modification of a drug target, inactivation of a drug and active efflux of a drug. Resistance to multiple agents can develop via successive mutations, through the dissemination of genes or through a combination of both processes. </w:t>
      </w:r>
    </w:p>
    <w:p w14:paraId="52DFAA4F" w14:textId="26C06671" w:rsidR="009F1D70" w:rsidRPr="008628FC" w:rsidRDefault="009F1D70" w:rsidP="00A83123">
      <w:pPr>
        <w:pStyle w:val="BodyText"/>
        <w:spacing w:after="160" w:line="360" w:lineRule="auto"/>
        <w:jc w:val="both"/>
        <w:rPr>
          <w:rFonts w:asciiTheme="majorBidi" w:hAnsiTheme="majorBidi" w:cstheme="majorBidi"/>
        </w:rPr>
      </w:pPr>
      <w:r w:rsidRPr="008628FC">
        <w:rPr>
          <w:rFonts w:asciiTheme="majorBidi" w:hAnsiTheme="majorBidi" w:cstheme="majorBidi"/>
        </w:rPr>
        <w:t xml:space="preserve">The increased mobility of the global population has had the effect of promoting the evolution and movement of antibiotic resistance genes. For example, very high rates of extended-spectrum β-lactamase (ESBL) production among </w:t>
      </w:r>
      <w:proofErr w:type="spellStart"/>
      <w:r w:rsidR="00FE2007" w:rsidRPr="00FE2007">
        <w:rPr>
          <w:rFonts w:asciiTheme="majorBidi" w:hAnsiTheme="majorBidi" w:cstheme="majorBidi"/>
          <w:i/>
          <w:iCs/>
        </w:rPr>
        <w:t>Enterobacterales</w:t>
      </w:r>
      <w:proofErr w:type="spellEnd"/>
      <w:r w:rsidRPr="008628FC">
        <w:rPr>
          <w:rFonts w:asciiTheme="majorBidi" w:hAnsiTheme="majorBidi" w:cstheme="majorBidi"/>
        </w:rPr>
        <w:t xml:space="preserve"> strains in Asian countries has resulted in substantial use of carbapenem antibiotics</w:t>
      </w:r>
      <w:r w:rsidR="00731D83">
        <w:rPr>
          <w:rFonts w:asciiTheme="majorBidi" w:hAnsiTheme="majorBidi" w:cstheme="majorBidi"/>
        </w:rPr>
        <w:t xml:space="preserve"> worldwide</w:t>
      </w:r>
      <w:r w:rsidRPr="008628FC">
        <w:rPr>
          <w:rFonts w:asciiTheme="majorBidi" w:hAnsiTheme="majorBidi" w:cstheme="majorBidi"/>
        </w:rPr>
        <w:t>, leading to the emergence of plasmid-mediated resistance to carbapenems</w:t>
      </w:r>
      <w:r w:rsidR="00731D83">
        <w:rPr>
          <w:rFonts w:asciiTheme="majorBidi" w:hAnsiTheme="majorBidi" w:cstheme="majorBidi"/>
        </w:rPr>
        <w:t>.</w:t>
      </w:r>
      <w:r w:rsidR="00A83123" w:rsidRPr="00A83123">
        <w:rPr>
          <w:rFonts w:asciiTheme="majorBidi" w:hAnsiTheme="majorBidi" w:cstheme="majorBidi"/>
          <w:noProof/>
          <w:vertAlign w:val="superscript"/>
        </w:rPr>
        <w:t>4</w:t>
      </w:r>
      <w:r w:rsidR="00731D83">
        <w:rPr>
          <w:rFonts w:asciiTheme="majorBidi" w:hAnsiTheme="majorBidi" w:cstheme="majorBidi"/>
        </w:rPr>
        <w:t xml:space="preserve"> </w:t>
      </w:r>
      <w:r w:rsidRPr="008628FC">
        <w:rPr>
          <w:rFonts w:asciiTheme="majorBidi" w:hAnsiTheme="majorBidi" w:cstheme="majorBidi"/>
        </w:rPr>
        <w:t>These have spread across the globe and between species. Multidrug-resistant bacteria can also spread rapidly within both hospitals and community settings, further contributing to increased AM use and heightened resistance</w:t>
      </w:r>
      <w:r w:rsidR="00731D83">
        <w:rPr>
          <w:rFonts w:asciiTheme="majorBidi" w:hAnsiTheme="majorBidi" w:cstheme="majorBidi"/>
        </w:rPr>
        <w:t>,</w:t>
      </w:r>
      <w:r w:rsidR="00A83123" w:rsidRPr="00A83123">
        <w:rPr>
          <w:rFonts w:asciiTheme="majorBidi" w:hAnsiTheme="majorBidi" w:cstheme="majorBidi"/>
          <w:noProof/>
          <w:vertAlign w:val="superscript"/>
        </w:rPr>
        <w:t>5</w:t>
      </w:r>
      <w:r w:rsidRPr="008628FC">
        <w:rPr>
          <w:rFonts w:asciiTheme="majorBidi" w:hAnsiTheme="majorBidi" w:cstheme="majorBidi"/>
        </w:rPr>
        <w:t xml:space="preserve"> and narrowing the choices available for antibiotic treatment. </w:t>
      </w:r>
    </w:p>
    <w:p w14:paraId="38AA7EB4" w14:textId="060629D3" w:rsidR="00390AD1" w:rsidRDefault="00390AD1" w:rsidP="00A83123">
      <w:pPr>
        <w:spacing w:line="360" w:lineRule="auto"/>
        <w:jc w:val="both"/>
        <w:rPr>
          <w:rFonts w:asciiTheme="majorBidi" w:hAnsiTheme="majorBidi" w:cstheme="majorBidi"/>
        </w:rPr>
      </w:pPr>
      <w:r w:rsidRPr="00390AD1">
        <w:rPr>
          <w:rFonts w:asciiTheme="majorBidi" w:hAnsiTheme="majorBidi" w:cstheme="majorBidi"/>
        </w:rPr>
        <w:t xml:space="preserve">Gram-negative bacteria pose a significant public health problem due to their increasing levels of resistance to antibiotics. This can lead to severe consequences where infections cannot be treated effectively, or where the increased risk of mortality and morbidity from infection can prevent life-saving procedures such as transplants or other invasive procedures. </w:t>
      </w:r>
      <w:proofErr w:type="spellStart"/>
      <w:r w:rsidR="00FE2007" w:rsidRPr="00FE2007">
        <w:rPr>
          <w:rFonts w:asciiTheme="majorBidi" w:hAnsiTheme="majorBidi" w:cstheme="majorBidi"/>
          <w:i/>
          <w:iCs/>
        </w:rPr>
        <w:t>Enterobacterales</w:t>
      </w:r>
      <w:proofErr w:type="spellEnd"/>
      <w:r w:rsidRPr="00390AD1">
        <w:rPr>
          <w:rFonts w:asciiTheme="majorBidi" w:hAnsiTheme="majorBidi" w:cstheme="majorBidi"/>
        </w:rPr>
        <w:t xml:space="preserve"> account for many gram-negative infections in humans, including urinary tract infections (UTIs), pneumonia, diarrhoea, meningitis, and sepsis, whilst the non-fermenter gram-negative bacilli account for the largest share of infections caused by carbapenem-resistant </w:t>
      </w:r>
      <w:r w:rsidR="00A47333" w:rsidRPr="00390AD1">
        <w:rPr>
          <w:rFonts w:asciiTheme="majorBidi" w:hAnsiTheme="majorBidi" w:cstheme="majorBidi"/>
        </w:rPr>
        <w:t>Gram-negative bacteria</w:t>
      </w:r>
      <w:r w:rsidRPr="00390AD1">
        <w:rPr>
          <w:rFonts w:asciiTheme="majorBidi" w:hAnsiTheme="majorBidi" w:cstheme="majorBidi"/>
        </w:rPr>
        <w:t>.</w:t>
      </w:r>
      <w:r w:rsidR="00A83123" w:rsidRPr="00A83123">
        <w:rPr>
          <w:rFonts w:asciiTheme="majorBidi" w:hAnsiTheme="majorBidi" w:cstheme="majorBidi"/>
          <w:noProof/>
          <w:vertAlign w:val="superscript"/>
        </w:rPr>
        <w:t>6</w:t>
      </w:r>
      <w:r w:rsidRPr="00390AD1">
        <w:rPr>
          <w:rFonts w:asciiTheme="majorBidi" w:hAnsiTheme="majorBidi" w:cstheme="majorBidi"/>
        </w:rPr>
        <w:t xml:space="preserve">  </w:t>
      </w:r>
    </w:p>
    <w:p w14:paraId="5CFF0A5A" w14:textId="046F9A76" w:rsidR="00390AD1" w:rsidRDefault="00390AD1" w:rsidP="00390AD1">
      <w:pPr>
        <w:spacing w:line="360" w:lineRule="auto"/>
        <w:jc w:val="both"/>
        <w:rPr>
          <w:rFonts w:asciiTheme="majorBidi" w:hAnsiTheme="majorBidi" w:cstheme="majorBidi"/>
        </w:rPr>
      </w:pPr>
      <w:r w:rsidRPr="00390AD1">
        <w:rPr>
          <w:rFonts w:asciiTheme="majorBidi" w:hAnsiTheme="majorBidi" w:cstheme="majorBidi"/>
        </w:rPr>
        <w:t xml:space="preserve">Carbapenem resistance is a particular problem in </w:t>
      </w:r>
      <w:r w:rsidR="00A47333" w:rsidRPr="00390AD1">
        <w:rPr>
          <w:rFonts w:asciiTheme="majorBidi" w:hAnsiTheme="majorBidi" w:cstheme="majorBidi"/>
        </w:rPr>
        <w:t xml:space="preserve">Gram-negative </w:t>
      </w:r>
      <w:proofErr w:type="gramStart"/>
      <w:r w:rsidR="00A47333" w:rsidRPr="00390AD1">
        <w:rPr>
          <w:rFonts w:asciiTheme="majorBidi" w:hAnsiTheme="majorBidi" w:cstheme="majorBidi"/>
        </w:rPr>
        <w:t>bacteria</w:t>
      </w:r>
      <w:r w:rsidRPr="00390AD1">
        <w:rPr>
          <w:rFonts w:asciiTheme="majorBidi" w:hAnsiTheme="majorBidi" w:cstheme="majorBidi"/>
        </w:rPr>
        <w:t>, since</w:t>
      </w:r>
      <w:proofErr w:type="gramEnd"/>
      <w:r w:rsidRPr="00390AD1">
        <w:rPr>
          <w:rFonts w:asciiTheme="majorBidi" w:hAnsiTheme="majorBidi" w:cstheme="majorBidi"/>
        </w:rPr>
        <w:t xml:space="preserve"> this constitutes the most reliable drug class for treating bacterial infections. There are two main types of carbapenem resistance, and these can be expressed in multiple pathogens: </w:t>
      </w:r>
    </w:p>
    <w:p w14:paraId="3162FE2F" w14:textId="4E1028EE" w:rsidR="009F1D70" w:rsidRPr="00390AD1" w:rsidRDefault="009F1D70" w:rsidP="005A3BE6">
      <w:pPr>
        <w:pStyle w:val="ListParagraph"/>
        <w:numPr>
          <w:ilvl w:val="0"/>
          <w:numId w:val="21"/>
        </w:numPr>
        <w:spacing w:line="360" w:lineRule="auto"/>
        <w:jc w:val="both"/>
        <w:rPr>
          <w:rFonts w:asciiTheme="majorBidi" w:hAnsiTheme="majorBidi" w:cstheme="majorBidi"/>
        </w:rPr>
      </w:pPr>
      <w:proofErr w:type="spellStart"/>
      <w:r w:rsidRPr="00390AD1">
        <w:rPr>
          <w:rFonts w:asciiTheme="majorBidi" w:hAnsiTheme="majorBidi" w:cstheme="majorBidi"/>
          <w:b/>
          <w:bCs/>
        </w:rPr>
        <w:t>Carbapenemase</w:t>
      </w:r>
      <w:proofErr w:type="spellEnd"/>
      <w:r w:rsidRPr="00390AD1">
        <w:rPr>
          <w:rFonts w:asciiTheme="majorBidi" w:hAnsiTheme="majorBidi" w:cstheme="majorBidi"/>
          <w:b/>
          <w:bCs/>
        </w:rPr>
        <w:t>-mediated carbapenem resistance</w:t>
      </w:r>
      <w:r w:rsidRPr="00390AD1">
        <w:rPr>
          <w:rFonts w:asciiTheme="majorBidi" w:hAnsiTheme="majorBidi" w:cstheme="majorBidi"/>
        </w:rPr>
        <w:t xml:space="preserve"> occurs when the microorganism produces an enzyme (</w:t>
      </w:r>
      <w:proofErr w:type="spellStart"/>
      <w:r w:rsidRPr="00390AD1">
        <w:rPr>
          <w:rFonts w:asciiTheme="majorBidi" w:hAnsiTheme="majorBidi" w:cstheme="majorBidi"/>
        </w:rPr>
        <w:t>carbapenemase</w:t>
      </w:r>
      <w:proofErr w:type="spellEnd"/>
      <w:r w:rsidRPr="00390AD1">
        <w:rPr>
          <w:rFonts w:asciiTheme="majorBidi" w:hAnsiTheme="majorBidi" w:cstheme="majorBidi"/>
        </w:rPr>
        <w:t xml:space="preserve">) that hydrolyses carbapenem antibiotics (such as </w:t>
      </w:r>
      <w:proofErr w:type="spellStart"/>
      <w:r w:rsidRPr="00390AD1">
        <w:rPr>
          <w:rFonts w:asciiTheme="majorBidi" w:hAnsiTheme="majorBidi" w:cstheme="majorBidi"/>
        </w:rPr>
        <w:t>penicillins</w:t>
      </w:r>
      <w:proofErr w:type="spellEnd"/>
      <w:r w:rsidRPr="00390AD1">
        <w:rPr>
          <w:rFonts w:asciiTheme="majorBidi" w:hAnsiTheme="majorBidi" w:cstheme="majorBidi"/>
        </w:rPr>
        <w:t>,</w:t>
      </w:r>
      <w:r w:rsidRPr="00390AD1">
        <w:rPr>
          <w:rFonts w:cstheme="minorHAnsi"/>
        </w:rPr>
        <w:t xml:space="preserve"> </w:t>
      </w:r>
      <w:r w:rsidRPr="00390AD1">
        <w:rPr>
          <w:rFonts w:asciiTheme="majorBidi" w:hAnsiTheme="majorBidi"/>
        </w:rPr>
        <w:t xml:space="preserve">cephalosporins, monobactams, and carbapenems) and renders them ineffective. There are </w:t>
      </w:r>
      <w:r w:rsidRPr="00390AD1">
        <w:rPr>
          <w:rFonts w:asciiTheme="majorBidi" w:hAnsiTheme="majorBidi"/>
        </w:rPr>
        <w:lastRenderedPageBreak/>
        <w:t xml:space="preserve">multiple </w:t>
      </w:r>
      <w:proofErr w:type="spellStart"/>
      <w:r w:rsidRPr="00390AD1">
        <w:rPr>
          <w:rFonts w:asciiTheme="majorBidi" w:hAnsiTheme="majorBidi"/>
        </w:rPr>
        <w:t>carbapenemase</w:t>
      </w:r>
      <w:proofErr w:type="spellEnd"/>
      <w:r w:rsidRPr="00390AD1">
        <w:rPr>
          <w:rFonts w:asciiTheme="majorBidi" w:hAnsiTheme="majorBidi"/>
        </w:rPr>
        <w:t xml:space="preserve"> enzymes, and these are grouped based upon the similarity of their amino acid sequences according to the Ambler classification system as class A, B, C or D.  Class A, C and D enzymes have a serine-based hydrolytic mechanism, while class B enzymes are </w:t>
      </w:r>
      <w:proofErr w:type="spellStart"/>
      <w:r w:rsidRPr="00390AD1">
        <w:rPr>
          <w:rFonts w:asciiTheme="majorBidi" w:hAnsiTheme="majorBidi" w:cstheme="majorBidi"/>
        </w:rPr>
        <w:t>metallo</w:t>
      </w:r>
      <w:proofErr w:type="spellEnd"/>
      <w:r w:rsidRPr="00390AD1">
        <w:rPr>
          <w:rFonts w:asciiTheme="majorBidi" w:hAnsiTheme="majorBidi" w:cstheme="majorBidi"/>
        </w:rPr>
        <w:t xml:space="preserve">-beta-lactamases (MBL) that contain zinc in the active site. Each class comprises </w:t>
      </w:r>
      <w:proofErr w:type="gramStart"/>
      <w:r w:rsidRPr="00390AD1">
        <w:rPr>
          <w:rFonts w:asciiTheme="majorBidi" w:hAnsiTheme="majorBidi" w:cstheme="majorBidi"/>
        </w:rPr>
        <w:t>a number of</w:t>
      </w:r>
      <w:proofErr w:type="gramEnd"/>
      <w:r w:rsidRPr="00390AD1">
        <w:rPr>
          <w:rFonts w:asciiTheme="majorBidi" w:hAnsiTheme="majorBidi" w:cstheme="majorBidi"/>
        </w:rPr>
        <w:t xml:space="preserve"> variants, which include: </w:t>
      </w:r>
    </w:p>
    <w:p w14:paraId="3DBE20CC" w14:textId="77777777" w:rsidR="009F1D70" w:rsidRPr="008628FC" w:rsidRDefault="009F1D70" w:rsidP="00EE6004">
      <w:pPr>
        <w:pStyle w:val="ListParagraph"/>
        <w:numPr>
          <w:ilvl w:val="1"/>
          <w:numId w:val="6"/>
        </w:numPr>
        <w:spacing w:line="360" w:lineRule="auto"/>
        <w:jc w:val="both"/>
        <w:rPr>
          <w:rFonts w:asciiTheme="majorBidi" w:hAnsiTheme="majorBidi" w:cstheme="majorBidi"/>
        </w:rPr>
      </w:pPr>
      <w:r w:rsidRPr="008628FC">
        <w:rPr>
          <w:rFonts w:asciiTheme="majorBidi" w:hAnsiTheme="majorBidi" w:cstheme="majorBidi"/>
        </w:rPr>
        <w:t xml:space="preserve">Class A: </w:t>
      </w:r>
      <w:r w:rsidRPr="008628FC">
        <w:rPr>
          <w:rFonts w:asciiTheme="majorBidi" w:hAnsiTheme="majorBidi" w:cstheme="majorBidi"/>
          <w:i/>
          <w:iCs/>
        </w:rPr>
        <w:t xml:space="preserve">Klebsiella </w:t>
      </w:r>
      <w:proofErr w:type="spellStart"/>
      <w:r w:rsidRPr="008628FC">
        <w:rPr>
          <w:rFonts w:asciiTheme="majorBidi" w:hAnsiTheme="majorBidi" w:cstheme="majorBidi"/>
          <w:i/>
          <w:iCs/>
        </w:rPr>
        <w:t>pnuemoniae</w:t>
      </w:r>
      <w:proofErr w:type="spellEnd"/>
      <w:r w:rsidRPr="008628FC">
        <w:rPr>
          <w:rFonts w:asciiTheme="majorBidi" w:hAnsiTheme="majorBidi" w:cstheme="majorBidi"/>
        </w:rPr>
        <w:t xml:space="preserve">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 (KPC), Guiana extended-spectrum β-lactamase (GES), </w:t>
      </w:r>
      <w:proofErr w:type="spellStart"/>
      <w:r w:rsidRPr="008628FC">
        <w:rPr>
          <w:rFonts w:asciiTheme="majorBidi" w:hAnsiTheme="majorBidi" w:cstheme="majorBidi"/>
        </w:rPr>
        <w:t>Imipenemase</w:t>
      </w:r>
      <w:proofErr w:type="spellEnd"/>
      <w:r w:rsidRPr="008628FC">
        <w:rPr>
          <w:rFonts w:asciiTheme="majorBidi" w:hAnsiTheme="majorBidi" w:cstheme="majorBidi"/>
        </w:rPr>
        <w:t>/non-</w:t>
      </w:r>
      <w:proofErr w:type="spellStart"/>
      <w:r w:rsidRPr="008628FC">
        <w:rPr>
          <w:rFonts w:asciiTheme="majorBidi" w:hAnsiTheme="majorBidi" w:cstheme="majorBidi"/>
        </w:rPr>
        <w:t>metallocarbapenemase</w:t>
      </w:r>
      <w:proofErr w:type="spellEnd"/>
      <w:r w:rsidRPr="008628FC">
        <w:rPr>
          <w:rFonts w:asciiTheme="majorBidi" w:hAnsiTheme="majorBidi" w:cstheme="majorBidi"/>
        </w:rPr>
        <w:t xml:space="preserve">-A (IMI/NMC), and </w:t>
      </w:r>
      <w:r w:rsidRPr="008628FC">
        <w:rPr>
          <w:rFonts w:asciiTheme="majorBidi" w:hAnsiTheme="majorBidi" w:cstheme="majorBidi"/>
          <w:i/>
          <w:iCs/>
        </w:rPr>
        <w:t>Serratia marcescens</w:t>
      </w:r>
      <w:r w:rsidRPr="008628FC">
        <w:rPr>
          <w:rFonts w:asciiTheme="majorBidi" w:hAnsiTheme="majorBidi" w:cstheme="majorBidi"/>
        </w:rPr>
        <w:t xml:space="preserve"> enzyme (SME)</w:t>
      </w:r>
    </w:p>
    <w:p w14:paraId="41FD1624" w14:textId="77777777" w:rsidR="009F1D70" w:rsidRPr="008628FC" w:rsidRDefault="009F1D70" w:rsidP="00EE6004">
      <w:pPr>
        <w:pStyle w:val="ListParagraph"/>
        <w:numPr>
          <w:ilvl w:val="1"/>
          <w:numId w:val="6"/>
        </w:numPr>
        <w:spacing w:line="360" w:lineRule="auto"/>
        <w:jc w:val="both"/>
        <w:rPr>
          <w:rFonts w:asciiTheme="majorBidi" w:hAnsiTheme="majorBidi" w:cstheme="majorBidi"/>
        </w:rPr>
      </w:pPr>
      <w:r w:rsidRPr="008628FC">
        <w:rPr>
          <w:rFonts w:asciiTheme="majorBidi" w:hAnsiTheme="majorBidi" w:cstheme="majorBidi"/>
        </w:rPr>
        <w:t xml:space="preserve">Class B (MBLs): New Delhi MBL (NDM), Verona integrated-encoded MBL (VIM), </w:t>
      </w:r>
      <w:proofErr w:type="spellStart"/>
      <w:r w:rsidRPr="008628FC">
        <w:rPr>
          <w:rFonts w:asciiTheme="majorBidi" w:hAnsiTheme="majorBidi" w:cstheme="majorBidi"/>
        </w:rPr>
        <w:t>Imipenemase</w:t>
      </w:r>
      <w:proofErr w:type="spellEnd"/>
      <w:r w:rsidRPr="008628FC">
        <w:rPr>
          <w:rFonts w:asciiTheme="majorBidi" w:hAnsiTheme="majorBidi" w:cstheme="majorBidi"/>
        </w:rPr>
        <w:t xml:space="preserve"> (IMP), Sao Paulo MBL (SPM), and Germany </w:t>
      </w:r>
      <w:proofErr w:type="spellStart"/>
      <w:r w:rsidRPr="008628FC">
        <w:rPr>
          <w:rFonts w:asciiTheme="majorBidi" w:hAnsiTheme="majorBidi" w:cstheme="majorBidi"/>
        </w:rPr>
        <w:t>imipenemase</w:t>
      </w:r>
      <w:proofErr w:type="spellEnd"/>
      <w:r w:rsidRPr="008628FC">
        <w:rPr>
          <w:rFonts w:asciiTheme="majorBidi" w:hAnsiTheme="majorBidi" w:cstheme="majorBidi"/>
        </w:rPr>
        <w:t xml:space="preserve"> (GIM)</w:t>
      </w:r>
    </w:p>
    <w:p w14:paraId="2547295D" w14:textId="1E334606" w:rsidR="009F1D70" w:rsidRPr="008628FC" w:rsidRDefault="009F1D70" w:rsidP="00EE6004">
      <w:pPr>
        <w:pStyle w:val="ListParagraph"/>
        <w:numPr>
          <w:ilvl w:val="1"/>
          <w:numId w:val="6"/>
        </w:numPr>
        <w:spacing w:line="360" w:lineRule="auto"/>
        <w:jc w:val="both"/>
        <w:rPr>
          <w:rFonts w:asciiTheme="majorBidi" w:hAnsiTheme="majorBidi" w:cstheme="majorBidi"/>
        </w:rPr>
      </w:pPr>
      <w:r w:rsidRPr="008628FC">
        <w:rPr>
          <w:rFonts w:asciiTheme="majorBidi" w:hAnsiTheme="majorBidi" w:cstheme="majorBidi"/>
        </w:rPr>
        <w:t xml:space="preserve">Class C: </w:t>
      </w:r>
      <w:proofErr w:type="spellStart"/>
      <w:r w:rsidR="00731D83">
        <w:rPr>
          <w:rFonts w:asciiTheme="majorBidi" w:hAnsiTheme="majorBidi" w:cstheme="majorBidi"/>
        </w:rPr>
        <w:t>Ampicillinase</w:t>
      </w:r>
      <w:proofErr w:type="spellEnd"/>
      <w:r w:rsidR="00731D83">
        <w:rPr>
          <w:rFonts w:asciiTheme="majorBidi" w:hAnsiTheme="majorBidi" w:cstheme="majorBidi"/>
        </w:rPr>
        <w:t xml:space="preserve"> C (</w:t>
      </w:r>
      <w:proofErr w:type="spellStart"/>
      <w:r w:rsidRPr="008628FC">
        <w:rPr>
          <w:rFonts w:asciiTheme="majorBidi" w:hAnsiTheme="majorBidi" w:cstheme="majorBidi"/>
        </w:rPr>
        <w:t>AmpC</w:t>
      </w:r>
      <w:proofErr w:type="spellEnd"/>
      <w:r w:rsidR="00731D83">
        <w:rPr>
          <w:rFonts w:asciiTheme="majorBidi" w:hAnsiTheme="majorBidi" w:cstheme="majorBidi"/>
        </w:rPr>
        <w:t>)</w:t>
      </w:r>
      <w:r w:rsidRPr="008628FC">
        <w:rPr>
          <w:rFonts w:asciiTheme="majorBidi" w:hAnsiTheme="majorBidi" w:cstheme="majorBidi"/>
        </w:rPr>
        <w:t xml:space="preserve">, </w:t>
      </w:r>
      <w:proofErr w:type="spellStart"/>
      <w:r w:rsidR="00731D83" w:rsidRPr="00731D83">
        <w:rPr>
          <w:rFonts w:asciiTheme="majorBidi" w:hAnsiTheme="majorBidi" w:cstheme="majorBidi"/>
        </w:rPr>
        <w:t>cephamycinas</w:t>
      </w:r>
      <w:r w:rsidR="00731D83">
        <w:rPr>
          <w:rFonts w:asciiTheme="majorBidi" w:hAnsiTheme="majorBidi" w:cstheme="majorBidi"/>
        </w:rPr>
        <w:t>es</w:t>
      </w:r>
      <w:proofErr w:type="spellEnd"/>
      <w:r w:rsidR="00731D83">
        <w:rPr>
          <w:rFonts w:asciiTheme="majorBidi" w:hAnsiTheme="majorBidi" w:cstheme="majorBidi"/>
        </w:rPr>
        <w:t xml:space="preserve"> (</w:t>
      </w:r>
      <w:r w:rsidRPr="008628FC">
        <w:rPr>
          <w:rFonts w:asciiTheme="majorBidi" w:hAnsiTheme="majorBidi" w:cstheme="majorBidi"/>
        </w:rPr>
        <w:t>CMY</w:t>
      </w:r>
      <w:r w:rsidR="00731D83">
        <w:rPr>
          <w:rFonts w:asciiTheme="majorBidi" w:hAnsiTheme="majorBidi" w:cstheme="majorBidi"/>
        </w:rPr>
        <w:t>)</w:t>
      </w:r>
    </w:p>
    <w:p w14:paraId="360A96CC" w14:textId="77777777" w:rsidR="009F1D70" w:rsidRPr="008628FC" w:rsidRDefault="009F1D70" w:rsidP="00EE6004">
      <w:pPr>
        <w:pStyle w:val="ListParagraph"/>
        <w:numPr>
          <w:ilvl w:val="1"/>
          <w:numId w:val="6"/>
        </w:numPr>
        <w:spacing w:line="360" w:lineRule="auto"/>
        <w:jc w:val="both"/>
        <w:rPr>
          <w:rFonts w:asciiTheme="majorBidi" w:hAnsiTheme="majorBidi" w:cstheme="majorBidi"/>
        </w:rPr>
      </w:pPr>
      <w:r w:rsidRPr="008628FC">
        <w:rPr>
          <w:rFonts w:asciiTheme="majorBidi" w:hAnsiTheme="majorBidi" w:cstheme="majorBidi"/>
        </w:rPr>
        <w:t>Class D: Oxacillinase (OXA)-23, OXA-24, OXA-48, OXA-58, and related enzymes</w:t>
      </w:r>
    </w:p>
    <w:p w14:paraId="4F47EAEC" w14:textId="2812B580" w:rsidR="009F1D70" w:rsidRPr="008628FC" w:rsidRDefault="009F1D70" w:rsidP="00A83123">
      <w:pPr>
        <w:spacing w:line="360" w:lineRule="auto"/>
        <w:ind w:left="720"/>
        <w:jc w:val="both"/>
        <w:rPr>
          <w:rFonts w:asciiTheme="majorBidi" w:hAnsiTheme="majorBidi" w:cstheme="majorBidi"/>
        </w:rPr>
      </w:pP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are produced by a small but growing number of </w:t>
      </w:r>
      <w:proofErr w:type="spellStart"/>
      <w:r w:rsidR="00FE2007" w:rsidRPr="00FE2007">
        <w:rPr>
          <w:rFonts w:asciiTheme="majorBidi" w:hAnsiTheme="majorBidi" w:cstheme="majorBidi"/>
          <w:i/>
          <w:iCs/>
        </w:rPr>
        <w:t>Enterobacterales</w:t>
      </w:r>
      <w:proofErr w:type="spellEnd"/>
      <w:r w:rsidRPr="008628FC">
        <w:rPr>
          <w:rFonts w:asciiTheme="majorBidi" w:hAnsiTheme="majorBidi" w:cstheme="majorBidi"/>
        </w:rPr>
        <w:t xml:space="preserve"> strains, especially </w:t>
      </w:r>
      <w:r w:rsidRPr="008628FC">
        <w:rPr>
          <w:rFonts w:asciiTheme="majorBidi" w:hAnsiTheme="majorBidi" w:cstheme="majorBidi"/>
          <w:i/>
          <w:iCs/>
        </w:rPr>
        <w:t>Escherichia coli</w:t>
      </w:r>
      <w:r w:rsidRPr="008628FC">
        <w:rPr>
          <w:rFonts w:asciiTheme="majorBidi" w:hAnsiTheme="majorBidi" w:cstheme="majorBidi"/>
        </w:rPr>
        <w:t xml:space="preserve"> and </w:t>
      </w:r>
      <w:r w:rsidRPr="008628FC">
        <w:rPr>
          <w:rFonts w:asciiTheme="majorBidi" w:hAnsiTheme="majorBidi" w:cstheme="majorBidi"/>
          <w:i/>
          <w:iCs/>
        </w:rPr>
        <w:t>Klebsiella pneumoniae,</w:t>
      </w:r>
      <w:r w:rsidRPr="008628FC">
        <w:rPr>
          <w:rFonts w:asciiTheme="majorBidi" w:hAnsiTheme="majorBidi" w:cstheme="majorBidi"/>
        </w:rPr>
        <w:t xml:space="preserve"> and some non-fermenter organisms such as </w:t>
      </w:r>
      <w:r w:rsidRPr="008628FC">
        <w:rPr>
          <w:rFonts w:asciiTheme="majorBidi" w:hAnsiTheme="majorBidi" w:cstheme="majorBidi"/>
          <w:i/>
          <w:iCs/>
        </w:rPr>
        <w:t>Pseudomonas aeruginosa (P. aeruginosa)</w:t>
      </w:r>
      <w:r w:rsidRPr="008628FC">
        <w:rPr>
          <w:rFonts w:asciiTheme="majorBidi" w:hAnsiTheme="majorBidi" w:cstheme="majorBidi"/>
        </w:rPr>
        <w:t xml:space="preserve"> and </w:t>
      </w:r>
      <w:r w:rsidRPr="008628FC">
        <w:rPr>
          <w:rFonts w:asciiTheme="majorBidi" w:hAnsiTheme="majorBidi" w:cstheme="majorBidi"/>
          <w:i/>
          <w:iCs/>
        </w:rPr>
        <w:t xml:space="preserve">Acinetobacter </w:t>
      </w:r>
      <w:bookmarkStart w:id="31" w:name="_Hlk64018833"/>
      <w:proofErr w:type="spellStart"/>
      <w:r w:rsidRPr="008628FC">
        <w:rPr>
          <w:rFonts w:asciiTheme="majorBidi" w:hAnsiTheme="majorBidi" w:cstheme="majorBidi"/>
          <w:i/>
          <w:iCs/>
        </w:rPr>
        <w:t>baumannii</w:t>
      </w:r>
      <w:proofErr w:type="spellEnd"/>
      <w:r w:rsidRPr="008628FC">
        <w:rPr>
          <w:rFonts w:asciiTheme="majorBidi" w:hAnsiTheme="majorBidi" w:cstheme="majorBidi"/>
          <w:i/>
          <w:iCs/>
        </w:rPr>
        <w:t xml:space="preserve"> </w:t>
      </w:r>
      <w:bookmarkEnd w:id="31"/>
      <w:r w:rsidRPr="008628FC">
        <w:rPr>
          <w:rFonts w:asciiTheme="majorBidi" w:hAnsiTheme="majorBidi" w:cstheme="majorBidi"/>
          <w:i/>
          <w:iCs/>
        </w:rPr>
        <w:t xml:space="preserve">(A. </w:t>
      </w:r>
      <w:proofErr w:type="spellStart"/>
      <w:r w:rsidRPr="008628FC">
        <w:rPr>
          <w:rFonts w:asciiTheme="majorBidi" w:hAnsiTheme="majorBidi" w:cstheme="majorBidi"/>
          <w:i/>
          <w:iCs/>
        </w:rPr>
        <w:t>baumannii</w:t>
      </w:r>
      <w:proofErr w:type="spellEnd"/>
      <w:r w:rsidRPr="008628FC">
        <w:rPr>
          <w:rFonts w:asciiTheme="majorBidi" w:hAnsiTheme="majorBidi" w:cstheme="majorBidi"/>
          <w:i/>
          <w:iCs/>
        </w:rPr>
        <w:t>)</w:t>
      </w:r>
      <w:r w:rsidRPr="008628FC">
        <w:rPr>
          <w:rFonts w:asciiTheme="majorBidi" w:hAnsiTheme="majorBidi" w:cstheme="majorBidi"/>
        </w:rPr>
        <w:t xml:space="preserve">. Bacteria producing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may cause serious drug-resistant infections, though the profile of resistance is different for each specific variant and is influenced by the pathogen expressing the resistance, and other resistance genes the organism may have. Of the Ambler Class A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the KPC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are the most prevalent, found mostly on plasmids in </w:t>
      </w:r>
      <w:r w:rsidRPr="008628FC">
        <w:rPr>
          <w:rFonts w:asciiTheme="majorBidi" w:hAnsiTheme="majorBidi" w:cstheme="majorBidi"/>
          <w:i/>
          <w:iCs/>
        </w:rPr>
        <w:t>Klebsiella pneumoniae.</w:t>
      </w:r>
      <w:r w:rsidRPr="008628FC">
        <w:rPr>
          <w:rFonts w:asciiTheme="majorBidi" w:hAnsiTheme="majorBidi" w:cstheme="majorBidi"/>
        </w:rPr>
        <w:t xml:space="preserve"> The class D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are frequently detected in </w:t>
      </w:r>
      <w:r w:rsidRPr="008628FC">
        <w:rPr>
          <w:rFonts w:asciiTheme="majorBidi" w:hAnsiTheme="majorBidi" w:cstheme="majorBidi"/>
          <w:i/>
          <w:iCs/>
        </w:rPr>
        <w:t xml:space="preserve">A. </w:t>
      </w:r>
      <w:proofErr w:type="spellStart"/>
      <w:r w:rsidRPr="008628FC">
        <w:rPr>
          <w:rFonts w:asciiTheme="majorBidi" w:hAnsiTheme="majorBidi" w:cstheme="majorBidi"/>
          <w:i/>
          <w:iCs/>
        </w:rPr>
        <w:t>baumannii</w:t>
      </w:r>
      <w:proofErr w:type="spellEnd"/>
      <w:r w:rsidRPr="008628FC">
        <w:rPr>
          <w:rFonts w:asciiTheme="majorBidi" w:hAnsiTheme="majorBidi" w:cstheme="majorBidi"/>
          <w:i/>
          <w:iCs/>
        </w:rPr>
        <w:t>.</w:t>
      </w:r>
      <w:r w:rsidRPr="008628FC">
        <w:rPr>
          <w:rFonts w:asciiTheme="majorBidi" w:hAnsiTheme="majorBidi" w:cstheme="majorBidi"/>
        </w:rPr>
        <w:t xml:space="preserve"> The class B (MBLs) have been detected primarily in </w:t>
      </w:r>
      <w:r w:rsidRPr="008628FC">
        <w:rPr>
          <w:rFonts w:asciiTheme="majorBidi" w:hAnsiTheme="majorBidi" w:cstheme="majorBidi"/>
          <w:i/>
          <w:iCs/>
        </w:rPr>
        <w:t>P. aeruginosa</w:t>
      </w:r>
      <w:r w:rsidRPr="008628FC">
        <w:rPr>
          <w:rFonts w:asciiTheme="majorBidi" w:hAnsiTheme="majorBidi" w:cstheme="majorBidi"/>
        </w:rPr>
        <w:t xml:space="preserve">; however, there are increasing numbers of reports worldwide of this group of β-lactamases in the </w:t>
      </w:r>
      <w:proofErr w:type="spellStart"/>
      <w:r w:rsidR="00FE2007" w:rsidRPr="00FE2007">
        <w:rPr>
          <w:rFonts w:asciiTheme="majorBidi" w:hAnsiTheme="majorBidi" w:cstheme="majorBidi"/>
          <w:i/>
          <w:iCs/>
        </w:rPr>
        <w:t>Enterobacterales</w:t>
      </w:r>
      <w:proofErr w:type="spellEnd"/>
      <w:r w:rsidRPr="008628FC">
        <w:rPr>
          <w:rFonts w:asciiTheme="majorBidi" w:hAnsiTheme="majorBidi" w:cstheme="majorBidi"/>
        </w:rPr>
        <w:t>. The main serine-</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among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-producing </w:t>
      </w:r>
      <w:proofErr w:type="spellStart"/>
      <w:r w:rsidR="00FE2007" w:rsidRPr="00FE2007">
        <w:rPr>
          <w:rFonts w:asciiTheme="majorBidi" w:hAnsiTheme="majorBidi" w:cstheme="majorBidi"/>
          <w:i/>
          <w:iCs/>
        </w:rPr>
        <w:t>Enterobacterales</w:t>
      </w:r>
      <w:proofErr w:type="spellEnd"/>
      <w:r w:rsidRPr="008628FC">
        <w:rPr>
          <w:rFonts w:asciiTheme="majorBidi" w:hAnsiTheme="majorBidi" w:cstheme="majorBidi"/>
        </w:rPr>
        <w:t xml:space="preserve"> (CPE) in the UK are OXA-48 and KPC.  The main MBLs in the UK are NDM, VIM and IMP</w:t>
      </w:r>
      <w:r w:rsidR="00731D83" w:rsidRPr="008628FC">
        <w:rPr>
          <w:rFonts w:asciiTheme="majorBidi" w:hAnsiTheme="majorBidi" w:cstheme="majorBidi"/>
        </w:rPr>
        <w:t>.</w:t>
      </w:r>
      <w:proofErr w:type="gramStart"/>
      <w:r w:rsidR="00A83123" w:rsidRPr="00A83123">
        <w:rPr>
          <w:rFonts w:asciiTheme="majorBidi" w:hAnsiTheme="majorBidi" w:cstheme="majorBidi"/>
          <w:noProof/>
          <w:vertAlign w:val="superscript"/>
        </w:rPr>
        <w:t>7</w:t>
      </w:r>
      <w:r w:rsidRPr="008628FC">
        <w:rPr>
          <w:rFonts w:asciiTheme="majorBidi" w:hAnsiTheme="majorBidi" w:cstheme="majorBidi"/>
        </w:rPr>
        <w:t xml:space="preserve">  Specifically</w:t>
      </w:r>
      <w:proofErr w:type="gramEnd"/>
      <w:r w:rsidRPr="008628FC">
        <w:rPr>
          <w:rFonts w:asciiTheme="majorBidi" w:hAnsiTheme="majorBidi" w:cstheme="majorBidi"/>
        </w:rPr>
        <w:t>, 12.5% of CPE are KPC, 36.5% are OXA-48-like, and 43.2% MBL (mostly NDM) in the UK</w:t>
      </w:r>
      <w:r w:rsidR="00731D83">
        <w:rPr>
          <w:rFonts w:asciiTheme="majorBidi" w:hAnsiTheme="majorBidi" w:cstheme="majorBidi"/>
        </w:rPr>
        <w:t>.</w:t>
      </w:r>
      <w:r w:rsidR="00A83123" w:rsidRPr="00A83123">
        <w:rPr>
          <w:rFonts w:asciiTheme="majorBidi" w:hAnsiTheme="majorBidi" w:cstheme="majorBidi"/>
          <w:noProof/>
          <w:vertAlign w:val="superscript"/>
        </w:rPr>
        <w:t>6</w:t>
      </w:r>
    </w:p>
    <w:p w14:paraId="150C3F45" w14:textId="284F2739" w:rsidR="009F1D70" w:rsidRPr="008628FC" w:rsidRDefault="009F1D70" w:rsidP="00EE6004">
      <w:pPr>
        <w:pStyle w:val="BodyText"/>
        <w:numPr>
          <w:ilvl w:val="0"/>
          <w:numId w:val="6"/>
        </w:numPr>
        <w:spacing w:after="160" w:line="360" w:lineRule="auto"/>
        <w:jc w:val="both"/>
        <w:rPr>
          <w:rFonts w:asciiTheme="majorBidi" w:eastAsiaTheme="minorEastAsia" w:hAnsiTheme="majorBidi" w:cstheme="majorBidi"/>
          <w:lang w:eastAsia="zh-CN"/>
        </w:rPr>
      </w:pPr>
      <w:r w:rsidRPr="008628FC">
        <w:rPr>
          <w:rFonts w:asciiTheme="majorBidi" w:eastAsiaTheme="minorEastAsia" w:hAnsiTheme="majorBidi" w:cstheme="majorBidi"/>
          <w:b/>
          <w:bCs/>
          <w:lang w:eastAsia="zh-CN"/>
        </w:rPr>
        <w:t>Non-</w:t>
      </w:r>
      <w:proofErr w:type="spellStart"/>
      <w:r w:rsidRPr="008628FC">
        <w:rPr>
          <w:rFonts w:asciiTheme="majorBidi" w:eastAsiaTheme="minorEastAsia" w:hAnsiTheme="majorBidi" w:cstheme="majorBidi"/>
          <w:b/>
          <w:bCs/>
          <w:lang w:eastAsia="zh-CN"/>
        </w:rPr>
        <w:t>carbapenemase</w:t>
      </w:r>
      <w:proofErr w:type="spellEnd"/>
      <w:r w:rsidRPr="008628FC">
        <w:rPr>
          <w:rFonts w:asciiTheme="majorBidi" w:eastAsiaTheme="minorEastAsia" w:hAnsiTheme="majorBidi" w:cstheme="majorBidi"/>
          <w:b/>
          <w:bCs/>
          <w:lang w:eastAsia="zh-CN"/>
        </w:rPr>
        <w:t xml:space="preserve"> carbapenem resistance</w:t>
      </w:r>
      <w:r w:rsidRPr="008628FC">
        <w:rPr>
          <w:rFonts w:asciiTheme="majorBidi" w:eastAsiaTheme="minorEastAsia" w:hAnsiTheme="majorBidi" w:cstheme="majorBidi"/>
          <w:lang w:eastAsia="zh-CN"/>
        </w:rPr>
        <w:t xml:space="preserve"> occurs through a variety of nonenzymatic mechanisms which include reduced cell membrane permeability to carbapenems through downregulation of porins (membrane proteins that allow carbapenems into the cell), or overexpression of efflux pumps which remove carbapenems from the </w:t>
      </w:r>
      <w:r w:rsidR="003432D7" w:rsidRPr="008628FC">
        <w:rPr>
          <w:rFonts w:asciiTheme="majorBidi" w:eastAsiaTheme="minorEastAsia" w:hAnsiTheme="majorBidi" w:cstheme="majorBidi"/>
          <w:lang w:eastAsia="zh-CN"/>
        </w:rPr>
        <w:t>periplasmic</w:t>
      </w:r>
      <w:r w:rsidRPr="008628FC">
        <w:rPr>
          <w:rFonts w:asciiTheme="majorBidi" w:eastAsiaTheme="minorEastAsia" w:hAnsiTheme="majorBidi" w:cstheme="majorBidi"/>
          <w:lang w:eastAsia="zh-CN"/>
        </w:rPr>
        <w:t xml:space="preserve"> space. Such mechanisms are often considered to produce low-level resistance, and generally more treatment options are available that maintain activity against these mechanisms. </w:t>
      </w:r>
    </w:p>
    <w:p w14:paraId="11E40440" w14:textId="600B76E9" w:rsidR="009F1D70" w:rsidRPr="008628FC" w:rsidRDefault="009F1D70" w:rsidP="00A83123">
      <w:pPr>
        <w:pStyle w:val="BodyText"/>
        <w:spacing w:after="160" w:line="360" w:lineRule="auto"/>
        <w:jc w:val="both"/>
        <w:rPr>
          <w:rFonts w:asciiTheme="majorBidi" w:eastAsiaTheme="minorEastAsia" w:hAnsiTheme="majorBidi" w:cstheme="majorBidi"/>
          <w:lang w:eastAsia="zh-CN"/>
        </w:rPr>
      </w:pPr>
      <w:r w:rsidRPr="008628FC">
        <w:rPr>
          <w:rFonts w:asciiTheme="majorBidi" w:eastAsiaTheme="minorEastAsia" w:hAnsiTheme="majorBidi" w:cstheme="majorBidi"/>
          <w:lang w:eastAsia="zh-CN"/>
        </w:rPr>
        <w:t xml:space="preserve">The World Health Organisation (WHO) maintains a list of priority pathogens where, due to the development of resistance, new AMs are urgently needed. The pathogens that the WHO deems ‘critical’ priorities are: carbapenem-resistant </w:t>
      </w:r>
      <w:r w:rsidRPr="008628FC">
        <w:rPr>
          <w:rFonts w:asciiTheme="majorBidi" w:eastAsiaTheme="minorEastAsia" w:hAnsiTheme="majorBidi" w:cstheme="majorBidi"/>
          <w:i/>
          <w:iCs/>
          <w:lang w:eastAsia="zh-CN"/>
        </w:rPr>
        <w:t xml:space="preserve">A. </w:t>
      </w:r>
      <w:proofErr w:type="spellStart"/>
      <w:r w:rsidRPr="008628FC">
        <w:rPr>
          <w:rFonts w:asciiTheme="majorBidi" w:eastAsiaTheme="minorEastAsia" w:hAnsiTheme="majorBidi" w:cstheme="majorBidi"/>
          <w:i/>
          <w:iCs/>
          <w:lang w:eastAsia="zh-CN"/>
        </w:rPr>
        <w:t>baumannii</w:t>
      </w:r>
      <w:proofErr w:type="spellEnd"/>
      <w:r w:rsidRPr="008628FC">
        <w:rPr>
          <w:rFonts w:asciiTheme="majorBidi" w:eastAsiaTheme="minorEastAsia" w:hAnsiTheme="majorBidi" w:cstheme="majorBidi"/>
          <w:lang w:eastAsia="zh-CN"/>
        </w:rPr>
        <w:t xml:space="preserve">; carbapenem-resistant </w:t>
      </w:r>
      <w:r w:rsidRPr="008628FC">
        <w:rPr>
          <w:rFonts w:asciiTheme="majorBidi" w:eastAsiaTheme="minorEastAsia" w:hAnsiTheme="majorBidi" w:cstheme="majorBidi"/>
          <w:i/>
          <w:iCs/>
          <w:lang w:eastAsia="zh-CN"/>
        </w:rPr>
        <w:t>P. aeruginosa</w:t>
      </w:r>
      <w:r w:rsidRPr="008628FC">
        <w:rPr>
          <w:rFonts w:asciiTheme="majorBidi" w:eastAsiaTheme="minorEastAsia" w:hAnsiTheme="majorBidi" w:cstheme="majorBidi"/>
          <w:lang w:eastAsia="zh-CN"/>
        </w:rPr>
        <w:t>; carbapenem-</w:t>
      </w:r>
      <w:r w:rsidRPr="008628FC">
        <w:rPr>
          <w:rFonts w:asciiTheme="majorBidi" w:eastAsiaTheme="minorEastAsia" w:hAnsiTheme="majorBidi" w:cstheme="majorBidi"/>
          <w:lang w:eastAsia="zh-CN"/>
        </w:rPr>
        <w:lastRenderedPageBreak/>
        <w:t xml:space="preserve">resistant </w:t>
      </w:r>
      <w:proofErr w:type="spellStart"/>
      <w:r w:rsidR="00FE2007" w:rsidRPr="00FE2007">
        <w:rPr>
          <w:rFonts w:asciiTheme="majorBidi" w:eastAsiaTheme="minorEastAsia" w:hAnsiTheme="majorBidi" w:cstheme="majorBidi"/>
          <w:i/>
          <w:iCs/>
          <w:lang w:eastAsia="zh-CN"/>
        </w:rPr>
        <w:t>Enterobacterales</w:t>
      </w:r>
      <w:proofErr w:type="spellEnd"/>
      <w:r w:rsidRPr="008628FC">
        <w:rPr>
          <w:rFonts w:asciiTheme="majorBidi" w:eastAsiaTheme="minorEastAsia" w:hAnsiTheme="majorBidi" w:cstheme="majorBidi"/>
          <w:lang w:eastAsia="zh-CN"/>
        </w:rPr>
        <w:t xml:space="preserve"> (CRE) (where </w:t>
      </w:r>
      <w:r w:rsidRPr="008628FC">
        <w:rPr>
          <w:rFonts w:asciiTheme="majorBidi" w:eastAsiaTheme="minorEastAsia" w:hAnsiTheme="majorBidi" w:cstheme="majorBidi"/>
          <w:i/>
          <w:iCs/>
          <w:lang w:eastAsia="zh-CN"/>
        </w:rPr>
        <w:t xml:space="preserve">Klebsiella pneumonia and Escherichia </w:t>
      </w:r>
      <w:r w:rsidRPr="008628FC">
        <w:rPr>
          <w:rFonts w:asciiTheme="majorBidi" w:eastAsiaTheme="minorEastAsia" w:hAnsiTheme="majorBidi" w:cstheme="majorBidi"/>
          <w:lang w:eastAsia="zh-CN"/>
        </w:rPr>
        <w:t xml:space="preserve">coli account for the large majority of </w:t>
      </w:r>
      <w:proofErr w:type="spellStart"/>
      <w:r w:rsidR="00FE2007" w:rsidRPr="00FE2007">
        <w:rPr>
          <w:rFonts w:asciiTheme="majorBidi" w:eastAsiaTheme="minorEastAsia" w:hAnsiTheme="majorBidi" w:cstheme="majorBidi"/>
          <w:i/>
          <w:iCs/>
          <w:lang w:eastAsia="zh-CN"/>
        </w:rPr>
        <w:t>Enterobacterales</w:t>
      </w:r>
      <w:proofErr w:type="spellEnd"/>
      <w:r w:rsidRPr="008628FC">
        <w:rPr>
          <w:rFonts w:asciiTheme="majorBidi" w:eastAsiaTheme="minorEastAsia" w:hAnsiTheme="majorBidi" w:cstheme="majorBidi"/>
          <w:lang w:eastAsia="zh-CN"/>
        </w:rPr>
        <w:t xml:space="preserve">). These pathogens are typically multidrug-resistant </w:t>
      </w:r>
      <w:r w:rsidR="00A47333" w:rsidRPr="00390AD1">
        <w:rPr>
          <w:rFonts w:asciiTheme="majorBidi" w:hAnsiTheme="majorBidi" w:cstheme="majorBidi"/>
        </w:rPr>
        <w:t>Gram-negative bacteria</w:t>
      </w:r>
      <w:r w:rsidRPr="008628FC">
        <w:rPr>
          <w:rFonts w:asciiTheme="majorBidi" w:eastAsiaTheme="minorEastAsia" w:hAnsiTheme="majorBidi" w:cstheme="majorBidi"/>
          <w:lang w:eastAsia="zh-CN"/>
        </w:rPr>
        <w:t xml:space="preserve"> that can cause severe infections in secondary care settings, such as pneumonia and bloodstream infections (</w:t>
      </w:r>
      <w:bookmarkStart w:id="32" w:name="_Hlk58484269"/>
      <w:r w:rsidRPr="008628FC">
        <w:rPr>
          <w:rFonts w:asciiTheme="majorBidi" w:eastAsiaTheme="minorEastAsia" w:hAnsiTheme="majorBidi" w:cstheme="majorBidi"/>
          <w:lang w:eastAsia="zh-CN"/>
        </w:rPr>
        <w:t>bacteraemia</w:t>
      </w:r>
      <w:bookmarkEnd w:id="32"/>
      <w:r w:rsidRPr="008628FC">
        <w:rPr>
          <w:rFonts w:asciiTheme="majorBidi" w:eastAsiaTheme="minorEastAsia" w:hAnsiTheme="majorBidi" w:cstheme="majorBidi"/>
          <w:lang w:eastAsia="zh-CN"/>
        </w:rPr>
        <w:t>), that can often be fatal</w:t>
      </w:r>
      <w:r w:rsidR="00CF0DF7" w:rsidRPr="008628FC">
        <w:rPr>
          <w:rFonts w:asciiTheme="majorBidi" w:eastAsiaTheme="minorEastAsia" w:hAnsiTheme="majorBidi" w:cstheme="majorBidi"/>
          <w:lang w:eastAsia="zh-CN"/>
        </w:rPr>
        <w:t>.</w:t>
      </w:r>
      <w:r w:rsidR="00A83123" w:rsidRPr="00A83123">
        <w:rPr>
          <w:rFonts w:asciiTheme="majorBidi" w:eastAsiaTheme="minorEastAsia" w:hAnsiTheme="majorBidi" w:cstheme="majorBidi"/>
          <w:noProof/>
          <w:vertAlign w:val="superscript"/>
          <w:lang w:eastAsia="zh-CN"/>
        </w:rPr>
        <w:t>8,9</w:t>
      </w:r>
    </w:p>
    <w:p w14:paraId="7383B7FB" w14:textId="672B4EC2" w:rsidR="009F1D70" w:rsidRPr="008628FC" w:rsidRDefault="009F1D70" w:rsidP="00A83123">
      <w:pPr>
        <w:pStyle w:val="BodyText"/>
        <w:spacing w:after="160" w:line="360" w:lineRule="auto"/>
        <w:jc w:val="both"/>
        <w:rPr>
          <w:rFonts w:asciiTheme="majorBidi" w:hAnsiTheme="majorBidi" w:cstheme="majorBidi"/>
        </w:rPr>
      </w:pPr>
      <w:r w:rsidRPr="008628FC">
        <w:rPr>
          <w:rFonts w:asciiTheme="majorBidi" w:hAnsiTheme="majorBidi" w:cstheme="majorBidi"/>
        </w:rPr>
        <w:t xml:space="preserve">Early, targeted, </w:t>
      </w:r>
      <w:proofErr w:type="gramStart"/>
      <w:r w:rsidRPr="008628FC">
        <w:rPr>
          <w:rFonts w:asciiTheme="majorBidi" w:hAnsiTheme="majorBidi" w:cstheme="majorBidi"/>
        </w:rPr>
        <w:t>effective</w:t>
      </w:r>
      <w:proofErr w:type="gramEnd"/>
      <w:r w:rsidRPr="008628FC">
        <w:rPr>
          <w:rFonts w:asciiTheme="majorBidi" w:hAnsiTheme="majorBidi" w:cstheme="majorBidi"/>
        </w:rPr>
        <w:t xml:space="preserve"> and safe AM treatment is key for the management of patients infected with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-producing </w:t>
      </w:r>
      <w:r w:rsidRPr="008628FC">
        <w:rPr>
          <w:rFonts w:asciiTheme="majorBidi" w:eastAsiaTheme="minorEastAsia" w:hAnsiTheme="majorBidi" w:cstheme="majorBidi"/>
          <w:lang w:eastAsia="zh-CN"/>
        </w:rPr>
        <w:t>carbapenem-resistant bacteria</w:t>
      </w:r>
      <w:r w:rsidRPr="008628FC">
        <w:rPr>
          <w:rFonts w:asciiTheme="majorBidi" w:hAnsiTheme="majorBidi" w:cstheme="majorBidi"/>
        </w:rPr>
        <w:t xml:space="preserve">; however, reliable AM treatment options remain scarce.  Therefore, individual treatment options tailored to susceptibilities of pathogens and severity of infection are the mainstay of clinical practice </w:t>
      </w:r>
      <w:r w:rsidR="00A83123" w:rsidRPr="00A83123">
        <w:rPr>
          <w:rFonts w:asciiTheme="majorBidi" w:hAnsiTheme="majorBidi" w:cstheme="majorBidi"/>
          <w:noProof/>
          <w:vertAlign w:val="superscript"/>
        </w:rPr>
        <w:t>7</w:t>
      </w:r>
      <w:r w:rsidRPr="008628FC">
        <w:rPr>
          <w:rFonts w:asciiTheme="majorBidi" w:hAnsiTheme="majorBidi" w:cstheme="majorBidi"/>
        </w:rPr>
        <w:t xml:space="preserve">.  Carbapenems are a class of β-lactams that are often reserved as a last-line treatment option for infections that are resistant to other β-lactams with a narrower spectrum of action </w:t>
      </w:r>
      <w:r w:rsidR="00A83123" w:rsidRPr="00A83123">
        <w:rPr>
          <w:rFonts w:asciiTheme="majorBidi" w:hAnsiTheme="majorBidi" w:cstheme="majorBidi"/>
          <w:noProof/>
          <w:vertAlign w:val="superscript"/>
        </w:rPr>
        <w:t>10</w:t>
      </w:r>
      <w:r w:rsidRPr="008628FC">
        <w:rPr>
          <w:rFonts w:asciiTheme="majorBidi" w:hAnsiTheme="majorBidi" w:cstheme="majorBidi"/>
        </w:rPr>
        <w:t xml:space="preserve">.  Carbapenems are considered one of the most reliable drugs for treating bacterial infections </w:t>
      </w:r>
      <w:r w:rsidR="00A83123" w:rsidRPr="00A83123">
        <w:rPr>
          <w:rFonts w:asciiTheme="majorBidi" w:hAnsiTheme="majorBidi" w:cstheme="majorBidi"/>
          <w:noProof/>
          <w:vertAlign w:val="superscript"/>
        </w:rPr>
        <w:t>2</w:t>
      </w:r>
      <w:r w:rsidRPr="008628FC">
        <w:rPr>
          <w:rFonts w:asciiTheme="majorBidi" w:hAnsiTheme="majorBidi" w:cstheme="majorBidi"/>
        </w:rPr>
        <w:t xml:space="preserve">, therefore the emergence and spread of resistance to these antibiotics is particularly concerning, especially resistance mediated via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 which renders other treatment options ineffective. This constitutes a major public health problem due to the morbidity and mortality associated with ineffectively treated infections by these bacteria. </w:t>
      </w:r>
    </w:p>
    <w:p w14:paraId="01BB7B90" w14:textId="6938C662" w:rsidR="008D7424" w:rsidRDefault="00273565" w:rsidP="00273565">
      <w:pPr>
        <w:pStyle w:val="EEPRUnumberedLevel2Headingnew"/>
      </w:pPr>
      <w:bookmarkStart w:id="33" w:name="_Toc87462969"/>
      <w:r w:rsidRPr="00273565">
        <w:t>N</w:t>
      </w:r>
      <w:r w:rsidR="008D7424" w:rsidRPr="00273565">
        <w:t>ew</w:t>
      </w:r>
      <w:r w:rsidR="008D7424">
        <w:t xml:space="preserve"> </w:t>
      </w:r>
      <w:r w:rsidR="004D74B1">
        <w:t>a</w:t>
      </w:r>
      <w:r w:rsidR="008D7424">
        <w:t>ntimicrobials</w:t>
      </w:r>
      <w:bookmarkEnd w:id="33"/>
    </w:p>
    <w:bookmarkEnd w:id="29"/>
    <w:p w14:paraId="63C79EFB" w14:textId="645B0CF5" w:rsidR="00EA4A03" w:rsidRDefault="00EA4A03" w:rsidP="009F1D70">
      <w:pPr>
        <w:spacing w:line="360" w:lineRule="auto"/>
        <w:jc w:val="both"/>
        <w:rPr>
          <w:rFonts w:asciiTheme="majorBidi" w:hAnsiTheme="majorBidi" w:cstheme="majorBidi"/>
        </w:rPr>
      </w:pPr>
      <w:r w:rsidRPr="00E900DC">
        <w:rPr>
          <w:rFonts w:asciiTheme="majorBidi" w:hAnsiTheme="majorBidi" w:cstheme="majorBidi"/>
        </w:rPr>
        <w:t xml:space="preserve">There is widespread recognition that the pipeline for new AMs is poor with few AM agents currently in clinical development. A range of policies have been implemented to address this lack of investment, however these have focuses on “push incentives” that lower the costs of </w:t>
      </w:r>
      <w:r w:rsidR="00F60D31" w:rsidRPr="00E900DC">
        <w:rPr>
          <w:rFonts w:asciiTheme="majorBidi" w:hAnsiTheme="majorBidi" w:cstheme="majorBidi"/>
        </w:rPr>
        <w:t>research and development (R&amp;D)</w:t>
      </w:r>
      <w:r w:rsidRPr="00E900DC">
        <w:rPr>
          <w:rFonts w:asciiTheme="majorBidi" w:hAnsiTheme="majorBidi" w:cstheme="majorBidi"/>
        </w:rPr>
        <w:t xml:space="preserve">. In 2015 a joint government and industry </w:t>
      </w:r>
      <w:r w:rsidR="00D931C7">
        <w:rPr>
          <w:rFonts w:asciiTheme="majorBidi" w:hAnsiTheme="majorBidi" w:cstheme="majorBidi"/>
        </w:rPr>
        <w:t>antimicrobial resistance</w:t>
      </w:r>
      <w:r w:rsidR="00D931C7" w:rsidRPr="00E900DC">
        <w:rPr>
          <w:rFonts w:asciiTheme="majorBidi" w:hAnsiTheme="majorBidi" w:cstheme="majorBidi"/>
        </w:rPr>
        <w:t xml:space="preserve"> </w:t>
      </w:r>
      <w:r w:rsidRPr="00E900DC">
        <w:rPr>
          <w:rFonts w:asciiTheme="majorBidi" w:hAnsiTheme="majorBidi" w:cstheme="majorBidi"/>
        </w:rPr>
        <w:t xml:space="preserve">working group was established that highlighted the need for the development of “pull mechanisms” and </w:t>
      </w:r>
      <w:proofErr w:type="gramStart"/>
      <w:r w:rsidRPr="00E900DC">
        <w:rPr>
          <w:rFonts w:asciiTheme="majorBidi" w:hAnsiTheme="majorBidi" w:cstheme="majorBidi"/>
        </w:rPr>
        <w:t>in particular a</w:t>
      </w:r>
      <w:proofErr w:type="gramEnd"/>
      <w:r w:rsidRPr="00E900DC">
        <w:rPr>
          <w:rFonts w:asciiTheme="majorBidi" w:hAnsiTheme="majorBidi" w:cstheme="majorBidi"/>
        </w:rPr>
        <w:t xml:space="preserve"> more appropri</w:t>
      </w:r>
      <w:r w:rsidR="00CC1F91">
        <w:rPr>
          <w:rFonts w:asciiTheme="majorBidi" w:hAnsiTheme="majorBidi" w:cstheme="majorBidi"/>
        </w:rPr>
        <w:t xml:space="preserve">ate payment model for new AMs. </w:t>
      </w:r>
      <w:r w:rsidRPr="00E900DC">
        <w:rPr>
          <w:rFonts w:asciiTheme="majorBidi" w:hAnsiTheme="majorBidi" w:cstheme="majorBidi"/>
        </w:rPr>
        <w:t>The payment model should align payment with value, support stewardship goals by delinking payment from drug sales volumes and provide smooth revenue from the point of approval even for AMs which are exp</w:t>
      </w:r>
      <w:r w:rsidR="00CF7D5E" w:rsidRPr="00E900DC">
        <w:rPr>
          <w:rFonts w:asciiTheme="majorBidi" w:hAnsiTheme="majorBidi" w:cstheme="majorBidi"/>
        </w:rPr>
        <w:t xml:space="preserve">ected to be subject to strict stewardship and only used as drug-resistance increases. </w:t>
      </w:r>
    </w:p>
    <w:p w14:paraId="1F3602E2" w14:textId="1BCA0996" w:rsidR="009F1D70" w:rsidRPr="008628FC" w:rsidRDefault="00E11714" w:rsidP="009F1D70">
      <w:pPr>
        <w:spacing w:line="360" w:lineRule="auto"/>
        <w:jc w:val="both"/>
        <w:rPr>
          <w:rFonts w:asciiTheme="majorBidi" w:hAnsiTheme="majorBidi" w:cstheme="majorBidi"/>
        </w:rPr>
      </w:pPr>
      <w:r>
        <w:rPr>
          <w:rFonts w:asciiTheme="majorBidi" w:hAnsiTheme="majorBidi" w:cstheme="majorBidi"/>
        </w:rPr>
        <w:t>The National Institute for Health and Care Excellence (</w:t>
      </w:r>
      <w:r w:rsidR="009F1D70" w:rsidRPr="008628FC">
        <w:rPr>
          <w:rFonts w:asciiTheme="majorBidi" w:hAnsiTheme="majorBidi" w:cstheme="majorBidi"/>
        </w:rPr>
        <w:t>NICE</w:t>
      </w:r>
      <w:r>
        <w:rPr>
          <w:rFonts w:asciiTheme="majorBidi" w:hAnsiTheme="majorBidi" w:cstheme="majorBidi"/>
        </w:rPr>
        <w:t>)</w:t>
      </w:r>
      <w:r w:rsidR="009F1D70" w:rsidRPr="008628FC">
        <w:rPr>
          <w:rFonts w:asciiTheme="majorBidi" w:hAnsiTheme="majorBidi" w:cstheme="majorBidi"/>
        </w:rPr>
        <w:t xml:space="preserve">, </w:t>
      </w:r>
      <w:r w:rsidR="00186460">
        <w:rPr>
          <w:rFonts w:asciiTheme="majorBidi" w:hAnsiTheme="majorBidi" w:cstheme="majorBidi"/>
        </w:rPr>
        <w:t>National Health Service (</w:t>
      </w:r>
      <w:r w:rsidR="009F1D70" w:rsidRPr="008628FC">
        <w:rPr>
          <w:rFonts w:asciiTheme="majorBidi" w:hAnsiTheme="majorBidi" w:cstheme="majorBidi"/>
        </w:rPr>
        <w:t>NHS</w:t>
      </w:r>
      <w:r>
        <w:rPr>
          <w:rFonts w:asciiTheme="majorBidi" w:hAnsiTheme="majorBidi" w:cstheme="majorBidi"/>
        </w:rPr>
        <w:t>)</w:t>
      </w:r>
      <w:r w:rsidR="009F1D70" w:rsidRPr="008628FC">
        <w:rPr>
          <w:rFonts w:asciiTheme="majorBidi" w:hAnsiTheme="majorBidi" w:cstheme="majorBidi"/>
        </w:rPr>
        <w:t xml:space="preserve"> England and NHS Improvement are currently undertaking a project to assess the feasibility of innovative models that pay for AMs based on an </w:t>
      </w:r>
      <w:r w:rsidR="003432D7">
        <w:rPr>
          <w:rFonts w:asciiTheme="majorBidi" w:hAnsiTheme="majorBidi" w:cstheme="majorBidi"/>
        </w:rPr>
        <w:t>evaluation</w:t>
      </w:r>
      <w:r w:rsidR="009F1D70" w:rsidRPr="008628FC">
        <w:rPr>
          <w:rFonts w:asciiTheme="majorBidi" w:hAnsiTheme="majorBidi" w:cstheme="majorBidi"/>
        </w:rPr>
        <w:t xml:space="preserve"> of their value to the NHS as opposed to the volumes used. Following the selection of two products considered to be of high public health importance, this project involves evaluation of the selected products to inform commercial discussions regarding contract value for a period of up to 10 year</w:t>
      </w:r>
      <w:r w:rsidR="00CC1F91">
        <w:rPr>
          <w:rFonts w:asciiTheme="majorBidi" w:hAnsiTheme="majorBidi" w:cstheme="majorBidi"/>
        </w:rPr>
        <w:t xml:space="preserve">s. </w:t>
      </w:r>
      <w:r w:rsidR="009F1D70" w:rsidRPr="008628FC">
        <w:rPr>
          <w:rFonts w:asciiTheme="majorBidi" w:hAnsiTheme="majorBidi" w:cstheme="majorBidi"/>
        </w:rPr>
        <w:t xml:space="preserve">The selection process was a formal procurement exercise and aimed to identify one new AM and one existing but “nearly new” AM. The products selected by this process are </w:t>
      </w:r>
      <w:proofErr w:type="spellStart"/>
      <w:r w:rsidR="009F1D70" w:rsidRPr="008628FC">
        <w:rPr>
          <w:rFonts w:asciiTheme="majorBidi" w:hAnsiTheme="majorBidi" w:cstheme="majorBidi"/>
        </w:rPr>
        <w:t>cefiderocol</w:t>
      </w:r>
      <w:proofErr w:type="spellEnd"/>
      <w:r w:rsidR="009F1D70" w:rsidRPr="008628FC">
        <w:rPr>
          <w:rFonts w:asciiTheme="majorBidi" w:hAnsiTheme="majorBidi" w:cstheme="majorBidi"/>
        </w:rPr>
        <w:t xml:space="preserve"> (</w:t>
      </w:r>
      <w:proofErr w:type="spellStart"/>
      <w:r w:rsidR="009F1D70" w:rsidRPr="008628FC">
        <w:rPr>
          <w:rFonts w:asciiTheme="majorBidi" w:hAnsiTheme="majorBidi" w:cstheme="majorBidi"/>
        </w:rPr>
        <w:t>Fetcroja</w:t>
      </w:r>
      <w:proofErr w:type="spellEnd"/>
      <w:r w:rsidR="009F1D70" w:rsidRPr="008628FC">
        <w:rPr>
          <w:rFonts w:asciiTheme="majorBidi" w:hAnsiTheme="majorBidi" w:cstheme="majorBidi"/>
        </w:rPr>
        <w:t>) which is manufactured by Shionogi and received its marketing authorisation in April 2020; and ceftazidime with avibactam (</w:t>
      </w:r>
      <w:proofErr w:type="spellStart"/>
      <w:r w:rsidR="009F1D70" w:rsidRPr="008628FC">
        <w:rPr>
          <w:rFonts w:asciiTheme="majorBidi" w:hAnsiTheme="majorBidi" w:cstheme="majorBidi"/>
        </w:rPr>
        <w:t>Zavicefta</w:t>
      </w:r>
      <w:proofErr w:type="spellEnd"/>
      <w:r w:rsidR="009F1D70" w:rsidRPr="008628FC">
        <w:rPr>
          <w:rFonts w:asciiTheme="majorBidi" w:hAnsiTheme="majorBidi" w:cstheme="majorBidi"/>
        </w:rPr>
        <w:t xml:space="preserve">), which is manufactured by Pfizer and received </w:t>
      </w:r>
      <w:r w:rsidR="009F1D70" w:rsidRPr="008628FC">
        <w:rPr>
          <w:rFonts w:asciiTheme="majorBidi" w:hAnsiTheme="majorBidi" w:cstheme="majorBidi"/>
        </w:rPr>
        <w:lastRenderedPageBreak/>
        <w:t xml:space="preserve">its marketing authorisation in June 2016. This report details the evaluation phase of this project for ceftazidime with avibactam (CAZ-AVI). </w:t>
      </w:r>
    </w:p>
    <w:p w14:paraId="761964C0" w14:textId="0370999C" w:rsidR="009F1D70" w:rsidRPr="008628FC" w:rsidRDefault="009F1D70" w:rsidP="00A83123">
      <w:pPr>
        <w:pStyle w:val="BodyText"/>
        <w:spacing w:after="160" w:line="360" w:lineRule="auto"/>
        <w:jc w:val="both"/>
        <w:rPr>
          <w:rFonts w:asciiTheme="majorBidi" w:hAnsiTheme="majorBidi" w:cstheme="majorBidi"/>
        </w:rPr>
      </w:pPr>
      <w:r w:rsidRPr="008628FC">
        <w:rPr>
          <w:rFonts w:asciiTheme="majorBidi" w:hAnsiTheme="majorBidi" w:cstheme="majorBidi"/>
        </w:rPr>
        <w:t xml:space="preserve">CAZ-AVI is a combination AM that consists of ceftazidime and avibactam. Ceftazidime is an established third generation cephalosporin that inhibits bacterial peptidoglycan cell wall synthesis following binding to penicillin binding proteins, leading to bacterial cell lysis and death </w:t>
      </w:r>
      <w:r w:rsidR="00A83123" w:rsidRPr="00A83123">
        <w:rPr>
          <w:rFonts w:asciiTheme="majorBidi" w:hAnsiTheme="majorBidi" w:cstheme="majorBidi"/>
          <w:noProof/>
          <w:vertAlign w:val="superscript"/>
        </w:rPr>
        <w:t>11</w:t>
      </w:r>
      <w:r w:rsidRPr="008628FC">
        <w:rPr>
          <w:rFonts w:asciiTheme="majorBidi" w:hAnsiTheme="majorBidi" w:cstheme="majorBidi"/>
        </w:rPr>
        <w:t xml:space="preserve">. Avibactam is a non-beta-lactam beta-lactamase inhibitor that protects ceftazidime from hydrolysis by a wide range of serine beta-lactamases.  Importantly, the range of inhibition of avibactam includes class A extended spectrum-beta-lactamases and </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(for example </w:t>
      </w:r>
      <w:r w:rsidRPr="008628FC">
        <w:rPr>
          <w:rFonts w:asciiTheme="majorBidi" w:hAnsiTheme="majorBidi" w:cstheme="majorBidi"/>
          <w:i/>
          <w:iCs/>
        </w:rPr>
        <w:t>Klebsiella pneumoniae</w:t>
      </w:r>
      <w:r w:rsidRPr="008628FC">
        <w:rPr>
          <w:rFonts w:asciiTheme="majorBidi" w:hAnsiTheme="majorBidi" w:cstheme="majorBidi"/>
        </w:rPr>
        <w:t xml:space="preserve"> </w:t>
      </w:r>
      <w:proofErr w:type="spellStart"/>
      <w:r w:rsidRPr="008628FC">
        <w:rPr>
          <w:rFonts w:asciiTheme="majorBidi" w:hAnsiTheme="majorBidi" w:cstheme="majorBidi"/>
        </w:rPr>
        <w:t>carbapenemase</w:t>
      </w:r>
      <w:proofErr w:type="spellEnd"/>
      <w:r w:rsidRPr="008628FC">
        <w:rPr>
          <w:rFonts w:asciiTheme="majorBidi" w:hAnsiTheme="majorBidi" w:cstheme="majorBidi"/>
        </w:rPr>
        <w:t>), class C beta-lactamases and some class D oxacillinases and carbapenemases</w:t>
      </w:r>
      <w:r w:rsidR="008C3B07" w:rsidRPr="008628FC">
        <w:rPr>
          <w:rFonts w:asciiTheme="majorBidi" w:hAnsiTheme="majorBidi" w:cstheme="majorBidi"/>
        </w:rPr>
        <w:t>.</w:t>
      </w:r>
      <w:r w:rsidR="00A83123" w:rsidRPr="00A83123">
        <w:rPr>
          <w:rFonts w:asciiTheme="majorBidi" w:hAnsiTheme="majorBidi" w:cstheme="majorBidi"/>
          <w:noProof/>
          <w:vertAlign w:val="superscript"/>
        </w:rPr>
        <w:t>12</w:t>
      </w:r>
      <w:r w:rsidRPr="008628FC">
        <w:rPr>
          <w:rFonts w:asciiTheme="majorBidi" w:hAnsiTheme="majorBidi" w:cstheme="majorBidi"/>
        </w:rPr>
        <w:t xml:space="preserve"> CAZ-AVI is administered by intravenous infusion.  CAZ-AVI is not active against MBLs but is active against serine-</w:t>
      </w:r>
      <w:proofErr w:type="spellStart"/>
      <w:r w:rsidRPr="008628FC">
        <w:rPr>
          <w:rFonts w:asciiTheme="majorBidi" w:hAnsiTheme="majorBidi" w:cstheme="majorBidi"/>
        </w:rPr>
        <w:t>carbapenemases</w:t>
      </w:r>
      <w:proofErr w:type="spellEnd"/>
      <w:r w:rsidRPr="008628FC">
        <w:rPr>
          <w:rFonts w:asciiTheme="majorBidi" w:hAnsiTheme="majorBidi" w:cstheme="majorBidi"/>
        </w:rPr>
        <w:t>.</w:t>
      </w:r>
    </w:p>
    <w:p w14:paraId="473B12FC" w14:textId="77777777" w:rsidR="009F1D70" w:rsidRPr="008628FC" w:rsidRDefault="009F1D70" w:rsidP="009F1D70">
      <w:pPr>
        <w:pStyle w:val="BodyText"/>
        <w:spacing w:after="160" w:line="360" w:lineRule="auto"/>
        <w:jc w:val="both"/>
        <w:rPr>
          <w:rFonts w:asciiTheme="majorBidi" w:hAnsiTheme="majorBidi" w:cstheme="majorBidi"/>
          <w:shd w:val="clear" w:color="auto" w:fill="FFFFFF"/>
          <w:lang w:val="x-none"/>
        </w:rPr>
      </w:pPr>
      <w:r w:rsidRPr="008628FC">
        <w:rPr>
          <w:rFonts w:asciiTheme="majorBidi" w:hAnsiTheme="majorBidi" w:cstheme="majorBidi"/>
          <w:shd w:val="clear" w:color="auto" w:fill="FFFFFF"/>
        </w:rPr>
        <w:t>The CAZ-AVI license permits use in adults and paediatric patients (&gt;3 months) for complicated intra-abdominal infections (</w:t>
      </w:r>
      <w:proofErr w:type="spellStart"/>
      <w:r w:rsidRPr="008628FC">
        <w:rPr>
          <w:rFonts w:asciiTheme="majorBidi" w:hAnsiTheme="majorBidi" w:cstheme="majorBidi"/>
          <w:shd w:val="clear" w:color="auto" w:fill="FFFFFF"/>
        </w:rPr>
        <w:t>cIAI</w:t>
      </w:r>
      <w:proofErr w:type="spellEnd"/>
      <w:r w:rsidRPr="008628FC">
        <w:rPr>
          <w:rFonts w:asciiTheme="majorBidi" w:hAnsiTheme="majorBidi" w:cstheme="majorBidi"/>
          <w:shd w:val="clear" w:color="auto" w:fill="FFFFFF"/>
        </w:rPr>
        <w:t>), complicated UTI (</w:t>
      </w:r>
      <w:proofErr w:type="spellStart"/>
      <w:r w:rsidRPr="008628FC">
        <w:rPr>
          <w:rFonts w:asciiTheme="majorBidi" w:hAnsiTheme="majorBidi" w:cstheme="majorBidi"/>
          <w:shd w:val="clear" w:color="auto" w:fill="FFFFFF"/>
        </w:rPr>
        <w:t>cUTI</w:t>
      </w:r>
      <w:proofErr w:type="spellEnd"/>
      <w:r w:rsidRPr="008628FC">
        <w:rPr>
          <w:rFonts w:asciiTheme="majorBidi" w:hAnsiTheme="majorBidi" w:cstheme="majorBidi"/>
          <w:shd w:val="clear" w:color="auto" w:fill="FFFFFF"/>
        </w:rPr>
        <w:t xml:space="preserve">), hospital-acquired pneumonia, including ventilator-associated pneumonia (HAP/VAP), bacteraemia (adults only) associated with the </w:t>
      </w:r>
      <w:proofErr w:type="gramStart"/>
      <w:r w:rsidRPr="008628FC">
        <w:rPr>
          <w:rFonts w:asciiTheme="majorBidi" w:hAnsiTheme="majorBidi" w:cstheme="majorBidi"/>
          <w:shd w:val="clear" w:color="auto" w:fill="FFFFFF"/>
        </w:rPr>
        <w:t>aforementioned infections</w:t>
      </w:r>
      <w:proofErr w:type="gramEnd"/>
      <w:r w:rsidRPr="008628FC">
        <w:rPr>
          <w:rFonts w:asciiTheme="majorBidi" w:hAnsiTheme="majorBidi" w:cstheme="majorBidi"/>
          <w:shd w:val="clear" w:color="auto" w:fill="FFFFFF"/>
        </w:rPr>
        <w:t xml:space="preserve"> and treatment of infections caused by aerobic gram-negative organisms with limited treatment options.</w:t>
      </w:r>
    </w:p>
    <w:p w14:paraId="4054237D" w14:textId="53E052D9" w:rsidR="009F1D70" w:rsidRPr="008628FC" w:rsidRDefault="009F1D70" w:rsidP="009F1D70">
      <w:pPr>
        <w:pStyle w:val="BodyText"/>
        <w:spacing w:after="160" w:line="360" w:lineRule="auto"/>
        <w:jc w:val="both"/>
        <w:rPr>
          <w:rFonts w:asciiTheme="majorBidi" w:hAnsiTheme="majorBidi" w:cstheme="majorBidi"/>
        </w:rPr>
      </w:pPr>
      <w:r w:rsidRPr="008628FC">
        <w:rPr>
          <w:rFonts w:asciiTheme="majorBidi" w:hAnsiTheme="majorBidi" w:cstheme="majorBidi"/>
        </w:rPr>
        <w:t xml:space="preserve">In a series of </w:t>
      </w:r>
      <w:r w:rsidRPr="008628FC">
        <w:rPr>
          <w:rFonts w:asciiTheme="majorBidi" w:hAnsiTheme="majorBidi" w:cstheme="majorBidi"/>
          <w:i/>
          <w:iCs/>
        </w:rPr>
        <w:t>in vitro</w:t>
      </w:r>
      <w:r w:rsidRPr="008628FC">
        <w:rPr>
          <w:rFonts w:asciiTheme="majorBidi" w:hAnsiTheme="majorBidi" w:cstheme="majorBidi"/>
        </w:rPr>
        <w:t xml:space="preserve"> and </w:t>
      </w:r>
      <w:r w:rsidRPr="008628FC">
        <w:rPr>
          <w:rFonts w:asciiTheme="majorBidi" w:hAnsiTheme="majorBidi" w:cstheme="majorBidi"/>
          <w:i/>
          <w:iCs/>
        </w:rPr>
        <w:t>in vivo</w:t>
      </w:r>
      <w:r w:rsidRPr="008628FC">
        <w:rPr>
          <w:rFonts w:asciiTheme="majorBidi" w:hAnsiTheme="majorBidi" w:cstheme="majorBidi"/>
        </w:rPr>
        <w:t xml:space="preserve"> studies, CAZ-AVI was shown to be active against ceftazidime-resistant, and many carbapenem-resistant clinical isolates of </w:t>
      </w:r>
      <w:proofErr w:type="spellStart"/>
      <w:r w:rsidR="00FE2007" w:rsidRPr="00FE2007">
        <w:rPr>
          <w:rFonts w:asciiTheme="majorBidi" w:hAnsiTheme="majorBidi" w:cstheme="majorBidi"/>
          <w:i/>
          <w:iCs/>
        </w:rPr>
        <w:t>Enterobacterales</w:t>
      </w:r>
      <w:proofErr w:type="spellEnd"/>
      <w:r w:rsidRPr="008628FC">
        <w:rPr>
          <w:rFonts w:asciiTheme="majorBidi" w:hAnsiTheme="majorBidi" w:cstheme="majorBidi"/>
        </w:rPr>
        <w:t xml:space="preserve"> and </w:t>
      </w:r>
      <w:r w:rsidR="003A30C3" w:rsidRPr="008628FC">
        <w:rPr>
          <w:rFonts w:asciiTheme="majorBidi" w:hAnsiTheme="majorBidi" w:cstheme="majorBidi"/>
          <w:i/>
          <w:iCs/>
        </w:rPr>
        <w:t xml:space="preserve">Pseudomonas </w:t>
      </w:r>
      <w:r w:rsidRPr="008628FC">
        <w:rPr>
          <w:rFonts w:asciiTheme="majorBidi" w:hAnsiTheme="majorBidi" w:cstheme="majorBidi"/>
          <w:i/>
          <w:iCs/>
        </w:rPr>
        <w:t>aeruginosa.</w:t>
      </w:r>
      <w:r w:rsidRPr="008628FC">
        <w:rPr>
          <w:rFonts w:asciiTheme="majorBidi" w:hAnsiTheme="majorBidi" w:cstheme="majorBidi"/>
        </w:rPr>
        <w:t xml:space="preserve"> It has been studied in several clinical trials, compared with either carbapenems or ‘best available’ AM treatment (colistin-based or non-colistin-based) in adults with </w:t>
      </w:r>
      <w:r w:rsidR="00B65F32">
        <w:rPr>
          <w:rFonts w:asciiTheme="majorBidi" w:hAnsiTheme="majorBidi" w:cstheme="majorBidi"/>
        </w:rPr>
        <w:t>HAP</w:t>
      </w:r>
      <w:r w:rsidRPr="008628FC">
        <w:rPr>
          <w:rFonts w:asciiTheme="majorBidi" w:hAnsiTheme="majorBidi" w:cstheme="majorBidi"/>
        </w:rPr>
        <w:t xml:space="preserve">, </w:t>
      </w:r>
      <w:r w:rsidR="00B65F32">
        <w:rPr>
          <w:rFonts w:asciiTheme="majorBidi" w:hAnsiTheme="majorBidi" w:cstheme="majorBidi"/>
        </w:rPr>
        <w:t>VAP</w:t>
      </w:r>
      <w:r w:rsidRPr="008628FC">
        <w:rPr>
          <w:rFonts w:asciiTheme="majorBidi" w:hAnsiTheme="majorBidi" w:cstheme="majorBidi"/>
        </w:rPr>
        <w:t xml:space="preserve"> and healthcare-associated pneumonia, bloodstream infection or sepsis, or </w:t>
      </w:r>
      <w:proofErr w:type="spellStart"/>
      <w:r w:rsidRPr="008628FC">
        <w:rPr>
          <w:rFonts w:asciiTheme="majorBidi" w:hAnsiTheme="majorBidi" w:cstheme="majorBidi"/>
        </w:rPr>
        <w:t>cUTI</w:t>
      </w:r>
      <w:proofErr w:type="spellEnd"/>
      <w:r w:rsidRPr="008628FC">
        <w:rPr>
          <w:rFonts w:asciiTheme="majorBidi" w:hAnsiTheme="majorBidi" w:cstheme="majorBidi"/>
        </w:rPr>
        <w:t xml:space="preserve">. Efficacy has been demonstrated in clinical studies against the following pathogens: </w:t>
      </w:r>
      <w:r w:rsidRPr="008628FC">
        <w:rPr>
          <w:rFonts w:asciiTheme="majorBidi" w:hAnsiTheme="majorBidi" w:cstheme="majorBidi"/>
          <w:i/>
          <w:iCs/>
        </w:rPr>
        <w:t xml:space="preserve">Citrobacter </w:t>
      </w:r>
      <w:proofErr w:type="spellStart"/>
      <w:r w:rsidRPr="008628FC">
        <w:rPr>
          <w:rFonts w:asciiTheme="majorBidi" w:hAnsiTheme="majorBidi" w:cstheme="majorBidi"/>
          <w:i/>
          <w:iCs/>
        </w:rPr>
        <w:t>freundii</w:t>
      </w:r>
      <w:proofErr w:type="spellEnd"/>
      <w:r w:rsidRPr="008628FC">
        <w:rPr>
          <w:rFonts w:asciiTheme="majorBidi" w:hAnsiTheme="majorBidi" w:cstheme="majorBidi"/>
          <w:i/>
          <w:iCs/>
        </w:rPr>
        <w:t xml:space="preserve">, Enterobacter cloacae, Escherichia coli, Klebsiella </w:t>
      </w:r>
      <w:proofErr w:type="spellStart"/>
      <w:r w:rsidRPr="008628FC">
        <w:rPr>
          <w:rFonts w:asciiTheme="majorBidi" w:hAnsiTheme="majorBidi" w:cstheme="majorBidi"/>
          <w:i/>
          <w:iCs/>
        </w:rPr>
        <w:t>oxytoca</w:t>
      </w:r>
      <w:proofErr w:type="spellEnd"/>
      <w:r w:rsidRPr="008628FC">
        <w:rPr>
          <w:rFonts w:asciiTheme="majorBidi" w:hAnsiTheme="majorBidi" w:cstheme="majorBidi"/>
          <w:i/>
          <w:iCs/>
        </w:rPr>
        <w:t xml:space="preserve">, Klebsiella pneumoniae, Pseudomonas aeruginosa, Proteus mirabilis, </w:t>
      </w:r>
      <w:r w:rsidRPr="008628FC">
        <w:rPr>
          <w:rFonts w:asciiTheme="majorBidi" w:hAnsiTheme="majorBidi" w:cstheme="majorBidi"/>
        </w:rPr>
        <w:t>and</w:t>
      </w:r>
      <w:r w:rsidRPr="008628FC">
        <w:rPr>
          <w:rFonts w:asciiTheme="majorBidi" w:hAnsiTheme="majorBidi" w:cstheme="majorBidi"/>
          <w:i/>
          <w:iCs/>
        </w:rPr>
        <w:t xml:space="preserve"> Serratia marcescens</w:t>
      </w:r>
      <w:r w:rsidRPr="008628FC">
        <w:rPr>
          <w:rFonts w:asciiTheme="majorBidi" w:hAnsiTheme="majorBidi" w:cstheme="majorBidi"/>
        </w:rPr>
        <w:t xml:space="preserve">.  </w:t>
      </w:r>
      <w:r w:rsidRPr="008628FC">
        <w:rPr>
          <w:rFonts w:asciiTheme="majorBidi" w:hAnsiTheme="majorBidi" w:cstheme="majorBidi"/>
          <w:i/>
          <w:iCs/>
        </w:rPr>
        <w:t>In vitro</w:t>
      </w:r>
      <w:r w:rsidRPr="008628FC">
        <w:rPr>
          <w:rFonts w:asciiTheme="majorBidi" w:hAnsiTheme="majorBidi" w:cstheme="majorBidi"/>
        </w:rPr>
        <w:t xml:space="preserve"> studies have suggested that CAZ-AVI might also be efficacious against </w:t>
      </w:r>
      <w:r w:rsidRPr="008628FC">
        <w:rPr>
          <w:rFonts w:asciiTheme="majorBidi" w:hAnsiTheme="majorBidi" w:cstheme="majorBidi"/>
          <w:i/>
          <w:iCs/>
        </w:rPr>
        <w:t xml:space="preserve">Citrobacter </w:t>
      </w:r>
      <w:proofErr w:type="spellStart"/>
      <w:r w:rsidRPr="008628FC">
        <w:rPr>
          <w:rFonts w:asciiTheme="majorBidi" w:hAnsiTheme="majorBidi" w:cstheme="majorBidi"/>
          <w:i/>
          <w:iCs/>
        </w:rPr>
        <w:t>koseri</w:t>
      </w:r>
      <w:proofErr w:type="spellEnd"/>
      <w:r w:rsidRPr="008628FC">
        <w:rPr>
          <w:rFonts w:asciiTheme="majorBidi" w:hAnsiTheme="majorBidi" w:cstheme="majorBidi"/>
          <w:i/>
          <w:iCs/>
        </w:rPr>
        <w:t xml:space="preserve">, Enterobacter aerogenes, </w:t>
      </w:r>
      <w:proofErr w:type="spellStart"/>
      <w:r w:rsidRPr="008628FC">
        <w:rPr>
          <w:rFonts w:asciiTheme="majorBidi" w:hAnsiTheme="majorBidi" w:cstheme="majorBidi"/>
          <w:i/>
          <w:iCs/>
        </w:rPr>
        <w:t>Morganella</w:t>
      </w:r>
      <w:proofErr w:type="spellEnd"/>
      <w:r w:rsidRPr="008628FC">
        <w:rPr>
          <w:rFonts w:asciiTheme="majorBidi" w:hAnsiTheme="majorBidi" w:cstheme="majorBidi"/>
          <w:i/>
          <w:iCs/>
        </w:rPr>
        <w:t xml:space="preserve"> morganii, Proteus vulgaris </w:t>
      </w:r>
      <w:r w:rsidRPr="008628FC">
        <w:rPr>
          <w:rFonts w:asciiTheme="majorBidi" w:hAnsiTheme="majorBidi" w:cstheme="majorBidi"/>
        </w:rPr>
        <w:t>and</w:t>
      </w:r>
      <w:r w:rsidRPr="008628FC">
        <w:rPr>
          <w:rFonts w:asciiTheme="majorBidi" w:hAnsiTheme="majorBidi" w:cstheme="majorBidi"/>
          <w:i/>
          <w:iCs/>
        </w:rPr>
        <w:t xml:space="preserve"> Providencia </w:t>
      </w:r>
      <w:proofErr w:type="spellStart"/>
      <w:r w:rsidRPr="008628FC">
        <w:rPr>
          <w:rFonts w:asciiTheme="majorBidi" w:hAnsiTheme="majorBidi" w:cstheme="majorBidi"/>
          <w:i/>
          <w:iCs/>
        </w:rPr>
        <w:t>rettgeri</w:t>
      </w:r>
      <w:proofErr w:type="spellEnd"/>
      <w:r w:rsidRPr="008628FC">
        <w:rPr>
          <w:rFonts w:asciiTheme="majorBidi" w:hAnsiTheme="majorBidi" w:cstheme="majorBidi"/>
        </w:rPr>
        <w:t>.</w:t>
      </w:r>
    </w:p>
    <w:p w14:paraId="3D87A5EB" w14:textId="67685B1D" w:rsidR="009F1D70" w:rsidRDefault="009F1D70" w:rsidP="002B3B5E">
      <w:pPr>
        <w:pStyle w:val="Heading1"/>
        <w:numPr>
          <w:ilvl w:val="0"/>
          <w:numId w:val="1"/>
        </w:numPr>
        <w:jc w:val="both"/>
        <w:rPr>
          <w:rStyle w:val="Heading1Char"/>
          <w:rFonts w:asciiTheme="majorBidi" w:hAnsiTheme="majorBidi"/>
          <w:b/>
          <w:bCs/>
        </w:rPr>
      </w:pPr>
      <w:bookmarkStart w:id="34" w:name="_Toc65482383"/>
      <w:bookmarkStart w:id="35" w:name="_Toc77952381"/>
      <w:bookmarkStart w:id="36" w:name="_Ref77952532"/>
      <w:bookmarkStart w:id="37" w:name="_Ref77952538"/>
      <w:bookmarkStart w:id="38" w:name="_Toc83890495"/>
      <w:bookmarkStart w:id="39" w:name="_Toc87462970"/>
      <w:r>
        <w:rPr>
          <w:rStyle w:val="Heading1Char"/>
          <w:rFonts w:asciiTheme="majorBidi" w:hAnsiTheme="majorBidi"/>
          <w:b/>
          <w:bCs/>
        </w:rPr>
        <w:t>Aims and objectives</w:t>
      </w:r>
      <w:bookmarkEnd w:id="34"/>
      <w:bookmarkEnd w:id="35"/>
      <w:bookmarkEnd w:id="36"/>
      <w:bookmarkEnd w:id="37"/>
      <w:bookmarkEnd w:id="38"/>
      <w:bookmarkEnd w:id="39"/>
    </w:p>
    <w:p w14:paraId="297C651E" w14:textId="77777777" w:rsidR="001009FF" w:rsidRPr="001009FF" w:rsidRDefault="001009FF" w:rsidP="001009FF"/>
    <w:p w14:paraId="17F50AE8" w14:textId="77777777"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 xml:space="preserve">The aim of this technology assessment is to assess the value of CAZ-AVI to the NHS in England for the treatment of severe aerobic Gram-negative bacterial infections when used within its licensed indications.  </w:t>
      </w:r>
    </w:p>
    <w:p w14:paraId="2EB0144A" w14:textId="77777777"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Specific objectives are:</w:t>
      </w:r>
    </w:p>
    <w:p w14:paraId="34072297" w14:textId="48A421AC" w:rsidR="009F1D70" w:rsidRPr="008628FC" w:rsidRDefault="009F1D70" w:rsidP="00EE6004">
      <w:pPr>
        <w:pStyle w:val="ListParagraph"/>
        <w:numPr>
          <w:ilvl w:val="0"/>
          <w:numId w:val="8"/>
        </w:numPr>
        <w:spacing w:line="360" w:lineRule="auto"/>
        <w:ind w:left="720"/>
        <w:jc w:val="both"/>
        <w:rPr>
          <w:rFonts w:asciiTheme="majorBidi" w:hAnsiTheme="majorBidi" w:cstheme="majorBidi"/>
        </w:rPr>
      </w:pPr>
      <w:r w:rsidRPr="008628FC">
        <w:rPr>
          <w:rFonts w:asciiTheme="majorBidi" w:hAnsiTheme="majorBidi" w:cstheme="majorBidi"/>
        </w:rPr>
        <w:lastRenderedPageBreak/>
        <w:t>To identify two high value clinical scenarios (HVCSs), within its broad licensed indications, for which CAZ-AVI is expected to have a significant impact on patients’ outcomes in terms of mortality risks and health-related quality of life</w:t>
      </w:r>
      <w:r w:rsidR="00F54B1C">
        <w:rPr>
          <w:rFonts w:asciiTheme="majorBidi" w:hAnsiTheme="majorBidi" w:cstheme="majorBidi"/>
        </w:rPr>
        <w:t xml:space="preserve"> (</w:t>
      </w:r>
      <w:proofErr w:type="spellStart"/>
      <w:r w:rsidR="00F54B1C">
        <w:rPr>
          <w:rFonts w:asciiTheme="majorBidi" w:hAnsiTheme="majorBidi" w:cstheme="majorBidi"/>
        </w:rPr>
        <w:t>HRQoL</w:t>
      </w:r>
      <w:proofErr w:type="spellEnd"/>
      <w:r w:rsidR="00F54B1C">
        <w:rPr>
          <w:rFonts w:asciiTheme="majorBidi" w:hAnsiTheme="majorBidi" w:cstheme="majorBidi"/>
        </w:rPr>
        <w:t>)</w:t>
      </w:r>
      <w:r w:rsidRPr="008628FC">
        <w:rPr>
          <w:rFonts w:asciiTheme="majorBidi" w:hAnsiTheme="majorBidi" w:cstheme="majorBidi"/>
        </w:rPr>
        <w:t>.</w:t>
      </w:r>
    </w:p>
    <w:p w14:paraId="10C6CE2E" w14:textId="77777777" w:rsidR="009F1D70" w:rsidRPr="008628FC" w:rsidRDefault="009F1D70" w:rsidP="00EE6004">
      <w:pPr>
        <w:pStyle w:val="ListParagraph"/>
        <w:numPr>
          <w:ilvl w:val="0"/>
          <w:numId w:val="8"/>
        </w:numPr>
        <w:spacing w:line="360" w:lineRule="auto"/>
        <w:ind w:left="720"/>
        <w:jc w:val="both"/>
        <w:rPr>
          <w:rFonts w:asciiTheme="majorBidi" w:hAnsiTheme="majorBidi" w:cstheme="majorBidi"/>
        </w:rPr>
      </w:pPr>
      <w:r w:rsidRPr="008628FC">
        <w:rPr>
          <w:rFonts w:asciiTheme="majorBidi" w:hAnsiTheme="majorBidi" w:cstheme="majorBidi"/>
        </w:rPr>
        <w:t>To undertake an ‘evidence mapping’ exercise and relevant systematic literature reviews to characterise the available clinical effectiveness evidence.</w:t>
      </w:r>
    </w:p>
    <w:p w14:paraId="35E06D97" w14:textId="44BABF62" w:rsidR="009F1D70" w:rsidRPr="00C73DF1" w:rsidRDefault="009F1D70" w:rsidP="00EE6004">
      <w:pPr>
        <w:pStyle w:val="ListParagraph"/>
        <w:numPr>
          <w:ilvl w:val="0"/>
          <w:numId w:val="8"/>
        </w:numPr>
        <w:spacing w:line="360" w:lineRule="auto"/>
        <w:ind w:left="720"/>
        <w:jc w:val="both"/>
        <w:rPr>
          <w:rFonts w:asciiTheme="majorBidi" w:hAnsiTheme="majorBidi" w:cstheme="majorBidi"/>
        </w:rPr>
      </w:pPr>
      <w:r w:rsidRPr="008628FC">
        <w:rPr>
          <w:rFonts w:asciiTheme="majorBidi" w:hAnsiTheme="majorBidi" w:cstheme="majorBidi"/>
        </w:rPr>
        <w:t xml:space="preserve">To establish an appropriate decision-analytic model as a framework to quantify the costs and health benefits of the use of CAZ-AVI under various usage scenarios compared with alternative </w:t>
      </w:r>
      <w:r w:rsidRPr="00C73DF1">
        <w:rPr>
          <w:rFonts w:asciiTheme="majorBidi" w:hAnsiTheme="majorBidi" w:cstheme="majorBidi"/>
        </w:rPr>
        <w:t>treatments and management strategies (usage scenarios of other available AMs) in the HVCSs.</w:t>
      </w:r>
    </w:p>
    <w:p w14:paraId="7DD8FA24" w14:textId="2F4A3E48" w:rsidR="009F1D70" w:rsidRPr="00C73DF1" w:rsidRDefault="009F1D70" w:rsidP="009F1D70">
      <w:pPr>
        <w:pStyle w:val="ListParagraph"/>
        <w:spacing w:line="360" w:lineRule="auto"/>
        <w:jc w:val="both"/>
        <w:rPr>
          <w:rFonts w:asciiTheme="majorBidi" w:hAnsiTheme="majorBidi" w:cstheme="majorBidi"/>
        </w:rPr>
      </w:pPr>
      <w:r w:rsidRPr="00C73DF1">
        <w:rPr>
          <w:rFonts w:asciiTheme="majorBidi" w:hAnsiTheme="majorBidi" w:cstheme="majorBidi"/>
        </w:rPr>
        <w:t xml:space="preserve">To use the model to estimate costs and health effects at the individual level, but also to aggregate these to </w:t>
      </w:r>
      <w:r w:rsidR="00267B98" w:rsidRPr="00C73DF1">
        <w:rPr>
          <w:rFonts w:asciiTheme="majorBidi" w:hAnsiTheme="majorBidi" w:cstheme="majorBidi"/>
        </w:rPr>
        <w:t xml:space="preserve">a </w:t>
      </w:r>
      <w:r w:rsidRPr="00C73DF1">
        <w:rPr>
          <w:rFonts w:asciiTheme="majorBidi" w:hAnsiTheme="majorBidi" w:cstheme="majorBidi"/>
        </w:rPr>
        <w:t>population level</w:t>
      </w:r>
      <w:r w:rsidR="00267B98" w:rsidRPr="00C73DF1">
        <w:rPr>
          <w:rFonts w:asciiTheme="majorBidi" w:hAnsiTheme="majorBidi" w:cstheme="majorBidi"/>
        </w:rPr>
        <w:t xml:space="preserve"> in the form of </w:t>
      </w:r>
      <w:r w:rsidRPr="00C73DF1">
        <w:rPr>
          <w:rFonts w:asciiTheme="majorBidi" w:hAnsiTheme="majorBidi" w:cstheme="majorBidi"/>
        </w:rPr>
        <w:t>population</w:t>
      </w:r>
      <w:r w:rsidR="00D10F09" w:rsidRPr="00C73DF1">
        <w:rPr>
          <w:rFonts w:asciiTheme="majorBidi" w:hAnsiTheme="majorBidi" w:cstheme="majorBidi"/>
        </w:rPr>
        <w:t xml:space="preserve"> incremental</w:t>
      </w:r>
      <w:r w:rsidRPr="00C73DF1">
        <w:rPr>
          <w:rFonts w:asciiTheme="majorBidi" w:hAnsiTheme="majorBidi" w:cstheme="majorBidi"/>
        </w:rPr>
        <w:t xml:space="preserve"> </w:t>
      </w:r>
      <w:r w:rsidR="004124AB" w:rsidRPr="00C73DF1">
        <w:rPr>
          <w:rFonts w:asciiTheme="majorBidi" w:hAnsiTheme="majorBidi" w:cstheme="majorBidi"/>
        </w:rPr>
        <w:t>net health effects</w:t>
      </w:r>
      <w:r w:rsidR="00267B98" w:rsidRPr="00C73DF1">
        <w:rPr>
          <w:rFonts w:asciiTheme="majorBidi" w:hAnsiTheme="majorBidi" w:cstheme="majorBidi"/>
        </w:rPr>
        <w:t xml:space="preserve"> (</w:t>
      </w:r>
      <w:r w:rsidR="00D10F09" w:rsidRPr="00C73DF1">
        <w:rPr>
          <w:rFonts w:asciiTheme="majorBidi" w:hAnsiTheme="majorBidi" w:cstheme="majorBidi"/>
        </w:rPr>
        <w:t>I</w:t>
      </w:r>
      <w:r w:rsidRPr="00C73DF1">
        <w:rPr>
          <w:rFonts w:asciiTheme="majorBidi" w:hAnsiTheme="majorBidi" w:cstheme="majorBidi"/>
        </w:rPr>
        <w:t>NHEs</w:t>
      </w:r>
      <w:r w:rsidR="00267B98" w:rsidRPr="00C73DF1">
        <w:rPr>
          <w:rFonts w:asciiTheme="majorBidi" w:hAnsiTheme="majorBidi" w:cstheme="majorBidi"/>
        </w:rPr>
        <w:t>)</w:t>
      </w:r>
      <w:r w:rsidRPr="00C73DF1">
        <w:rPr>
          <w:rFonts w:asciiTheme="majorBidi" w:hAnsiTheme="majorBidi" w:cstheme="majorBidi"/>
        </w:rPr>
        <w:t>.</w:t>
      </w:r>
    </w:p>
    <w:p w14:paraId="08013171" w14:textId="10BEA312" w:rsidR="009F1D70" w:rsidRPr="00C73DF1" w:rsidRDefault="009F1D70" w:rsidP="00EE6004">
      <w:pPr>
        <w:pStyle w:val="ListParagraph"/>
        <w:numPr>
          <w:ilvl w:val="0"/>
          <w:numId w:val="8"/>
        </w:numPr>
        <w:spacing w:line="360" w:lineRule="auto"/>
        <w:ind w:left="720"/>
        <w:jc w:val="both"/>
        <w:rPr>
          <w:rFonts w:asciiTheme="majorBidi" w:hAnsiTheme="majorBidi" w:cstheme="majorBidi"/>
        </w:rPr>
      </w:pPr>
      <w:r w:rsidRPr="00C73DF1">
        <w:rPr>
          <w:rFonts w:asciiTheme="majorBidi" w:hAnsiTheme="majorBidi" w:cstheme="majorBidi"/>
        </w:rPr>
        <w:t>Drawing on the systematic reviews, to identify evidence to populate each decision-analytic model</w:t>
      </w:r>
      <w:r w:rsidR="008D7424" w:rsidRPr="00C73DF1">
        <w:rPr>
          <w:rFonts w:asciiTheme="majorBidi" w:hAnsiTheme="majorBidi" w:cstheme="majorBidi"/>
        </w:rPr>
        <w:t xml:space="preserve"> in the HVCSs</w:t>
      </w:r>
      <w:r w:rsidRPr="00C73DF1">
        <w:rPr>
          <w:rFonts w:asciiTheme="majorBidi" w:hAnsiTheme="majorBidi" w:cstheme="majorBidi"/>
        </w:rPr>
        <w:t>.</w:t>
      </w:r>
    </w:p>
    <w:p w14:paraId="30D260FE" w14:textId="2EBF6412" w:rsidR="009F1D70" w:rsidRPr="00C73DF1" w:rsidRDefault="009F1D70" w:rsidP="00EE6004">
      <w:pPr>
        <w:pStyle w:val="ListParagraph"/>
        <w:numPr>
          <w:ilvl w:val="0"/>
          <w:numId w:val="8"/>
        </w:numPr>
        <w:spacing w:line="360" w:lineRule="auto"/>
        <w:ind w:left="720"/>
        <w:jc w:val="both"/>
        <w:rPr>
          <w:rFonts w:asciiTheme="majorBidi" w:hAnsiTheme="majorBidi" w:cstheme="majorBidi"/>
        </w:rPr>
      </w:pPr>
      <w:r w:rsidRPr="00C73DF1">
        <w:rPr>
          <w:rFonts w:asciiTheme="majorBidi" w:hAnsiTheme="majorBidi" w:cstheme="majorBidi"/>
        </w:rPr>
        <w:t>To use structured expert elicitation as necessary to supplement the available evidence to populate the decision-analytic models at the level</w:t>
      </w:r>
      <w:r w:rsidR="00267B98" w:rsidRPr="00C73DF1">
        <w:rPr>
          <w:rFonts w:asciiTheme="majorBidi" w:hAnsiTheme="majorBidi" w:cstheme="majorBidi"/>
        </w:rPr>
        <w:t>s</w:t>
      </w:r>
      <w:r w:rsidRPr="00C73DF1">
        <w:rPr>
          <w:rFonts w:asciiTheme="majorBidi" w:hAnsiTheme="majorBidi" w:cstheme="majorBidi"/>
        </w:rPr>
        <w:t xml:space="preserve"> of the individual patient and populations</w:t>
      </w:r>
      <w:r w:rsidR="008D7424" w:rsidRPr="00C73DF1">
        <w:rPr>
          <w:rFonts w:asciiTheme="majorBidi" w:hAnsiTheme="majorBidi" w:cstheme="majorBidi"/>
        </w:rPr>
        <w:t xml:space="preserve"> in the HVCSs</w:t>
      </w:r>
      <w:r w:rsidRPr="00C73DF1">
        <w:rPr>
          <w:rFonts w:asciiTheme="majorBidi" w:hAnsiTheme="majorBidi" w:cstheme="majorBidi"/>
        </w:rPr>
        <w:t>.</w:t>
      </w:r>
    </w:p>
    <w:p w14:paraId="11DFB8CF" w14:textId="5CE51285" w:rsidR="009F1D70" w:rsidRPr="00C73DF1" w:rsidRDefault="009F1D70" w:rsidP="00EE6004">
      <w:pPr>
        <w:pStyle w:val="ListParagraph"/>
        <w:numPr>
          <w:ilvl w:val="0"/>
          <w:numId w:val="8"/>
        </w:numPr>
        <w:spacing w:line="360" w:lineRule="auto"/>
        <w:ind w:left="720"/>
        <w:jc w:val="both"/>
        <w:rPr>
          <w:rFonts w:asciiTheme="majorBidi" w:hAnsiTheme="majorBidi" w:cstheme="majorBidi"/>
        </w:rPr>
      </w:pPr>
      <w:r w:rsidRPr="00C73DF1">
        <w:rPr>
          <w:rFonts w:asciiTheme="majorBidi" w:hAnsiTheme="majorBidi" w:cstheme="majorBidi"/>
        </w:rPr>
        <w:t>To use available evidence</w:t>
      </w:r>
      <w:r w:rsidR="00CF7D5E" w:rsidRPr="00C73DF1">
        <w:rPr>
          <w:rFonts w:asciiTheme="majorBidi" w:hAnsiTheme="majorBidi" w:cstheme="majorBidi"/>
        </w:rPr>
        <w:t xml:space="preserve"> and where necessary expert opinion to</w:t>
      </w:r>
      <w:r w:rsidRPr="00C73DF1">
        <w:rPr>
          <w:rFonts w:asciiTheme="majorBidi" w:hAnsiTheme="majorBidi" w:cstheme="majorBidi"/>
        </w:rPr>
        <w:t xml:space="preserve"> </w:t>
      </w:r>
      <w:r w:rsidR="00CF7D5E" w:rsidRPr="00C73DF1">
        <w:rPr>
          <w:rFonts w:asciiTheme="majorBidi" w:hAnsiTheme="majorBidi" w:cstheme="majorBidi"/>
        </w:rPr>
        <w:t>quantitatively extrapolate</w:t>
      </w:r>
      <w:r w:rsidRPr="00C73DF1">
        <w:rPr>
          <w:rFonts w:asciiTheme="majorBidi" w:hAnsiTheme="majorBidi" w:cstheme="majorBidi"/>
        </w:rPr>
        <w:t xml:space="preserve"> estimated p</w:t>
      </w:r>
      <w:r w:rsidR="00270C20">
        <w:rPr>
          <w:rFonts w:asciiTheme="majorBidi" w:hAnsiTheme="majorBidi" w:cstheme="majorBidi"/>
        </w:rPr>
        <w:t xml:space="preserve">opulation </w:t>
      </w:r>
      <w:r w:rsidR="00D10F09" w:rsidRPr="00C73DF1">
        <w:rPr>
          <w:rFonts w:asciiTheme="majorBidi" w:hAnsiTheme="majorBidi" w:cstheme="majorBidi"/>
        </w:rPr>
        <w:t>I</w:t>
      </w:r>
      <w:r w:rsidRPr="00C73DF1">
        <w:rPr>
          <w:rFonts w:asciiTheme="majorBidi" w:hAnsiTheme="majorBidi" w:cstheme="majorBidi"/>
        </w:rPr>
        <w:t>NHEs associated with CAZ-AVI in the HVCSs to other expected uses for the product beyond the HVCSs and within the product’s licensed indications.</w:t>
      </w:r>
    </w:p>
    <w:p w14:paraId="71DB19E6" w14:textId="4EF18EDB" w:rsidR="009F1D70" w:rsidRDefault="00EC4036" w:rsidP="002B3B5E">
      <w:pPr>
        <w:pStyle w:val="Heading1"/>
        <w:numPr>
          <w:ilvl w:val="0"/>
          <w:numId w:val="1"/>
        </w:numPr>
      </w:pPr>
      <w:bookmarkStart w:id="40" w:name="_Toc87462971"/>
      <w:r>
        <w:t>Decision problem</w:t>
      </w:r>
      <w:bookmarkEnd w:id="40"/>
    </w:p>
    <w:p w14:paraId="7B728F65" w14:textId="77777777" w:rsidR="00234086" w:rsidRPr="00234086" w:rsidRDefault="00234086" w:rsidP="00234086"/>
    <w:p w14:paraId="7D7D7753" w14:textId="2B236737" w:rsidR="009F1D70" w:rsidRPr="005E71D7" w:rsidRDefault="009F1D70" w:rsidP="00273565">
      <w:pPr>
        <w:pStyle w:val="EEPRUnumberedLevel2Headingnew"/>
        <w:rPr>
          <w:rStyle w:val="Heading1Char"/>
          <w:rFonts w:asciiTheme="majorBidi" w:hAnsiTheme="majorBidi"/>
          <w:b/>
          <w:bCs/>
          <w:sz w:val="26"/>
          <w:szCs w:val="26"/>
        </w:rPr>
      </w:pPr>
      <w:bookmarkStart w:id="41" w:name="_Toc65482382"/>
      <w:bookmarkStart w:id="42" w:name="_Toc77952383"/>
      <w:bookmarkStart w:id="43" w:name="_Toc83890497"/>
      <w:bookmarkStart w:id="44" w:name="_Toc87462972"/>
      <w:r w:rsidRPr="005E71D7">
        <w:rPr>
          <w:rStyle w:val="Heading1Char"/>
          <w:rFonts w:asciiTheme="majorBidi" w:hAnsiTheme="majorBidi"/>
          <w:b/>
          <w:bCs/>
          <w:sz w:val="26"/>
          <w:szCs w:val="26"/>
        </w:rPr>
        <w:t>Decision making context</w:t>
      </w:r>
      <w:bookmarkEnd w:id="41"/>
      <w:bookmarkEnd w:id="42"/>
      <w:bookmarkEnd w:id="43"/>
      <w:bookmarkEnd w:id="44"/>
    </w:p>
    <w:p w14:paraId="5157A536" w14:textId="0707A088" w:rsidR="009F1D70" w:rsidRPr="008628FC" w:rsidRDefault="009F1D70" w:rsidP="009F1D70">
      <w:pPr>
        <w:spacing w:line="360" w:lineRule="auto"/>
        <w:jc w:val="both"/>
        <w:rPr>
          <w:rFonts w:asciiTheme="majorBidi" w:eastAsiaTheme="majorEastAsia" w:hAnsiTheme="majorBidi" w:cstheme="majorBidi"/>
          <w:bCs/>
          <w:kern w:val="32"/>
        </w:rPr>
      </w:pPr>
      <w:r w:rsidRPr="008628FC">
        <w:rPr>
          <w:rFonts w:asciiTheme="majorBidi" w:hAnsiTheme="majorBidi" w:cstheme="majorBidi"/>
        </w:rPr>
        <w:t xml:space="preserve">The overarching purpose of the health technology assessment (HTA) is to inform funding arrangements for CAZ-AVI in England.  The drug’s funding will differ from that of drugs evaluated under NICE Technology Appraisals in two important ways.  Firstly, the payment for CAZ-AVI will be delinked from usage volumes and, instead, represent a fixed annual payment over the term of the agreement (3 years in the first instance, followed by a potential extension to </w:t>
      </w:r>
      <w:r w:rsidR="007E3D10">
        <w:rPr>
          <w:rFonts w:asciiTheme="majorBidi" w:hAnsiTheme="majorBidi" w:cstheme="majorBidi"/>
        </w:rPr>
        <w:t>10 years</w:t>
      </w:r>
      <w:r w:rsidRPr="008628FC">
        <w:rPr>
          <w:rFonts w:asciiTheme="majorBidi" w:hAnsiTheme="majorBidi" w:cstheme="majorBidi"/>
        </w:rPr>
        <w:t xml:space="preserve">). Secondly, in a NICE </w:t>
      </w:r>
      <w:r w:rsidR="00B86B9B">
        <w:rPr>
          <w:rFonts w:asciiTheme="majorBidi" w:hAnsiTheme="majorBidi" w:cstheme="majorBidi"/>
        </w:rPr>
        <w:t>HTA</w:t>
      </w:r>
      <w:r w:rsidRPr="008628FC">
        <w:rPr>
          <w:rFonts w:asciiTheme="majorBidi" w:hAnsiTheme="majorBidi" w:cstheme="majorBidi"/>
        </w:rPr>
        <w:t xml:space="preserve">, the price is proposed by the manufacturer, whereas here </w:t>
      </w:r>
      <w:r w:rsidRPr="00EC4036">
        <w:rPr>
          <w:rFonts w:asciiTheme="majorBidi" w:hAnsiTheme="majorBidi" w:cstheme="majorBidi"/>
        </w:rPr>
        <w:t xml:space="preserve">the payment will be agreed via commercial discussions between the manufacturer (Pfizer) and NHS England, informed by </w:t>
      </w:r>
      <w:r w:rsidR="00C73DF1" w:rsidRPr="00EC4036">
        <w:rPr>
          <w:rFonts w:asciiTheme="majorBidi" w:hAnsiTheme="majorBidi" w:cstheme="majorBidi"/>
        </w:rPr>
        <w:t>this evaluation</w:t>
      </w:r>
      <w:r w:rsidRPr="00EC4036">
        <w:rPr>
          <w:rFonts w:asciiTheme="majorBidi" w:hAnsiTheme="majorBidi" w:cstheme="majorBidi"/>
        </w:rPr>
        <w:t xml:space="preserve">. The role of the </w:t>
      </w:r>
      <w:r w:rsidR="003432D7" w:rsidRPr="00EC4036">
        <w:rPr>
          <w:rFonts w:asciiTheme="majorBidi" w:hAnsiTheme="majorBidi" w:cstheme="majorBidi"/>
        </w:rPr>
        <w:t>evaluation</w:t>
      </w:r>
      <w:r w:rsidRPr="00EC4036">
        <w:rPr>
          <w:rFonts w:asciiTheme="majorBidi" w:hAnsiTheme="majorBidi" w:cstheme="majorBidi"/>
        </w:rPr>
        <w:t xml:space="preserve"> and subsequent NICE Committee deliberations will be to provide guidance </w:t>
      </w:r>
      <w:r w:rsidRPr="00EC4036">
        <w:rPr>
          <w:rFonts w:asciiTheme="majorBidi" w:eastAsiaTheme="majorEastAsia" w:hAnsiTheme="majorBidi" w:cstheme="majorBidi"/>
          <w:bCs/>
          <w:kern w:val="32"/>
        </w:rPr>
        <w:t>on the value of CAZ-AVI to the NHS in England to inform these commercial discussions.  This will include providing advice on the preferred usage of CAZ-AVI including the role of stewardship strategies</w:t>
      </w:r>
      <w:r w:rsidR="00931357" w:rsidRPr="00EC4036">
        <w:rPr>
          <w:rFonts w:asciiTheme="majorBidi" w:eastAsiaTheme="majorEastAsia" w:hAnsiTheme="majorBidi" w:cstheme="majorBidi"/>
          <w:bCs/>
          <w:kern w:val="32"/>
        </w:rPr>
        <w:t xml:space="preserve"> (</w:t>
      </w:r>
      <w:proofErr w:type="gramStart"/>
      <w:r w:rsidR="00931357" w:rsidRPr="00EC4036">
        <w:rPr>
          <w:rFonts w:asciiTheme="majorBidi" w:eastAsiaTheme="majorEastAsia" w:hAnsiTheme="majorBidi" w:cstheme="majorBidi"/>
          <w:bCs/>
          <w:kern w:val="32"/>
        </w:rPr>
        <w:t>i.e.</w:t>
      </w:r>
      <w:proofErr w:type="gramEnd"/>
      <w:r w:rsidR="00931357" w:rsidRPr="00EC4036">
        <w:rPr>
          <w:rFonts w:asciiTheme="majorBidi" w:eastAsiaTheme="majorEastAsia" w:hAnsiTheme="majorBidi" w:cstheme="majorBidi"/>
          <w:bCs/>
          <w:kern w:val="32"/>
        </w:rPr>
        <w:t xml:space="preserve"> policies to ensure appropriate prescribing)</w:t>
      </w:r>
      <w:r w:rsidRPr="00EC4036">
        <w:rPr>
          <w:rFonts w:asciiTheme="majorBidi" w:eastAsiaTheme="majorEastAsia" w:hAnsiTheme="majorBidi" w:cstheme="majorBidi"/>
          <w:bCs/>
          <w:kern w:val="32"/>
        </w:rPr>
        <w:t>.</w:t>
      </w:r>
      <w:r w:rsidR="00931357" w:rsidRPr="00EC4036">
        <w:rPr>
          <w:rFonts w:asciiTheme="majorBidi" w:eastAsiaTheme="majorEastAsia" w:hAnsiTheme="majorBidi" w:cstheme="majorBidi"/>
          <w:bCs/>
          <w:kern w:val="32"/>
        </w:rPr>
        <w:t xml:space="preserve"> </w:t>
      </w:r>
    </w:p>
    <w:p w14:paraId="7FC1509F" w14:textId="2CA76D0F" w:rsidR="00931357" w:rsidRPr="00C73DF1" w:rsidRDefault="009F1D70" w:rsidP="00A83123">
      <w:pPr>
        <w:spacing w:line="360" w:lineRule="auto"/>
        <w:jc w:val="both"/>
        <w:rPr>
          <w:rFonts w:asciiTheme="majorBidi" w:hAnsiTheme="majorBidi" w:cstheme="majorBidi"/>
        </w:rPr>
      </w:pPr>
      <w:r w:rsidRPr="008628FC">
        <w:rPr>
          <w:rFonts w:asciiTheme="majorBidi" w:hAnsiTheme="majorBidi" w:cstheme="majorBidi"/>
        </w:rPr>
        <w:lastRenderedPageBreak/>
        <w:t xml:space="preserve">In previous work, </w:t>
      </w:r>
      <w:r w:rsidR="00186460">
        <w:rPr>
          <w:rFonts w:asciiTheme="majorBidi" w:hAnsiTheme="majorBidi" w:cstheme="majorBidi"/>
        </w:rPr>
        <w:t xml:space="preserve">the </w:t>
      </w:r>
      <w:r w:rsidR="00186460" w:rsidRPr="00186460">
        <w:rPr>
          <w:rFonts w:asciiTheme="majorBidi" w:hAnsiTheme="majorBidi" w:cstheme="majorBidi"/>
        </w:rPr>
        <w:t xml:space="preserve">Policy Research Unit in Economic Methods of Evaluation in </w:t>
      </w:r>
      <w:proofErr w:type="gramStart"/>
      <w:r w:rsidR="00186460" w:rsidRPr="00186460">
        <w:rPr>
          <w:rFonts w:asciiTheme="majorBidi" w:hAnsiTheme="majorBidi" w:cstheme="majorBidi"/>
        </w:rPr>
        <w:t>Health</w:t>
      </w:r>
      <w:proofErr w:type="gramEnd"/>
      <w:r w:rsidR="00186460" w:rsidRPr="00186460">
        <w:rPr>
          <w:rFonts w:asciiTheme="majorBidi" w:hAnsiTheme="majorBidi" w:cstheme="majorBidi"/>
        </w:rPr>
        <w:t xml:space="preserve"> and Social Care Interventions </w:t>
      </w:r>
      <w:r w:rsidR="00186460">
        <w:rPr>
          <w:rFonts w:asciiTheme="majorBidi" w:hAnsiTheme="majorBidi" w:cstheme="majorBidi"/>
        </w:rPr>
        <w:t>(</w:t>
      </w:r>
      <w:r w:rsidRPr="008628FC">
        <w:rPr>
          <w:rFonts w:asciiTheme="majorBidi" w:hAnsiTheme="majorBidi" w:cstheme="majorBidi"/>
        </w:rPr>
        <w:t>EEPRU</w:t>
      </w:r>
      <w:r w:rsidR="00186460">
        <w:rPr>
          <w:rFonts w:asciiTheme="majorBidi" w:hAnsiTheme="majorBidi" w:cstheme="majorBidi"/>
        </w:rPr>
        <w:t>)</w:t>
      </w:r>
      <w:r w:rsidRPr="008628FC">
        <w:rPr>
          <w:rFonts w:asciiTheme="majorBidi" w:hAnsiTheme="majorBidi" w:cstheme="majorBidi"/>
        </w:rPr>
        <w:t xml:space="preserve"> set</w:t>
      </w:r>
      <w:r w:rsidR="003432D7">
        <w:rPr>
          <w:rFonts w:asciiTheme="majorBidi" w:hAnsiTheme="majorBidi" w:cstheme="majorBidi"/>
        </w:rPr>
        <w:t xml:space="preserve"> out principles for quantitively</w:t>
      </w:r>
      <w:r w:rsidRPr="008628FC">
        <w:rPr>
          <w:rFonts w:asciiTheme="majorBidi" w:hAnsiTheme="majorBidi" w:cstheme="majorBidi"/>
        </w:rPr>
        <w:t xml:space="preserve"> evaluating the value of a new AM </w:t>
      </w:r>
      <w:r w:rsidR="00A83123" w:rsidRPr="00A83123">
        <w:rPr>
          <w:rFonts w:asciiTheme="majorBidi" w:hAnsiTheme="majorBidi" w:cstheme="majorBidi"/>
          <w:noProof/>
          <w:vertAlign w:val="superscript"/>
        </w:rPr>
        <w:t>13</w:t>
      </w:r>
      <w:r w:rsidRPr="008628FC">
        <w:rPr>
          <w:rFonts w:asciiTheme="majorBidi" w:hAnsiTheme="majorBidi" w:cstheme="majorBidi"/>
        </w:rPr>
        <w:t xml:space="preserve">. The starting point for this is to identify the range of ways in which CAZ-AVI can be used and to compare </w:t>
      </w:r>
      <w:r w:rsidRPr="00C73DF1">
        <w:rPr>
          <w:rFonts w:asciiTheme="majorBidi" w:hAnsiTheme="majorBidi" w:cstheme="majorBidi"/>
        </w:rPr>
        <w:t xml:space="preserve">these scenarios to the range of ways in which other comparator AMs </w:t>
      </w:r>
      <w:r w:rsidR="00931357" w:rsidRPr="00C73DF1">
        <w:rPr>
          <w:rFonts w:asciiTheme="majorBidi" w:hAnsiTheme="majorBidi" w:cstheme="majorBidi"/>
        </w:rPr>
        <w:t>can be used (usage scenarios).</w:t>
      </w:r>
    </w:p>
    <w:p w14:paraId="2A69DE69" w14:textId="0E49A09E" w:rsidR="009F1D70" w:rsidRPr="00C73DF1" w:rsidRDefault="009F1D70" w:rsidP="00196767">
      <w:pPr>
        <w:spacing w:line="360" w:lineRule="auto"/>
        <w:jc w:val="both"/>
        <w:rPr>
          <w:rFonts w:asciiTheme="majorBidi" w:hAnsiTheme="majorBidi" w:cstheme="majorBidi"/>
        </w:rPr>
      </w:pPr>
      <w:r w:rsidRPr="00C73DF1">
        <w:rPr>
          <w:rFonts w:asciiTheme="majorBidi" w:hAnsiTheme="majorBidi" w:cstheme="majorBidi"/>
        </w:rPr>
        <w:t>Value is defined as the expected impact of each usage scenario on p</w:t>
      </w:r>
      <w:r w:rsidR="00270C20">
        <w:rPr>
          <w:rFonts w:asciiTheme="majorBidi" w:hAnsiTheme="majorBidi" w:cstheme="majorBidi"/>
        </w:rPr>
        <w:t xml:space="preserve">opulation </w:t>
      </w:r>
      <w:r w:rsidR="00D10F09" w:rsidRPr="00C73DF1">
        <w:rPr>
          <w:rFonts w:asciiTheme="majorBidi" w:hAnsiTheme="majorBidi" w:cstheme="majorBidi"/>
        </w:rPr>
        <w:t>I</w:t>
      </w:r>
      <w:r w:rsidRPr="00C73DF1">
        <w:rPr>
          <w:rFonts w:asciiTheme="majorBidi" w:hAnsiTheme="majorBidi" w:cstheme="majorBidi"/>
        </w:rPr>
        <w:t xml:space="preserve">NHEs; value is defined at the population rather than individual-patient level as payments to the manufacturer will reflect overall value. </w:t>
      </w:r>
      <w:r w:rsidR="00270C20" w:rsidRPr="00C73DF1">
        <w:rPr>
          <w:rFonts w:asciiTheme="majorBidi" w:hAnsiTheme="majorBidi" w:cstheme="majorBidi"/>
        </w:rPr>
        <w:t>P</w:t>
      </w:r>
      <w:r w:rsidR="00270C20">
        <w:rPr>
          <w:rFonts w:asciiTheme="majorBidi" w:hAnsiTheme="majorBidi" w:cstheme="majorBidi"/>
        </w:rPr>
        <w:t xml:space="preserve">opulation </w:t>
      </w:r>
      <w:r w:rsidR="00D366D4" w:rsidRPr="00C73DF1">
        <w:rPr>
          <w:rFonts w:asciiTheme="majorBidi" w:hAnsiTheme="majorBidi" w:cstheme="majorBidi"/>
        </w:rPr>
        <w:t>I</w:t>
      </w:r>
      <w:r w:rsidRPr="00C73DF1">
        <w:rPr>
          <w:rFonts w:asciiTheme="majorBidi" w:hAnsiTheme="majorBidi" w:cstheme="majorBidi"/>
        </w:rPr>
        <w:t>NHEs reflect expected population-level health benefits to patients and the wider population, expected population-level costs borne by (or savings accruing to) the NHS, and a measure of the health opportunity cost of health-care funds which allows NHS costs to be converted to health foregone. As the purpose of the evaluation work is to inform a value-based payment for CAZ-AVI, the drug acquisition cost for CAZ-AVI is excluded from the calculation of p</w:t>
      </w:r>
      <w:r w:rsidR="00270C20">
        <w:rPr>
          <w:rFonts w:asciiTheme="majorBidi" w:hAnsiTheme="majorBidi" w:cstheme="majorBidi"/>
        </w:rPr>
        <w:t xml:space="preserve">opulation </w:t>
      </w:r>
      <w:r w:rsidR="00D366D4" w:rsidRPr="00C73DF1">
        <w:rPr>
          <w:rFonts w:asciiTheme="majorBidi" w:hAnsiTheme="majorBidi" w:cstheme="majorBidi"/>
        </w:rPr>
        <w:t>I</w:t>
      </w:r>
      <w:r w:rsidRPr="00C73DF1">
        <w:rPr>
          <w:rFonts w:asciiTheme="majorBidi" w:hAnsiTheme="majorBidi" w:cstheme="majorBidi"/>
        </w:rPr>
        <w:t>NHE.  The incremental value of CAZ-AVI is the difference between the p</w:t>
      </w:r>
      <w:r w:rsidR="00D366D4" w:rsidRPr="00C73DF1">
        <w:rPr>
          <w:rFonts w:asciiTheme="majorBidi" w:hAnsiTheme="majorBidi" w:cstheme="majorBidi"/>
        </w:rPr>
        <w:t xml:space="preserve">opulation </w:t>
      </w:r>
      <w:r w:rsidR="00186460" w:rsidRPr="00C73DF1">
        <w:rPr>
          <w:rFonts w:asciiTheme="majorBidi" w:hAnsiTheme="majorBidi" w:cstheme="majorBidi"/>
        </w:rPr>
        <w:t>net health effect (</w:t>
      </w:r>
      <w:r w:rsidRPr="00C73DF1">
        <w:rPr>
          <w:rFonts w:asciiTheme="majorBidi" w:hAnsiTheme="majorBidi" w:cstheme="majorBidi"/>
        </w:rPr>
        <w:t>NHE</w:t>
      </w:r>
      <w:r w:rsidR="00186460" w:rsidRPr="00C73DF1">
        <w:rPr>
          <w:rFonts w:asciiTheme="majorBidi" w:hAnsiTheme="majorBidi" w:cstheme="majorBidi"/>
        </w:rPr>
        <w:t>)</w:t>
      </w:r>
      <w:r w:rsidRPr="00C73DF1">
        <w:rPr>
          <w:rFonts w:asciiTheme="majorBidi" w:hAnsiTheme="majorBidi" w:cstheme="majorBidi"/>
        </w:rPr>
        <w:t xml:space="preserve"> associated with a given CAZ-AVI usage scenario and the highest p</w:t>
      </w:r>
      <w:r w:rsidR="00D366D4" w:rsidRPr="00C73DF1">
        <w:rPr>
          <w:rFonts w:asciiTheme="majorBidi" w:hAnsiTheme="majorBidi" w:cstheme="majorBidi"/>
        </w:rPr>
        <w:t xml:space="preserve">opulation </w:t>
      </w:r>
      <w:r w:rsidRPr="00C73DF1">
        <w:rPr>
          <w:rFonts w:asciiTheme="majorBidi" w:hAnsiTheme="majorBidi" w:cstheme="majorBidi"/>
        </w:rPr>
        <w:t xml:space="preserve">NHE for clinically relevant usage scenarios that include only comparator AMs. </w:t>
      </w:r>
      <w:r w:rsidR="00931357" w:rsidRPr="00C73DF1">
        <w:rPr>
          <w:rFonts w:asciiTheme="majorBidi" w:hAnsiTheme="majorBidi" w:cstheme="majorBidi"/>
        </w:rPr>
        <w:t xml:space="preserve">This is shown in Box 1. </w:t>
      </w:r>
    </w:p>
    <w:p w14:paraId="10814771" w14:textId="77777777" w:rsidR="00CE5623" w:rsidRDefault="00CE5623" w:rsidP="00196767">
      <w:pPr>
        <w:spacing w:line="360" w:lineRule="auto"/>
        <w:jc w:val="both"/>
        <w:rPr>
          <w:rFonts w:asciiTheme="majorBidi" w:hAnsiTheme="majorBidi" w:cstheme="majorBidi"/>
          <w:b/>
          <w:bCs/>
        </w:rPr>
      </w:pPr>
    </w:p>
    <w:p w14:paraId="39CB9200" w14:textId="77777777" w:rsidR="00CE5623" w:rsidRDefault="00CE5623" w:rsidP="00196767">
      <w:pPr>
        <w:spacing w:line="360" w:lineRule="auto"/>
        <w:jc w:val="both"/>
        <w:rPr>
          <w:rFonts w:asciiTheme="majorBidi" w:hAnsiTheme="majorBidi" w:cstheme="majorBidi"/>
          <w:b/>
          <w:bCs/>
        </w:rPr>
      </w:pPr>
    </w:p>
    <w:p w14:paraId="71CA13F9" w14:textId="77777777" w:rsidR="00CE5623" w:rsidRDefault="00CE5623" w:rsidP="00196767">
      <w:pPr>
        <w:spacing w:line="360" w:lineRule="auto"/>
        <w:jc w:val="both"/>
        <w:rPr>
          <w:rFonts w:asciiTheme="majorBidi" w:hAnsiTheme="majorBidi" w:cstheme="majorBidi"/>
          <w:b/>
          <w:bCs/>
        </w:rPr>
      </w:pPr>
    </w:p>
    <w:p w14:paraId="2545AAE0" w14:textId="77777777" w:rsidR="00CE5623" w:rsidRDefault="00CE5623" w:rsidP="00196767">
      <w:pPr>
        <w:spacing w:line="360" w:lineRule="auto"/>
        <w:jc w:val="both"/>
        <w:rPr>
          <w:rFonts w:asciiTheme="majorBidi" w:hAnsiTheme="majorBidi" w:cstheme="majorBidi"/>
          <w:b/>
          <w:bCs/>
        </w:rPr>
      </w:pPr>
    </w:p>
    <w:p w14:paraId="646D86A7" w14:textId="77777777" w:rsidR="00CE5623" w:rsidRDefault="00CE5623" w:rsidP="00196767">
      <w:pPr>
        <w:spacing w:line="360" w:lineRule="auto"/>
        <w:jc w:val="both"/>
        <w:rPr>
          <w:rFonts w:asciiTheme="majorBidi" w:hAnsiTheme="majorBidi" w:cstheme="majorBidi"/>
          <w:b/>
          <w:bCs/>
        </w:rPr>
      </w:pPr>
    </w:p>
    <w:p w14:paraId="4C502660" w14:textId="77777777" w:rsidR="00CE5623" w:rsidRDefault="00CE5623" w:rsidP="00196767">
      <w:pPr>
        <w:spacing w:line="360" w:lineRule="auto"/>
        <w:jc w:val="both"/>
        <w:rPr>
          <w:rFonts w:asciiTheme="majorBidi" w:hAnsiTheme="majorBidi" w:cstheme="majorBidi"/>
          <w:b/>
          <w:bCs/>
        </w:rPr>
      </w:pPr>
    </w:p>
    <w:p w14:paraId="6E4D3308" w14:textId="77777777" w:rsidR="00CE5623" w:rsidRDefault="00CE5623" w:rsidP="00196767">
      <w:pPr>
        <w:spacing w:line="360" w:lineRule="auto"/>
        <w:jc w:val="both"/>
        <w:rPr>
          <w:rFonts w:asciiTheme="majorBidi" w:hAnsiTheme="majorBidi" w:cstheme="majorBidi"/>
          <w:b/>
          <w:bCs/>
        </w:rPr>
      </w:pPr>
    </w:p>
    <w:p w14:paraId="2F2CABA6" w14:textId="77777777" w:rsidR="00CE5623" w:rsidRDefault="00CE5623" w:rsidP="00196767">
      <w:pPr>
        <w:spacing w:line="360" w:lineRule="auto"/>
        <w:jc w:val="both"/>
        <w:rPr>
          <w:rFonts w:asciiTheme="majorBidi" w:hAnsiTheme="majorBidi" w:cstheme="majorBidi"/>
          <w:b/>
          <w:bCs/>
        </w:rPr>
      </w:pPr>
    </w:p>
    <w:p w14:paraId="263385FA" w14:textId="77777777" w:rsidR="00CE5623" w:rsidRDefault="00CE5623" w:rsidP="00196767">
      <w:pPr>
        <w:spacing w:line="360" w:lineRule="auto"/>
        <w:jc w:val="both"/>
        <w:rPr>
          <w:rFonts w:asciiTheme="majorBidi" w:hAnsiTheme="majorBidi" w:cstheme="majorBidi"/>
          <w:b/>
          <w:bCs/>
        </w:rPr>
      </w:pPr>
    </w:p>
    <w:p w14:paraId="3190C004" w14:textId="77777777" w:rsidR="00CE5623" w:rsidRDefault="00CE5623" w:rsidP="00196767">
      <w:pPr>
        <w:spacing w:line="360" w:lineRule="auto"/>
        <w:jc w:val="both"/>
        <w:rPr>
          <w:rFonts w:asciiTheme="majorBidi" w:hAnsiTheme="majorBidi" w:cstheme="majorBidi"/>
          <w:b/>
          <w:bCs/>
        </w:rPr>
      </w:pPr>
    </w:p>
    <w:p w14:paraId="73405AC6" w14:textId="77777777" w:rsidR="00CE5623" w:rsidRDefault="00CE5623" w:rsidP="00196767">
      <w:pPr>
        <w:spacing w:line="360" w:lineRule="auto"/>
        <w:jc w:val="both"/>
        <w:rPr>
          <w:rFonts w:asciiTheme="majorBidi" w:hAnsiTheme="majorBidi" w:cstheme="majorBidi"/>
          <w:b/>
          <w:bCs/>
        </w:rPr>
      </w:pPr>
    </w:p>
    <w:p w14:paraId="72CB8A46" w14:textId="77777777" w:rsidR="00CE5623" w:rsidRDefault="00CE5623" w:rsidP="00196767">
      <w:pPr>
        <w:spacing w:line="360" w:lineRule="auto"/>
        <w:jc w:val="both"/>
        <w:rPr>
          <w:rFonts w:asciiTheme="majorBidi" w:hAnsiTheme="majorBidi" w:cstheme="majorBidi"/>
          <w:b/>
          <w:bCs/>
        </w:rPr>
      </w:pPr>
    </w:p>
    <w:p w14:paraId="4ABF0941" w14:textId="77777777" w:rsidR="00CE5623" w:rsidRDefault="00CE5623" w:rsidP="00196767">
      <w:pPr>
        <w:spacing w:line="360" w:lineRule="auto"/>
        <w:jc w:val="both"/>
        <w:rPr>
          <w:rFonts w:asciiTheme="majorBidi" w:hAnsiTheme="majorBidi" w:cstheme="majorBidi"/>
          <w:b/>
          <w:bCs/>
        </w:rPr>
      </w:pPr>
    </w:p>
    <w:p w14:paraId="3B40D841" w14:textId="77777777" w:rsidR="00CE5623" w:rsidRDefault="00CE5623" w:rsidP="00196767">
      <w:pPr>
        <w:spacing w:line="360" w:lineRule="auto"/>
        <w:jc w:val="both"/>
        <w:rPr>
          <w:rFonts w:asciiTheme="majorBidi" w:hAnsiTheme="majorBidi" w:cstheme="majorBidi"/>
          <w:b/>
          <w:bCs/>
        </w:rPr>
      </w:pPr>
    </w:p>
    <w:p w14:paraId="5BCAF38B" w14:textId="77777777" w:rsidR="00CE5623" w:rsidRDefault="00CE5623" w:rsidP="00196767">
      <w:pPr>
        <w:spacing w:line="360" w:lineRule="auto"/>
        <w:jc w:val="both"/>
        <w:rPr>
          <w:rFonts w:asciiTheme="majorBidi" w:hAnsiTheme="majorBidi" w:cstheme="majorBidi"/>
          <w:b/>
          <w:bCs/>
        </w:rPr>
      </w:pPr>
    </w:p>
    <w:p w14:paraId="2214DDD0" w14:textId="41B51A9E" w:rsidR="0095316F" w:rsidRPr="00DC6C4D" w:rsidRDefault="0095316F" w:rsidP="00196767">
      <w:pPr>
        <w:spacing w:line="360" w:lineRule="auto"/>
        <w:jc w:val="both"/>
        <w:rPr>
          <w:rFonts w:asciiTheme="majorBidi" w:hAnsiTheme="majorBidi" w:cstheme="majorBidi"/>
          <w:b/>
          <w:bCs/>
        </w:rPr>
      </w:pPr>
      <w:r w:rsidRPr="00DC6C4D">
        <w:rPr>
          <w:rFonts w:asciiTheme="majorBidi" w:hAnsiTheme="majorBidi" w:cstheme="majorBidi"/>
          <w:b/>
          <w:bCs/>
        </w:rPr>
        <w:lastRenderedPageBreak/>
        <w:t>Box 1: Assessing value in terms of population net health effects</w:t>
      </w:r>
    </w:p>
    <w:p w14:paraId="0F008EC8" w14:textId="5A9BCADE" w:rsidR="003560C6" w:rsidRPr="00C73DF1" w:rsidRDefault="0095316F" w:rsidP="00196767">
      <w:pPr>
        <w:spacing w:line="360" w:lineRule="auto"/>
        <w:jc w:val="both"/>
        <w:rPr>
          <w:rFonts w:asciiTheme="majorBidi" w:hAnsiTheme="majorBidi" w:cstheme="majorBidi"/>
        </w:rPr>
      </w:pPr>
      <w:r w:rsidRPr="00C73DF1">
        <w:rPr>
          <w:rFonts w:asciiTheme="majorBidi" w:hAnsiTheme="majorBidi" w:cstheme="majorBidi"/>
          <w:noProof/>
          <w:lang w:eastAsia="en-GB"/>
        </w:rPr>
        <mc:AlternateContent>
          <mc:Choice Requires="wps">
            <w:drawing>
              <wp:inline distT="0" distB="0" distL="0" distR="0" wp14:anchorId="25C298FE" wp14:editId="3735449D">
                <wp:extent cx="6076950" cy="4848225"/>
                <wp:effectExtent l="0" t="0" r="19050" b="28575"/>
                <wp:docPr id="15" name="Text Box 15"/>
                <wp:cNvGraphicFramePr/>
                <a:graphic xmlns:a="http://schemas.openxmlformats.org/drawingml/2006/main">
                  <a:graphicData uri="http://schemas.microsoft.com/office/word/2010/wordprocessingShape">
                    <wps:wsp>
                      <wps:cNvSpPr txBox="1"/>
                      <wps:spPr>
                        <a:xfrm>
                          <a:off x="0" y="0"/>
                          <a:ext cx="6076950" cy="4848225"/>
                        </a:xfrm>
                        <a:prstGeom prst="rect">
                          <a:avLst/>
                        </a:prstGeom>
                        <a:solidFill>
                          <a:schemeClr val="lt1"/>
                        </a:solidFill>
                        <a:ln w="6350">
                          <a:solidFill>
                            <a:prstClr val="black"/>
                          </a:solidFill>
                        </a:ln>
                      </wps:spPr>
                      <wps:txbx>
                        <w:txbxContent>
                          <w:p w14:paraId="78A9A275" w14:textId="226672C1" w:rsidR="008E01D0" w:rsidRPr="00C73DF1" w:rsidRDefault="008E01D0" w:rsidP="0095316F">
                            <w:pPr>
                              <w:spacing w:after="0" w:line="240" w:lineRule="auto"/>
                              <w:rPr>
                                <w:rFonts w:asciiTheme="majorBidi" w:hAnsiTheme="majorBidi" w:cstheme="majorBidi"/>
                                <w:sz w:val="20"/>
                                <w:szCs w:val="20"/>
                              </w:rPr>
                            </w:pPr>
                            <w:r w:rsidRPr="00C73DF1">
                              <w:rPr>
                                <w:rFonts w:asciiTheme="majorBidi" w:hAnsiTheme="majorBidi" w:cstheme="majorBidi"/>
                                <w:sz w:val="20"/>
                                <w:szCs w:val="20"/>
                              </w:rPr>
                              <w:t xml:space="preserve">Assume </w:t>
                            </w:r>
                            <w:proofErr w:type="gramStart"/>
                            <w:r w:rsidRPr="00C73DF1">
                              <w:rPr>
                                <w:rFonts w:asciiTheme="majorBidi" w:hAnsiTheme="majorBidi" w:cstheme="majorBidi"/>
                                <w:sz w:val="20"/>
                                <w:szCs w:val="20"/>
                              </w:rPr>
                              <w:t>a number of</w:t>
                            </w:r>
                            <w:proofErr w:type="gramEnd"/>
                            <w:r w:rsidRPr="00C73DF1">
                              <w:rPr>
                                <w:rFonts w:asciiTheme="majorBidi" w:hAnsiTheme="majorBidi" w:cstheme="majorBidi"/>
                                <w:sz w:val="20"/>
                                <w:szCs w:val="20"/>
                              </w:rPr>
                              <w:t xml:space="preserve"> strategies are being compared for a given indication. AM(N)</w:t>
                            </w:r>
                            <w:proofErr w:type="spellStart"/>
                            <w:r w:rsidRPr="00C73DF1">
                              <w:rPr>
                                <w:rFonts w:asciiTheme="majorBidi" w:hAnsiTheme="majorBidi" w:cstheme="majorBidi"/>
                                <w:sz w:val="20"/>
                                <w:szCs w:val="20"/>
                              </w:rPr>
                              <w:t>i</w:t>
                            </w:r>
                            <w:proofErr w:type="spellEnd"/>
                            <w:r w:rsidRPr="00C73DF1">
                              <w:rPr>
                                <w:rFonts w:asciiTheme="majorBidi" w:hAnsiTheme="majorBidi" w:cstheme="majorBidi"/>
                                <w:sz w:val="20"/>
                                <w:szCs w:val="20"/>
                              </w:rPr>
                              <w:t xml:space="preserve"> represent strategies using the new AM and AM(E)</w:t>
                            </w:r>
                            <w:proofErr w:type="spellStart"/>
                            <w:r w:rsidRPr="00C73DF1">
                              <w:rPr>
                                <w:rFonts w:asciiTheme="majorBidi" w:hAnsiTheme="majorBidi" w:cstheme="majorBidi"/>
                                <w:sz w:val="20"/>
                                <w:szCs w:val="20"/>
                              </w:rPr>
                              <w:t>i</w:t>
                            </w:r>
                            <w:proofErr w:type="spellEnd"/>
                            <w:r w:rsidRPr="00C73DF1">
                              <w:rPr>
                                <w:rFonts w:asciiTheme="majorBidi" w:hAnsiTheme="majorBidi" w:cstheme="majorBidi"/>
                                <w:sz w:val="20"/>
                                <w:szCs w:val="20"/>
                              </w:rPr>
                              <w:t xml:space="preserve"> are strategies for existing treatments. The table below provides illustrative estimates of the expected per patient treated costs (Column A) and health effects</w:t>
                            </w:r>
                            <w:r>
                              <w:rPr>
                                <w:rFonts w:asciiTheme="majorBidi" w:hAnsiTheme="majorBidi" w:cstheme="majorBidi"/>
                                <w:sz w:val="20"/>
                                <w:szCs w:val="20"/>
                              </w:rPr>
                              <w:t xml:space="preserve"> in terms of QALYs per patient (</w:t>
                            </w:r>
                            <w:r w:rsidRPr="00C73DF1">
                              <w:rPr>
                                <w:rFonts w:asciiTheme="majorBidi" w:hAnsiTheme="majorBidi" w:cstheme="majorBidi"/>
                                <w:sz w:val="20"/>
                                <w:szCs w:val="20"/>
                              </w:rPr>
                              <w:t>Column B), over the relevant time horizon.  The costs of the new AM strategies assume zero acquisition cost for the new product. Any indirect effects on others through changes in resistance are assumed to be reflected in the QALYs per patient treated.</w:t>
                            </w:r>
                          </w:p>
                          <w:p w14:paraId="1ECA68AA" w14:textId="77777777" w:rsidR="008E01D0" w:rsidRPr="00C73DF1" w:rsidRDefault="008E01D0" w:rsidP="0095316F">
                            <w:pPr>
                              <w:spacing w:after="0" w:line="240" w:lineRule="auto"/>
                              <w:ind w:left="360"/>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1287"/>
                              <w:gridCol w:w="1287"/>
                              <w:gridCol w:w="1957"/>
                              <w:gridCol w:w="1701"/>
                              <w:gridCol w:w="1843"/>
                            </w:tblGrid>
                            <w:tr w:rsidR="008E01D0" w:rsidRPr="00C73DF1" w14:paraId="475DCC8F" w14:textId="77777777" w:rsidTr="0095316F">
                              <w:tc>
                                <w:tcPr>
                                  <w:tcW w:w="1287" w:type="dxa"/>
                                </w:tcPr>
                                <w:p w14:paraId="561E114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A</w:t>
                                  </w:r>
                                </w:p>
                              </w:tc>
                              <w:tc>
                                <w:tcPr>
                                  <w:tcW w:w="1287" w:type="dxa"/>
                                </w:tcPr>
                                <w:p w14:paraId="5A88E019"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B</w:t>
                                  </w:r>
                                </w:p>
                              </w:tc>
                              <w:tc>
                                <w:tcPr>
                                  <w:tcW w:w="1957" w:type="dxa"/>
                                </w:tcPr>
                                <w:p w14:paraId="500A1817"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C</w:t>
                                  </w:r>
                                </w:p>
                              </w:tc>
                              <w:tc>
                                <w:tcPr>
                                  <w:tcW w:w="1701" w:type="dxa"/>
                                </w:tcPr>
                                <w:p w14:paraId="2E4B119C"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D</w:t>
                                  </w:r>
                                </w:p>
                              </w:tc>
                              <w:tc>
                                <w:tcPr>
                                  <w:tcW w:w="1843" w:type="dxa"/>
                                </w:tcPr>
                                <w:p w14:paraId="10EF4CB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w:t>
                                  </w:r>
                                </w:p>
                              </w:tc>
                            </w:tr>
                            <w:tr w:rsidR="008E01D0" w:rsidRPr="00C73DF1" w14:paraId="69B7A5D3" w14:textId="77777777" w:rsidTr="0095316F">
                              <w:tc>
                                <w:tcPr>
                                  <w:tcW w:w="1287" w:type="dxa"/>
                                </w:tcPr>
                                <w:p w14:paraId="747D74DE"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Strategy</w:t>
                                  </w:r>
                                </w:p>
                              </w:tc>
                              <w:tc>
                                <w:tcPr>
                                  <w:tcW w:w="1287" w:type="dxa"/>
                                </w:tcPr>
                                <w:p w14:paraId="0BF97092"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costs, PPT</w:t>
                                  </w:r>
                                </w:p>
                              </w:tc>
                              <w:tc>
                                <w:tcPr>
                                  <w:tcW w:w="1957" w:type="dxa"/>
                                </w:tcPr>
                                <w:p w14:paraId="7B6057B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QALYs, PPT</w:t>
                                  </w:r>
                                </w:p>
                              </w:tc>
                              <w:tc>
                                <w:tcPr>
                                  <w:tcW w:w="1701" w:type="dxa"/>
                                </w:tcPr>
                                <w:p w14:paraId="3A112C85"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net health benefit (QALYs) PPT</w:t>
                                  </w:r>
                                </w:p>
                              </w:tc>
                              <w:tc>
                                <w:tcPr>
                                  <w:tcW w:w="1843" w:type="dxa"/>
                                </w:tcPr>
                                <w:p w14:paraId="3FE5B0AD"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population net health benefit (QALYs)</w:t>
                                  </w:r>
                                </w:p>
                              </w:tc>
                            </w:tr>
                            <w:tr w:rsidR="008E01D0" w:rsidRPr="00C73DF1" w14:paraId="3F65FCAE" w14:textId="77777777" w:rsidTr="0095316F">
                              <w:trPr>
                                <w:trHeight w:val="315"/>
                              </w:trPr>
                              <w:tc>
                                <w:tcPr>
                                  <w:tcW w:w="1287" w:type="dxa"/>
                                </w:tcPr>
                                <w:p w14:paraId="45618CB5"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AM(N)1</w:t>
                                  </w:r>
                                </w:p>
                              </w:tc>
                              <w:tc>
                                <w:tcPr>
                                  <w:tcW w:w="1287" w:type="dxa"/>
                                  <w:vAlign w:val="bottom"/>
                                </w:tcPr>
                                <w:p w14:paraId="4A5FDBA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6800</w:t>
                                  </w:r>
                                </w:p>
                              </w:tc>
                              <w:tc>
                                <w:tcPr>
                                  <w:tcW w:w="1957" w:type="dxa"/>
                                  <w:vAlign w:val="bottom"/>
                                </w:tcPr>
                                <w:p w14:paraId="5A7ACF6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9.0</w:t>
                                  </w:r>
                                </w:p>
                              </w:tc>
                              <w:tc>
                                <w:tcPr>
                                  <w:tcW w:w="1701" w:type="dxa"/>
                                  <w:vAlign w:val="bottom"/>
                                </w:tcPr>
                                <w:p w14:paraId="3473FA5D"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8.547</w:t>
                                  </w:r>
                                </w:p>
                              </w:tc>
                              <w:tc>
                                <w:tcPr>
                                  <w:tcW w:w="1843" w:type="dxa"/>
                                  <w:vAlign w:val="bottom"/>
                                </w:tcPr>
                                <w:p w14:paraId="605887FE"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51280</w:t>
                                  </w:r>
                                </w:p>
                              </w:tc>
                            </w:tr>
                            <w:tr w:rsidR="008E01D0" w:rsidRPr="00C73DF1" w14:paraId="373057C1" w14:textId="77777777" w:rsidTr="0095316F">
                              <w:tc>
                                <w:tcPr>
                                  <w:tcW w:w="1287" w:type="dxa"/>
                                </w:tcPr>
                                <w:p w14:paraId="469B7E25"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AM(N)2</w:t>
                                  </w:r>
                                </w:p>
                              </w:tc>
                              <w:tc>
                                <w:tcPr>
                                  <w:tcW w:w="1287" w:type="dxa"/>
                                  <w:vAlign w:val="bottom"/>
                                </w:tcPr>
                                <w:p w14:paraId="5643309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7000</w:t>
                                  </w:r>
                                </w:p>
                              </w:tc>
                              <w:tc>
                                <w:tcPr>
                                  <w:tcW w:w="1957" w:type="dxa"/>
                                  <w:vAlign w:val="bottom"/>
                                </w:tcPr>
                                <w:p w14:paraId="6AAC51A5"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9.3</w:t>
                                  </w:r>
                                </w:p>
                              </w:tc>
                              <w:tc>
                                <w:tcPr>
                                  <w:tcW w:w="1701" w:type="dxa"/>
                                  <w:vAlign w:val="bottom"/>
                                </w:tcPr>
                                <w:p w14:paraId="6FC50EA4"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8.833</w:t>
                                  </w:r>
                                </w:p>
                              </w:tc>
                              <w:tc>
                                <w:tcPr>
                                  <w:tcW w:w="1843" w:type="dxa"/>
                                  <w:vAlign w:val="bottom"/>
                                </w:tcPr>
                                <w:p w14:paraId="75CF9266"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53000</w:t>
                                  </w:r>
                                </w:p>
                              </w:tc>
                            </w:tr>
                            <w:tr w:rsidR="008E01D0" w:rsidRPr="00C73DF1" w14:paraId="4DBE15DD" w14:textId="77777777" w:rsidTr="0095316F">
                              <w:tc>
                                <w:tcPr>
                                  <w:tcW w:w="1287" w:type="dxa"/>
                                </w:tcPr>
                                <w:p w14:paraId="54A354F6"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AM(N)3</w:t>
                                  </w:r>
                                </w:p>
                              </w:tc>
                              <w:tc>
                                <w:tcPr>
                                  <w:tcW w:w="1287" w:type="dxa"/>
                                  <w:vAlign w:val="bottom"/>
                                </w:tcPr>
                                <w:p w14:paraId="18FF5702"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7240</w:t>
                                  </w:r>
                                </w:p>
                              </w:tc>
                              <w:tc>
                                <w:tcPr>
                                  <w:tcW w:w="1957" w:type="dxa"/>
                                  <w:vAlign w:val="bottom"/>
                                </w:tcPr>
                                <w:p w14:paraId="16B9A1F3"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9.5</w:t>
                                  </w:r>
                                </w:p>
                              </w:tc>
                              <w:tc>
                                <w:tcPr>
                                  <w:tcW w:w="1701" w:type="dxa"/>
                                  <w:vAlign w:val="bottom"/>
                                </w:tcPr>
                                <w:p w14:paraId="6A869FE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9.017</w:t>
                                  </w:r>
                                </w:p>
                              </w:tc>
                              <w:tc>
                                <w:tcPr>
                                  <w:tcW w:w="1843" w:type="dxa"/>
                                  <w:vAlign w:val="bottom"/>
                                </w:tcPr>
                                <w:p w14:paraId="49B206DD"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54104</w:t>
                                  </w:r>
                                </w:p>
                              </w:tc>
                            </w:tr>
                            <w:tr w:rsidR="008E01D0" w:rsidRPr="00C73DF1" w14:paraId="3C67DFDB" w14:textId="77777777" w:rsidTr="0095316F">
                              <w:tc>
                                <w:tcPr>
                                  <w:tcW w:w="1287" w:type="dxa"/>
                                </w:tcPr>
                                <w:p w14:paraId="1059A75D"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AM(E)1</w:t>
                                  </w:r>
                                </w:p>
                              </w:tc>
                              <w:tc>
                                <w:tcPr>
                                  <w:tcW w:w="1287" w:type="dxa"/>
                                  <w:vAlign w:val="bottom"/>
                                </w:tcPr>
                                <w:p w14:paraId="5A7659B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7500</w:t>
                                  </w:r>
                                </w:p>
                              </w:tc>
                              <w:tc>
                                <w:tcPr>
                                  <w:tcW w:w="1957" w:type="dxa"/>
                                  <w:vAlign w:val="bottom"/>
                                </w:tcPr>
                                <w:p w14:paraId="095CFE3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8.9</w:t>
                                  </w:r>
                                </w:p>
                              </w:tc>
                              <w:tc>
                                <w:tcPr>
                                  <w:tcW w:w="1701" w:type="dxa"/>
                                  <w:vAlign w:val="bottom"/>
                                </w:tcPr>
                                <w:p w14:paraId="4F91BFC0"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8.400</w:t>
                                  </w:r>
                                </w:p>
                              </w:tc>
                              <w:tc>
                                <w:tcPr>
                                  <w:tcW w:w="1843" w:type="dxa"/>
                                  <w:vAlign w:val="bottom"/>
                                </w:tcPr>
                                <w:p w14:paraId="257609EF"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50400</w:t>
                                  </w:r>
                                </w:p>
                              </w:tc>
                            </w:tr>
                            <w:tr w:rsidR="008E01D0" w:rsidRPr="00C73DF1" w14:paraId="1483DB29" w14:textId="77777777" w:rsidTr="0095316F">
                              <w:tc>
                                <w:tcPr>
                                  <w:tcW w:w="1287" w:type="dxa"/>
                                </w:tcPr>
                                <w:p w14:paraId="780399B7"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AM(E)2</w:t>
                                  </w:r>
                                </w:p>
                              </w:tc>
                              <w:tc>
                                <w:tcPr>
                                  <w:tcW w:w="1287" w:type="dxa"/>
                                  <w:vAlign w:val="bottom"/>
                                </w:tcPr>
                                <w:p w14:paraId="3D2CF46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7800</w:t>
                                  </w:r>
                                </w:p>
                              </w:tc>
                              <w:tc>
                                <w:tcPr>
                                  <w:tcW w:w="1957" w:type="dxa"/>
                                  <w:vAlign w:val="bottom"/>
                                </w:tcPr>
                                <w:p w14:paraId="00A99F4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8.5</w:t>
                                  </w:r>
                                </w:p>
                              </w:tc>
                              <w:tc>
                                <w:tcPr>
                                  <w:tcW w:w="1701" w:type="dxa"/>
                                  <w:vAlign w:val="bottom"/>
                                </w:tcPr>
                                <w:p w14:paraId="06509B60"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7.980</w:t>
                                  </w:r>
                                </w:p>
                              </w:tc>
                              <w:tc>
                                <w:tcPr>
                                  <w:tcW w:w="1843" w:type="dxa"/>
                                  <w:vAlign w:val="bottom"/>
                                </w:tcPr>
                                <w:p w14:paraId="5D655BE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47880</w:t>
                                  </w:r>
                                </w:p>
                              </w:tc>
                            </w:tr>
                            <w:tr w:rsidR="008E01D0" w:rsidRPr="00C73DF1" w14:paraId="3EB10816" w14:textId="77777777" w:rsidTr="0095316F">
                              <w:tc>
                                <w:tcPr>
                                  <w:tcW w:w="1287" w:type="dxa"/>
                                </w:tcPr>
                                <w:p w14:paraId="217B827F"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AM(E)3</w:t>
                                  </w:r>
                                </w:p>
                              </w:tc>
                              <w:tc>
                                <w:tcPr>
                                  <w:tcW w:w="1287" w:type="dxa"/>
                                  <w:vAlign w:val="bottom"/>
                                </w:tcPr>
                                <w:p w14:paraId="1A4A0A5F"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7600</w:t>
                                  </w:r>
                                </w:p>
                              </w:tc>
                              <w:tc>
                                <w:tcPr>
                                  <w:tcW w:w="1957" w:type="dxa"/>
                                  <w:vAlign w:val="bottom"/>
                                </w:tcPr>
                                <w:p w14:paraId="257C95E3"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8.4</w:t>
                                  </w:r>
                                </w:p>
                              </w:tc>
                              <w:tc>
                                <w:tcPr>
                                  <w:tcW w:w="1701" w:type="dxa"/>
                                  <w:vAlign w:val="bottom"/>
                                </w:tcPr>
                                <w:p w14:paraId="378EE1D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7.893</w:t>
                                  </w:r>
                                </w:p>
                              </w:tc>
                              <w:tc>
                                <w:tcPr>
                                  <w:tcW w:w="1843" w:type="dxa"/>
                                  <w:vAlign w:val="bottom"/>
                                </w:tcPr>
                                <w:p w14:paraId="7F7B77D4"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47360</w:t>
                                  </w:r>
                                </w:p>
                              </w:tc>
                            </w:tr>
                          </w:tbl>
                          <w:p w14:paraId="28900870" w14:textId="77777777" w:rsidR="008E01D0" w:rsidRPr="00C73DF1" w:rsidRDefault="008E01D0" w:rsidP="0095316F">
                            <w:pPr>
                              <w:spacing w:after="0" w:line="240" w:lineRule="auto"/>
                              <w:rPr>
                                <w:rFonts w:asciiTheme="majorBidi" w:hAnsiTheme="majorBidi" w:cstheme="majorBidi"/>
                                <w:sz w:val="20"/>
                                <w:szCs w:val="20"/>
                              </w:rPr>
                            </w:pPr>
                          </w:p>
                          <w:p w14:paraId="3E9BFA44" w14:textId="119615C7" w:rsidR="008E01D0" w:rsidRPr="00CE5623" w:rsidRDefault="008E01D0" w:rsidP="00CE5623">
                            <w:pPr>
                              <w:spacing w:after="0" w:line="240" w:lineRule="auto"/>
                              <w:rPr>
                                <w:rFonts w:asciiTheme="majorBidi" w:hAnsiTheme="majorBidi" w:cstheme="majorBidi"/>
                                <w:sz w:val="20"/>
                                <w:szCs w:val="20"/>
                              </w:rPr>
                            </w:pPr>
                            <w:r w:rsidRPr="00C73DF1">
                              <w:rPr>
                                <w:rFonts w:asciiTheme="majorBidi" w:hAnsiTheme="majorBidi" w:cstheme="majorBidi"/>
                                <w:sz w:val="20"/>
                                <w:szCs w:val="20"/>
                              </w:rPr>
                              <w:t xml:space="preserve">Column D shows the expected per patient NHEs in terms of QALYs.  This is calculated as </w:t>
                            </w:r>
                            <m:oMath>
                              <m:r>
                                <w:rPr>
                                  <w:rFonts w:ascii="Cambria Math" w:hAnsi="Cambria Math" w:cstheme="majorBidi"/>
                                  <w:sz w:val="20"/>
                                  <w:szCs w:val="20"/>
                                </w:rPr>
                                <m:t>QALYs-</m:t>
                              </m:r>
                              <m:f>
                                <m:fPr>
                                  <m:ctrlPr>
                                    <w:rPr>
                                      <w:rFonts w:ascii="Cambria Math" w:hAnsi="Cambria Math" w:cstheme="majorBidi"/>
                                      <w:bCs/>
                                      <w:i/>
                                      <w:sz w:val="20"/>
                                      <w:szCs w:val="20"/>
                                    </w:rPr>
                                  </m:ctrlPr>
                                </m:fPr>
                                <m:num>
                                  <m:r>
                                    <w:rPr>
                                      <w:rFonts w:ascii="Cambria Math" w:hAnsi="Cambria Math" w:cstheme="majorBidi"/>
                                      <w:sz w:val="20"/>
                                      <w:szCs w:val="20"/>
                                    </w:rPr>
                                    <m:t>Cost</m:t>
                                  </m:r>
                                </m:num>
                                <m:den>
                                  <m:r>
                                    <w:rPr>
                                      <w:rFonts w:ascii="Cambria Math" w:hAnsi="Cambria Math" w:cstheme="majorBidi"/>
                                      <w:sz w:val="20"/>
                                      <w:szCs w:val="20"/>
                                    </w:rPr>
                                    <m:t>K</m:t>
                                  </m:r>
                                </m:den>
                              </m:f>
                            </m:oMath>
                            <w:r w:rsidRPr="00C73DF1">
                              <w:rPr>
                                <w:rFonts w:asciiTheme="majorBidi" w:eastAsiaTheme="minorEastAsia" w:hAnsiTheme="majorBidi" w:cstheme="majorBidi"/>
                                <w:sz w:val="20"/>
                                <w:szCs w:val="20"/>
                              </w:rPr>
                              <w:t>, where k is the estimate of health opportunity cost</w:t>
                            </w:r>
                            <w:r w:rsidRPr="00C73DF1">
                              <w:rPr>
                                <w:rFonts w:asciiTheme="majorBidi" w:hAnsiTheme="majorBidi" w:cstheme="majorBidi"/>
                                <w:sz w:val="20"/>
                                <w:szCs w:val="20"/>
                              </w:rPr>
                              <w:t xml:space="preserve"> which in this illustration is £15,000 per QALY. Column E details the expected population NHEs in QALYs assuming the potential to benefit 6000 patients over the time horizon of the analysis.  AM(N)3 represents the best of the strategies involving the new AM, with an expected population NHE of 54,104 QALYs for the new AM. To calculate the value of the new drug in NHEs the difference in population NHE between AM(N)3 and the best of the strategies using existing treatments is calculated (54,104 – 50,400 = 3,704 QALYs). This is the p</w:t>
                            </w:r>
                            <w:r>
                              <w:rPr>
                                <w:rFonts w:asciiTheme="majorBidi" w:hAnsiTheme="majorBidi" w:cstheme="majorBidi"/>
                                <w:sz w:val="20"/>
                                <w:szCs w:val="20"/>
                              </w:rPr>
                              <w:t xml:space="preserve">opulation </w:t>
                            </w:r>
                            <w:r w:rsidRPr="00C73DF1">
                              <w:rPr>
                                <w:rFonts w:asciiTheme="majorBidi" w:hAnsiTheme="majorBidi" w:cstheme="majorBidi"/>
                                <w:sz w:val="20"/>
                                <w:szCs w:val="20"/>
                              </w:rPr>
                              <w:t xml:space="preserve">INHE that is the focus of the current assessment as it will inform the value-based payment for the new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C298FE" id="Text Box 15" o:spid="_x0000_s1028" type="#_x0000_t202" style="width:478.5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" fillcolor="white [3201]" strokeweight=".5pt">
                <v:textbox>
                  <w:txbxContent>
                    <w:p w14:paraId="78A9A275" w14:textId="226672C1" w:rsidR="008E01D0" w:rsidRPr="00C73DF1" w:rsidRDefault="008E01D0" w:rsidP="0095316F">
                      <w:pPr>
                        <w:spacing w:after="0" w:line="240" w:lineRule="auto"/>
                        <w:rPr>
                          <w:rFonts w:asciiTheme="majorBidi" w:hAnsiTheme="majorBidi" w:cstheme="majorBidi"/>
                          <w:sz w:val="20"/>
                          <w:szCs w:val="20"/>
                        </w:rPr>
                      </w:pPr>
                      <w:r w:rsidRPr="00C73DF1">
                        <w:rPr>
                          <w:rFonts w:asciiTheme="majorBidi" w:hAnsiTheme="majorBidi" w:cstheme="majorBidi"/>
                          <w:sz w:val="20"/>
                          <w:szCs w:val="20"/>
                        </w:rPr>
                        <w:t xml:space="preserve">Assume </w:t>
                      </w:r>
                      <w:proofErr w:type="gramStart"/>
                      <w:r w:rsidRPr="00C73DF1">
                        <w:rPr>
                          <w:rFonts w:asciiTheme="majorBidi" w:hAnsiTheme="majorBidi" w:cstheme="majorBidi"/>
                          <w:sz w:val="20"/>
                          <w:szCs w:val="20"/>
                        </w:rPr>
                        <w:t>a number of</w:t>
                      </w:r>
                      <w:proofErr w:type="gramEnd"/>
                      <w:r w:rsidRPr="00C73DF1">
                        <w:rPr>
                          <w:rFonts w:asciiTheme="majorBidi" w:hAnsiTheme="majorBidi" w:cstheme="majorBidi"/>
                          <w:sz w:val="20"/>
                          <w:szCs w:val="20"/>
                        </w:rPr>
                        <w:t xml:space="preserve"> strategies are being compared for a given indication. AM(N)</w:t>
                      </w:r>
                      <w:proofErr w:type="spellStart"/>
                      <w:r w:rsidRPr="00C73DF1">
                        <w:rPr>
                          <w:rFonts w:asciiTheme="majorBidi" w:hAnsiTheme="majorBidi" w:cstheme="majorBidi"/>
                          <w:sz w:val="20"/>
                          <w:szCs w:val="20"/>
                        </w:rPr>
                        <w:t>i</w:t>
                      </w:r>
                      <w:proofErr w:type="spellEnd"/>
                      <w:r w:rsidRPr="00C73DF1">
                        <w:rPr>
                          <w:rFonts w:asciiTheme="majorBidi" w:hAnsiTheme="majorBidi" w:cstheme="majorBidi"/>
                          <w:sz w:val="20"/>
                          <w:szCs w:val="20"/>
                        </w:rPr>
                        <w:t xml:space="preserve"> represent strategies using the new AM and AM(E)</w:t>
                      </w:r>
                      <w:proofErr w:type="spellStart"/>
                      <w:r w:rsidRPr="00C73DF1">
                        <w:rPr>
                          <w:rFonts w:asciiTheme="majorBidi" w:hAnsiTheme="majorBidi" w:cstheme="majorBidi"/>
                          <w:sz w:val="20"/>
                          <w:szCs w:val="20"/>
                        </w:rPr>
                        <w:t>i</w:t>
                      </w:r>
                      <w:proofErr w:type="spellEnd"/>
                      <w:r w:rsidRPr="00C73DF1">
                        <w:rPr>
                          <w:rFonts w:asciiTheme="majorBidi" w:hAnsiTheme="majorBidi" w:cstheme="majorBidi"/>
                          <w:sz w:val="20"/>
                          <w:szCs w:val="20"/>
                        </w:rPr>
                        <w:t xml:space="preserve"> are strategies for existing treatments. The table below provides illustrative estimates of the expected per patient treated costs (Column A) and health effects</w:t>
                      </w:r>
                      <w:r>
                        <w:rPr>
                          <w:rFonts w:asciiTheme="majorBidi" w:hAnsiTheme="majorBidi" w:cstheme="majorBidi"/>
                          <w:sz w:val="20"/>
                          <w:szCs w:val="20"/>
                        </w:rPr>
                        <w:t xml:space="preserve"> in terms of QALYs per patient (</w:t>
                      </w:r>
                      <w:r w:rsidRPr="00C73DF1">
                        <w:rPr>
                          <w:rFonts w:asciiTheme="majorBidi" w:hAnsiTheme="majorBidi" w:cstheme="majorBidi"/>
                          <w:sz w:val="20"/>
                          <w:szCs w:val="20"/>
                        </w:rPr>
                        <w:t>Column B), over the relevant time horizon.  The costs of the new AM strategies assume zero acquisition cost for the new product. Any indirect effects on others through changes in resistance are assumed to be reflected in the QALYs per patient treated.</w:t>
                      </w:r>
                    </w:p>
                    <w:p w14:paraId="1ECA68AA" w14:textId="77777777" w:rsidR="008E01D0" w:rsidRPr="00C73DF1" w:rsidRDefault="008E01D0" w:rsidP="0095316F">
                      <w:pPr>
                        <w:spacing w:after="0" w:line="240" w:lineRule="auto"/>
                        <w:ind w:left="360"/>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1287"/>
                        <w:gridCol w:w="1287"/>
                        <w:gridCol w:w="1957"/>
                        <w:gridCol w:w="1701"/>
                        <w:gridCol w:w="1843"/>
                      </w:tblGrid>
                      <w:tr w:rsidR="008E01D0" w:rsidRPr="00C73DF1" w14:paraId="475DCC8F" w14:textId="77777777" w:rsidTr="0095316F">
                        <w:tc>
                          <w:tcPr>
                            <w:tcW w:w="1287" w:type="dxa"/>
                          </w:tcPr>
                          <w:p w14:paraId="561E114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A</w:t>
                            </w:r>
                          </w:p>
                        </w:tc>
                        <w:tc>
                          <w:tcPr>
                            <w:tcW w:w="1287" w:type="dxa"/>
                          </w:tcPr>
                          <w:p w14:paraId="5A88E019"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B</w:t>
                            </w:r>
                          </w:p>
                        </w:tc>
                        <w:tc>
                          <w:tcPr>
                            <w:tcW w:w="1957" w:type="dxa"/>
                          </w:tcPr>
                          <w:p w14:paraId="500A1817"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C</w:t>
                            </w:r>
                          </w:p>
                        </w:tc>
                        <w:tc>
                          <w:tcPr>
                            <w:tcW w:w="1701" w:type="dxa"/>
                          </w:tcPr>
                          <w:p w14:paraId="2E4B119C"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D</w:t>
                            </w:r>
                          </w:p>
                        </w:tc>
                        <w:tc>
                          <w:tcPr>
                            <w:tcW w:w="1843" w:type="dxa"/>
                          </w:tcPr>
                          <w:p w14:paraId="10EF4CB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w:t>
                            </w:r>
                          </w:p>
                        </w:tc>
                      </w:tr>
                      <w:tr w:rsidR="008E01D0" w:rsidRPr="00C73DF1" w14:paraId="69B7A5D3" w14:textId="77777777" w:rsidTr="0095316F">
                        <w:tc>
                          <w:tcPr>
                            <w:tcW w:w="1287" w:type="dxa"/>
                          </w:tcPr>
                          <w:p w14:paraId="747D74DE"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Strategy</w:t>
                            </w:r>
                          </w:p>
                        </w:tc>
                        <w:tc>
                          <w:tcPr>
                            <w:tcW w:w="1287" w:type="dxa"/>
                          </w:tcPr>
                          <w:p w14:paraId="0BF97092"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costs, PPT</w:t>
                            </w:r>
                          </w:p>
                        </w:tc>
                        <w:tc>
                          <w:tcPr>
                            <w:tcW w:w="1957" w:type="dxa"/>
                          </w:tcPr>
                          <w:p w14:paraId="7B6057B1"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QALYs, PPT</w:t>
                            </w:r>
                          </w:p>
                        </w:tc>
                        <w:tc>
                          <w:tcPr>
                            <w:tcW w:w="1701" w:type="dxa"/>
                          </w:tcPr>
                          <w:p w14:paraId="3A112C85"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net health benefit (QALYs) PPT</w:t>
                            </w:r>
                          </w:p>
                        </w:tc>
                        <w:tc>
                          <w:tcPr>
                            <w:tcW w:w="1843" w:type="dxa"/>
                          </w:tcPr>
                          <w:p w14:paraId="3FE5B0AD" w14:textId="77777777" w:rsidR="008E01D0" w:rsidRPr="00C73DF1" w:rsidRDefault="008E01D0" w:rsidP="0095316F">
                            <w:pPr>
                              <w:jc w:val="center"/>
                              <w:rPr>
                                <w:rFonts w:asciiTheme="majorBidi" w:hAnsiTheme="majorBidi" w:cstheme="majorBidi"/>
                                <w:sz w:val="20"/>
                                <w:szCs w:val="20"/>
                              </w:rPr>
                            </w:pPr>
                            <w:r w:rsidRPr="00C73DF1">
                              <w:rPr>
                                <w:rFonts w:asciiTheme="majorBidi" w:hAnsiTheme="majorBidi" w:cstheme="majorBidi"/>
                                <w:sz w:val="20"/>
                                <w:szCs w:val="20"/>
                              </w:rPr>
                              <w:t>Expected population net health benefit (QALYs)</w:t>
                            </w:r>
                          </w:p>
                        </w:tc>
                      </w:tr>
                      <w:tr w:rsidR="008E01D0" w:rsidRPr="00C73DF1" w14:paraId="3F65FCAE" w14:textId="77777777" w:rsidTr="0095316F">
                        <w:trPr>
                          <w:trHeight w:val="315"/>
                        </w:trPr>
                        <w:tc>
                          <w:tcPr>
                            <w:tcW w:w="1287" w:type="dxa"/>
                          </w:tcPr>
                          <w:p w14:paraId="45618CB5"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AM(N)1</w:t>
                            </w:r>
                          </w:p>
                        </w:tc>
                        <w:tc>
                          <w:tcPr>
                            <w:tcW w:w="1287" w:type="dxa"/>
                            <w:vAlign w:val="bottom"/>
                          </w:tcPr>
                          <w:p w14:paraId="4A5FDBA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6800</w:t>
                            </w:r>
                          </w:p>
                        </w:tc>
                        <w:tc>
                          <w:tcPr>
                            <w:tcW w:w="1957" w:type="dxa"/>
                            <w:vAlign w:val="bottom"/>
                          </w:tcPr>
                          <w:p w14:paraId="5A7ACF6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9.0</w:t>
                            </w:r>
                          </w:p>
                        </w:tc>
                        <w:tc>
                          <w:tcPr>
                            <w:tcW w:w="1701" w:type="dxa"/>
                            <w:vAlign w:val="bottom"/>
                          </w:tcPr>
                          <w:p w14:paraId="3473FA5D"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8.547</w:t>
                            </w:r>
                          </w:p>
                        </w:tc>
                        <w:tc>
                          <w:tcPr>
                            <w:tcW w:w="1843" w:type="dxa"/>
                            <w:vAlign w:val="bottom"/>
                          </w:tcPr>
                          <w:p w14:paraId="605887FE"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51280</w:t>
                            </w:r>
                          </w:p>
                        </w:tc>
                      </w:tr>
                      <w:tr w:rsidR="008E01D0" w:rsidRPr="00C73DF1" w14:paraId="373057C1" w14:textId="77777777" w:rsidTr="0095316F">
                        <w:tc>
                          <w:tcPr>
                            <w:tcW w:w="1287" w:type="dxa"/>
                          </w:tcPr>
                          <w:p w14:paraId="469B7E25"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AM(N)2</w:t>
                            </w:r>
                          </w:p>
                        </w:tc>
                        <w:tc>
                          <w:tcPr>
                            <w:tcW w:w="1287" w:type="dxa"/>
                            <w:vAlign w:val="bottom"/>
                          </w:tcPr>
                          <w:p w14:paraId="5643309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7000</w:t>
                            </w:r>
                          </w:p>
                        </w:tc>
                        <w:tc>
                          <w:tcPr>
                            <w:tcW w:w="1957" w:type="dxa"/>
                            <w:vAlign w:val="bottom"/>
                          </w:tcPr>
                          <w:p w14:paraId="6AAC51A5"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9.3</w:t>
                            </w:r>
                          </w:p>
                        </w:tc>
                        <w:tc>
                          <w:tcPr>
                            <w:tcW w:w="1701" w:type="dxa"/>
                            <w:vAlign w:val="bottom"/>
                          </w:tcPr>
                          <w:p w14:paraId="6FC50EA4"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8.833</w:t>
                            </w:r>
                          </w:p>
                        </w:tc>
                        <w:tc>
                          <w:tcPr>
                            <w:tcW w:w="1843" w:type="dxa"/>
                            <w:vAlign w:val="bottom"/>
                          </w:tcPr>
                          <w:p w14:paraId="75CF9266"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53000</w:t>
                            </w:r>
                          </w:p>
                        </w:tc>
                      </w:tr>
                      <w:tr w:rsidR="008E01D0" w:rsidRPr="00C73DF1" w14:paraId="4DBE15DD" w14:textId="77777777" w:rsidTr="0095316F">
                        <w:tc>
                          <w:tcPr>
                            <w:tcW w:w="1287" w:type="dxa"/>
                          </w:tcPr>
                          <w:p w14:paraId="54A354F6"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AM(N)3</w:t>
                            </w:r>
                          </w:p>
                        </w:tc>
                        <w:tc>
                          <w:tcPr>
                            <w:tcW w:w="1287" w:type="dxa"/>
                            <w:vAlign w:val="bottom"/>
                          </w:tcPr>
                          <w:p w14:paraId="18FF5702"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7240</w:t>
                            </w:r>
                          </w:p>
                        </w:tc>
                        <w:tc>
                          <w:tcPr>
                            <w:tcW w:w="1957" w:type="dxa"/>
                            <w:vAlign w:val="bottom"/>
                          </w:tcPr>
                          <w:p w14:paraId="16B9A1F3"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9.5</w:t>
                            </w:r>
                          </w:p>
                        </w:tc>
                        <w:tc>
                          <w:tcPr>
                            <w:tcW w:w="1701" w:type="dxa"/>
                            <w:vAlign w:val="bottom"/>
                          </w:tcPr>
                          <w:p w14:paraId="6A869FE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9.017</w:t>
                            </w:r>
                          </w:p>
                        </w:tc>
                        <w:tc>
                          <w:tcPr>
                            <w:tcW w:w="1843" w:type="dxa"/>
                            <w:vAlign w:val="bottom"/>
                          </w:tcPr>
                          <w:p w14:paraId="49B206DD"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54104</w:t>
                            </w:r>
                          </w:p>
                        </w:tc>
                      </w:tr>
                      <w:tr w:rsidR="008E01D0" w:rsidRPr="00C73DF1" w14:paraId="3C67DFDB" w14:textId="77777777" w:rsidTr="0095316F">
                        <w:tc>
                          <w:tcPr>
                            <w:tcW w:w="1287" w:type="dxa"/>
                          </w:tcPr>
                          <w:p w14:paraId="1059A75D"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AM(E)1</w:t>
                            </w:r>
                          </w:p>
                        </w:tc>
                        <w:tc>
                          <w:tcPr>
                            <w:tcW w:w="1287" w:type="dxa"/>
                            <w:vAlign w:val="bottom"/>
                          </w:tcPr>
                          <w:p w14:paraId="5A7659B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7500</w:t>
                            </w:r>
                          </w:p>
                        </w:tc>
                        <w:tc>
                          <w:tcPr>
                            <w:tcW w:w="1957" w:type="dxa"/>
                            <w:vAlign w:val="bottom"/>
                          </w:tcPr>
                          <w:p w14:paraId="095CFE3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8.9</w:t>
                            </w:r>
                          </w:p>
                        </w:tc>
                        <w:tc>
                          <w:tcPr>
                            <w:tcW w:w="1701" w:type="dxa"/>
                            <w:vAlign w:val="bottom"/>
                          </w:tcPr>
                          <w:p w14:paraId="4F91BFC0"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8.400</w:t>
                            </w:r>
                          </w:p>
                        </w:tc>
                        <w:tc>
                          <w:tcPr>
                            <w:tcW w:w="1843" w:type="dxa"/>
                            <w:vAlign w:val="bottom"/>
                          </w:tcPr>
                          <w:p w14:paraId="257609EF"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50400</w:t>
                            </w:r>
                          </w:p>
                        </w:tc>
                      </w:tr>
                      <w:tr w:rsidR="008E01D0" w:rsidRPr="00C73DF1" w14:paraId="1483DB29" w14:textId="77777777" w:rsidTr="0095316F">
                        <w:tc>
                          <w:tcPr>
                            <w:tcW w:w="1287" w:type="dxa"/>
                          </w:tcPr>
                          <w:p w14:paraId="780399B7"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AM(E)2</w:t>
                            </w:r>
                          </w:p>
                        </w:tc>
                        <w:tc>
                          <w:tcPr>
                            <w:tcW w:w="1287" w:type="dxa"/>
                            <w:vAlign w:val="bottom"/>
                          </w:tcPr>
                          <w:p w14:paraId="3D2CF46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7800</w:t>
                            </w:r>
                          </w:p>
                        </w:tc>
                        <w:tc>
                          <w:tcPr>
                            <w:tcW w:w="1957" w:type="dxa"/>
                            <w:vAlign w:val="bottom"/>
                          </w:tcPr>
                          <w:p w14:paraId="00A99F4A"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8.5</w:t>
                            </w:r>
                          </w:p>
                        </w:tc>
                        <w:tc>
                          <w:tcPr>
                            <w:tcW w:w="1701" w:type="dxa"/>
                            <w:vAlign w:val="bottom"/>
                          </w:tcPr>
                          <w:p w14:paraId="06509B60"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7.980</w:t>
                            </w:r>
                          </w:p>
                        </w:tc>
                        <w:tc>
                          <w:tcPr>
                            <w:tcW w:w="1843" w:type="dxa"/>
                            <w:vAlign w:val="bottom"/>
                          </w:tcPr>
                          <w:p w14:paraId="5D655BE9"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47880</w:t>
                            </w:r>
                          </w:p>
                        </w:tc>
                      </w:tr>
                      <w:tr w:rsidR="008E01D0" w:rsidRPr="00C73DF1" w14:paraId="3EB10816" w14:textId="77777777" w:rsidTr="0095316F">
                        <w:tc>
                          <w:tcPr>
                            <w:tcW w:w="1287" w:type="dxa"/>
                          </w:tcPr>
                          <w:p w14:paraId="217B827F" w14:textId="77777777" w:rsidR="008E01D0" w:rsidRPr="00C73DF1" w:rsidRDefault="008E01D0" w:rsidP="0095316F">
                            <w:pPr>
                              <w:rPr>
                                <w:rFonts w:asciiTheme="majorBidi" w:hAnsiTheme="majorBidi" w:cstheme="majorBidi"/>
                                <w:sz w:val="20"/>
                                <w:szCs w:val="20"/>
                              </w:rPr>
                            </w:pPr>
                            <w:r w:rsidRPr="00C73DF1">
                              <w:rPr>
                                <w:rFonts w:asciiTheme="majorBidi" w:hAnsiTheme="majorBidi" w:cstheme="majorBidi"/>
                                <w:sz w:val="20"/>
                                <w:szCs w:val="20"/>
                              </w:rPr>
                              <w:t>AM(E)3</w:t>
                            </w:r>
                          </w:p>
                        </w:tc>
                        <w:tc>
                          <w:tcPr>
                            <w:tcW w:w="1287" w:type="dxa"/>
                            <w:vAlign w:val="bottom"/>
                          </w:tcPr>
                          <w:p w14:paraId="1A4A0A5F"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7600</w:t>
                            </w:r>
                          </w:p>
                        </w:tc>
                        <w:tc>
                          <w:tcPr>
                            <w:tcW w:w="1957" w:type="dxa"/>
                            <w:vAlign w:val="bottom"/>
                          </w:tcPr>
                          <w:p w14:paraId="257C95E3"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8.4</w:t>
                            </w:r>
                          </w:p>
                        </w:tc>
                        <w:tc>
                          <w:tcPr>
                            <w:tcW w:w="1701" w:type="dxa"/>
                            <w:vAlign w:val="bottom"/>
                          </w:tcPr>
                          <w:p w14:paraId="378EE1DC"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7.893</w:t>
                            </w:r>
                          </w:p>
                        </w:tc>
                        <w:tc>
                          <w:tcPr>
                            <w:tcW w:w="1843" w:type="dxa"/>
                            <w:vAlign w:val="bottom"/>
                          </w:tcPr>
                          <w:p w14:paraId="7F7B77D4" w14:textId="77777777" w:rsidR="008E01D0" w:rsidRPr="00C73DF1" w:rsidRDefault="008E01D0" w:rsidP="0095316F">
                            <w:pPr>
                              <w:jc w:val="right"/>
                              <w:rPr>
                                <w:rFonts w:asciiTheme="majorBidi" w:hAnsiTheme="majorBidi" w:cstheme="majorBidi"/>
                                <w:sz w:val="20"/>
                                <w:szCs w:val="20"/>
                              </w:rPr>
                            </w:pPr>
                            <w:r w:rsidRPr="00C73DF1">
                              <w:rPr>
                                <w:rFonts w:asciiTheme="majorBidi" w:hAnsiTheme="majorBidi" w:cstheme="majorBidi"/>
                                <w:color w:val="000000"/>
                                <w:sz w:val="20"/>
                                <w:szCs w:val="20"/>
                              </w:rPr>
                              <w:t>47360</w:t>
                            </w:r>
                          </w:p>
                        </w:tc>
                      </w:tr>
                    </w:tbl>
                    <w:p w14:paraId="28900870" w14:textId="77777777" w:rsidR="008E01D0" w:rsidRPr="00C73DF1" w:rsidRDefault="008E01D0" w:rsidP="0095316F">
                      <w:pPr>
                        <w:spacing w:after="0" w:line="240" w:lineRule="auto"/>
                        <w:rPr>
                          <w:rFonts w:asciiTheme="majorBidi" w:hAnsiTheme="majorBidi" w:cstheme="majorBidi"/>
                          <w:sz w:val="20"/>
                          <w:szCs w:val="20"/>
                        </w:rPr>
                      </w:pPr>
                    </w:p>
                    <w:p w14:paraId="3E9BFA44" w14:textId="119615C7" w:rsidR="008E01D0" w:rsidRPr="00CE5623" w:rsidRDefault="008E01D0" w:rsidP="00CE5623">
                      <w:pPr>
                        <w:spacing w:after="0" w:line="240" w:lineRule="auto"/>
                        <w:rPr>
                          <w:rFonts w:asciiTheme="majorBidi" w:hAnsiTheme="majorBidi" w:cstheme="majorBidi"/>
                          <w:sz w:val="20"/>
                          <w:szCs w:val="20"/>
                        </w:rPr>
                      </w:pPr>
                      <w:r w:rsidRPr="00C73DF1">
                        <w:rPr>
                          <w:rFonts w:asciiTheme="majorBidi" w:hAnsiTheme="majorBidi" w:cstheme="majorBidi"/>
                          <w:sz w:val="20"/>
                          <w:szCs w:val="20"/>
                        </w:rPr>
                        <w:t xml:space="preserve">Column D shows the expected per patient NHEs in terms of QALYs.  This is calculated as </w:t>
                      </w:r>
                      <m:oMath>
                        <m:r>
                          <w:rPr>
                            <w:rFonts w:ascii="Cambria Math" w:hAnsi="Cambria Math" w:cstheme="majorBidi"/>
                            <w:sz w:val="20"/>
                            <w:szCs w:val="20"/>
                          </w:rPr>
                          <m:t>QALYs-</m:t>
                        </m:r>
                        <m:f>
                          <m:fPr>
                            <m:ctrlPr>
                              <w:rPr>
                                <w:rFonts w:ascii="Cambria Math" w:hAnsi="Cambria Math" w:cstheme="majorBidi"/>
                                <w:bCs/>
                                <w:i/>
                                <w:sz w:val="20"/>
                                <w:szCs w:val="20"/>
                              </w:rPr>
                            </m:ctrlPr>
                          </m:fPr>
                          <m:num>
                            <m:r>
                              <w:rPr>
                                <w:rFonts w:ascii="Cambria Math" w:hAnsi="Cambria Math" w:cstheme="majorBidi"/>
                                <w:sz w:val="20"/>
                                <w:szCs w:val="20"/>
                              </w:rPr>
                              <m:t>Cost</m:t>
                            </m:r>
                          </m:num>
                          <m:den>
                            <m:r>
                              <w:rPr>
                                <w:rFonts w:ascii="Cambria Math" w:hAnsi="Cambria Math" w:cstheme="majorBidi"/>
                                <w:sz w:val="20"/>
                                <w:szCs w:val="20"/>
                              </w:rPr>
                              <m:t>K</m:t>
                            </m:r>
                          </m:den>
                        </m:f>
                      </m:oMath>
                      <w:r w:rsidRPr="00C73DF1">
                        <w:rPr>
                          <w:rFonts w:asciiTheme="majorBidi" w:eastAsiaTheme="minorEastAsia" w:hAnsiTheme="majorBidi" w:cstheme="majorBidi"/>
                          <w:sz w:val="20"/>
                          <w:szCs w:val="20"/>
                        </w:rPr>
                        <w:t>, where k is the estimate of health opportunity cost</w:t>
                      </w:r>
                      <w:r w:rsidRPr="00C73DF1">
                        <w:rPr>
                          <w:rFonts w:asciiTheme="majorBidi" w:hAnsiTheme="majorBidi" w:cstheme="majorBidi"/>
                          <w:sz w:val="20"/>
                          <w:szCs w:val="20"/>
                        </w:rPr>
                        <w:t xml:space="preserve"> which in this illustration is £15,000 per QALY. Column E details the expected population NHEs in QALYs assuming the potential to benefit 6000 patients over the time horizon of the analysis.  AM(N)3 represents the best of the strategies involving the new AM, with an expected population NHE of 54,104 QALYs for the new AM. To calculate the value of the new drug in NHEs the difference in population NHE between AM(N)3 and the best of the strategies using existing treatments is calculated (54,104 – 50,400 = 3,704 QALYs). This is the p</w:t>
                      </w:r>
                      <w:r>
                        <w:rPr>
                          <w:rFonts w:asciiTheme="majorBidi" w:hAnsiTheme="majorBidi" w:cstheme="majorBidi"/>
                          <w:sz w:val="20"/>
                          <w:szCs w:val="20"/>
                        </w:rPr>
                        <w:t xml:space="preserve">opulation </w:t>
                      </w:r>
                      <w:r w:rsidRPr="00C73DF1">
                        <w:rPr>
                          <w:rFonts w:asciiTheme="majorBidi" w:hAnsiTheme="majorBidi" w:cstheme="majorBidi"/>
                          <w:sz w:val="20"/>
                          <w:szCs w:val="20"/>
                        </w:rPr>
                        <w:t xml:space="preserve">INHE that is the focus of the current assessment as it will inform the value-based payment for the new treatment.  </w:t>
                      </w:r>
                    </w:p>
                  </w:txbxContent>
                </v:textbox>
                <w10:anchorlock/>
              </v:shape>
            </w:pict>
          </mc:Fallback>
        </mc:AlternateContent>
      </w:r>
    </w:p>
    <w:p w14:paraId="67DFEA03" w14:textId="6AD42BCB" w:rsidR="0095316F" w:rsidRPr="00C73DF1" w:rsidRDefault="0095316F">
      <w:pPr>
        <w:rPr>
          <w:rFonts w:asciiTheme="majorBidi" w:hAnsiTheme="majorBidi" w:cstheme="majorBidi"/>
        </w:rPr>
      </w:pPr>
      <w:r w:rsidRPr="00C73DF1">
        <w:rPr>
          <w:rFonts w:asciiTheme="majorBidi" w:hAnsiTheme="majorBidi" w:cstheme="majorBidi"/>
        </w:rPr>
        <w:br w:type="page"/>
      </w:r>
    </w:p>
    <w:p w14:paraId="3A863B29" w14:textId="72BAC874" w:rsidR="009F1D70" w:rsidRPr="008628FC" w:rsidRDefault="009F1D70" w:rsidP="009F1D70">
      <w:pPr>
        <w:spacing w:line="360" w:lineRule="auto"/>
        <w:jc w:val="both"/>
        <w:rPr>
          <w:rFonts w:asciiTheme="majorBidi" w:hAnsiTheme="majorBidi" w:cstheme="majorBidi"/>
        </w:rPr>
      </w:pPr>
      <w:bookmarkStart w:id="45" w:name="_Hlk65488352"/>
      <w:r w:rsidRPr="008628FC">
        <w:rPr>
          <w:rFonts w:asciiTheme="majorBidi" w:hAnsiTheme="majorBidi" w:cstheme="majorBidi"/>
        </w:rPr>
        <w:lastRenderedPageBreak/>
        <w:t>As the p</w:t>
      </w:r>
      <w:r w:rsidR="00270C20">
        <w:rPr>
          <w:rFonts w:asciiTheme="majorBidi" w:hAnsiTheme="majorBidi" w:cstheme="majorBidi"/>
        </w:rPr>
        <w:t xml:space="preserve">opulation </w:t>
      </w:r>
      <w:r w:rsidR="00AC40FF">
        <w:rPr>
          <w:rFonts w:asciiTheme="majorBidi" w:hAnsiTheme="majorBidi" w:cstheme="majorBidi"/>
        </w:rPr>
        <w:t>I</w:t>
      </w:r>
      <w:r w:rsidRPr="008628FC">
        <w:rPr>
          <w:rFonts w:asciiTheme="majorBidi" w:hAnsiTheme="majorBidi" w:cstheme="majorBidi"/>
        </w:rPr>
        <w:t xml:space="preserve">NHEs will inform the value-based payment to the manufacturer, they should reflect the overall value resulting from expected NHS usage.  </w:t>
      </w:r>
      <w:bookmarkStart w:id="46" w:name="_Hlk65481838"/>
      <w:r w:rsidRPr="008628FC">
        <w:rPr>
          <w:rFonts w:asciiTheme="majorBidi" w:hAnsiTheme="majorBidi" w:cstheme="majorBidi"/>
        </w:rPr>
        <w:t xml:space="preserve">Expected NHS usage, in principle, reflects both the preferred usage specified in NICE guidance and the implications of clinical decisions taken locally. </w:t>
      </w:r>
    </w:p>
    <w:bookmarkEnd w:id="45"/>
    <w:bookmarkEnd w:id="46"/>
    <w:p w14:paraId="4A9865A4" w14:textId="248F81DC"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 xml:space="preserve">As documented in Section </w:t>
      </w:r>
      <w:r w:rsidR="009976EE">
        <w:rPr>
          <w:rFonts w:asciiTheme="majorBidi" w:hAnsiTheme="majorBidi" w:cstheme="majorBidi"/>
          <w:cs/>
        </w:rPr>
        <w:t>‎</w:t>
      </w:r>
      <w:r w:rsidR="009976EE">
        <w:rPr>
          <w:rFonts w:asciiTheme="majorBidi" w:hAnsiTheme="majorBidi" w:cstheme="majorBidi"/>
        </w:rPr>
        <w:t>1</w:t>
      </w:r>
      <w:r w:rsidRPr="004124AB">
        <w:rPr>
          <w:rFonts w:asciiTheme="majorBidi" w:hAnsiTheme="majorBidi" w:cstheme="majorBidi"/>
        </w:rPr>
        <w:t xml:space="preserve">, the licensed indication for CAZ-AVI </w:t>
      </w:r>
      <w:r w:rsidR="00267B98">
        <w:rPr>
          <w:rFonts w:asciiTheme="majorBidi" w:hAnsiTheme="majorBidi" w:cstheme="majorBidi"/>
        </w:rPr>
        <w:t>i</w:t>
      </w:r>
      <w:r w:rsidRPr="004124AB">
        <w:rPr>
          <w:rFonts w:asciiTheme="majorBidi" w:hAnsiTheme="majorBidi" w:cstheme="majorBidi"/>
        </w:rPr>
        <w:t>s</w:t>
      </w:r>
      <w:r w:rsidR="00267B98">
        <w:rPr>
          <w:rFonts w:asciiTheme="majorBidi" w:hAnsiTheme="majorBidi" w:cstheme="majorBidi"/>
        </w:rPr>
        <w:t xml:space="preserve"> </w:t>
      </w:r>
      <w:proofErr w:type="gramStart"/>
      <w:r w:rsidR="00267B98">
        <w:rPr>
          <w:rFonts w:asciiTheme="majorBidi" w:hAnsiTheme="majorBidi" w:cstheme="majorBidi"/>
        </w:rPr>
        <w:t>fairly</w:t>
      </w:r>
      <w:r w:rsidRPr="004124AB">
        <w:rPr>
          <w:rFonts w:asciiTheme="majorBidi" w:hAnsiTheme="majorBidi" w:cstheme="majorBidi"/>
        </w:rPr>
        <w:t xml:space="preserve"> broad</w:t>
      </w:r>
      <w:proofErr w:type="gramEnd"/>
      <w:r w:rsidR="00B86B9B">
        <w:rPr>
          <w:rFonts w:asciiTheme="majorBidi" w:hAnsiTheme="majorBidi" w:cstheme="majorBidi"/>
        </w:rPr>
        <w:t xml:space="preserve">, </w:t>
      </w:r>
      <w:r w:rsidR="00B86B9B" w:rsidRPr="00B86B9B">
        <w:rPr>
          <w:rFonts w:asciiTheme="majorBidi" w:hAnsiTheme="majorBidi" w:cstheme="majorBidi"/>
        </w:rPr>
        <w:t>being available to any patient with limited treatment options, regardless of the site of the infection.</w:t>
      </w:r>
      <w:r w:rsidRPr="004124AB">
        <w:rPr>
          <w:rFonts w:asciiTheme="majorBidi" w:hAnsiTheme="majorBidi" w:cstheme="majorBidi"/>
        </w:rPr>
        <w:t xml:space="preserve"> In practice, to control the spread of resistance to CAZ-AVI and to preserve its long-term viability as an effective treatment option, CAZ-AVI is expected to be used in a more restricted group of patients than permitted by its license.  Quantifying the health and cost implications of using</w:t>
      </w:r>
      <w:r w:rsidRPr="008628FC">
        <w:rPr>
          <w:rFonts w:asciiTheme="majorBidi" w:hAnsiTheme="majorBidi" w:cstheme="majorBidi"/>
        </w:rPr>
        <w:t xml:space="preserve"> CAZ-AVI across anticipated NHS usage, even within this restricted population, remains challenging as use is expected across infections which differ in causative organism (pathogen, </w:t>
      </w:r>
      <w:proofErr w:type="gramStart"/>
      <w:r w:rsidRPr="008628FC">
        <w:rPr>
          <w:rFonts w:asciiTheme="majorBidi" w:hAnsiTheme="majorBidi" w:cstheme="majorBidi"/>
        </w:rPr>
        <w:t>susceptibility</w:t>
      </w:r>
      <w:proofErr w:type="gramEnd"/>
      <w:r w:rsidRPr="008628FC">
        <w:rPr>
          <w:rFonts w:asciiTheme="majorBidi" w:hAnsiTheme="majorBidi" w:cstheme="majorBidi"/>
        </w:rPr>
        <w:t xml:space="preserve"> and resistance mechanism), site of the infection, health care setting and other underlying features of the health status of the patient. </w:t>
      </w:r>
    </w:p>
    <w:p w14:paraId="538024EF" w14:textId="7D943AF4" w:rsidR="009F1D70" w:rsidRPr="00D37C24" w:rsidRDefault="009F1D70" w:rsidP="009F1D70">
      <w:pPr>
        <w:spacing w:line="360" w:lineRule="auto"/>
        <w:jc w:val="both"/>
        <w:rPr>
          <w:rFonts w:asciiTheme="majorBidi" w:hAnsiTheme="majorBidi" w:cstheme="majorBidi"/>
        </w:rPr>
      </w:pPr>
      <w:r w:rsidRPr="008628FC">
        <w:rPr>
          <w:rFonts w:asciiTheme="majorBidi" w:hAnsiTheme="majorBidi" w:cstheme="majorBidi"/>
        </w:rPr>
        <w:t>Th</w:t>
      </w:r>
      <w:r w:rsidR="00B86B9B">
        <w:rPr>
          <w:rFonts w:asciiTheme="majorBidi" w:hAnsiTheme="majorBidi" w:cstheme="majorBidi"/>
        </w:rPr>
        <w:t>is</w:t>
      </w:r>
      <w:r w:rsidRPr="008628FC">
        <w:rPr>
          <w:rFonts w:asciiTheme="majorBidi" w:hAnsiTheme="majorBidi" w:cstheme="majorBidi"/>
        </w:rPr>
        <w:t xml:space="preserve"> </w:t>
      </w:r>
      <w:r w:rsidR="00C73DF1">
        <w:rPr>
          <w:rFonts w:asciiTheme="majorBidi" w:hAnsiTheme="majorBidi" w:cstheme="majorBidi"/>
        </w:rPr>
        <w:t>evaluation</w:t>
      </w:r>
      <w:r w:rsidR="00C73DF1" w:rsidRPr="008628FC">
        <w:rPr>
          <w:rFonts w:asciiTheme="majorBidi" w:hAnsiTheme="majorBidi" w:cstheme="majorBidi"/>
        </w:rPr>
        <w:t xml:space="preserve"> </w:t>
      </w:r>
      <w:r w:rsidRPr="008628FC">
        <w:rPr>
          <w:rFonts w:asciiTheme="majorBidi" w:hAnsiTheme="majorBidi" w:cstheme="majorBidi"/>
        </w:rPr>
        <w:t xml:space="preserve">will seek to characterise the value of CAZ-AVI across its range of expected uses using two approaches. Firstly, decision modelling will be used to evaluate quantitatively the value of CAZ-AVI in two scenarios defined by features of the pathogen, site of infection, healthcare setting and other patient characteristics, considered to represent important uses of CAZ-AVI (referred to as the ‘high value clinical scenarios’ (HVCSs)). Secondly, we will </w:t>
      </w:r>
      <w:r w:rsidRPr="008C3B07">
        <w:rPr>
          <w:rFonts w:asciiTheme="majorBidi" w:hAnsiTheme="majorBidi" w:cstheme="majorBidi"/>
        </w:rPr>
        <w:t xml:space="preserve">provide </w:t>
      </w:r>
      <w:r w:rsidR="008C3B07" w:rsidRPr="008C3B07">
        <w:rPr>
          <w:rFonts w:asciiTheme="majorBidi" w:hAnsiTheme="majorBidi" w:cstheme="majorBidi"/>
        </w:rPr>
        <w:t xml:space="preserve">additional information and quantitative estimates </w:t>
      </w:r>
      <w:r w:rsidRPr="008C3B07">
        <w:rPr>
          <w:rFonts w:asciiTheme="majorBidi" w:hAnsiTheme="majorBidi" w:cstheme="majorBidi"/>
        </w:rPr>
        <w:t>to support the NICE Committee in assessing value in the overall</w:t>
      </w:r>
      <w:r w:rsidRPr="008628FC">
        <w:rPr>
          <w:rFonts w:asciiTheme="majorBidi" w:hAnsiTheme="majorBidi" w:cstheme="majorBidi"/>
        </w:rPr>
        <w:t xml:space="preserve"> population </w:t>
      </w:r>
      <w:r w:rsidRPr="00D37C24">
        <w:rPr>
          <w:rFonts w:asciiTheme="majorBidi" w:hAnsiTheme="majorBidi" w:cstheme="majorBidi"/>
        </w:rPr>
        <w:t xml:space="preserve">expected to receive CAZ-AVI including patients who fall outside the HVCSs. </w:t>
      </w:r>
    </w:p>
    <w:p w14:paraId="22C6B8ED" w14:textId="54E47B54" w:rsidR="005F1B60" w:rsidRDefault="005F1B60" w:rsidP="00A83123">
      <w:pPr>
        <w:spacing w:line="360" w:lineRule="auto"/>
        <w:jc w:val="both"/>
        <w:rPr>
          <w:rFonts w:asciiTheme="majorBidi" w:hAnsiTheme="majorBidi" w:cstheme="majorBidi"/>
        </w:rPr>
      </w:pPr>
      <w:r w:rsidRPr="00D37C24">
        <w:rPr>
          <w:rFonts w:asciiTheme="majorBidi" w:hAnsiTheme="majorBidi" w:cstheme="majorBidi"/>
        </w:rPr>
        <w:t>The literature on the economic evaluation of AMs has described a range of elements of value associated with these products that are not relevant to other interventions and previous work by EEPRU has sought to explain how these elements of value can be quantified in terms of p</w:t>
      </w:r>
      <w:r w:rsidR="00270C20">
        <w:rPr>
          <w:rFonts w:asciiTheme="majorBidi" w:hAnsiTheme="majorBidi" w:cstheme="majorBidi"/>
        </w:rPr>
        <w:t xml:space="preserve">opulation </w:t>
      </w:r>
      <w:r w:rsidR="00AC40FF">
        <w:rPr>
          <w:rFonts w:asciiTheme="majorBidi" w:hAnsiTheme="majorBidi" w:cstheme="majorBidi"/>
        </w:rPr>
        <w:t>I</w:t>
      </w:r>
      <w:r w:rsidRPr="00D37C24">
        <w:rPr>
          <w:rFonts w:asciiTheme="majorBidi" w:hAnsiTheme="majorBidi" w:cstheme="majorBidi"/>
        </w:rPr>
        <w:t>NHEs.</w:t>
      </w:r>
      <w:r w:rsidR="00A83123" w:rsidRPr="00A83123">
        <w:rPr>
          <w:rFonts w:asciiTheme="majorBidi" w:hAnsiTheme="majorBidi" w:cstheme="majorBidi"/>
          <w:noProof/>
          <w:vertAlign w:val="superscript"/>
        </w:rPr>
        <w:t>13</w:t>
      </w:r>
      <w:r w:rsidR="001B6B63" w:rsidRPr="00D37C24">
        <w:rPr>
          <w:rFonts w:asciiTheme="majorBidi" w:hAnsiTheme="majorBidi" w:cstheme="majorBidi"/>
        </w:rPr>
        <w:t xml:space="preserve"> </w:t>
      </w:r>
      <w:r w:rsidRPr="00D37C24">
        <w:rPr>
          <w:rFonts w:asciiTheme="majorBidi" w:hAnsiTheme="majorBidi" w:cstheme="majorBidi"/>
        </w:rPr>
        <w:t xml:space="preserve">As part of </w:t>
      </w:r>
      <w:r w:rsidR="0040010D" w:rsidRPr="00D37C24">
        <w:rPr>
          <w:rFonts w:asciiTheme="majorBidi" w:hAnsiTheme="majorBidi" w:cstheme="majorBidi"/>
        </w:rPr>
        <w:t>the current report</w:t>
      </w:r>
      <w:r w:rsidRPr="00D37C24">
        <w:rPr>
          <w:rFonts w:asciiTheme="majorBidi" w:hAnsiTheme="majorBidi" w:cstheme="majorBidi"/>
        </w:rPr>
        <w:t xml:space="preserve"> we assess the extent to which these additional elements of value are likely to apply in the context of CAZ-AVI and quantify them where this is feasible and they are expected to be </w:t>
      </w:r>
      <w:r w:rsidR="00942CA8" w:rsidRPr="00D37C24">
        <w:rPr>
          <w:rFonts w:asciiTheme="majorBidi" w:hAnsiTheme="majorBidi" w:cstheme="majorBidi"/>
        </w:rPr>
        <w:t xml:space="preserve">quantitatively </w:t>
      </w:r>
      <w:r w:rsidRPr="00D37C24">
        <w:rPr>
          <w:rFonts w:asciiTheme="majorBidi" w:hAnsiTheme="majorBidi" w:cstheme="majorBidi"/>
        </w:rPr>
        <w:t>important.</w:t>
      </w:r>
      <w:r>
        <w:rPr>
          <w:rFonts w:asciiTheme="majorBidi" w:hAnsiTheme="majorBidi" w:cstheme="majorBidi"/>
        </w:rPr>
        <w:t xml:space="preserve"> </w:t>
      </w:r>
    </w:p>
    <w:p w14:paraId="5CCEF8CB" w14:textId="77777777" w:rsidR="005844BA" w:rsidRPr="005844BA" w:rsidRDefault="005844BA" w:rsidP="005844BA">
      <w:pPr>
        <w:spacing w:line="360" w:lineRule="auto"/>
        <w:jc w:val="both"/>
        <w:rPr>
          <w:rFonts w:ascii="Times New Roman" w:hAnsi="Times New Roman" w:cs="Times New Roman"/>
        </w:rPr>
      </w:pPr>
      <w:r w:rsidRPr="005844BA">
        <w:rPr>
          <w:rFonts w:ascii="Times New Roman" w:hAnsi="Times New Roman" w:cs="Times New Roman"/>
        </w:rPr>
        <w:t>The resourcing for this project was equivalent to that of a diagnostic assessment review or multiple technology assessment for NICE, but the levels of analysis extend from the typical focus of those evaluations on a single type of patient for one indication and setting.  In this evaluation, we also include population level health effects now and over time, and across several indications and settings.  The objective is to use appropriate analyses of the available evidence at every level, but the detail in those analyses is inevitably constrained by the time and resources available for the project.</w:t>
      </w:r>
    </w:p>
    <w:p w14:paraId="18AEA97F" w14:textId="77777777" w:rsidR="005844BA" w:rsidRDefault="005844BA" w:rsidP="00A83123">
      <w:pPr>
        <w:spacing w:line="360" w:lineRule="auto"/>
        <w:jc w:val="both"/>
        <w:rPr>
          <w:rFonts w:asciiTheme="majorBidi" w:hAnsiTheme="majorBidi" w:cstheme="majorBidi"/>
        </w:rPr>
      </w:pPr>
    </w:p>
    <w:p w14:paraId="627DC515" w14:textId="426EDB8F" w:rsidR="005844BA" w:rsidRPr="008628FC" w:rsidRDefault="005844BA" w:rsidP="00A83123">
      <w:pPr>
        <w:spacing w:line="360" w:lineRule="auto"/>
        <w:jc w:val="both"/>
        <w:rPr>
          <w:rFonts w:asciiTheme="majorBidi" w:hAnsiTheme="majorBidi" w:cstheme="majorBidi"/>
        </w:rPr>
      </w:pPr>
    </w:p>
    <w:p w14:paraId="125DD608" w14:textId="77777777" w:rsidR="00273565" w:rsidRDefault="009F1D70" w:rsidP="00273565">
      <w:pPr>
        <w:pStyle w:val="EEPRUnumberedLevel2Headingnew"/>
        <w:rPr>
          <w:rStyle w:val="Heading1Char"/>
          <w:rFonts w:asciiTheme="majorBidi" w:hAnsiTheme="majorBidi"/>
          <w:b/>
          <w:bCs/>
          <w:sz w:val="26"/>
          <w:szCs w:val="26"/>
        </w:rPr>
      </w:pPr>
      <w:bookmarkStart w:id="47" w:name="_Toc65482384"/>
      <w:bookmarkStart w:id="48" w:name="_Toc77952384"/>
      <w:bookmarkStart w:id="49" w:name="_Toc83890498"/>
      <w:bookmarkStart w:id="50" w:name="_Toc87462973"/>
      <w:r w:rsidRPr="005E71D7">
        <w:rPr>
          <w:rStyle w:val="Heading1Char"/>
          <w:rFonts w:asciiTheme="majorBidi" w:hAnsiTheme="majorBidi"/>
          <w:b/>
          <w:bCs/>
          <w:sz w:val="26"/>
          <w:szCs w:val="26"/>
        </w:rPr>
        <w:lastRenderedPageBreak/>
        <w:t>High value clinical scenarios</w:t>
      </w:r>
      <w:bookmarkStart w:id="51" w:name="_Toc65482385"/>
      <w:bookmarkStart w:id="52" w:name="_Toc77952385"/>
      <w:bookmarkStart w:id="53" w:name="_Toc83890499"/>
      <w:bookmarkStart w:id="54" w:name="_Ref84605914"/>
      <w:bookmarkEnd w:id="47"/>
      <w:bookmarkEnd w:id="48"/>
      <w:bookmarkEnd w:id="49"/>
      <w:bookmarkEnd w:id="50"/>
    </w:p>
    <w:p w14:paraId="3EA46A60" w14:textId="65E2D30D" w:rsidR="009F1D70" w:rsidRPr="006E4E83" w:rsidRDefault="00273565" w:rsidP="00B674A1">
      <w:pPr>
        <w:pStyle w:val="Heading3"/>
        <w:ind w:left="1276" w:hanging="567"/>
        <w:rPr>
          <w:rFonts w:asciiTheme="majorBidi" w:hAnsiTheme="majorBidi"/>
          <w:sz w:val="26"/>
          <w:szCs w:val="26"/>
        </w:rPr>
      </w:pPr>
      <w:bookmarkStart w:id="55" w:name="_Toc87462974"/>
      <w:r w:rsidRPr="006E4E83">
        <w:rPr>
          <w:rFonts w:asciiTheme="majorBidi" w:hAnsiTheme="majorBidi"/>
          <w:sz w:val="26"/>
          <w:szCs w:val="26"/>
        </w:rPr>
        <w:t xml:space="preserve">3.2.1 </w:t>
      </w:r>
      <w:r w:rsidR="009F1D70" w:rsidRPr="006E4E83">
        <w:rPr>
          <w:rFonts w:asciiTheme="majorBidi" w:hAnsiTheme="majorBidi"/>
          <w:sz w:val="26"/>
          <w:szCs w:val="26"/>
        </w:rPr>
        <w:t>Pathogen and resistance mechanisms</w:t>
      </w:r>
      <w:bookmarkEnd w:id="51"/>
      <w:bookmarkEnd w:id="52"/>
      <w:bookmarkEnd w:id="53"/>
      <w:bookmarkEnd w:id="54"/>
      <w:bookmarkEnd w:id="55"/>
    </w:p>
    <w:p w14:paraId="4491AD55" w14:textId="77777777"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 xml:space="preserve">An important determinant of the efficacy of existing treatment and, therefore, to defining those patients most likely to benefit from CAZ-AVI, is the pathogen causing the infection and its mechanism of resistance. </w:t>
      </w:r>
    </w:p>
    <w:p w14:paraId="23B36228" w14:textId="22316A13" w:rsidR="009F1D70" w:rsidRPr="008628FC" w:rsidRDefault="009F1D70" w:rsidP="00A83123">
      <w:pPr>
        <w:spacing w:line="360" w:lineRule="auto"/>
        <w:jc w:val="both"/>
        <w:rPr>
          <w:rFonts w:asciiTheme="majorBidi" w:hAnsiTheme="majorBidi" w:cstheme="majorBidi"/>
        </w:rPr>
      </w:pPr>
      <w:r w:rsidRPr="008628FC">
        <w:rPr>
          <w:rFonts w:asciiTheme="majorBidi" w:hAnsiTheme="majorBidi" w:cstheme="majorBidi"/>
        </w:rPr>
        <w:t xml:space="preserve">Feedback during the NICE scoping consultation for CAZ-AVI, and subsequent consultation with clinical experts, has emphasised that CAZ-AVI should be prioritised for the treatment of patients with infections with confirmed or suspected carbapenem-resistant </w:t>
      </w:r>
      <w:r w:rsidR="00A47333" w:rsidRPr="00390AD1">
        <w:rPr>
          <w:rFonts w:asciiTheme="majorBidi" w:hAnsiTheme="majorBidi" w:cstheme="majorBidi"/>
        </w:rPr>
        <w:t>Gram-negative bacteria</w:t>
      </w:r>
      <w:r w:rsidRPr="008628FC">
        <w:rPr>
          <w:rFonts w:asciiTheme="majorBidi" w:hAnsiTheme="majorBidi" w:cstheme="majorBidi"/>
        </w:rPr>
        <w:t xml:space="preserve"> in secondary/tertiary care. Carbapenem resistant pathogens can be categorised according to two main classes of resistance mechanisms as discussed in detail in Section</w:t>
      </w:r>
      <w:r w:rsidR="009976EE">
        <w:rPr>
          <w:rFonts w:asciiTheme="majorBidi" w:hAnsiTheme="majorBidi" w:cstheme="majorBidi"/>
        </w:rPr>
        <w:t xml:space="preserve"> </w:t>
      </w:r>
      <w:r w:rsidR="009976EE">
        <w:rPr>
          <w:rFonts w:asciiTheme="majorBidi" w:hAnsiTheme="majorBidi" w:cstheme="majorBidi"/>
          <w:cs/>
        </w:rPr>
        <w:t>‎</w:t>
      </w:r>
      <w:r w:rsidR="009976EE">
        <w:rPr>
          <w:rFonts w:asciiTheme="majorBidi" w:hAnsiTheme="majorBidi" w:cstheme="majorBidi"/>
        </w:rPr>
        <w:t>1</w:t>
      </w:r>
      <w:r w:rsidRPr="008628FC">
        <w:rPr>
          <w:rFonts w:asciiTheme="majorBidi" w:hAnsiTheme="majorBidi" w:cstheme="majorBidi"/>
        </w:rPr>
        <w:t>: n</w:t>
      </w:r>
      <w:r w:rsidRPr="008628FC">
        <w:rPr>
          <w:rFonts w:asciiTheme="majorBidi" w:eastAsiaTheme="minorEastAsia" w:hAnsiTheme="majorBidi" w:cstheme="majorBidi"/>
          <w:bCs/>
          <w:lang w:eastAsia="zh-CN"/>
        </w:rPr>
        <w:t>on-</w:t>
      </w:r>
      <w:proofErr w:type="spellStart"/>
      <w:r w:rsidRPr="008628FC">
        <w:rPr>
          <w:rFonts w:asciiTheme="majorBidi" w:eastAsiaTheme="minorEastAsia" w:hAnsiTheme="majorBidi" w:cstheme="majorBidi"/>
          <w:bCs/>
          <w:lang w:eastAsia="zh-CN"/>
        </w:rPr>
        <w:t>carbapenemase</w:t>
      </w:r>
      <w:proofErr w:type="spellEnd"/>
      <w:r w:rsidRPr="008628FC">
        <w:rPr>
          <w:rFonts w:asciiTheme="majorBidi" w:eastAsiaTheme="minorEastAsia" w:hAnsiTheme="majorBidi" w:cstheme="majorBidi"/>
          <w:bCs/>
          <w:lang w:eastAsia="zh-CN"/>
        </w:rPr>
        <w:t xml:space="preserve"> carbapenem resistance</w:t>
      </w:r>
      <w:r w:rsidRPr="008628FC">
        <w:rPr>
          <w:rFonts w:asciiTheme="majorBidi" w:eastAsiaTheme="minorEastAsia" w:hAnsiTheme="majorBidi" w:cstheme="majorBidi"/>
          <w:lang w:eastAsia="zh-CN"/>
        </w:rPr>
        <w:t xml:space="preserve"> </w:t>
      </w:r>
      <w:r w:rsidRPr="008628FC">
        <w:rPr>
          <w:rFonts w:asciiTheme="majorBidi" w:hAnsiTheme="majorBidi" w:cstheme="majorBidi"/>
        </w:rPr>
        <w:t xml:space="preserve">and </w:t>
      </w:r>
      <w:proofErr w:type="spellStart"/>
      <w:r w:rsidRPr="008628FC">
        <w:rPr>
          <w:rFonts w:asciiTheme="majorBidi" w:hAnsiTheme="majorBidi" w:cstheme="majorBidi"/>
        </w:rPr>
        <w:t>c</w:t>
      </w:r>
      <w:r w:rsidRPr="008628FC">
        <w:rPr>
          <w:rFonts w:asciiTheme="majorBidi" w:hAnsiTheme="majorBidi" w:cstheme="majorBidi"/>
          <w:bCs/>
        </w:rPr>
        <w:t>arbapenemase</w:t>
      </w:r>
      <w:proofErr w:type="spellEnd"/>
      <w:r w:rsidRPr="008628FC">
        <w:rPr>
          <w:rFonts w:asciiTheme="majorBidi" w:hAnsiTheme="majorBidi" w:cstheme="majorBidi"/>
          <w:bCs/>
        </w:rPr>
        <w:t>-mediated carbapenem resistance</w:t>
      </w:r>
      <w:r w:rsidRPr="008628FC">
        <w:rPr>
          <w:rFonts w:asciiTheme="majorBidi" w:hAnsiTheme="majorBidi" w:cstheme="majorBidi"/>
        </w:rPr>
        <w:t>. For infections caused by carbapenem-resistant organisms with n</w:t>
      </w:r>
      <w:r w:rsidRPr="008628FC">
        <w:rPr>
          <w:rFonts w:asciiTheme="majorBidi" w:eastAsiaTheme="minorEastAsia" w:hAnsiTheme="majorBidi" w:cstheme="majorBidi"/>
          <w:bCs/>
          <w:lang w:eastAsia="zh-CN"/>
        </w:rPr>
        <w:t>on-</w:t>
      </w:r>
      <w:proofErr w:type="spellStart"/>
      <w:r w:rsidRPr="008628FC">
        <w:rPr>
          <w:rFonts w:asciiTheme="majorBidi" w:eastAsiaTheme="minorEastAsia" w:hAnsiTheme="majorBidi" w:cstheme="majorBidi"/>
          <w:bCs/>
          <w:lang w:eastAsia="zh-CN"/>
        </w:rPr>
        <w:t>carbapenemase</w:t>
      </w:r>
      <w:proofErr w:type="spellEnd"/>
      <w:r w:rsidRPr="008628FC">
        <w:rPr>
          <w:rFonts w:asciiTheme="majorBidi" w:eastAsiaTheme="minorEastAsia" w:hAnsiTheme="majorBidi" w:cstheme="majorBidi"/>
          <w:bCs/>
          <w:lang w:eastAsia="zh-CN"/>
        </w:rPr>
        <w:t xml:space="preserve"> resistance mechanisms,</w:t>
      </w:r>
      <w:r w:rsidRPr="008628FC">
        <w:rPr>
          <w:rFonts w:asciiTheme="majorBidi" w:eastAsiaTheme="minorEastAsia" w:hAnsiTheme="majorBidi" w:cstheme="majorBidi"/>
          <w:lang w:eastAsia="zh-CN"/>
        </w:rPr>
        <w:t xml:space="preserve"> </w:t>
      </w:r>
      <w:r w:rsidRPr="008628FC">
        <w:rPr>
          <w:rFonts w:asciiTheme="majorBidi" w:hAnsiTheme="majorBidi" w:cstheme="majorBidi"/>
        </w:rPr>
        <w:t xml:space="preserve">a range of treatment options remains available. </w:t>
      </w:r>
      <w:bookmarkStart w:id="56" w:name="_Hlk63947562"/>
      <w:r w:rsidRPr="008628FC">
        <w:rPr>
          <w:rFonts w:asciiTheme="majorBidi" w:hAnsiTheme="majorBidi" w:cstheme="majorBidi"/>
        </w:rPr>
        <w:t xml:space="preserve">Infections caused by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-producing pathogens </w:t>
      </w:r>
      <w:bookmarkEnd w:id="56"/>
      <w:r w:rsidRPr="008628FC">
        <w:rPr>
          <w:rFonts w:asciiTheme="majorBidi" w:hAnsiTheme="majorBidi" w:cstheme="majorBidi"/>
        </w:rPr>
        <w:t xml:space="preserve">have fewer treatment options. There are two main classes of </w:t>
      </w:r>
      <w:proofErr w:type="spellStart"/>
      <w:r w:rsidRPr="008628FC">
        <w:rPr>
          <w:rFonts w:asciiTheme="majorBidi" w:hAnsiTheme="majorBidi" w:cstheme="majorBidi"/>
        </w:rPr>
        <w:t>carbapenemase</w:t>
      </w:r>
      <w:proofErr w:type="spellEnd"/>
      <w:r w:rsidRPr="008628FC">
        <w:rPr>
          <w:rFonts w:asciiTheme="majorBidi" w:hAnsiTheme="majorBidi" w:cstheme="majorBidi"/>
        </w:rPr>
        <w:t>-producers: serine-</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and MBLs. The main serine-</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among </w:t>
      </w:r>
      <w:r w:rsidR="00D931C7">
        <w:rPr>
          <w:rFonts w:asciiTheme="majorBidi" w:hAnsiTheme="majorBidi" w:cstheme="majorBidi"/>
        </w:rPr>
        <w:t>CREs</w:t>
      </w:r>
      <w:r w:rsidRPr="008628FC">
        <w:rPr>
          <w:rFonts w:asciiTheme="majorBidi" w:hAnsiTheme="majorBidi" w:cstheme="majorBidi"/>
        </w:rPr>
        <w:t xml:space="preserve"> in the UK are OXA-48 and KPC. The main MBLs in the UK are NDM, VIM and IMP. CAZ-AVI is not active against MBLs but is active against serine-</w:t>
      </w:r>
      <w:proofErr w:type="spellStart"/>
      <w:r w:rsidRPr="008628FC">
        <w:rPr>
          <w:rFonts w:asciiTheme="majorBidi" w:hAnsiTheme="majorBidi" w:cstheme="majorBidi"/>
        </w:rPr>
        <w:t>carbapenemases</w:t>
      </w:r>
      <w:proofErr w:type="spellEnd"/>
      <w:r w:rsidRPr="008628FC">
        <w:rPr>
          <w:rFonts w:asciiTheme="majorBidi" w:hAnsiTheme="majorBidi" w:cstheme="majorBidi"/>
        </w:rPr>
        <w:t xml:space="preserve"> </w:t>
      </w:r>
      <w:r w:rsidR="00A83123" w:rsidRPr="00A83123">
        <w:rPr>
          <w:rFonts w:asciiTheme="majorBidi" w:hAnsiTheme="majorBidi" w:cstheme="majorBidi"/>
          <w:noProof/>
          <w:vertAlign w:val="superscript"/>
        </w:rPr>
        <w:t>4</w:t>
      </w:r>
      <w:r w:rsidRPr="008628FC">
        <w:rPr>
          <w:rFonts w:asciiTheme="majorBidi" w:hAnsiTheme="majorBidi" w:cstheme="majorBidi"/>
        </w:rPr>
        <w:t>.</w:t>
      </w:r>
    </w:p>
    <w:p w14:paraId="33C96EED" w14:textId="4F972DD1" w:rsidR="009F1D70" w:rsidRDefault="009F1D70" w:rsidP="00A83123">
      <w:pPr>
        <w:spacing w:line="360" w:lineRule="auto"/>
        <w:jc w:val="both"/>
        <w:rPr>
          <w:rFonts w:asciiTheme="majorBidi" w:hAnsiTheme="majorBidi" w:cstheme="majorBidi"/>
        </w:rPr>
      </w:pPr>
      <w:r w:rsidRPr="00C01E9D">
        <w:rPr>
          <w:rFonts w:asciiTheme="majorBidi" w:hAnsiTheme="majorBidi" w:cstheme="majorBidi"/>
        </w:rPr>
        <w:t xml:space="preserve">CAZ-AVI is effective in </w:t>
      </w:r>
      <w:proofErr w:type="spellStart"/>
      <w:r w:rsidR="00FE2007" w:rsidRPr="00FE2007">
        <w:rPr>
          <w:rFonts w:asciiTheme="majorBidi" w:hAnsiTheme="majorBidi" w:cstheme="majorBidi"/>
          <w:i/>
          <w:iCs/>
        </w:rPr>
        <w:t>Enterobacterales</w:t>
      </w:r>
      <w:proofErr w:type="spellEnd"/>
      <w:r w:rsidRPr="00C01E9D">
        <w:rPr>
          <w:rFonts w:asciiTheme="majorBidi" w:hAnsiTheme="majorBidi" w:cstheme="majorBidi"/>
        </w:rPr>
        <w:t xml:space="preserve"> and </w:t>
      </w:r>
      <w:r w:rsidRPr="00C01E9D">
        <w:rPr>
          <w:rFonts w:asciiTheme="majorBidi" w:hAnsiTheme="majorBidi" w:cstheme="majorBidi"/>
          <w:i/>
          <w:iCs/>
        </w:rPr>
        <w:t>P</w:t>
      </w:r>
      <w:r w:rsidR="00D37C24">
        <w:rPr>
          <w:rFonts w:asciiTheme="majorBidi" w:hAnsiTheme="majorBidi" w:cstheme="majorBidi"/>
          <w:i/>
          <w:iCs/>
        </w:rPr>
        <w:t>seudomonas</w:t>
      </w:r>
      <w:r w:rsidRPr="00C01E9D">
        <w:rPr>
          <w:rFonts w:asciiTheme="majorBidi" w:hAnsiTheme="majorBidi" w:cstheme="majorBidi"/>
          <w:i/>
          <w:iCs/>
        </w:rPr>
        <w:t xml:space="preserve"> Aeruginosa</w:t>
      </w:r>
      <w:r w:rsidRPr="00C01E9D">
        <w:rPr>
          <w:rFonts w:asciiTheme="majorBidi" w:hAnsiTheme="majorBidi" w:cstheme="majorBidi"/>
        </w:rPr>
        <w:t xml:space="preserve"> but not </w:t>
      </w:r>
      <w:r w:rsidRPr="00C01E9D">
        <w:rPr>
          <w:rFonts w:asciiTheme="majorBidi" w:hAnsiTheme="majorBidi" w:cstheme="majorBidi"/>
          <w:i/>
          <w:iCs/>
        </w:rPr>
        <w:t>A. Baumanni</w:t>
      </w:r>
      <w:r w:rsidR="00CF0DF7" w:rsidRPr="00C01E9D">
        <w:rPr>
          <w:rFonts w:asciiTheme="majorBidi" w:hAnsiTheme="majorBidi" w:cstheme="majorBidi"/>
        </w:rPr>
        <w:t>.</w:t>
      </w:r>
      <w:r w:rsidR="00A83123" w:rsidRPr="00A83123">
        <w:rPr>
          <w:rFonts w:asciiTheme="majorBidi" w:hAnsiTheme="majorBidi" w:cstheme="majorBidi"/>
          <w:noProof/>
          <w:vertAlign w:val="superscript"/>
        </w:rPr>
        <w:t>14</w:t>
      </w:r>
      <w:r w:rsidRPr="00C01E9D">
        <w:rPr>
          <w:rFonts w:asciiTheme="majorBidi" w:hAnsiTheme="majorBidi" w:cstheme="majorBidi"/>
        </w:rPr>
        <w:t xml:space="preserve"> Since </w:t>
      </w:r>
      <w:proofErr w:type="spellStart"/>
      <w:r w:rsidRPr="00C01E9D">
        <w:rPr>
          <w:rFonts w:asciiTheme="majorBidi" w:hAnsiTheme="majorBidi" w:cstheme="majorBidi"/>
        </w:rPr>
        <w:t>carbapenemase</w:t>
      </w:r>
      <w:proofErr w:type="spellEnd"/>
      <w:r w:rsidRPr="00C01E9D">
        <w:rPr>
          <w:rFonts w:asciiTheme="majorBidi" w:hAnsiTheme="majorBidi" w:cstheme="majorBidi"/>
        </w:rPr>
        <w:t xml:space="preserve"> are infrequent mechanisms of carbapenem resistance in </w:t>
      </w:r>
      <w:r w:rsidR="00270C20">
        <w:rPr>
          <w:rFonts w:asciiTheme="majorBidi" w:hAnsiTheme="majorBidi" w:cstheme="majorBidi"/>
          <w:i/>
          <w:iCs/>
        </w:rPr>
        <w:t>Pseudomonas aeruginosa</w:t>
      </w:r>
      <w:r w:rsidRPr="00C01E9D">
        <w:rPr>
          <w:rFonts w:asciiTheme="majorBidi" w:hAnsiTheme="majorBidi" w:cstheme="majorBidi"/>
        </w:rPr>
        <w:t xml:space="preserve">, and when there is </w:t>
      </w:r>
      <w:proofErr w:type="spellStart"/>
      <w:r w:rsidRPr="00C01E9D">
        <w:rPr>
          <w:rFonts w:asciiTheme="majorBidi" w:hAnsiTheme="majorBidi" w:cstheme="majorBidi"/>
        </w:rPr>
        <w:t>carbapenemase</w:t>
      </w:r>
      <w:proofErr w:type="spellEnd"/>
      <w:r w:rsidRPr="00C01E9D">
        <w:rPr>
          <w:rFonts w:asciiTheme="majorBidi" w:hAnsiTheme="majorBidi" w:cstheme="majorBidi"/>
        </w:rPr>
        <w:t xml:space="preserve"> it is typically MBL against which CAZ-AVI has no activity, the focus here is on Enterobacteriaceae but not </w:t>
      </w:r>
      <w:r w:rsidR="00270C20">
        <w:rPr>
          <w:rFonts w:asciiTheme="majorBidi" w:hAnsiTheme="majorBidi" w:cstheme="majorBidi"/>
          <w:i/>
          <w:iCs/>
        </w:rPr>
        <w:t>Pseudomonas aeruginosa</w:t>
      </w:r>
      <w:r w:rsidRPr="00C01E9D">
        <w:rPr>
          <w:rFonts w:asciiTheme="majorBidi" w:hAnsiTheme="majorBidi" w:cstheme="majorBidi"/>
        </w:rPr>
        <w:t xml:space="preserve"> within the economic modelling.</w:t>
      </w:r>
      <w:r w:rsidR="00A83123" w:rsidRPr="00A83123">
        <w:rPr>
          <w:rFonts w:asciiTheme="majorBidi" w:hAnsiTheme="majorBidi" w:cstheme="majorBidi"/>
          <w:noProof/>
          <w:vertAlign w:val="superscript"/>
        </w:rPr>
        <w:t>15,16</w:t>
      </w:r>
      <w:r w:rsidRPr="008628FC">
        <w:rPr>
          <w:rFonts w:asciiTheme="majorBidi" w:hAnsiTheme="majorBidi" w:cstheme="majorBidi"/>
        </w:rPr>
        <w:t> </w:t>
      </w:r>
    </w:p>
    <w:p w14:paraId="17A9757F" w14:textId="49C78A90" w:rsidR="009F1D70" w:rsidRPr="006E4E83" w:rsidRDefault="00273565" w:rsidP="00B674A1">
      <w:pPr>
        <w:pStyle w:val="Heading3"/>
        <w:ind w:left="1276" w:hanging="567"/>
        <w:rPr>
          <w:rFonts w:asciiTheme="majorBidi" w:hAnsiTheme="majorBidi"/>
          <w:sz w:val="26"/>
          <w:szCs w:val="26"/>
        </w:rPr>
      </w:pPr>
      <w:bookmarkStart w:id="57" w:name="_Ref64017062"/>
      <w:bookmarkStart w:id="58" w:name="_Toc65482386"/>
      <w:bookmarkStart w:id="59" w:name="_Toc77952386"/>
      <w:bookmarkStart w:id="60" w:name="_Toc83890500"/>
      <w:bookmarkStart w:id="61" w:name="_Toc87462975"/>
      <w:r w:rsidRPr="006E4E83">
        <w:rPr>
          <w:rFonts w:asciiTheme="majorBidi" w:hAnsiTheme="majorBidi"/>
          <w:sz w:val="26"/>
          <w:szCs w:val="26"/>
        </w:rPr>
        <w:t xml:space="preserve">3.2.2 </w:t>
      </w:r>
      <w:r w:rsidR="009F1D70" w:rsidRPr="006E4E83">
        <w:rPr>
          <w:rFonts w:asciiTheme="majorBidi" w:hAnsiTheme="majorBidi"/>
          <w:sz w:val="26"/>
          <w:szCs w:val="26"/>
        </w:rPr>
        <w:t xml:space="preserve">Availability of susceptibility data </w:t>
      </w:r>
      <w:proofErr w:type="gramStart"/>
      <w:r w:rsidR="009F1D70" w:rsidRPr="006E4E83">
        <w:rPr>
          <w:rFonts w:asciiTheme="majorBidi" w:hAnsiTheme="majorBidi"/>
          <w:sz w:val="26"/>
          <w:szCs w:val="26"/>
        </w:rPr>
        <w:t>during the course of</w:t>
      </w:r>
      <w:proofErr w:type="gramEnd"/>
      <w:r w:rsidR="009F1D70" w:rsidRPr="006E4E83">
        <w:rPr>
          <w:rFonts w:asciiTheme="majorBidi" w:hAnsiTheme="majorBidi"/>
          <w:sz w:val="26"/>
          <w:szCs w:val="26"/>
        </w:rPr>
        <w:t xml:space="preserve"> an infection</w:t>
      </w:r>
      <w:bookmarkEnd w:id="57"/>
      <w:bookmarkEnd w:id="58"/>
      <w:bookmarkEnd w:id="59"/>
      <w:bookmarkEnd w:id="60"/>
      <w:bookmarkEnd w:id="61"/>
      <w:r w:rsidR="009F1D70" w:rsidRPr="006E4E83">
        <w:rPr>
          <w:rFonts w:asciiTheme="majorBidi" w:hAnsiTheme="majorBidi"/>
          <w:sz w:val="26"/>
          <w:szCs w:val="26"/>
        </w:rPr>
        <w:t xml:space="preserve"> </w:t>
      </w:r>
    </w:p>
    <w:p w14:paraId="5B0D4621" w14:textId="0F9739DF" w:rsidR="009F1D70" w:rsidRPr="008628FC" w:rsidRDefault="009F1D70" w:rsidP="00A83123">
      <w:pPr>
        <w:spacing w:line="360" w:lineRule="auto"/>
        <w:jc w:val="both"/>
        <w:rPr>
          <w:rFonts w:asciiTheme="majorBidi" w:hAnsiTheme="majorBidi" w:cstheme="majorBidi"/>
        </w:rPr>
      </w:pPr>
      <w:r w:rsidRPr="008628FC">
        <w:rPr>
          <w:rFonts w:asciiTheme="majorBidi" w:hAnsiTheme="majorBidi" w:cstheme="majorBidi"/>
        </w:rPr>
        <w:t xml:space="preserve">Infections in secondary/tertiary care are typically initially treated with </w:t>
      </w:r>
      <w:proofErr w:type="gramStart"/>
      <w:r w:rsidRPr="008628FC">
        <w:rPr>
          <w:rFonts w:asciiTheme="majorBidi" w:hAnsiTheme="majorBidi" w:cstheme="majorBidi"/>
        </w:rPr>
        <w:t>empirically-chosen</w:t>
      </w:r>
      <w:proofErr w:type="gramEnd"/>
      <w:r w:rsidRPr="008628FC">
        <w:rPr>
          <w:rFonts w:asciiTheme="majorBidi" w:hAnsiTheme="majorBidi" w:cstheme="majorBidi"/>
        </w:rPr>
        <w:t xml:space="preserve"> antibiotics. At this stage of treatment there is limited information available to inform treatment choice. Indicators of an elevated risk of carbapenem-resistance at this stage include a range of patient- and setting-specific risk factors. Patient-level factors include prior microbiology history, recent history of hospital or long-term care admissions or regular hospital-based treatments, </w:t>
      </w:r>
      <w:r w:rsidRPr="008628FC">
        <w:rPr>
          <w:rFonts w:asciiTheme="majorBidi" w:hAnsiTheme="majorBidi" w:cstheme="majorBidi"/>
          <w:lang w:val="en-US"/>
        </w:rPr>
        <w:t xml:space="preserve">epidemiological links to other carriers, international travel, </w:t>
      </w:r>
      <w:proofErr w:type="gramStart"/>
      <w:r w:rsidRPr="008628FC">
        <w:rPr>
          <w:rFonts w:asciiTheme="majorBidi" w:hAnsiTheme="majorBidi" w:cstheme="majorBidi"/>
          <w:lang w:val="en-US"/>
        </w:rPr>
        <w:t>immunosuppression</w:t>
      </w:r>
      <w:proofErr w:type="gramEnd"/>
      <w:r w:rsidRPr="008628FC">
        <w:rPr>
          <w:rFonts w:asciiTheme="majorBidi" w:hAnsiTheme="majorBidi" w:cstheme="majorBidi"/>
          <w:lang w:val="en-US"/>
        </w:rPr>
        <w:t xml:space="preserve"> and recent broad-spectrum antibiotic exposure. Setting-specific factors include being admitted to augmented care or high-risk units and local epidemiology (</w:t>
      </w:r>
      <w:proofErr w:type="gramStart"/>
      <w:r w:rsidRPr="008628FC">
        <w:rPr>
          <w:rFonts w:asciiTheme="majorBidi" w:hAnsiTheme="majorBidi" w:cstheme="majorBidi"/>
          <w:lang w:val="en-US"/>
        </w:rPr>
        <w:t>e.g.</w:t>
      </w:r>
      <w:proofErr w:type="gramEnd"/>
      <w:r w:rsidRPr="008628FC">
        <w:rPr>
          <w:rFonts w:asciiTheme="majorBidi" w:hAnsiTheme="majorBidi" w:cstheme="majorBidi"/>
          <w:lang w:val="en-US"/>
        </w:rPr>
        <w:t xml:space="preserve"> previous history of outbreaks)</w:t>
      </w:r>
      <w:r w:rsidR="00CF0DF7">
        <w:rPr>
          <w:rFonts w:asciiTheme="majorBidi" w:hAnsiTheme="majorBidi" w:cstheme="majorBidi"/>
          <w:lang w:val="en-US"/>
        </w:rPr>
        <w:t>.</w:t>
      </w:r>
      <w:r w:rsidR="00A83123" w:rsidRPr="00A83123">
        <w:rPr>
          <w:rFonts w:asciiTheme="majorBidi" w:hAnsiTheme="majorBidi" w:cstheme="majorBidi"/>
          <w:noProof/>
          <w:vertAlign w:val="superscript"/>
          <w:lang w:val="en-US"/>
        </w:rPr>
        <w:t>17</w:t>
      </w:r>
      <w:r w:rsidRPr="008628FC">
        <w:rPr>
          <w:rFonts w:asciiTheme="majorBidi" w:hAnsiTheme="majorBidi" w:cstheme="majorBidi"/>
          <w:lang w:val="en-US"/>
        </w:rPr>
        <w:t xml:space="preserve"> </w:t>
      </w:r>
    </w:p>
    <w:p w14:paraId="27483449" w14:textId="7458E032" w:rsidR="009F1D70" w:rsidRPr="008628FC" w:rsidRDefault="009F1D70" w:rsidP="00A83123">
      <w:pPr>
        <w:spacing w:line="360" w:lineRule="auto"/>
        <w:jc w:val="both"/>
        <w:rPr>
          <w:rFonts w:asciiTheme="majorBidi" w:hAnsiTheme="majorBidi" w:cstheme="majorBidi"/>
        </w:rPr>
      </w:pPr>
      <w:r w:rsidRPr="008628FC">
        <w:rPr>
          <w:rFonts w:asciiTheme="majorBidi" w:hAnsiTheme="majorBidi" w:cstheme="majorBidi"/>
        </w:rPr>
        <w:t>In some hospitals and tertiary care centres, screening for carriage of carbapenem resistant pathogens is carried out. Routine screening for</w:t>
      </w:r>
      <w:r w:rsidR="00CF0DF7">
        <w:rPr>
          <w:rFonts w:asciiTheme="majorBidi" w:hAnsiTheme="majorBidi" w:cstheme="majorBidi"/>
        </w:rPr>
        <w:t xml:space="preserve"> colonisation with</w:t>
      </w:r>
      <w:r w:rsidRPr="008628FC">
        <w:rPr>
          <w:rFonts w:asciiTheme="majorBidi" w:hAnsiTheme="majorBidi" w:cstheme="majorBidi"/>
        </w:rPr>
        <w:t xml:space="preserve"> CPE</w:t>
      </w:r>
      <w:r w:rsidR="00CF0DF7">
        <w:rPr>
          <w:rFonts w:asciiTheme="majorBidi" w:hAnsiTheme="majorBidi" w:cstheme="majorBidi"/>
        </w:rPr>
        <w:t>s</w:t>
      </w:r>
      <w:r w:rsidRPr="008628FC">
        <w:rPr>
          <w:rFonts w:asciiTheme="majorBidi" w:hAnsiTheme="majorBidi" w:cstheme="majorBidi"/>
        </w:rPr>
        <w:t xml:space="preserve"> at the point of admission has recently been recommended by Public Health England </w:t>
      </w:r>
      <w:r w:rsidR="00CF0DF7">
        <w:rPr>
          <w:rFonts w:asciiTheme="majorBidi" w:hAnsiTheme="majorBidi" w:cstheme="majorBidi"/>
        </w:rPr>
        <w:t xml:space="preserve">(PHE) </w:t>
      </w:r>
      <w:r w:rsidRPr="008628FC">
        <w:rPr>
          <w:rFonts w:asciiTheme="majorBidi" w:hAnsiTheme="majorBidi" w:cstheme="majorBidi"/>
        </w:rPr>
        <w:t>for specific high-risk patients and health care settings</w:t>
      </w:r>
      <w:r w:rsidR="00CF0DF7" w:rsidRPr="008628FC">
        <w:rPr>
          <w:rFonts w:asciiTheme="majorBidi" w:hAnsiTheme="majorBidi" w:cstheme="majorBidi"/>
        </w:rPr>
        <w:t>.</w:t>
      </w:r>
      <w:proofErr w:type="gramStart"/>
      <w:r w:rsidR="00A83123" w:rsidRPr="00A83123">
        <w:rPr>
          <w:rFonts w:asciiTheme="majorBidi" w:hAnsiTheme="majorBidi" w:cstheme="majorBidi"/>
          <w:noProof/>
          <w:vertAlign w:val="superscript"/>
        </w:rPr>
        <w:t>17</w:t>
      </w:r>
      <w:r w:rsidRPr="008628FC">
        <w:rPr>
          <w:rFonts w:asciiTheme="majorBidi" w:hAnsiTheme="majorBidi" w:cstheme="majorBidi"/>
        </w:rPr>
        <w:t xml:space="preserve">  The</w:t>
      </w:r>
      <w:proofErr w:type="gramEnd"/>
      <w:r w:rsidRPr="008628FC">
        <w:rPr>
          <w:rFonts w:asciiTheme="majorBidi" w:hAnsiTheme="majorBidi" w:cstheme="majorBidi"/>
        </w:rPr>
        <w:t xml:space="preserve"> objective of this screening is primarily to support enhanced infection control measures, surveillance </w:t>
      </w:r>
      <w:r w:rsidRPr="008628FC">
        <w:rPr>
          <w:rFonts w:asciiTheme="majorBidi" w:hAnsiTheme="majorBidi" w:cstheme="majorBidi"/>
        </w:rPr>
        <w:lastRenderedPageBreak/>
        <w:t>and outbreak management efforts. However, information obtained via screening may also support treatment choice as colonisation with CPE is a risk factor for a CPE infection. Currently</w:t>
      </w:r>
      <w:r w:rsidR="00627A99">
        <w:rPr>
          <w:rFonts w:asciiTheme="majorBidi" w:hAnsiTheme="majorBidi" w:cstheme="majorBidi"/>
        </w:rPr>
        <w:t>,</w:t>
      </w:r>
      <w:r w:rsidRPr="008628FC">
        <w:rPr>
          <w:rFonts w:asciiTheme="majorBidi" w:hAnsiTheme="majorBidi" w:cstheme="majorBidi"/>
        </w:rPr>
        <w:t xml:space="preserve"> implementation of screening for CPE is variable in the UK</w:t>
      </w:r>
      <w:r w:rsidR="00CF0DF7">
        <w:rPr>
          <w:rFonts w:asciiTheme="majorBidi" w:hAnsiTheme="majorBidi" w:cstheme="majorBidi"/>
        </w:rPr>
        <w:t xml:space="preserve"> despite the PHE guideline,</w:t>
      </w:r>
      <w:r w:rsidR="00A83123" w:rsidRPr="00A83123">
        <w:rPr>
          <w:rFonts w:asciiTheme="majorBidi" w:hAnsiTheme="majorBidi" w:cstheme="majorBidi"/>
          <w:noProof/>
          <w:vertAlign w:val="superscript"/>
        </w:rPr>
        <w:t>17</w:t>
      </w:r>
      <w:r w:rsidRPr="008628FC">
        <w:rPr>
          <w:rFonts w:asciiTheme="majorBidi" w:hAnsiTheme="majorBidi" w:cstheme="majorBidi"/>
        </w:rPr>
        <w:t xml:space="preserve"> and the level and timing of information provided via screening also varies. </w:t>
      </w:r>
    </w:p>
    <w:p w14:paraId="180A9543" w14:textId="77777777"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 xml:space="preserve">At the point an invasive bacterial infection is suspected, where possible, specimens are obtained to support further diagnostic work. Various diagnostic technologies can be used to better understand the causative pathogen and how it may respond to treatment. There are broadly three layers to this: </w:t>
      </w:r>
    </w:p>
    <w:p w14:paraId="690CDC6A" w14:textId="77777777" w:rsidR="009F1D70" w:rsidRPr="008628FC" w:rsidRDefault="009F1D70" w:rsidP="00EE6004">
      <w:pPr>
        <w:pStyle w:val="ListParagraph"/>
        <w:numPr>
          <w:ilvl w:val="0"/>
          <w:numId w:val="7"/>
        </w:numPr>
        <w:spacing w:line="360" w:lineRule="auto"/>
        <w:jc w:val="both"/>
        <w:rPr>
          <w:rFonts w:asciiTheme="majorBidi" w:hAnsiTheme="majorBidi" w:cstheme="majorBidi"/>
        </w:rPr>
      </w:pPr>
      <w:r w:rsidRPr="008628FC">
        <w:rPr>
          <w:rFonts w:asciiTheme="majorBidi" w:hAnsiTheme="majorBidi" w:cstheme="majorBidi"/>
        </w:rPr>
        <w:t xml:space="preserve">A </w:t>
      </w:r>
      <w:r w:rsidRPr="008628FC">
        <w:rPr>
          <w:rFonts w:asciiTheme="majorBidi" w:hAnsiTheme="majorBidi" w:cstheme="majorBidi"/>
          <w:b/>
        </w:rPr>
        <w:t>culture</w:t>
      </w:r>
      <w:r w:rsidRPr="008628FC">
        <w:rPr>
          <w:rFonts w:asciiTheme="majorBidi" w:hAnsiTheme="majorBidi" w:cstheme="majorBidi"/>
        </w:rPr>
        <w:t xml:space="preserve"> is undertaken to understand the type of pathogen causing the infection. </w:t>
      </w:r>
    </w:p>
    <w:p w14:paraId="2D70CDBD" w14:textId="1CFD60F5" w:rsidR="009F1D70" w:rsidRPr="008628FC" w:rsidRDefault="009F1D70" w:rsidP="00EE6004">
      <w:pPr>
        <w:pStyle w:val="ListParagraph"/>
        <w:numPr>
          <w:ilvl w:val="0"/>
          <w:numId w:val="7"/>
        </w:numPr>
        <w:spacing w:line="360" w:lineRule="auto"/>
        <w:jc w:val="both"/>
        <w:rPr>
          <w:rFonts w:asciiTheme="majorBidi" w:hAnsiTheme="majorBidi" w:cstheme="majorBidi"/>
        </w:rPr>
      </w:pPr>
      <w:r w:rsidRPr="008628FC">
        <w:rPr>
          <w:rFonts w:asciiTheme="majorBidi" w:hAnsiTheme="majorBidi" w:cstheme="majorBidi"/>
          <w:b/>
        </w:rPr>
        <w:t>Antimicrobial-susceptibility testing</w:t>
      </w:r>
      <w:r w:rsidR="00D90EA7">
        <w:rPr>
          <w:rFonts w:asciiTheme="majorBidi" w:hAnsiTheme="majorBidi" w:cstheme="majorBidi"/>
          <w:b/>
        </w:rPr>
        <w:t xml:space="preserve"> (AST)</w:t>
      </w:r>
      <w:r w:rsidRPr="008628FC">
        <w:rPr>
          <w:rFonts w:asciiTheme="majorBidi" w:hAnsiTheme="majorBidi" w:cstheme="majorBidi"/>
        </w:rPr>
        <w:t xml:space="preserve"> is conducted to assess the </w:t>
      </w:r>
      <w:r w:rsidRPr="008628FC">
        <w:rPr>
          <w:rFonts w:asciiTheme="majorBidi" w:hAnsiTheme="majorBidi" w:cstheme="majorBidi"/>
          <w:i/>
          <w:iCs/>
        </w:rPr>
        <w:t>in vitro</w:t>
      </w:r>
      <w:r w:rsidRPr="008628FC">
        <w:rPr>
          <w:rFonts w:asciiTheme="majorBidi" w:hAnsiTheme="majorBidi" w:cstheme="majorBidi"/>
        </w:rPr>
        <w:t xml:space="preserve"> activity of a range of </w:t>
      </w:r>
      <w:r w:rsidR="008E7F85">
        <w:rPr>
          <w:rFonts w:asciiTheme="majorBidi" w:hAnsiTheme="majorBidi" w:cstheme="majorBidi"/>
        </w:rPr>
        <w:t>AM</w:t>
      </w:r>
      <w:r w:rsidR="008E7F85" w:rsidRPr="008628FC">
        <w:rPr>
          <w:rFonts w:asciiTheme="majorBidi" w:hAnsiTheme="majorBidi" w:cstheme="majorBidi"/>
        </w:rPr>
        <w:t xml:space="preserve">s </w:t>
      </w:r>
      <w:r w:rsidRPr="008628FC">
        <w:rPr>
          <w:rFonts w:asciiTheme="majorBidi" w:hAnsiTheme="majorBidi" w:cstheme="majorBidi"/>
        </w:rPr>
        <w:t xml:space="preserve">against the pathogen in question. </w:t>
      </w:r>
    </w:p>
    <w:p w14:paraId="5B918F78" w14:textId="77777777" w:rsidR="009F1D70" w:rsidRPr="008628FC" w:rsidRDefault="009F1D70" w:rsidP="00EE6004">
      <w:pPr>
        <w:pStyle w:val="ListParagraph"/>
        <w:numPr>
          <w:ilvl w:val="0"/>
          <w:numId w:val="7"/>
        </w:numPr>
        <w:spacing w:line="360" w:lineRule="auto"/>
        <w:jc w:val="both"/>
        <w:rPr>
          <w:rFonts w:asciiTheme="majorBidi" w:hAnsiTheme="majorBidi" w:cstheme="majorBidi"/>
        </w:rPr>
      </w:pPr>
      <w:r w:rsidRPr="008628FC">
        <w:rPr>
          <w:rFonts w:asciiTheme="majorBidi" w:hAnsiTheme="majorBidi" w:cstheme="majorBidi"/>
          <w:b/>
        </w:rPr>
        <w:t>Gene testing</w:t>
      </w:r>
      <w:r w:rsidRPr="008628FC">
        <w:rPr>
          <w:rFonts w:asciiTheme="majorBidi" w:hAnsiTheme="majorBidi" w:cstheme="majorBidi"/>
        </w:rPr>
        <w:t xml:space="preserve"> may also be conducted to establish the presence of specific resistance mechanisms. </w:t>
      </w:r>
    </w:p>
    <w:p w14:paraId="7A39D731" w14:textId="099AD86C" w:rsidR="009F1D70" w:rsidRPr="008628FC" w:rsidRDefault="009F1D70" w:rsidP="00A83123">
      <w:pPr>
        <w:spacing w:line="360" w:lineRule="auto"/>
        <w:jc w:val="both"/>
        <w:rPr>
          <w:rFonts w:asciiTheme="majorBidi" w:hAnsiTheme="majorBidi" w:cstheme="majorBidi"/>
        </w:rPr>
      </w:pPr>
      <w:r w:rsidRPr="008628FC">
        <w:rPr>
          <w:rFonts w:asciiTheme="majorBidi" w:hAnsiTheme="majorBidi" w:cstheme="majorBidi"/>
        </w:rPr>
        <w:t xml:space="preserve">Cultures are typically available relatively quickly with </w:t>
      </w:r>
      <w:r w:rsidR="00161C00">
        <w:rPr>
          <w:rFonts w:asciiTheme="majorBidi" w:hAnsiTheme="majorBidi" w:cstheme="majorBidi"/>
        </w:rPr>
        <w:t>AST</w:t>
      </w:r>
      <w:r w:rsidRPr="008628FC">
        <w:rPr>
          <w:rFonts w:asciiTheme="majorBidi" w:hAnsiTheme="majorBidi" w:cstheme="majorBidi"/>
        </w:rPr>
        <w:t xml:space="preserve"> and gene testing taking longer (typically more than 48 hours, </w:t>
      </w:r>
      <w:r w:rsidR="0096027C">
        <w:rPr>
          <w:rFonts w:asciiTheme="majorBidi" w:hAnsiTheme="majorBidi" w:cstheme="majorBidi"/>
        </w:rPr>
        <w:t>al</w:t>
      </w:r>
      <w:r w:rsidRPr="008628FC">
        <w:rPr>
          <w:rFonts w:asciiTheme="majorBidi" w:hAnsiTheme="majorBidi" w:cstheme="majorBidi"/>
        </w:rPr>
        <w:t xml:space="preserve">though this depends on local availability of testing technology and laboratory </w:t>
      </w:r>
      <w:proofErr w:type="gramStart"/>
      <w:r w:rsidRPr="008628FC">
        <w:rPr>
          <w:rFonts w:asciiTheme="majorBidi" w:hAnsiTheme="majorBidi" w:cstheme="majorBidi"/>
        </w:rPr>
        <w:t>capacity;</w:t>
      </w:r>
      <w:proofErr w:type="gramEnd"/>
      <w:r w:rsidRPr="008628FC">
        <w:rPr>
          <w:rFonts w:asciiTheme="majorBidi" w:hAnsiTheme="majorBidi" w:cstheme="majorBidi"/>
        </w:rPr>
        <w:t xml:space="preserve"> e.g. centres with access to </w:t>
      </w:r>
      <w:r w:rsidR="00E11714">
        <w:rPr>
          <w:rFonts w:asciiTheme="majorBidi" w:hAnsiTheme="majorBidi" w:cstheme="majorBidi"/>
        </w:rPr>
        <w:t>polymerase chain reaction (</w:t>
      </w:r>
      <w:r w:rsidRPr="008628FC">
        <w:rPr>
          <w:rFonts w:asciiTheme="majorBidi" w:hAnsiTheme="majorBidi" w:cstheme="majorBidi"/>
        </w:rPr>
        <w:t>PCR</w:t>
      </w:r>
      <w:r w:rsidR="00E11714">
        <w:rPr>
          <w:rFonts w:asciiTheme="majorBidi" w:hAnsiTheme="majorBidi" w:cstheme="majorBidi"/>
        </w:rPr>
        <w:t>)</w:t>
      </w:r>
      <w:r w:rsidRPr="008628FC">
        <w:rPr>
          <w:rFonts w:asciiTheme="majorBidi" w:hAnsiTheme="majorBidi" w:cstheme="majorBidi"/>
        </w:rPr>
        <w:t xml:space="preserve"> testing may have information much more quickly). The availability of gene testing also varies geographically. There may be an increase in the use of gene testing in the UK in the future as PHE has recently recommended routine use of molecular or immunochromatographic assays to detect the main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 producers</w:t>
      </w:r>
      <w:r w:rsidR="00CF0DF7">
        <w:rPr>
          <w:rFonts w:asciiTheme="majorBidi" w:hAnsiTheme="majorBidi" w:cstheme="majorBidi"/>
        </w:rPr>
        <w:t>.</w:t>
      </w:r>
      <w:r w:rsidR="00A83123" w:rsidRPr="00A83123">
        <w:rPr>
          <w:rFonts w:asciiTheme="majorBidi" w:hAnsiTheme="majorBidi" w:cstheme="majorBidi"/>
          <w:noProof/>
          <w:vertAlign w:val="superscript"/>
        </w:rPr>
        <w:t>18</w:t>
      </w:r>
      <w:r w:rsidRPr="008628FC">
        <w:rPr>
          <w:rFonts w:asciiTheme="majorBidi" w:hAnsiTheme="majorBidi" w:cstheme="majorBidi"/>
        </w:rPr>
        <w:t xml:space="preserve"> </w:t>
      </w:r>
    </w:p>
    <w:p w14:paraId="18016286" w14:textId="18E5244F" w:rsidR="009F1D70" w:rsidRDefault="009F1D70" w:rsidP="009F1D70">
      <w:pPr>
        <w:spacing w:line="360" w:lineRule="auto"/>
        <w:jc w:val="both"/>
        <w:rPr>
          <w:rFonts w:asciiTheme="majorBidi" w:hAnsiTheme="majorBidi" w:cstheme="majorBidi"/>
        </w:rPr>
      </w:pPr>
      <w:r w:rsidRPr="008628FC">
        <w:rPr>
          <w:rFonts w:asciiTheme="majorBidi" w:hAnsiTheme="majorBidi" w:cstheme="majorBidi"/>
        </w:rPr>
        <w:t>Overall, variability in local practice, laboratory capacity and availability of diagnostic technologies means that there is likely to be significant variation in the nature a</w:t>
      </w:r>
      <w:r w:rsidR="00627A99">
        <w:rPr>
          <w:rFonts w:asciiTheme="majorBidi" w:hAnsiTheme="majorBidi" w:cstheme="majorBidi"/>
        </w:rPr>
        <w:t>n</w:t>
      </w:r>
      <w:r w:rsidRPr="008628FC">
        <w:rPr>
          <w:rFonts w:asciiTheme="majorBidi" w:hAnsiTheme="majorBidi" w:cstheme="majorBidi"/>
        </w:rPr>
        <w:t xml:space="preserve">d timing of the information available to inform treatment decisions. </w:t>
      </w:r>
    </w:p>
    <w:p w14:paraId="4F1E7595" w14:textId="071BA549" w:rsidR="009F1D70" w:rsidRPr="006E4E83" w:rsidRDefault="003C01A5" w:rsidP="00B674A1">
      <w:pPr>
        <w:pStyle w:val="Heading3"/>
        <w:ind w:left="1276" w:hanging="567"/>
        <w:rPr>
          <w:rFonts w:asciiTheme="majorBidi" w:hAnsiTheme="majorBidi"/>
          <w:sz w:val="26"/>
          <w:szCs w:val="26"/>
        </w:rPr>
      </w:pPr>
      <w:bookmarkStart w:id="62" w:name="_Ref64017325"/>
      <w:bookmarkStart w:id="63" w:name="_Ref64017339"/>
      <w:bookmarkStart w:id="64" w:name="_Toc65482387"/>
      <w:bookmarkStart w:id="65" w:name="_Toc77952387"/>
      <w:bookmarkStart w:id="66" w:name="_Toc83890501"/>
      <w:bookmarkStart w:id="67" w:name="_Toc87462976"/>
      <w:r w:rsidRPr="006E4E83">
        <w:rPr>
          <w:rFonts w:asciiTheme="majorBidi" w:hAnsiTheme="majorBidi"/>
          <w:sz w:val="26"/>
          <w:szCs w:val="26"/>
        </w:rPr>
        <w:t xml:space="preserve">3.2.3 </w:t>
      </w:r>
      <w:r w:rsidR="009F1D70" w:rsidRPr="006E4E83">
        <w:rPr>
          <w:rFonts w:asciiTheme="majorBidi" w:hAnsiTheme="majorBidi"/>
          <w:sz w:val="26"/>
          <w:szCs w:val="26"/>
        </w:rPr>
        <w:t>Overview of high value clinical scenarios</w:t>
      </w:r>
      <w:bookmarkEnd w:id="62"/>
      <w:bookmarkEnd w:id="63"/>
      <w:bookmarkEnd w:id="64"/>
      <w:bookmarkEnd w:id="65"/>
      <w:bookmarkEnd w:id="66"/>
      <w:bookmarkEnd w:id="67"/>
      <w:r w:rsidR="009F1D70" w:rsidRPr="006E4E83">
        <w:rPr>
          <w:rFonts w:asciiTheme="majorBidi" w:hAnsiTheme="majorBidi"/>
          <w:sz w:val="26"/>
          <w:szCs w:val="26"/>
        </w:rPr>
        <w:t xml:space="preserve"> </w:t>
      </w:r>
    </w:p>
    <w:p w14:paraId="5E91BFE6" w14:textId="77777777" w:rsidR="009F1D70" w:rsidRPr="008628FC" w:rsidRDefault="009F1D70" w:rsidP="004222B2">
      <w:pPr>
        <w:spacing w:line="360" w:lineRule="auto"/>
        <w:jc w:val="both"/>
        <w:rPr>
          <w:rFonts w:asciiTheme="majorBidi" w:hAnsiTheme="majorBidi" w:cstheme="majorBidi"/>
        </w:rPr>
      </w:pPr>
      <w:r w:rsidRPr="008628FC">
        <w:rPr>
          <w:rFonts w:asciiTheme="majorBidi" w:hAnsiTheme="majorBidi" w:cstheme="majorBidi"/>
        </w:rPr>
        <w:t xml:space="preserve">Based on feedback from stakeholders via the NICE scoping consultation and further discussion with clinical experts, EEPRU has identified two HVCSs for use of CAZ-AVI: microbiology-directed treatment and risk-based empiric treatment.   We explain these separately here but, in practice, they are often linked in a single patient pathway.  </w:t>
      </w:r>
    </w:p>
    <w:p w14:paraId="187BD48A" w14:textId="5DFAB270" w:rsidR="009F1D70" w:rsidRPr="008628FC" w:rsidRDefault="009F1D70" w:rsidP="004222B2">
      <w:pPr>
        <w:spacing w:line="360" w:lineRule="auto"/>
        <w:jc w:val="both"/>
        <w:rPr>
          <w:rFonts w:asciiTheme="majorBidi" w:hAnsiTheme="majorBidi" w:cstheme="majorBidi"/>
        </w:rPr>
      </w:pPr>
      <w:r w:rsidRPr="008628FC">
        <w:rPr>
          <w:rFonts w:asciiTheme="majorBidi" w:hAnsiTheme="majorBidi" w:cstheme="majorBidi"/>
          <w:b/>
        </w:rPr>
        <w:t xml:space="preserve">Microbiology-directed treatment </w:t>
      </w:r>
      <w:r w:rsidRPr="008628FC">
        <w:rPr>
          <w:rFonts w:asciiTheme="majorBidi" w:hAnsiTheme="majorBidi" w:cstheme="majorBidi"/>
        </w:rPr>
        <w:t xml:space="preserve">refers to the use of CAZ-AVI in individuals with infections caused by a pathogen confirmed </w:t>
      </w:r>
      <w:r w:rsidR="004124AB">
        <w:rPr>
          <w:rFonts w:asciiTheme="majorBidi" w:hAnsiTheme="majorBidi" w:cstheme="majorBidi"/>
        </w:rPr>
        <w:t>to have a specific pathogen and resistance mechanism</w:t>
      </w:r>
      <w:r w:rsidRPr="008628FC">
        <w:rPr>
          <w:rFonts w:asciiTheme="majorBidi" w:hAnsiTheme="majorBidi" w:cstheme="majorBidi"/>
        </w:rPr>
        <w:t xml:space="preserve">. This group of patients has undergone susceptibility testing </w:t>
      </w:r>
      <w:r w:rsidR="004124AB">
        <w:rPr>
          <w:rFonts w:asciiTheme="majorBidi" w:hAnsiTheme="majorBidi" w:cstheme="majorBidi"/>
        </w:rPr>
        <w:t>and</w:t>
      </w:r>
      <w:r w:rsidRPr="008628FC">
        <w:rPr>
          <w:rFonts w:asciiTheme="majorBidi" w:hAnsiTheme="majorBidi" w:cstheme="majorBidi"/>
        </w:rPr>
        <w:t xml:space="preserve"> gene testing to understand specific resistance mechanisms. As this usage of CAZ-AVI will require susceptibility/gene testing to have been undertaken prior to receipt of CAZ-AVI, this clinical scenario will focus </w:t>
      </w:r>
      <w:r w:rsidR="00AC40FF">
        <w:rPr>
          <w:rFonts w:asciiTheme="majorBidi" w:hAnsiTheme="majorBidi" w:cstheme="majorBidi"/>
        </w:rPr>
        <w:t xml:space="preserve">predominantly </w:t>
      </w:r>
      <w:r w:rsidRPr="008628FC">
        <w:rPr>
          <w:rFonts w:asciiTheme="majorBidi" w:hAnsiTheme="majorBidi" w:cstheme="majorBidi"/>
        </w:rPr>
        <w:t xml:space="preserve">on individuals with </w:t>
      </w:r>
      <w:r w:rsidR="00AC40FF">
        <w:rPr>
          <w:rFonts w:asciiTheme="majorBidi" w:hAnsiTheme="majorBidi" w:cstheme="majorBidi"/>
        </w:rPr>
        <w:t xml:space="preserve">severe but </w:t>
      </w:r>
      <w:r w:rsidRPr="008628FC">
        <w:rPr>
          <w:rFonts w:asciiTheme="majorBidi" w:hAnsiTheme="majorBidi" w:cstheme="majorBidi"/>
        </w:rPr>
        <w:t>non-critical infections</w:t>
      </w:r>
      <w:r w:rsidR="00D24929">
        <w:rPr>
          <w:rFonts w:asciiTheme="majorBidi" w:hAnsiTheme="majorBidi" w:cstheme="majorBidi"/>
        </w:rPr>
        <w:t xml:space="preserve"> at presentation with infection</w:t>
      </w:r>
      <w:r w:rsidRPr="008628FC">
        <w:rPr>
          <w:rFonts w:asciiTheme="majorBidi" w:hAnsiTheme="majorBidi" w:cstheme="majorBidi"/>
        </w:rPr>
        <w:t xml:space="preserve">. Section </w:t>
      </w:r>
      <w:r w:rsidR="004222B2">
        <w:rPr>
          <w:rFonts w:asciiTheme="majorBidi" w:hAnsiTheme="majorBidi" w:cstheme="majorBidi"/>
          <w:cs/>
        </w:rPr>
        <w:t>‎</w:t>
      </w:r>
      <w:r w:rsidR="00273F92">
        <w:rPr>
          <w:rFonts w:asciiTheme="majorBidi" w:hAnsiTheme="majorBidi" w:cstheme="majorBidi"/>
        </w:rPr>
        <w:t>3.2.3.1</w:t>
      </w:r>
      <w:r w:rsidRPr="008628FC">
        <w:rPr>
          <w:rFonts w:asciiTheme="majorBidi" w:hAnsiTheme="majorBidi" w:cstheme="majorBidi"/>
        </w:rPr>
        <w:t xml:space="preserve"> describes in more detail the</w:t>
      </w:r>
      <w:r w:rsidR="004124AB">
        <w:rPr>
          <w:rFonts w:asciiTheme="majorBidi" w:hAnsiTheme="majorBidi" w:cstheme="majorBidi"/>
        </w:rPr>
        <w:t xml:space="preserve"> specific</w:t>
      </w:r>
      <w:r w:rsidRPr="008628FC">
        <w:rPr>
          <w:rFonts w:asciiTheme="majorBidi" w:hAnsiTheme="majorBidi" w:cstheme="majorBidi"/>
        </w:rPr>
        <w:t xml:space="preserve"> Population, Intervention, Comparison, Outcomes</w:t>
      </w:r>
      <w:r w:rsidR="008E1EFF">
        <w:rPr>
          <w:rFonts w:asciiTheme="majorBidi" w:hAnsiTheme="majorBidi" w:cstheme="majorBidi"/>
        </w:rPr>
        <w:t>, Study designs</w:t>
      </w:r>
      <w:r w:rsidRPr="008628FC">
        <w:rPr>
          <w:rFonts w:asciiTheme="majorBidi" w:hAnsiTheme="majorBidi" w:cstheme="majorBidi"/>
        </w:rPr>
        <w:t xml:space="preserve"> (PICO</w:t>
      </w:r>
      <w:r w:rsidR="008E1EFF">
        <w:rPr>
          <w:rFonts w:asciiTheme="majorBidi" w:hAnsiTheme="majorBidi" w:cstheme="majorBidi"/>
        </w:rPr>
        <w:t>S</w:t>
      </w:r>
      <w:r w:rsidRPr="008628FC">
        <w:rPr>
          <w:rFonts w:asciiTheme="majorBidi" w:hAnsiTheme="majorBidi" w:cstheme="majorBidi"/>
        </w:rPr>
        <w:t xml:space="preserve">) </w:t>
      </w:r>
      <w:r w:rsidR="004124AB">
        <w:rPr>
          <w:rFonts w:asciiTheme="majorBidi" w:hAnsiTheme="majorBidi" w:cstheme="majorBidi"/>
        </w:rPr>
        <w:t xml:space="preserve">considered </w:t>
      </w:r>
      <w:r w:rsidRPr="008628FC">
        <w:rPr>
          <w:rFonts w:asciiTheme="majorBidi" w:hAnsiTheme="majorBidi" w:cstheme="majorBidi"/>
        </w:rPr>
        <w:t xml:space="preserve">for this scenario. </w:t>
      </w:r>
    </w:p>
    <w:p w14:paraId="619580E1" w14:textId="0A8EC7D9" w:rsidR="009F1D70" w:rsidRDefault="009F1D70" w:rsidP="009F1D70">
      <w:pPr>
        <w:spacing w:line="360" w:lineRule="auto"/>
        <w:jc w:val="both"/>
        <w:rPr>
          <w:rFonts w:asciiTheme="majorBidi" w:hAnsiTheme="majorBidi" w:cstheme="majorBidi"/>
        </w:rPr>
      </w:pPr>
      <w:r w:rsidRPr="008628FC">
        <w:rPr>
          <w:rFonts w:asciiTheme="majorBidi" w:hAnsiTheme="majorBidi" w:cstheme="majorBidi"/>
          <w:b/>
        </w:rPr>
        <w:lastRenderedPageBreak/>
        <w:t>Risk-based empiric treatment</w:t>
      </w:r>
      <w:r w:rsidRPr="008628FC">
        <w:rPr>
          <w:rFonts w:asciiTheme="majorBidi" w:hAnsiTheme="majorBidi" w:cstheme="majorBidi"/>
        </w:rPr>
        <w:t xml:space="preserve"> refers to use of CAZ-AVI in the empiric setting </w:t>
      </w:r>
      <w:r w:rsidR="00D24929">
        <w:rPr>
          <w:rFonts w:asciiTheme="majorBidi" w:hAnsiTheme="majorBidi" w:cstheme="majorBidi"/>
        </w:rPr>
        <w:t xml:space="preserve">(ES) </w:t>
      </w:r>
      <w:r w:rsidRPr="008628FC">
        <w:rPr>
          <w:rFonts w:asciiTheme="majorBidi" w:hAnsiTheme="majorBidi" w:cstheme="majorBidi"/>
        </w:rPr>
        <w:t xml:space="preserve">for clinically urgent patients with high suspicion (i.e., a high risk) of </w:t>
      </w:r>
      <w:r w:rsidR="004124AB">
        <w:rPr>
          <w:rFonts w:asciiTheme="majorBidi" w:hAnsiTheme="majorBidi" w:cstheme="majorBidi"/>
        </w:rPr>
        <w:t xml:space="preserve">specific </w:t>
      </w:r>
      <w:r w:rsidRPr="008628FC">
        <w:rPr>
          <w:rFonts w:asciiTheme="majorBidi" w:hAnsiTheme="majorBidi" w:cstheme="majorBidi"/>
        </w:rPr>
        <w:t xml:space="preserve">carbapenem </w:t>
      </w:r>
      <w:r w:rsidRPr="001B6B63">
        <w:rPr>
          <w:rFonts w:asciiTheme="majorBidi" w:hAnsiTheme="majorBidi" w:cstheme="majorBidi"/>
        </w:rPr>
        <w:t xml:space="preserve">resistance </w:t>
      </w:r>
      <w:r w:rsidR="00E70B36" w:rsidRPr="001B6B63">
        <w:rPr>
          <w:rFonts w:asciiTheme="majorBidi" w:hAnsiTheme="majorBidi" w:cstheme="majorBidi"/>
        </w:rPr>
        <w:t xml:space="preserve">based on patient phenotype </w:t>
      </w:r>
      <w:r w:rsidRPr="001B6B63">
        <w:rPr>
          <w:rFonts w:asciiTheme="majorBidi" w:hAnsiTheme="majorBidi" w:cstheme="majorBidi"/>
        </w:rPr>
        <w:t xml:space="preserve">but for whom information about the pathogen is </w:t>
      </w:r>
      <w:r w:rsidR="004124AB" w:rsidRPr="001B6B63">
        <w:rPr>
          <w:rFonts w:asciiTheme="majorBidi" w:hAnsiTheme="majorBidi" w:cstheme="majorBidi"/>
        </w:rPr>
        <w:t xml:space="preserve">currently </w:t>
      </w:r>
      <w:r w:rsidRPr="001B6B63">
        <w:rPr>
          <w:rFonts w:asciiTheme="majorBidi" w:hAnsiTheme="majorBidi" w:cstheme="majorBidi"/>
        </w:rPr>
        <w:t>very limited (susce</w:t>
      </w:r>
      <w:r w:rsidRPr="008628FC">
        <w:rPr>
          <w:rFonts w:asciiTheme="majorBidi" w:hAnsiTheme="majorBidi" w:cstheme="majorBidi"/>
        </w:rPr>
        <w:t>ptibility data and gene testing not yet available). Use within this HVCS should be restricted only to those patients in whom microbiology-directed treatment is likely to be considered inappropriate due to the potential delay in time to appropriate therapy. The risk-based empiric treatment HVCS is, therefore, focused on patients who meet two criteria: (</w:t>
      </w:r>
      <w:proofErr w:type="spellStart"/>
      <w:r w:rsidRPr="008628FC">
        <w:rPr>
          <w:rFonts w:asciiTheme="majorBidi" w:hAnsiTheme="majorBidi" w:cstheme="majorBidi"/>
        </w:rPr>
        <w:t>i</w:t>
      </w:r>
      <w:proofErr w:type="spellEnd"/>
      <w:r w:rsidRPr="008628FC">
        <w:rPr>
          <w:rFonts w:asciiTheme="majorBidi" w:hAnsiTheme="majorBidi" w:cstheme="majorBidi"/>
        </w:rPr>
        <w:t xml:space="preserve">) the infection is considered clinically urgent based on a range of information including infection site and severity, and broader information relating to the health status of the patient; and (ii) the patient is considered at elevated risk of a </w:t>
      </w:r>
      <w:r w:rsidR="004124AB">
        <w:rPr>
          <w:rFonts w:asciiTheme="majorBidi" w:hAnsiTheme="majorBidi" w:cstheme="majorBidi"/>
        </w:rPr>
        <w:t xml:space="preserve">specific type of </w:t>
      </w:r>
      <w:r w:rsidRPr="008628FC">
        <w:rPr>
          <w:rFonts w:asciiTheme="majorBidi" w:hAnsiTheme="majorBidi" w:cstheme="majorBidi"/>
        </w:rPr>
        <w:t xml:space="preserve">carbapenem-resistant infection using the type of risk markers described in Section </w:t>
      </w:r>
      <w:r w:rsidR="004222B2">
        <w:rPr>
          <w:rFonts w:asciiTheme="majorBidi" w:hAnsiTheme="majorBidi" w:cstheme="majorBidi"/>
          <w:cs/>
        </w:rPr>
        <w:t>‎</w:t>
      </w:r>
      <w:r w:rsidR="004222B2">
        <w:rPr>
          <w:rFonts w:asciiTheme="majorBidi" w:hAnsiTheme="majorBidi" w:cstheme="majorBidi"/>
        </w:rPr>
        <w:t>3.2.2</w:t>
      </w:r>
      <w:r w:rsidRPr="008628FC">
        <w:rPr>
          <w:rFonts w:asciiTheme="majorBidi" w:hAnsiTheme="majorBidi" w:cstheme="majorBidi"/>
        </w:rPr>
        <w:t xml:space="preserve">.  Section </w:t>
      </w:r>
      <w:r w:rsidR="004222B2">
        <w:rPr>
          <w:rFonts w:asciiTheme="majorBidi" w:hAnsiTheme="majorBidi" w:cstheme="majorBidi"/>
          <w:cs/>
        </w:rPr>
        <w:t>‎</w:t>
      </w:r>
      <w:r w:rsidR="004222B2">
        <w:rPr>
          <w:rFonts w:asciiTheme="majorBidi" w:hAnsiTheme="majorBidi" w:cstheme="majorBidi"/>
        </w:rPr>
        <w:t>3.2.3.1</w:t>
      </w:r>
      <w:r w:rsidRPr="008628FC">
        <w:rPr>
          <w:rFonts w:asciiTheme="majorBidi" w:hAnsiTheme="majorBidi" w:cstheme="majorBidi"/>
        </w:rPr>
        <w:t xml:space="preserve"> describes in more detail the PICO</w:t>
      </w:r>
      <w:r w:rsidR="008E1EFF">
        <w:rPr>
          <w:rFonts w:asciiTheme="majorBidi" w:hAnsiTheme="majorBidi" w:cstheme="majorBidi"/>
        </w:rPr>
        <w:t>S</w:t>
      </w:r>
      <w:r w:rsidRPr="008628FC">
        <w:rPr>
          <w:rFonts w:asciiTheme="majorBidi" w:hAnsiTheme="majorBidi" w:cstheme="majorBidi"/>
        </w:rPr>
        <w:t xml:space="preserve"> for this scenario.</w:t>
      </w:r>
    </w:p>
    <w:p w14:paraId="3D547A3A" w14:textId="77777777" w:rsidR="00E912F3" w:rsidRPr="008628FC" w:rsidRDefault="00E912F3" w:rsidP="009F1D70">
      <w:pPr>
        <w:spacing w:line="360" w:lineRule="auto"/>
        <w:jc w:val="both"/>
        <w:rPr>
          <w:rFonts w:asciiTheme="majorBidi" w:hAnsiTheme="majorBidi" w:cstheme="majorBidi"/>
        </w:rPr>
      </w:pPr>
    </w:p>
    <w:p w14:paraId="67A8108F" w14:textId="4AA0955F" w:rsidR="009F1D70" w:rsidRPr="00685394" w:rsidRDefault="003C01A5" w:rsidP="00685394">
      <w:pPr>
        <w:keepNext/>
        <w:keepLines/>
        <w:spacing w:before="240" w:after="120" w:line="360" w:lineRule="auto"/>
        <w:outlineLvl w:val="3"/>
        <w:rPr>
          <w:rFonts w:asciiTheme="majorBidi" w:eastAsiaTheme="majorEastAsia" w:hAnsiTheme="majorBidi" w:cs="Times New Roman"/>
          <w:b/>
          <w:sz w:val="26"/>
          <w:szCs w:val="26"/>
        </w:rPr>
      </w:pPr>
      <w:bookmarkStart w:id="68" w:name="_Ref64017050"/>
      <w:bookmarkStart w:id="69" w:name="_Ref64017068"/>
      <w:bookmarkStart w:id="70" w:name="_Ref64017088"/>
      <w:bookmarkStart w:id="71" w:name="_Toc65482388"/>
      <w:bookmarkStart w:id="72" w:name="_Toc77952388"/>
      <w:bookmarkStart w:id="73" w:name="_Toc83890502"/>
      <w:r w:rsidRPr="00685394">
        <w:rPr>
          <w:rFonts w:asciiTheme="majorBidi" w:eastAsiaTheme="majorEastAsia" w:hAnsiTheme="majorBidi" w:cs="Times New Roman"/>
          <w:b/>
          <w:sz w:val="26"/>
          <w:szCs w:val="26"/>
        </w:rPr>
        <w:t xml:space="preserve">3.2.3.1 </w:t>
      </w:r>
      <w:r w:rsidR="009F1D70" w:rsidRPr="00685394">
        <w:rPr>
          <w:rFonts w:asciiTheme="majorBidi" w:eastAsiaTheme="majorEastAsia" w:hAnsiTheme="majorBidi" w:cs="Times New Roman"/>
          <w:b/>
          <w:sz w:val="26"/>
          <w:szCs w:val="26"/>
        </w:rPr>
        <w:t>PICOS for high value clinical scenarios</w:t>
      </w:r>
      <w:bookmarkEnd w:id="68"/>
      <w:bookmarkEnd w:id="69"/>
      <w:bookmarkEnd w:id="70"/>
      <w:bookmarkEnd w:id="71"/>
      <w:bookmarkEnd w:id="72"/>
      <w:bookmarkEnd w:id="73"/>
    </w:p>
    <w:p w14:paraId="35902174" w14:textId="4484BC1E"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t>Based on feedback from stakeholders via the NICE scoping consultation and further discussion with clinical experts, EEPRU has defined the PICOS for</w:t>
      </w:r>
      <w:r w:rsidR="00B17C24">
        <w:rPr>
          <w:rFonts w:asciiTheme="majorBidi" w:hAnsiTheme="majorBidi" w:cstheme="majorBidi"/>
        </w:rPr>
        <w:t xml:space="preserve"> HVCS for</w:t>
      </w:r>
      <w:r w:rsidRPr="008628FC">
        <w:rPr>
          <w:rFonts w:asciiTheme="majorBidi" w:hAnsiTheme="majorBidi" w:cstheme="majorBidi"/>
        </w:rPr>
        <w:t xml:space="preserve"> the microbiology-directed and risk-based empiric treatment </w:t>
      </w:r>
      <w:r w:rsidRPr="0096027C">
        <w:rPr>
          <w:rFonts w:asciiTheme="majorBidi" w:hAnsiTheme="majorBidi" w:cstheme="majorBidi"/>
        </w:rPr>
        <w:t>pathways (</w:t>
      </w:r>
      <w:r w:rsidR="0096027C" w:rsidRPr="00273F92">
        <w:rPr>
          <w:rFonts w:asciiTheme="majorBidi" w:hAnsiTheme="majorBidi"/>
        </w:rPr>
        <w:t>Table 1</w:t>
      </w:r>
      <w:r w:rsidRPr="00273F92">
        <w:rPr>
          <w:rFonts w:asciiTheme="majorBidi" w:hAnsiTheme="majorBidi" w:cstheme="majorBidi"/>
        </w:rPr>
        <w:t xml:space="preserve">). </w:t>
      </w:r>
      <w:r w:rsidR="00B17C24" w:rsidRPr="00273F92">
        <w:rPr>
          <w:rFonts w:asciiTheme="majorBidi" w:hAnsiTheme="majorBidi" w:cstheme="majorBidi"/>
        </w:rPr>
        <w:t xml:space="preserve">The PICOS refine the NICE scope </w:t>
      </w:r>
      <w:r w:rsidR="00273F92">
        <w:rPr>
          <w:rFonts w:asciiTheme="majorBidi" w:hAnsiTheme="majorBidi" w:cstheme="majorBidi"/>
        </w:rPr>
        <w:t>(</w:t>
      </w:r>
      <w:r w:rsidR="00B17C24" w:rsidRPr="00273F92">
        <w:rPr>
          <w:rFonts w:asciiTheme="majorBidi" w:hAnsiTheme="majorBidi" w:cstheme="majorBidi"/>
        </w:rPr>
        <w:t xml:space="preserve">which </w:t>
      </w:r>
      <w:r w:rsidR="00E70B36" w:rsidRPr="00273F92">
        <w:rPr>
          <w:rFonts w:asciiTheme="majorBidi" w:hAnsiTheme="majorBidi" w:cstheme="majorBidi"/>
        </w:rPr>
        <w:t>is</w:t>
      </w:r>
      <w:r w:rsidR="00B17C24" w:rsidRPr="00273F92">
        <w:rPr>
          <w:rFonts w:asciiTheme="majorBidi" w:hAnsiTheme="majorBidi" w:cstheme="majorBidi"/>
        </w:rPr>
        <w:t xml:space="preserve"> broad and reflect</w:t>
      </w:r>
      <w:r w:rsidR="00E70B36" w:rsidRPr="00273F92">
        <w:rPr>
          <w:rFonts w:asciiTheme="majorBidi" w:hAnsiTheme="majorBidi" w:cstheme="majorBidi"/>
        </w:rPr>
        <w:t>s</w:t>
      </w:r>
      <w:r w:rsidR="00B17C24" w:rsidRPr="00273F92">
        <w:rPr>
          <w:rFonts w:asciiTheme="majorBidi" w:hAnsiTheme="majorBidi" w:cstheme="majorBidi"/>
        </w:rPr>
        <w:t xml:space="preserve"> the license of CAZ-AVI</w:t>
      </w:r>
      <w:r w:rsidR="00273F92">
        <w:rPr>
          <w:rFonts w:asciiTheme="majorBidi" w:hAnsiTheme="majorBidi" w:cstheme="majorBidi"/>
        </w:rPr>
        <w:t>)</w:t>
      </w:r>
      <w:r w:rsidR="00B17C24" w:rsidRPr="00273F92">
        <w:rPr>
          <w:rFonts w:asciiTheme="majorBidi" w:hAnsiTheme="majorBidi" w:cstheme="majorBidi"/>
        </w:rPr>
        <w:t xml:space="preserve"> to reflect the HVCS. </w:t>
      </w:r>
    </w:p>
    <w:p w14:paraId="7560415E" w14:textId="73E7C230"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b/>
        </w:rPr>
        <w:t xml:space="preserve">Microbiology-directed treatment: </w:t>
      </w:r>
      <w:r w:rsidRPr="008628FC">
        <w:rPr>
          <w:rFonts w:asciiTheme="majorBidi" w:hAnsiTheme="majorBidi" w:cstheme="majorBidi"/>
        </w:rPr>
        <w:t xml:space="preserve">In the microbiology-directed usage scenario, feedback from stakeholders and clinical experts indicated that </w:t>
      </w:r>
      <w:proofErr w:type="spellStart"/>
      <w:r w:rsidRPr="008628FC">
        <w:rPr>
          <w:rFonts w:asciiTheme="majorBidi" w:hAnsiTheme="majorBidi" w:cstheme="majorBidi"/>
        </w:rPr>
        <w:t>cUTIs</w:t>
      </w:r>
      <w:proofErr w:type="spellEnd"/>
      <w:r w:rsidRPr="008628FC">
        <w:rPr>
          <w:rFonts w:asciiTheme="majorBidi" w:hAnsiTheme="majorBidi" w:cstheme="majorBidi"/>
        </w:rPr>
        <w:t xml:space="preserve"> have high-prevalence and a slower clinical course than, for example, </w:t>
      </w:r>
      <w:r w:rsidR="007111E6">
        <w:rPr>
          <w:rFonts w:asciiTheme="majorBidi" w:hAnsiTheme="majorBidi" w:cstheme="majorBidi"/>
        </w:rPr>
        <w:t>HAP and VAP</w:t>
      </w:r>
      <w:r w:rsidRPr="008628FC">
        <w:rPr>
          <w:rFonts w:asciiTheme="majorBidi" w:hAnsiTheme="majorBidi" w:cstheme="majorBidi"/>
        </w:rPr>
        <w:t>. They are also responsible for a high proportion of blood stream infections</w:t>
      </w:r>
      <w:r w:rsidR="00B80D8B">
        <w:rPr>
          <w:rFonts w:asciiTheme="majorBidi" w:hAnsiTheme="majorBidi" w:cstheme="majorBidi"/>
        </w:rPr>
        <w:t xml:space="preserve"> (BSI)</w:t>
      </w:r>
      <w:r w:rsidRPr="008628FC">
        <w:rPr>
          <w:rFonts w:asciiTheme="majorBidi" w:hAnsiTheme="majorBidi" w:cstheme="majorBidi"/>
        </w:rPr>
        <w:t xml:space="preserve">, the reduction of which is a key priority for </w:t>
      </w:r>
      <w:r w:rsidR="004D74B1">
        <w:rPr>
          <w:rFonts w:asciiTheme="majorBidi" w:hAnsiTheme="majorBidi" w:cstheme="majorBidi"/>
        </w:rPr>
        <w:t>the National Health Service England (</w:t>
      </w:r>
      <w:r w:rsidRPr="008628FC">
        <w:rPr>
          <w:rFonts w:asciiTheme="majorBidi" w:hAnsiTheme="majorBidi" w:cstheme="majorBidi"/>
        </w:rPr>
        <w:t>NHSE</w:t>
      </w:r>
      <w:r w:rsidR="004D74B1">
        <w:rPr>
          <w:rFonts w:asciiTheme="majorBidi" w:hAnsiTheme="majorBidi" w:cstheme="majorBidi"/>
        </w:rPr>
        <w:t>)</w:t>
      </w:r>
      <w:r w:rsidRPr="008628FC">
        <w:rPr>
          <w:rFonts w:asciiTheme="majorBidi" w:hAnsiTheme="majorBidi" w:cstheme="majorBidi"/>
        </w:rPr>
        <w:t xml:space="preserve">. </w:t>
      </w:r>
      <w:proofErr w:type="spellStart"/>
      <w:r w:rsidR="00D24929" w:rsidRPr="00D24929">
        <w:rPr>
          <w:rFonts w:asciiTheme="majorBidi" w:hAnsiTheme="majorBidi" w:cstheme="majorBidi"/>
        </w:rPr>
        <w:t>cUTI</w:t>
      </w:r>
      <w:proofErr w:type="spellEnd"/>
      <w:r w:rsidR="00D24929" w:rsidRPr="00D24929">
        <w:rPr>
          <w:rFonts w:asciiTheme="majorBidi" w:hAnsiTheme="majorBidi" w:cstheme="majorBidi"/>
        </w:rPr>
        <w:t xml:space="preserve"> infections were therefore selected as the infection site for the microbiology-directed HVCS, with additional analysis also provided for HAP/VAP in the microbiology-directed setting (MDS).</w:t>
      </w:r>
    </w:p>
    <w:p w14:paraId="2C1D4469" w14:textId="60C9BE0A" w:rsidR="004D74B1" w:rsidRPr="008628FC" w:rsidRDefault="009F1D70" w:rsidP="00756514">
      <w:pPr>
        <w:spacing w:line="360" w:lineRule="auto"/>
        <w:jc w:val="both"/>
        <w:rPr>
          <w:rFonts w:asciiTheme="majorBidi" w:hAnsiTheme="majorBidi" w:cstheme="majorBidi"/>
        </w:rPr>
      </w:pPr>
      <w:r w:rsidRPr="008628FC">
        <w:rPr>
          <w:rFonts w:asciiTheme="majorBidi" w:hAnsiTheme="majorBidi" w:cstheme="majorBidi"/>
        </w:rPr>
        <w:t xml:space="preserve">Clinical and stakeholder advice also indicated that CAZ-AVI would be reserved for infections with limited treatment options, where susceptibility is </w:t>
      </w:r>
      <w:r w:rsidR="004D74B1">
        <w:rPr>
          <w:rFonts w:asciiTheme="majorBidi" w:hAnsiTheme="majorBidi" w:cstheme="majorBidi"/>
        </w:rPr>
        <w:t>demonstrated</w:t>
      </w:r>
      <w:r w:rsidRPr="008628FC">
        <w:rPr>
          <w:rFonts w:asciiTheme="majorBidi" w:hAnsiTheme="majorBidi" w:cstheme="majorBidi"/>
        </w:rPr>
        <w:t xml:space="preserve">. This suggests CAZ-AVI should be reserved to treat infections caused by </w:t>
      </w:r>
      <w:proofErr w:type="spellStart"/>
      <w:r w:rsidRPr="008628FC">
        <w:rPr>
          <w:rFonts w:asciiTheme="majorBidi" w:hAnsiTheme="majorBidi" w:cstheme="majorBidi"/>
        </w:rPr>
        <w:t>carbapenemase</w:t>
      </w:r>
      <w:proofErr w:type="spellEnd"/>
      <w:r w:rsidRPr="008628FC">
        <w:rPr>
          <w:rFonts w:asciiTheme="majorBidi" w:hAnsiTheme="majorBidi" w:cstheme="majorBidi"/>
        </w:rPr>
        <w:t xml:space="preserve">-producing pathogens. </w:t>
      </w:r>
      <w:r w:rsidR="004D74B1" w:rsidRPr="00756514">
        <w:rPr>
          <w:rFonts w:asciiTheme="majorBidi" w:hAnsiTheme="majorBidi" w:cstheme="majorBidi"/>
        </w:rPr>
        <w:t xml:space="preserve">As discussed in Section </w:t>
      </w:r>
      <w:r w:rsidR="004222B2">
        <w:rPr>
          <w:rFonts w:asciiTheme="majorBidi" w:hAnsiTheme="majorBidi" w:cstheme="majorBidi"/>
          <w:cs/>
        </w:rPr>
        <w:t>‎</w:t>
      </w:r>
      <w:r w:rsidR="004222B2">
        <w:rPr>
          <w:rFonts w:asciiTheme="majorBidi" w:hAnsiTheme="majorBidi" w:cstheme="majorBidi"/>
        </w:rPr>
        <w:t>3.2.1</w:t>
      </w:r>
      <w:r w:rsidR="004D74B1" w:rsidRPr="00756514">
        <w:rPr>
          <w:rFonts w:asciiTheme="majorBidi" w:hAnsiTheme="majorBidi" w:cstheme="majorBidi"/>
        </w:rPr>
        <w:t xml:space="preserve">, </w:t>
      </w:r>
      <w:r w:rsidRPr="00756514">
        <w:rPr>
          <w:rFonts w:asciiTheme="majorBidi" w:hAnsiTheme="majorBidi" w:cstheme="majorBidi"/>
        </w:rPr>
        <w:t xml:space="preserve">CAZ-AVI is not active against MBL mechanisms, or against </w:t>
      </w:r>
      <w:r w:rsidRPr="00756514">
        <w:rPr>
          <w:rFonts w:asciiTheme="majorBidi" w:hAnsiTheme="majorBidi" w:cstheme="majorBidi"/>
          <w:i/>
          <w:iCs/>
        </w:rPr>
        <w:t xml:space="preserve">A. </w:t>
      </w:r>
      <w:proofErr w:type="spellStart"/>
      <w:r w:rsidRPr="00756514">
        <w:rPr>
          <w:rFonts w:asciiTheme="majorBidi" w:hAnsiTheme="majorBidi" w:cstheme="majorBidi"/>
          <w:i/>
          <w:iCs/>
        </w:rPr>
        <w:t>Baumannii</w:t>
      </w:r>
      <w:proofErr w:type="spellEnd"/>
      <w:r w:rsidRPr="00756514">
        <w:rPr>
          <w:rFonts w:asciiTheme="majorBidi" w:hAnsiTheme="majorBidi" w:cstheme="majorBidi"/>
        </w:rPr>
        <w:t xml:space="preserve"> pathogens, and serine </w:t>
      </w:r>
      <w:proofErr w:type="spellStart"/>
      <w:r w:rsidRPr="00756514">
        <w:rPr>
          <w:rFonts w:asciiTheme="majorBidi" w:hAnsiTheme="majorBidi" w:cstheme="majorBidi"/>
        </w:rPr>
        <w:t>carbapenemase</w:t>
      </w:r>
      <w:proofErr w:type="spellEnd"/>
      <w:r w:rsidRPr="00756514">
        <w:rPr>
          <w:rFonts w:asciiTheme="majorBidi" w:hAnsiTheme="majorBidi" w:cstheme="majorBidi"/>
        </w:rPr>
        <w:t xml:space="preserve"> mechanisms are not often found in </w:t>
      </w:r>
      <w:r w:rsidR="00270C20">
        <w:rPr>
          <w:rFonts w:asciiTheme="majorBidi" w:hAnsiTheme="majorBidi" w:cstheme="majorBidi"/>
          <w:i/>
          <w:iCs/>
        </w:rPr>
        <w:t>Pseudomonas aeruginosa</w:t>
      </w:r>
      <w:r w:rsidRPr="00756514">
        <w:rPr>
          <w:rFonts w:asciiTheme="majorBidi" w:hAnsiTheme="majorBidi" w:cstheme="majorBidi"/>
        </w:rPr>
        <w:t xml:space="preserve">. The patient group for the HVCS will, therefore, be limited to patients with infections caused by serine </w:t>
      </w:r>
      <w:proofErr w:type="spellStart"/>
      <w:r w:rsidR="00FE2007" w:rsidRPr="00FE2007">
        <w:rPr>
          <w:rFonts w:asciiTheme="majorBidi" w:hAnsiTheme="majorBidi" w:cstheme="majorBidi"/>
          <w:i/>
          <w:iCs/>
        </w:rPr>
        <w:t>Enterobacterales</w:t>
      </w:r>
      <w:proofErr w:type="spellEnd"/>
      <w:r w:rsidRPr="00756514">
        <w:rPr>
          <w:rFonts w:asciiTheme="majorBidi" w:hAnsiTheme="majorBidi" w:cstheme="majorBidi"/>
        </w:rPr>
        <w:t>. For this patient group, OXA-48 and KPC resistance mechanisms are most predominant. Patients with pathogens with KPC generally have more treatment options than those with OXA-48</w:t>
      </w:r>
      <w:r w:rsidR="004124AB" w:rsidRPr="00756514">
        <w:rPr>
          <w:rFonts w:asciiTheme="majorBidi" w:hAnsiTheme="majorBidi" w:cstheme="majorBidi"/>
        </w:rPr>
        <w:t xml:space="preserve"> and we therefore focus on OXA-48</w:t>
      </w:r>
      <w:r w:rsidR="00E71088" w:rsidRPr="00756514">
        <w:rPr>
          <w:rFonts w:asciiTheme="majorBidi" w:hAnsiTheme="majorBidi" w:cstheme="majorBidi"/>
        </w:rPr>
        <w:t xml:space="preserve"> in the HVCS</w:t>
      </w:r>
      <w:r w:rsidRPr="00756514">
        <w:rPr>
          <w:rFonts w:asciiTheme="majorBidi" w:hAnsiTheme="majorBidi" w:cstheme="majorBidi"/>
        </w:rPr>
        <w:t>.</w:t>
      </w:r>
      <w:r w:rsidRPr="008628FC">
        <w:rPr>
          <w:rFonts w:asciiTheme="majorBidi" w:hAnsiTheme="majorBidi" w:cstheme="majorBidi"/>
        </w:rPr>
        <w:t xml:space="preserve"> </w:t>
      </w:r>
    </w:p>
    <w:p w14:paraId="3185ECDA" w14:textId="0F2970E6" w:rsidR="009F1D70" w:rsidRPr="008628FC" w:rsidRDefault="009F1D70" w:rsidP="009F1D70">
      <w:pPr>
        <w:spacing w:line="360" w:lineRule="auto"/>
        <w:jc w:val="both"/>
        <w:rPr>
          <w:rFonts w:asciiTheme="majorBidi" w:hAnsiTheme="majorBidi" w:cstheme="majorBidi"/>
        </w:rPr>
      </w:pPr>
      <w:r w:rsidRPr="008628FC">
        <w:rPr>
          <w:rFonts w:asciiTheme="majorBidi" w:hAnsiTheme="majorBidi" w:cstheme="majorBidi"/>
        </w:rPr>
        <w:lastRenderedPageBreak/>
        <w:t xml:space="preserve">CAZ-AVI </w:t>
      </w:r>
      <w:r w:rsidR="004D74B1">
        <w:rPr>
          <w:rFonts w:asciiTheme="majorBidi" w:hAnsiTheme="majorBidi" w:cstheme="majorBidi"/>
        </w:rPr>
        <w:t>can</w:t>
      </w:r>
      <w:r w:rsidRPr="008628FC">
        <w:rPr>
          <w:rFonts w:asciiTheme="majorBidi" w:hAnsiTheme="majorBidi" w:cstheme="majorBidi"/>
        </w:rPr>
        <w:t xml:space="preserve"> be used as a monotherapy but may also be used in combination with other treatments, as indicated by microbiology and gene testing. In clinical practice, alternative treatment options (comparators) would be defined by the results of susceptibility and gene testing. </w:t>
      </w:r>
    </w:p>
    <w:p w14:paraId="79DC46F3" w14:textId="391BE416" w:rsidR="009F1D70" w:rsidRPr="008628FC" w:rsidRDefault="009F1D70" w:rsidP="00756514">
      <w:pPr>
        <w:spacing w:line="360" w:lineRule="auto"/>
        <w:jc w:val="both"/>
        <w:rPr>
          <w:rFonts w:asciiTheme="majorBidi" w:hAnsiTheme="majorBidi" w:cstheme="majorBidi"/>
        </w:rPr>
      </w:pPr>
      <w:r w:rsidRPr="008628FC">
        <w:rPr>
          <w:rFonts w:asciiTheme="majorBidi" w:hAnsiTheme="majorBidi" w:cstheme="majorBidi"/>
          <w:b/>
        </w:rPr>
        <w:t>Risk-based empiric treatment</w:t>
      </w:r>
      <w:r w:rsidRPr="008628FC">
        <w:rPr>
          <w:rFonts w:asciiTheme="majorBidi" w:hAnsiTheme="majorBidi" w:cstheme="majorBidi"/>
        </w:rPr>
        <w:t xml:space="preserve">: In the risk-based empiric usage scenario, feedback from stakeholders and clinicians indicated that the most frequent clinically urgent infections are HAP/VAP and </w:t>
      </w:r>
      <w:r w:rsidR="00B80D8B">
        <w:rPr>
          <w:rFonts w:asciiTheme="majorBidi" w:hAnsiTheme="majorBidi" w:cstheme="majorBidi"/>
        </w:rPr>
        <w:t xml:space="preserve">BSI. </w:t>
      </w:r>
      <w:r w:rsidRPr="008628FC">
        <w:rPr>
          <w:rFonts w:asciiTheme="majorBidi" w:hAnsiTheme="majorBidi" w:cstheme="majorBidi"/>
        </w:rPr>
        <w:t xml:space="preserve"> </w:t>
      </w:r>
      <w:proofErr w:type="spellStart"/>
      <w:r w:rsidR="006C0C15">
        <w:rPr>
          <w:rFonts w:asciiTheme="majorBidi" w:hAnsiTheme="majorBidi" w:cstheme="majorBidi"/>
        </w:rPr>
        <w:t>cUTI</w:t>
      </w:r>
      <w:proofErr w:type="spellEnd"/>
      <w:r w:rsidR="006C0C15">
        <w:rPr>
          <w:rFonts w:asciiTheme="majorBidi" w:hAnsiTheme="majorBidi" w:cstheme="majorBidi"/>
        </w:rPr>
        <w:t xml:space="preserve"> infections were not considered relevant in this setting since they have a slower clinical course, giving time for AST to be performed</w:t>
      </w:r>
      <w:r w:rsidR="006C0C15" w:rsidRPr="001B6B63">
        <w:rPr>
          <w:rFonts w:asciiTheme="majorBidi" w:hAnsiTheme="majorBidi" w:cstheme="majorBidi"/>
        </w:rPr>
        <w:t xml:space="preserve">. </w:t>
      </w:r>
      <w:r w:rsidRPr="001B6B63">
        <w:rPr>
          <w:rFonts w:asciiTheme="majorBidi" w:hAnsiTheme="majorBidi" w:cstheme="majorBidi"/>
        </w:rPr>
        <w:t xml:space="preserve">Given the time and resources available for this project, the focus </w:t>
      </w:r>
      <w:r w:rsidR="00273F92">
        <w:rPr>
          <w:rFonts w:asciiTheme="majorBidi" w:hAnsiTheme="majorBidi" w:cstheme="majorBidi"/>
        </w:rPr>
        <w:t>was</w:t>
      </w:r>
      <w:r w:rsidRPr="001B6B63">
        <w:rPr>
          <w:rFonts w:asciiTheme="majorBidi" w:hAnsiTheme="majorBidi" w:cstheme="majorBidi"/>
        </w:rPr>
        <w:t xml:space="preserve"> on the HAP/VAP sites</w:t>
      </w:r>
      <w:r w:rsidR="00E70B36" w:rsidRPr="001B6B63">
        <w:rPr>
          <w:rFonts w:asciiTheme="majorBidi" w:hAnsiTheme="majorBidi" w:cstheme="majorBidi"/>
        </w:rPr>
        <w:t xml:space="preserve"> as this was considered the most common indication for empirical antibiotics in </w:t>
      </w:r>
      <w:proofErr w:type="gramStart"/>
      <w:r w:rsidR="00E70B36" w:rsidRPr="001B6B63">
        <w:rPr>
          <w:rFonts w:asciiTheme="majorBidi" w:hAnsiTheme="majorBidi" w:cstheme="majorBidi"/>
        </w:rPr>
        <w:t>high risk</w:t>
      </w:r>
      <w:proofErr w:type="gramEnd"/>
      <w:r w:rsidR="00E70B36" w:rsidRPr="001B6B63">
        <w:rPr>
          <w:rFonts w:asciiTheme="majorBidi" w:hAnsiTheme="majorBidi" w:cstheme="majorBidi"/>
        </w:rPr>
        <w:t xml:space="preserve"> patients such as those in the </w:t>
      </w:r>
      <w:r w:rsidR="00186460">
        <w:rPr>
          <w:rFonts w:asciiTheme="majorBidi" w:hAnsiTheme="majorBidi" w:cstheme="majorBidi"/>
        </w:rPr>
        <w:t>intensive care units/high dependency units (</w:t>
      </w:r>
      <w:r w:rsidR="00E70B36" w:rsidRPr="001B6B63">
        <w:rPr>
          <w:rFonts w:asciiTheme="majorBidi" w:hAnsiTheme="majorBidi" w:cstheme="majorBidi"/>
        </w:rPr>
        <w:t>ICU/HDU</w:t>
      </w:r>
      <w:r w:rsidR="00186460">
        <w:rPr>
          <w:rFonts w:asciiTheme="majorBidi" w:hAnsiTheme="majorBidi" w:cstheme="majorBidi"/>
        </w:rPr>
        <w:t>)</w:t>
      </w:r>
      <w:r w:rsidR="00E70B36" w:rsidRPr="001B6B63">
        <w:rPr>
          <w:rFonts w:asciiTheme="majorBidi" w:hAnsiTheme="majorBidi" w:cstheme="majorBidi"/>
        </w:rPr>
        <w:t xml:space="preserve"> (whereas patients with BSI are more likely to have had microbiology)</w:t>
      </w:r>
      <w:r w:rsidRPr="001B6B63">
        <w:rPr>
          <w:rFonts w:asciiTheme="majorBidi" w:hAnsiTheme="majorBidi" w:cstheme="majorBidi"/>
        </w:rPr>
        <w:t>. Patients will be those</w:t>
      </w:r>
      <w:r w:rsidRPr="008628FC">
        <w:rPr>
          <w:rFonts w:asciiTheme="majorBidi" w:hAnsiTheme="majorBidi" w:cstheme="majorBidi"/>
        </w:rPr>
        <w:t xml:space="preserve"> who have a high risk of </w:t>
      </w:r>
      <w:r w:rsidR="004D74B1">
        <w:rPr>
          <w:rFonts w:asciiTheme="majorBidi" w:hAnsiTheme="majorBidi" w:cstheme="majorBidi"/>
        </w:rPr>
        <w:t xml:space="preserve">an </w:t>
      </w:r>
      <w:r w:rsidRPr="00756514">
        <w:rPr>
          <w:rFonts w:asciiTheme="majorBidi" w:hAnsiTheme="majorBidi" w:cstheme="majorBidi"/>
        </w:rPr>
        <w:t>OXA-48</w:t>
      </w:r>
      <w:r w:rsidR="00912409">
        <w:rPr>
          <w:rFonts w:asciiTheme="majorBidi" w:hAnsiTheme="majorBidi" w:cstheme="majorBidi"/>
        </w:rPr>
        <w:t xml:space="preserve"> </w:t>
      </w:r>
      <w:proofErr w:type="spellStart"/>
      <w:r w:rsidR="00FE2007" w:rsidRPr="00FE2007">
        <w:rPr>
          <w:rFonts w:asciiTheme="majorBidi" w:hAnsiTheme="majorBidi" w:cstheme="majorBidi"/>
          <w:i/>
          <w:iCs/>
        </w:rPr>
        <w:t>Enterobacterales</w:t>
      </w:r>
      <w:bookmarkStart w:id="74" w:name="_Hlk78126266"/>
      <w:proofErr w:type="spellEnd"/>
      <w:r w:rsidR="00756514">
        <w:rPr>
          <w:rFonts w:asciiTheme="majorBidi" w:hAnsiTheme="majorBidi" w:cstheme="majorBidi"/>
        </w:rPr>
        <w:t xml:space="preserve">.  </w:t>
      </w:r>
      <w:r w:rsidR="006D3DA8">
        <w:rPr>
          <w:rFonts w:asciiTheme="majorBidi" w:hAnsiTheme="majorBidi" w:cstheme="majorBidi"/>
        </w:rPr>
        <w:t>Focusing on this high-risk group was highlighted by the clinical advisors to this project as preferable to considering a broader group of patients with suspected carbapenem resistance</w:t>
      </w:r>
      <w:r w:rsidR="0033079D">
        <w:rPr>
          <w:rFonts w:asciiTheme="majorBidi" w:hAnsiTheme="majorBidi" w:cstheme="majorBidi"/>
        </w:rPr>
        <w:t>, even if deteriorating rapidly on current therapy,</w:t>
      </w:r>
      <w:r w:rsidR="006D3DA8">
        <w:rPr>
          <w:rFonts w:asciiTheme="majorBidi" w:hAnsiTheme="majorBidi" w:cstheme="majorBidi"/>
        </w:rPr>
        <w:t xml:space="preserve"> as the latter group would be difficult to define and may lead to high levels of prescribing with associated risks of resistance emergence. </w:t>
      </w:r>
      <w:r w:rsidR="00B17DFC">
        <w:rPr>
          <w:rFonts w:asciiTheme="majorBidi" w:hAnsiTheme="majorBidi" w:cstheme="majorBidi"/>
        </w:rPr>
        <w:t xml:space="preserve">Three patient </w:t>
      </w:r>
      <w:r w:rsidR="00E71088">
        <w:rPr>
          <w:rFonts w:asciiTheme="majorBidi" w:hAnsiTheme="majorBidi" w:cstheme="majorBidi"/>
        </w:rPr>
        <w:t xml:space="preserve">characteristics were considered as relevant by our clinical advisors in identifying patients at high risk of an OXA-48 infection: </w:t>
      </w:r>
      <w:r w:rsidR="00E71088" w:rsidRPr="00E71088">
        <w:rPr>
          <w:rFonts w:asciiTheme="majorBidi" w:hAnsiTheme="majorBidi" w:cstheme="majorBidi"/>
        </w:rPr>
        <w:t xml:space="preserve">a high rate of OXA-48 </w:t>
      </w:r>
      <w:proofErr w:type="spellStart"/>
      <w:r w:rsidR="00FE2007" w:rsidRPr="00FE2007">
        <w:rPr>
          <w:rFonts w:asciiTheme="majorBidi" w:hAnsiTheme="majorBidi" w:cstheme="majorBidi"/>
          <w:i/>
          <w:iCs/>
        </w:rPr>
        <w:t>Enterobacterales</w:t>
      </w:r>
      <w:proofErr w:type="spellEnd"/>
      <w:r w:rsidR="001152B4" w:rsidRPr="00E71088">
        <w:rPr>
          <w:rFonts w:asciiTheme="majorBidi" w:hAnsiTheme="majorBidi" w:cstheme="majorBidi"/>
        </w:rPr>
        <w:t xml:space="preserve"> </w:t>
      </w:r>
      <w:r w:rsidR="00E71088" w:rsidRPr="00E71088">
        <w:rPr>
          <w:rFonts w:asciiTheme="majorBidi" w:hAnsiTheme="majorBidi" w:cstheme="majorBidi"/>
        </w:rPr>
        <w:t xml:space="preserve">in a health care setting where </w:t>
      </w:r>
      <w:r w:rsidR="006D3DA8">
        <w:rPr>
          <w:rFonts w:asciiTheme="majorBidi" w:hAnsiTheme="majorBidi" w:cstheme="majorBidi"/>
        </w:rPr>
        <w:t>the</w:t>
      </w:r>
      <w:r w:rsidR="00E71088" w:rsidRPr="00E71088">
        <w:rPr>
          <w:rFonts w:asciiTheme="majorBidi" w:hAnsiTheme="majorBidi" w:cstheme="majorBidi"/>
        </w:rPr>
        <w:t xml:space="preserve"> patient was previously admitted, an outbreak of OXA-48 </w:t>
      </w:r>
      <w:proofErr w:type="spellStart"/>
      <w:r w:rsidR="00FE2007" w:rsidRPr="00FE2007">
        <w:rPr>
          <w:rFonts w:asciiTheme="majorBidi" w:hAnsiTheme="majorBidi" w:cstheme="majorBidi"/>
          <w:i/>
          <w:iCs/>
        </w:rPr>
        <w:t>Enterobacterales</w:t>
      </w:r>
      <w:proofErr w:type="spellEnd"/>
      <w:r w:rsidR="00E71088" w:rsidRPr="00E71088">
        <w:rPr>
          <w:rFonts w:asciiTheme="majorBidi" w:hAnsiTheme="majorBidi" w:cstheme="majorBidi"/>
        </w:rPr>
        <w:t xml:space="preserve"> in the ward where the patient is currently admitted, or previous cultures (taken during </w:t>
      </w:r>
      <w:r w:rsidR="009F2E15">
        <w:rPr>
          <w:rFonts w:asciiTheme="majorBidi" w:hAnsiTheme="majorBidi" w:cstheme="majorBidi"/>
        </w:rPr>
        <w:t xml:space="preserve">the current or </w:t>
      </w:r>
      <w:r w:rsidR="00E71088" w:rsidRPr="00E71088">
        <w:rPr>
          <w:rFonts w:asciiTheme="majorBidi" w:hAnsiTheme="majorBidi" w:cstheme="majorBidi"/>
        </w:rPr>
        <w:t xml:space="preserve">previous </w:t>
      </w:r>
      <w:r w:rsidR="006D3DA8">
        <w:rPr>
          <w:rFonts w:asciiTheme="majorBidi" w:hAnsiTheme="majorBidi" w:cstheme="majorBidi"/>
        </w:rPr>
        <w:t>hospital</w:t>
      </w:r>
      <w:r w:rsidR="00E71088" w:rsidRPr="00E71088">
        <w:rPr>
          <w:rFonts w:asciiTheme="majorBidi" w:hAnsiTheme="majorBidi" w:cstheme="majorBidi"/>
        </w:rPr>
        <w:t xml:space="preserve"> stays) showing the patient was colonised by an OXA-48 </w:t>
      </w:r>
      <w:proofErr w:type="spellStart"/>
      <w:r w:rsidR="00FE2007" w:rsidRPr="00FE2007">
        <w:rPr>
          <w:rFonts w:asciiTheme="majorBidi" w:hAnsiTheme="majorBidi" w:cstheme="majorBidi"/>
          <w:i/>
          <w:iCs/>
        </w:rPr>
        <w:t>Enterobacterales</w:t>
      </w:r>
      <w:proofErr w:type="spellEnd"/>
      <w:r w:rsidR="00E71088" w:rsidRPr="00E71088">
        <w:rPr>
          <w:rFonts w:asciiTheme="majorBidi" w:hAnsiTheme="majorBidi" w:cstheme="majorBidi"/>
        </w:rPr>
        <w:t>.</w:t>
      </w:r>
      <w:r w:rsidR="00E71088">
        <w:rPr>
          <w:rFonts w:asciiTheme="majorBidi" w:hAnsiTheme="majorBidi" w:cstheme="majorBidi"/>
        </w:rPr>
        <w:t xml:space="preserve"> </w:t>
      </w:r>
      <w:r w:rsidR="00B17DFC" w:rsidRPr="008628FC">
        <w:rPr>
          <w:rFonts w:asciiTheme="majorBidi" w:hAnsiTheme="majorBidi" w:cstheme="majorBidi"/>
        </w:rPr>
        <w:t xml:space="preserve">CAZ-AVI </w:t>
      </w:r>
      <w:r w:rsidR="006D3DA8">
        <w:rPr>
          <w:rFonts w:asciiTheme="majorBidi" w:hAnsiTheme="majorBidi" w:cstheme="majorBidi"/>
        </w:rPr>
        <w:t xml:space="preserve">may be used as monotherapy in this usage </w:t>
      </w:r>
      <w:proofErr w:type="gramStart"/>
      <w:r w:rsidR="006D3DA8">
        <w:rPr>
          <w:rFonts w:asciiTheme="majorBidi" w:hAnsiTheme="majorBidi" w:cstheme="majorBidi"/>
        </w:rPr>
        <w:t>scenario</w:t>
      </w:r>
      <w:r w:rsidR="009F2E15">
        <w:rPr>
          <w:rFonts w:asciiTheme="majorBidi" w:hAnsiTheme="majorBidi" w:cstheme="majorBidi"/>
        </w:rPr>
        <w:t>,</w:t>
      </w:r>
      <w:r w:rsidR="006D3DA8">
        <w:rPr>
          <w:rFonts w:asciiTheme="majorBidi" w:hAnsiTheme="majorBidi" w:cstheme="majorBidi"/>
        </w:rPr>
        <w:t xml:space="preserve"> or</w:t>
      </w:r>
      <w:proofErr w:type="gramEnd"/>
      <w:r w:rsidR="00B17DFC" w:rsidRPr="008628FC">
        <w:rPr>
          <w:rFonts w:asciiTheme="majorBidi" w:hAnsiTheme="majorBidi" w:cstheme="majorBidi"/>
        </w:rPr>
        <w:t xml:space="preserve"> may be used in combination with other treatments</w:t>
      </w:r>
      <w:r w:rsidR="00B17DFC">
        <w:rPr>
          <w:rFonts w:asciiTheme="majorBidi" w:hAnsiTheme="majorBidi" w:cstheme="majorBidi"/>
        </w:rPr>
        <w:t xml:space="preserve"> to provide a broader spectrum</w:t>
      </w:r>
      <w:r w:rsidR="009F2E15">
        <w:rPr>
          <w:rFonts w:asciiTheme="majorBidi" w:hAnsiTheme="majorBidi" w:cstheme="majorBidi"/>
        </w:rPr>
        <w:t xml:space="preserve"> of</w:t>
      </w:r>
      <w:r w:rsidR="00B17DFC">
        <w:rPr>
          <w:rFonts w:asciiTheme="majorBidi" w:hAnsiTheme="majorBidi" w:cstheme="majorBidi"/>
        </w:rPr>
        <w:t xml:space="preserve"> coverage</w:t>
      </w:r>
      <w:bookmarkEnd w:id="74"/>
      <w:r w:rsidRPr="008628FC">
        <w:rPr>
          <w:rFonts w:asciiTheme="majorBidi" w:hAnsiTheme="majorBidi" w:cstheme="majorBidi"/>
        </w:rPr>
        <w:t xml:space="preserve">. </w:t>
      </w:r>
      <w:bookmarkStart w:id="75" w:name="_Hlk78126354"/>
      <w:r w:rsidR="00E71088">
        <w:rPr>
          <w:rFonts w:asciiTheme="majorBidi" w:hAnsiTheme="majorBidi" w:cstheme="majorBidi"/>
        </w:rPr>
        <w:t xml:space="preserve">A range of comparators are relevant in this setting. </w:t>
      </w:r>
      <w:bookmarkEnd w:id="75"/>
      <w:r w:rsidRPr="008628FC">
        <w:rPr>
          <w:rFonts w:asciiTheme="majorBidi" w:hAnsiTheme="majorBidi" w:cstheme="majorBidi"/>
        </w:rPr>
        <w:t xml:space="preserve">Once microbiology has confirmed the susceptibility profile and mechanisms of resistance of the pathogen, treatment may be </w:t>
      </w:r>
      <w:r w:rsidR="00751FCD">
        <w:rPr>
          <w:rFonts w:asciiTheme="majorBidi" w:hAnsiTheme="majorBidi" w:cstheme="majorBidi"/>
        </w:rPr>
        <w:t xml:space="preserve">continued or </w:t>
      </w:r>
      <w:r w:rsidRPr="008628FC">
        <w:rPr>
          <w:rFonts w:asciiTheme="majorBidi" w:hAnsiTheme="majorBidi" w:cstheme="majorBidi"/>
        </w:rPr>
        <w:t xml:space="preserve">stopped, dosage may be altered, or different AMs may be initiated. </w:t>
      </w:r>
    </w:p>
    <w:p w14:paraId="129ADDBA" w14:textId="42082DEB" w:rsidR="009F1D70" w:rsidRDefault="009F1D70" w:rsidP="009F1D70">
      <w:pPr>
        <w:rPr>
          <w:rFonts w:cstheme="minorHAnsi"/>
        </w:rPr>
      </w:pPr>
    </w:p>
    <w:p w14:paraId="5A38EF60" w14:textId="77777777" w:rsidR="009F1D70" w:rsidRDefault="009F1D70" w:rsidP="009F1D70">
      <w:pPr>
        <w:spacing w:line="360" w:lineRule="auto"/>
        <w:jc w:val="both"/>
        <w:rPr>
          <w:rFonts w:asciiTheme="majorBidi" w:hAnsiTheme="majorBidi" w:cstheme="majorBidi"/>
          <w:b/>
          <w:bCs/>
        </w:rPr>
        <w:sectPr w:rsidR="009F1D70" w:rsidSect="0073546E">
          <w:headerReference w:type="default" r:id="rId14"/>
          <w:pgSz w:w="11906" w:h="16838"/>
          <w:pgMar w:top="1440" w:right="1440" w:bottom="1440" w:left="1440" w:header="708" w:footer="708" w:gutter="0"/>
          <w:cols w:space="708"/>
          <w:docGrid w:linePitch="360"/>
        </w:sectPr>
      </w:pPr>
    </w:p>
    <w:p w14:paraId="5BE52AAE" w14:textId="2779E31F" w:rsidR="00751FCD" w:rsidRPr="00F10F0A" w:rsidRDefault="00F10F0A" w:rsidP="00F10F0A">
      <w:pPr>
        <w:pStyle w:val="Caption"/>
        <w:rPr>
          <w:rFonts w:asciiTheme="majorBidi" w:hAnsiTheme="majorBidi" w:cstheme="majorBidi"/>
          <w:b/>
          <w:bCs/>
          <w:i w:val="0"/>
          <w:iCs w:val="0"/>
          <w:color w:val="auto"/>
          <w:sz w:val="20"/>
          <w:szCs w:val="20"/>
        </w:rPr>
      </w:pPr>
      <w:bookmarkStart w:id="76" w:name="_Toc86418978"/>
      <w:bookmarkStart w:id="77" w:name="_Toc65482389"/>
      <w:r w:rsidRPr="00F10F0A">
        <w:rPr>
          <w:rFonts w:asciiTheme="majorBidi" w:hAnsiTheme="majorBidi" w:cstheme="majorBidi"/>
          <w:b/>
          <w:bCs/>
          <w:i w:val="0"/>
          <w:iCs w:val="0"/>
          <w:sz w:val="20"/>
          <w:szCs w:val="20"/>
        </w:rPr>
        <w:lastRenderedPageBreak/>
        <w:t xml:space="preserve">Table </w:t>
      </w:r>
      <w:r w:rsidRPr="00F10F0A">
        <w:rPr>
          <w:rFonts w:asciiTheme="majorBidi" w:hAnsiTheme="majorBidi" w:cstheme="majorBidi"/>
          <w:b/>
          <w:bCs/>
          <w:i w:val="0"/>
          <w:iCs w:val="0"/>
          <w:noProof/>
          <w:sz w:val="20"/>
          <w:szCs w:val="20"/>
        </w:rPr>
        <w:t>1</w:t>
      </w:r>
      <w:r w:rsidRPr="00F10F0A">
        <w:rPr>
          <w:rFonts w:asciiTheme="majorBidi" w:hAnsiTheme="majorBidi" w:cstheme="majorBidi"/>
          <w:b/>
          <w:bCs/>
          <w:i w:val="0"/>
          <w:iCs w:val="0"/>
          <w:color w:val="auto"/>
          <w:sz w:val="20"/>
          <w:szCs w:val="20"/>
        </w:rPr>
        <w:t>: PICOS for the HVCS</w:t>
      </w:r>
      <w:bookmarkEnd w:id="76"/>
    </w:p>
    <w:tbl>
      <w:tblPr>
        <w:tblStyle w:val="TableGrid"/>
        <w:tblW w:w="5130" w:type="pct"/>
        <w:tblLook w:val="04A0" w:firstRow="1" w:lastRow="0" w:firstColumn="1" w:lastColumn="0" w:noHBand="0" w:noVBand="1"/>
      </w:tblPr>
      <w:tblGrid>
        <w:gridCol w:w="2221"/>
        <w:gridCol w:w="5939"/>
        <w:gridCol w:w="6151"/>
      </w:tblGrid>
      <w:tr w:rsidR="00273F92" w:rsidRPr="001009FF" w14:paraId="24CCB401" w14:textId="77777777" w:rsidTr="00273F92">
        <w:trPr>
          <w:tblHeader/>
        </w:trPr>
        <w:tc>
          <w:tcPr>
            <w:tcW w:w="776" w:type="pct"/>
          </w:tcPr>
          <w:p w14:paraId="0EE8DE0E"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Element</w:t>
            </w:r>
          </w:p>
        </w:tc>
        <w:tc>
          <w:tcPr>
            <w:tcW w:w="2075" w:type="pct"/>
          </w:tcPr>
          <w:p w14:paraId="169B7543"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Microbiology-directed setting (MDS)</w:t>
            </w:r>
          </w:p>
        </w:tc>
        <w:tc>
          <w:tcPr>
            <w:tcW w:w="2149" w:type="pct"/>
          </w:tcPr>
          <w:p w14:paraId="64EE4B54"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Risk-based empiric setting (ES)</w:t>
            </w:r>
          </w:p>
        </w:tc>
      </w:tr>
      <w:tr w:rsidR="00273F92" w:rsidRPr="001009FF" w14:paraId="41D13DDE" w14:textId="77777777" w:rsidTr="00273F92">
        <w:tc>
          <w:tcPr>
            <w:tcW w:w="776" w:type="pct"/>
          </w:tcPr>
          <w:p w14:paraId="5C223FB6"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Population - Patients</w:t>
            </w:r>
          </w:p>
        </w:tc>
        <w:tc>
          <w:tcPr>
            <w:tcW w:w="2075" w:type="pct"/>
          </w:tcPr>
          <w:p w14:paraId="28F30F8C" w14:textId="77777777" w:rsidR="00273F92" w:rsidRPr="001009FF" w:rsidRDefault="00273F92" w:rsidP="003C01A5">
            <w:pPr>
              <w:spacing w:line="264" w:lineRule="auto"/>
              <w:rPr>
                <w:rFonts w:asciiTheme="majorBidi" w:hAnsiTheme="majorBidi" w:cstheme="majorBidi"/>
              </w:rPr>
            </w:pPr>
            <w:r w:rsidRPr="001009FF">
              <w:rPr>
                <w:rFonts w:asciiTheme="majorBidi" w:hAnsiTheme="majorBidi" w:cstheme="majorBidi"/>
              </w:rPr>
              <w:t xml:space="preserve">Where microbiological susceptibility testing and gene testing has been performed </w:t>
            </w:r>
          </w:p>
        </w:tc>
        <w:tc>
          <w:tcPr>
            <w:tcW w:w="2149" w:type="pct"/>
          </w:tcPr>
          <w:p w14:paraId="0FA82CF4" w14:textId="77777777" w:rsidR="00273F92" w:rsidRPr="001009FF" w:rsidRDefault="00273F92" w:rsidP="003C01A5">
            <w:pPr>
              <w:spacing w:line="264" w:lineRule="auto"/>
              <w:rPr>
                <w:rFonts w:asciiTheme="majorBidi" w:hAnsiTheme="majorBidi" w:cstheme="majorBidi"/>
              </w:rPr>
            </w:pPr>
            <w:r w:rsidRPr="001009FF">
              <w:rPr>
                <w:rFonts w:asciiTheme="majorBidi" w:hAnsiTheme="majorBidi" w:cstheme="majorBidi"/>
              </w:rPr>
              <w:t xml:space="preserve">With clinically urgent disease with high risk of an infection caused by a resistant pathogen.  Suspicion of infection may be based on knowledge of the local epidemiology where a patient was previously hospitalised, outbreak in the ward where the patient is currently admitted, or previous cultures (taken during the current or previous hospital stays) showing the patient was colonised by an OXA-48 </w:t>
            </w:r>
            <w:proofErr w:type="spellStart"/>
            <w:r w:rsidRPr="00FE2007">
              <w:rPr>
                <w:rFonts w:asciiTheme="majorBidi" w:hAnsiTheme="majorBidi" w:cstheme="majorBidi"/>
                <w:i/>
                <w:iCs/>
              </w:rPr>
              <w:t>Enterobacterales</w:t>
            </w:r>
            <w:proofErr w:type="spellEnd"/>
            <w:r w:rsidRPr="001009FF">
              <w:rPr>
                <w:rFonts w:asciiTheme="majorBidi" w:hAnsiTheme="majorBidi" w:cstheme="majorBidi"/>
              </w:rPr>
              <w:t xml:space="preserve">. </w:t>
            </w:r>
          </w:p>
        </w:tc>
      </w:tr>
      <w:tr w:rsidR="00273F92" w:rsidRPr="001009FF" w14:paraId="28DC7C46" w14:textId="77777777" w:rsidTr="00273F92">
        <w:tc>
          <w:tcPr>
            <w:tcW w:w="776" w:type="pct"/>
          </w:tcPr>
          <w:p w14:paraId="133F5474" w14:textId="4A1C8350"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Population -</w:t>
            </w:r>
            <w:r w:rsidR="00AE639B">
              <w:rPr>
                <w:rFonts w:asciiTheme="majorBidi" w:hAnsiTheme="majorBidi" w:cstheme="majorBidi"/>
                <w:b/>
              </w:rPr>
              <w:t>Pathogen-mechanism</w:t>
            </w:r>
          </w:p>
        </w:tc>
        <w:tc>
          <w:tcPr>
            <w:tcW w:w="2075" w:type="pct"/>
          </w:tcPr>
          <w:p w14:paraId="7F97A1B4" w14:textId="0D192CB2" w:rsidR="00273F92" w:rsidRPr="001009FF" w:rsidRDefault="00273F92" w:rsidP="003C01A5">
            <w:pPr>
              <w:rPr>
                <w:rFonts w:asciiTheme="majorBidi" w:hAnsiTheme="majorBidi" w:cstheme="majorBidi"/>
              </w:rPr>
            </w:pPr>
            <w:r w:rsidRPr="001009FF">
              <w:rPr>
                <w:rFonts w:asciiTheme="majorBidi" w:hAnsiTheme="majorBidi" w:cstheme="majorBidi"/>
              </w:rPr>
              <w:t xml:space="preserve">Patients with </w:t>
            </w:r>
            <w:proofErr w:type="spellStart"/>
            <w:r w:rsidRPr="00FE2007">
              <w:rPr>
                <w:rFonts w:asciiTheme="majorBidi" w:hAnsiTheme="majorBidi" w:cstheme="majorBidi"/>
                <w:i/>
                <w:iCs/>
              </w:rPr>
              <w:t>Enterobacterales</w:t>
            </w:r>
            <w:proofErr w:type="spellEnd"/>
            <w:r w:rsidRPr="001009FF">
              <w:rPr>
                <w:rFonts w:asciiTheme="majorBidi" w:hAnsiTheme="majorBidi" w:cstheme="majorBidi"/>
              </w:rPr>
              <w:t xml:space="preserve"> which have </w:t>
            </w:r>
            <w:bookmarkStart w:id="78" w:name="_Hlk85728747"/>
            <w:r w:rsidRPr="001009FF">
              <w:rPr>
                <w:rFonts w:asciiTheme="majorBidi" w:hAnsiTheme="majorBidi" w:cstheme="majorBidi"/>
              </w:rPr>
              <w:t>OXA-48</w:t>
            </w:r>
            <w:bookmarkEnd w:id="78"/>
            <w:r w:rsidR="007C12AC">
              <w:rPr>
                <w:rFonts w:asciiTheme="majorBidi" w:hAnsiTheme="majorBidi" w:cstheme="majorBidi"/>
              </w:rPr>
              <w:t xml:space="preserve"> </w:t>
            </w:r>
            <w:r w:rsidRPr="001009FF">
              <w:rPr>
                <w:rFonts w:asciiTheme="majorBidi" w:hAnsiTheme="majorBidi" w:cstheme="majorBidi"/>
              </w:rPr>
              <w:t>mechanisms of resistance</w:t>
            </w:r>
          </w:p>
        </w:tc>
        <w:tc>
          <w:tcPr>
            <w:tcW w:w="2149" w:type="pct"/>
          </w:tcPr>
          <w:p w14:paraId="7723861A" w14:textId="77777777" w:rsidR="00273F92" w:rsidRPr="001009FF" w:rsidRDefault="00273F92" w:rsidP="003C01A5">
            <w:pPr>
              <w:spacing w:line="264" w:lineRule="auto"/>
              <w:rPr>
                <w:rFonts w:asciiTheme="majorBidi" w:hAnsiTheme="majorBidi" w:cstheme="majorBidi"/>
              </w:rPr>
            </w:pPr>
            <w:r w:rsidRPr="001009FF">
              <w:rPr>
                <w:rFonts w:asciiTheme="majorBidi" w:hAnsiTheme="majorBidi" w:cstheme="majorBidi"/>
              </w:rPr>
              <w:t xml:space="preserve">Infections suspected to be caused by </w:t>
            </w:r>
            <w:proofErr w:type="spellStart"/>
            <w:r w:rsidRPr="00FE2007">
              <w:rPr>
                <w:rFonts w:asciiTheme="majorBidi" w:hAnsiTheme="majorBidi" w:cstheme="majorBidi"/>
                <w:i/>
                <w:iCs/>
              </w:rPr>
              <w:t>Enterobacterales</w:t>
            </w:r>
            <w:proofErr w:type="spellEnd"/>
            <w:r w:rsidRPr="001009FF">
              <w:rPr>
                <w:rFonts w:asciiTheme="majorBidi" w:hAnsiTheme="majorBidi" w:cstheme="majorBidi"/>
              </w:rPr>
              <w:t xml:space="preserve"> which have OXA-48 mechanisms of resistance</w:t>
            </w:r>
          </w:p>
        </w:tc>
      </w:tr>
      <w:tr w:rsidR="00273F92" w:rsidRPr="001009FF" w14:paraId="25AE662D" w14:textId="77777777" w:rsidTr="00273F92">
        <w:tc>
          <w:tcPr>
            <w:tcW w:w="776" w:type="pct"/>
          </w:tcPr>
          <w:p w14:paraId="2D984167"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Population - Site of infection</w:t>
            </w:r>
          </w:p>
        </w:tc>
        <w:tc>
          <w:tcPr>
            <w:tcW w:w="2075" w:type="pct"/>
          </w:tcPr>
          <w:p w14:paraId="4511DA32" w14:textId="47941877" w:rsidR="00273F92" w:rsidRPr="001009FF" w:rsidRDefault="00273F92" w:rsidP="003C01A5">
            <w:pPr>
              <w:pStyle w:val="ListParagraph"/>
              <w:numPr>
                <w:ilvl w:val="0"/>
                <w:numId w:val="9"/>
              </w:numPr>
              <w:spacing w:line="264" w:lineRule="auto"/>
              <w:rPr>
                <w:rFonts w:asciiTheme="majorBidi" w:hAnsiTheme="majorBidi" w:cstheme="majorBidi"/>
              </w:rPr>
            </w:pPr>
            <w:bookmarkStart w:id="79" w:name="_Hlk85728761"/>
            <w:proofErr w:type="spellStart"/>
            <w:r w:rsidRPr="001009FF">
              <w:rPr>
                <w:rFonts w:asciiTheme="majorBidi" w:hAnsiTheme="majorBidi" w:cstheme="majorBidi"/>
              </w:rPr>
              <w:t>cUTI</w:t>
            </w:r>
            <w:proofErr w:type="spellEnd"/>
          </w:p>
          <w:p w14:paraId="58EC7878" w14:textId="76AB3356" w:rsidR="00273F92" w:rsidRPr="001009FF" w:rsidRDefault="0008183A" w:rsidP="003C01A5">
            <w:pPr>
              <w:pStyle w:val="ListParagraph"/>
              <w:numPr>
                <w:ilvl w:val="0"/>
                <w:numId w:val="9"/>
              </w:numPr>
              <w:spacing w:line="264" w:lineRule="auto"/>
              <w:rPr>
                <w:rFonts w:asciiTheme="majorBidi" w:hAnsiTheme="majorBidi" w:cstheme="majorBidi"/>
              </w:rPr>
            </w:pPr>
            <w:r>
              <w:rPr>
                <w:rFonts w:asciiTheme="majorBidi" w:hAnsiTheme="majorBidi" w:cstheme="majorBidi"/>
              </w:rPr>
              <w:t>HAP/VAP</w:t>
            </w:r>
          </w:p>
          <w:bookmarkEnd w:id="79"/>
          <w:p w14:paraId="02D6784D" w14:textId="77777777" w:rsidR="00273F92" w:rsidRPr="001009FF" w:rsidRDefault="00273F92" w:rsidP="003C01A5">
            <w:pPr>
              <w:spacing w:line="264" w:lineRule="auto"/>
              <w:rPr>
                <w:rFonts w:asciiTheme="majorBidi" w:hAnsiTheme="majorBidi" w:cstheme="majorBidi"/>
              </w:rPr>
            </w:pPr>
          </w:p>
        </w:tc>
        <w:tc>
          <w:tcPr>
            <w:tcW w:w="2149" w:type="pct"/>
          </w:tcPr>
          <w:p w14:paraId="78D1DA3E" w14:textId="77777777" w:rsidR="00273F92" w:rsidRPr="001009FF" w:rsidRDefault="00273F92" w:rsidP="003C01A5">
            <w:pPr>
              <w:spacing w:line="264" w:lineRule="auto"/>
              <w:rPr>
                <w:rFonts w:asciiTheme="majorBidi" w:hAnsiTheme="majorBidi" w:cstheme="majorBidi"/>
              </w:rPr>
            </w:pPr>
            <w:r w:rsidRPr="001009FF">
              <w:rPr>
                <w:rFonts w:asciiTheme="majorBidi" w:hAnsiTheme="majorBidi" w:cstheme="majorBidi"/>
              </w:rPr>
              <w:t xml:space="preserve">HAP/ VAP </w:t>
            </w:r>
          </w:p>
        </w:tc>
      </w:tr>
      <w:tr w:rsidR="00273F92" w:rsidRPr="001009FF" w14:paraId="28EA3CEF" w14:textId="77777777" w:rsidTr="00273F92">
        <w:tc>
          <w:tcPr>
            <w:tcW w:w="776" w:type="pct"/>
          </w:tcPr>
          <w:p w14:paraId="2E929B40"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Intervention</w:t>
            </w:r>
          </w:p>
        </w:tc>
        <w:tc>
          <w:tcPr>
            <w:tcW w:w="2075" w:type="pct"/>
          </w:tcPr>
          <w:p w14:paraId="495AA3FE" w14:textId="2CCB528A" w:rsidR="00273F92" w:rsidRPr="001009FF" w:rsidRDefault="0008183A" w:rsidP="003C01A5">
            <w:pPr>
              <w:spacing w:line="336" w:lineRule="auto"/>
              <w:rPr>
                <w:rFonts w:asciiTheme="majorBidi" w:hAnsiTheme="majorBidi" w:cstheme="majorBidi"/>
              </w:rPr>
            </w:pPr>
            <w:bookmarkStart w:id="80" w:name="_Hlk85728777"/>
            <w:r>
              <w:rPr>
                <w:rFonts w:asciiTheme="majorBidi" w:hAnsiTheme="majorBidi" w:cstheme="majorBidi"/>
              </w:rPr>
              <w:t>CAZ-AVI</w:t>
            </w:r>
            <w:r w:rsidR="00273F92" w:rsidRPr="001009FF">
              <w:rPr>
                <w:rFonts w:asciiTheme="majorBidi" w:hAnsiTheme="majorBidi" w:cstheme="majorBidi"/>
              </w:rPr>
              <w:t xml:space="preserve"> </w:t>
            </w:r>
            <w:bookmarkEnd w:id="80"/>
            <w:r w:rsidR="00273F92" w:rsidRPr="001009FF">
              <w:rPr>
                <w:rFonts w:asciiTheme="majorBidi" w:hAnsiTheme="majorBidi" w:cstheme="majorBidi"/>
              </w:rPr>
              <w:t>alone or in combination</w:t>
            </w:r>
          </w:p>
        </w:tc>
        <w:tc>
          <w:tcPr>
            <w:tcW w:w="2149" w:type="pct"/>
          </w:tcPr>
          <w:p w14:paraId="35521487" w14:textId="77777777" w:rsidR="00273F92" w:rsidRPr="001009FF" w:rsidRDefault="00273F92" w:rsidP="003C01A5">
            <w:pPr>
              <w:spacing w:line="336" w:lineRule="auto"/>
              <w:rPr>
                <w:rFonts w:asciiTheme="majorBidi" w:hAnsiTheme="majorBidi" w:cstheme="majorBidi"/>
              </w:rPr>
            </w:pPr>
            <w:r w:rsidRPr="001009FF">
              <w:rPr>
                <w:rFonts w:asciiTheme="majorBidi" w:hAnsiTheme="majorBidi" w:cstheme="majorBidi"/>
              </w:rPr>
              <w:t>CAZ-AVI alone or in combination</w:t>
            </w:r>
          </w:p>
        </w:tc>
      </w:tr>
      <w:tr w:rsidR="00273F92" w:rsidRPr="001009FF" w14:paraId="0C3BEB1E" w14:textId="77777777" w:rsidTr="00273F92">
        <w:tc>
          <w:tcPr>
            <w:tcW w:w="776" w:type="pct"/>
          </w:tcPr>
          <w:p w14:paraId="3D307803"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b/>
              </w:rPr>
              <w:t>Comparators</w:t>
            </w:r>
          </w:p>
          <w:p w14:paraId="0778E71B" w14:textId="77777777" w:rsidR="00273F92" w:rsidRPr="001009FF" w:rsidRDefault="00273F92" w:rsidP="003C01A5">
            <w:pPr>
              <w:spacing w:line="264" w:lineRule="auto"/>
              <w:rPr>
                <w:rFonts w:asciiTheme="majorBidi" w:hAnsiTheme="majorBidi" w:cstheme="majorBidi"/>
                <w:b/>
              </w:rPr>
            </w:pPr>
          </w:p>
          <w:p w14:paraId="4446AC62" w14:textId="77777777" w:rsidR="00273F92" w:rsidRPr="001009FF" w:rsidRDefault="00273F92" w:rsidP="003C01A5">
            <w:pPr>
              <w:spacing w:line="264" w:lineRule="auto"/>
              <w:rPr>
                <w:rFonts w:asciiTheme="majorBidi" w:hAnsiTheme="majorBidi" w:cstheme="majorBidi"/>
                <w:b/>
              </w:rPr>
            </w:pPr>
            <w:r w:rsidRPr="001009FF">
              <w:rPr>
                <w:rFonts w:asciiTheme="majorBidi" w:hAnsiTheme="majorBidi" w:cstheme="majorBidi"/>
              </w:rPr>
              <w:t>These comparators reflect NHS practice based on clinical advice. The available evidence will determine which of those listed (and possible additional products including combinations) will be formally incorporated into the modelling</w:t>
            </w:r>
          </w:p>
        </w:tc>
        <w:tc>
          <w:tcPr>
            <w:tcW w:w="2075" w:type="pct"/>
          </w:tcPr>
          <w:p w14:paraId="66500091" w14:textId="77777777" w:rsidR="00273F92" w:rsidRPr="001009FF" w:rsidRDefault="00273F92" w:rsidP="003C01A5">
            <w:pPr>
              <w:rPr>
                <w:rFonts w:asciiTheme="majorBidi" w:hAnsiTheme="majorBidi" w:cstheme="majorBidi"/>
              </w:rPr>
            </w:pPr>
            <w:r w:rsidRPr="001009FF">
              <w:rPr>
                <w:rFonts w:asciiTheme="majorBidi" w:hAnsiTheme="majorBidi" w:cstheme="majorBidi"/>
              </w:rPr>
              <w:t>Comparators used in clinical practice in England, as defined by susceptibility testing and/or gene testing and considering infection site and infiltration data. Potential comparators include:</w:t>
            </w:r>
          </w:p>
          <w:p w14:paraId="2632BA21"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meropenem + colistin</w:t>
            </w:r>
          </w:p>
          <w:p w14:paraId="031B5CB5"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fluoroquinolones (</w:t>
            </w:r>
            <w:proofErr w:type="spellStart"/>
            <w:r w:rsidRPr="001009FF">
              <w:rPr>
                <w:rFonts w:asciiTheme="majorBidi" w:hAnsiTheme="majorBidi" w:cstheme="majorBidi"/>
              </w:rPr>
              <w:t>levoflaxin</w:t>
            </w:r>
            <w:proofErr w:type="spellEnd"/>
            <w:r w:rsidRPr="001009FF">
              <w:rPr>
                <w:rFonts w:asciiTheme="majorBidi" w:hAnsiTheme="majorBidi" w:cstheme="majorBidi"/>
              </w:rPr>
              <w:t xml:space="preserve">, </w:t>
            </w:r>
            <w:proofErr w:type="spellStart"/>
            <w:r w:rsidRPr="001009FF">
              <w:rPr>
                <w:rFonts w:asciiTheme="majorBidi" w:hAnsiTheme="majorBidi" w:cstheme="majorBidi"/>
              </w:rPr>
              <w:t>ciproflaxin</w:t>
            </w:r>
            <w:proofErr w:type="spellEnd"/>
            <w:r w:rsidRPr="001009FF">
              <w:rPr>
                <w:rFonts w:asciiTheme="majorBidi" w:hAnsiTheme="majorBidi" w:cstheme="majorBidi"/>
              </w:rPr>
              <w:t>) + meropenem</w:t>
            </w:r>
          </w:p>
          <w:p w14:paraId="4BC041A1"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aminoglycosides (gentamicin, amikacin, tobramycin)</w:t>
            </w:r>
          </w:p>
          <w:p w14:paraId="29A287F9" w14:textId="77777777" w:rsidR="00273F92" w:rsidRPr="001009FF" w:rsidRDefault="00273F92" w:rsidP="003C01A5">
            <w:pPr>
              <w:pStyle w:val="ListParagraph"/>
              <w:spacing w:line="264" w:lineRule="auto"/>
              <w:rPr>
                <w:rFonts w:asciiTheme="majorBidi" w:hAnsiTheme="majorBidi" w:cstheme="majorBidi"/>
              </w:rPr>
            </w:pPr>
          </w:p>
          <w:p w14:paraId="5B4714B3" w14:textId="77777777" w:rsidR="00273F92" w:rsidRPr="001009FF" w:rsidRDefault="00273F92" w:rsidP="003C01A5">
            <w:pPr>
              <w:rPr>
                <w:rFonts w:asciiTheme="majorBidi" w:hAnsiTheme="majorBidi" w:cstheme="majorBidi"/>
              </w:rPr>
            </w:pPr>
            <w:r w:rsidRPr="001009FF">
              <w:rPr>
                <w:rFonts w:asciiTheme="majorBidi" w:hAnsiTheme="majorBidi" w:cstheme="majorBidi"/>
              </w:rPr>
              <w:t xml:space="preserve">If low risk of ESBL and </w:t>
            </w:r>
            <w:proofErr w:type="spellStart"/>
            <w:r w:rsidRPr="001009FF">
              <w:rPr>
                <w:rFonts w:asciiTheme="majorBidi" w:hAnsiTheme="majorBidi" w:cstheme="majorBidi"/>
              </w:rPr>
              <w:t>AmpC</w:t>
            </w:r>
            <w:proofErr w:type="spellEnd"/>
            <w:r w:rsidRPr="001009FF">
              <w:rPr>
                <w:rFonts w:asciiTheme="majorBidi" w:hAnsiTheme="majorBidi" w:cstheme="majorBidi"/>
              </w:rPr>
              <w:t xml:space="preserve"> beta- lactamase suggested by susceptibility testing:</w:t>
            </w:r>
          </w:p>
          <w:p w14:paraId="50F20E8A"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cephalosporins (ceftriaxone, cefepime, ceftazidime)</w:t>
            </w:r>
          </w:p>
          <w:p w14:paraId="7124931B" w14:textId="77777777" w:rsidR="00273F92" w:rsidRPr="001009FF" w:rsidRDefault="00273F92" w:rsidP="003C01A5">
            <w:pPr>
              <w:pStyle w:val="ListParagraph"/>
              <w:numPr>
                <w:ilvl w:val="0"/>
                <w:numId w:val="9"/>
              </w:numPr>
              <w:spacing w:line="264" w:lineRule="auto"/>
              <w:rPr>
                <w:rFonts w:asciiTheme="majorBidi" w:hAnsiTheme="majorBidi" w:cstheme="majorBidi"/>
              </w:rPr>
            </w:pPr>
            <w:proofErr w:type="spellStart"/>
            <w:r w:rsidRPr="001009FF">
              <w:rPr>
                <w:rFonts w:asciiTheme="majorBidi" w:hAnsiTheme="majorBidi" w:cstheme="majorBidi"/>
              </w:rPr>
              <w:t>astreonam</w:t>
            </w:r>
            <w:proofErr w:type="spellEnd"/>
            <w:r w:rsidRPr="001009FF">
              <w:rPr>
                <w:rFonts w:asciiTheme="majorBidi" w:hAnsiTheme="majorBidi" w:cstheme="majorBidi"/>
              </w:rPr>
              <w:t xml:space="preserve"> + </w:t>
            </w:r>
            <w:proofErr w:type="spellStart"/>
            <w:r w:rsidRPr="001009FF">
              <w:rPr>
                <w:rFonts w:asciiTheme="majorBidi" w:hAnsiTheme="majorBidi" w:cstheme="majorBidi"/>
              </w:rPr>
              <w:t>fosfomycin</w:t>
            </w:r>
            <w:proofErr w:type="spellEnd"/>
          </w:p>
          <w:p w14:paraId="232C5DE2" w14:textId="77777777" w:rsidR="00273F92" w:rsidRPr="001009FF" w:rsidRDefault="00273F92" w:rsidP="003C01A5">
            <w:pPr>
              <w:pStyle w:val="ListParagraph"/>
              <w:numPr>
                <w:ilvl w:val="0"/>
                <w:numId w:val="9"/>
              </w:numPr>
              <w:spacing w:line="264" w:lineRule="auto"/>
              <w:rPr>
                <w:rFonts w:asciiTheme="majorBidi" w:hAnsiTheme="majorBidi" w:cstheme="majorBidi"/>
              </w:rPr>
            </w:pPr>
            <w:proofErr w:type="spellStart"/>
            <w:r w:rsidRPr="001009FF">
              <w:rPr>
                <w:rFonts w:asciiTheme="majorBidi" w:hAnsiTheme="majorBidi" w:cstheme="majorBidi"/>
              </w:rPr>
              <w:t>astreonam</w:t>
            </w:r>
            <w:proofErr w:type="spellEnd"/>
            <w:r w:rsidRPr="001009FF">
              <w:rPr>
                <w:rFonts w:asciiTheme="majorBidi" w:hAnsiTheme="majorBidi" w:cstheme="majorBidi"/>
              </w:rPr>
              <w:t xml:space="preserve"> + colistin</w:t>
            </w:r>
          </w:p>
          <w:p w14:paraId="781A704E" w14:textId="77777777" w:rsidR="00273F92" w:rsidRPr="001009FF" w:rsidRDefault="00273F92" w:rsidP="003C01A5">
            <w:pPr>
              <w:spacing w:line="360" w:lineRule="auto"/>
              <w:rPr>
                <w:rFonts w:asciiTheme="majorBidi" w:hAnsiTheme="majorBidi" w:cstheme="majorBidi"/>
              </w:rPr>
            </w:pPr>
          </w:p>
          <w:p w14:paraId="29534BEF" w14:textId="77777777" w:rsidR="00273F92" w:rsidRPr="001009FF" w:rsidRDefault="00273F92" w:rsidP="003C01A5">
            <w:pPr>
              <w:rPr>
                <w:rFonts w:asciiTheme="majorBidi" w:hAnsiTheme="majorBidi" w:cstheme="majorBidi"/>
              </w:rPr>
            </w:pPr>
            <w:r w:rsidRPr="001009FF">
              <w:rPr>
                <w:rFonts w:asciiTheme="majorBidi" w:hAnsiTheme="majorBidi" w:cstheme="majorBidi"/>
              </w:rPr>
              <w:t>For HAP/VAP the following comparators may be included also:</w:t>
            </w:r>
          </w:p>
          <w:p w14:paraId="7B94E35E"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lastRenderedPageBreak/>
              <w:t>tigecycline   + colistin</w:t>
            </w:r>
          </w:p>
          <w:p w14:paraId="19E37B4C"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tigecycline   + meropenem + colistin</w:t>
            </w:r>
          </w:p>
          <w:p w14:paraId="46FDC6AF"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 xml:space="preserve">aminoglycosides (gentamicin, amikacin, tobramycin) may be used in combination with </w:t>
            </w:r>
            <w:proofErr w:type="spellStart"/>
            <w:r w:rsidRPr="001009FF">
              <w:rPr>
                <w:rFonts w:asciiTheme="majorBidi" w:hAnsiTheme="majorBidi" w:cstheme="majorBidi"/>
              </w:rPr>
              <w:t>fosfomycin</w:t>
            </w:r>
            <w:proofErr w:type="spellEnd"/>
            <w:r w:rsidRPr="001009FF">
              <w:rPr>
                <w:rFonts w:asciiTheme="majorBidi" w:hAnsiTheme="majorBidi" w:cstheme="majorBidi"/>
              </w:rPr>
              <w:t xml:space="preserve"> instead of as monotherapy</w:t>
            </w:r>
          </w:p>
          <w:p w14:paraId="10BC0AA2" w14:textId="77777777" w:rsidR="00273F92" w:rsidRPr="001009FF" w:rsidRDefault="00273F92" w:rsidP="003C01A5">
            <w:pPr>
              <w:rPr>
                <w:rFonts w:asciiTheme="majorBidi" w:hAnsiTheme="majorBidi" w:cstheme="majorBidi"/>
              </w:rPr>
            </w:pPr>
          </w:p>
        </w:tc>
        <w:tc>
          <w:tcPr>
            <w:tcW w:w="2149" w:type="pct"/>
          </w:tcPr>
          <w:p w14:paraId="18F0A146" w14:textId="77777777" w:rsidR="00273F92" w:rsidRPr="001009FF" w:rsidRDefault="00273F92" w:rsidP="003C01A5">
            <w:pPr>
              <w:rPr>
                <w:rFonts w:asciiTheme="majorBidi" w:hAnsiTheme="majorBidi" w:cstheme="majorBidi"/>
              </w:rPr>
            </w:pPr>
            <w:r w:rsidRPr="001009FF">
              <w:rPr>
                <w:rFonts w:asciiTheme="majorBidi" w:hAnsiTheme="majorBidi" w:cstheme="majorBidi"/>
              </w:rPr>
              <w:lastRenderedPageBreak/>
              <w:t xml:space="preserve">Potential comparators in the risk-based empiric HVCS include: </w:t>
            </w:r>
          </w:p>
          <w:p w14:paraId="6267CBA6"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meropenem + colistin</w:t>
            </w:r>
          </w:p>
          <w:p w14:paraId="42FC9B9C"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fluoroquinolones (</w:t>
            </w:r>
            <w:proofErr w:type="spellStart"/>
            <w:r w:rsidRPr="001009FF">
              <w:rPr>
                <w:rFonts w:asciiTheme="majorBidi" w:hAnsiTheme="majorBidi" w:cstheme="majorBidi"/>
              </w:rPr>
              <w:t>levoflaxin</w:t>
            </w:r>
            <w:proofErr w:type="spellEnd"/>
            <w:r w:rsidRPr="001009FF">
              <w:rPr>
                <w:rFonts w:asciiTheme="majorBidi" w:hAnsiTheme="majorBidi" w:cstheme="majorBidi"/>
              </w:rPr>
              <w:t xml:space="preserve">, </w:t>
            </w:r>
            <w:proofErr w:type="spellStart"/>
            <w:r w:rsidRPr="001009FF">
              <w:rPr>
                <w:rFonts w:asciiTheme="majorBidi" w:hAnsiTheme="majorBidi" w:cstheme="majorBidi"/>
              </w:rPr>
              <w:t>ciproflaxin</w:t>
            </w:r>
            <w:proofErr w:type="spellEnd"/>
            <w:r w:rsidRPr="001009FF">
              <w:rPr>
                <w:rFonts w:asciiTheme="majorBidi" w:hAnsiTheme="majorBidi" w:cstheme="majorBidi"/>
              </w:rPr>
              <w:t>) + meropenem</w:t>
            </w:r>
          </w:p>
          <w:p w14:paraId="6FEA969F"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 xml:space="preserve">aminoglycosides (gentamicin, amikacin, tobramycin) + </w:t>
            </w:r>
            <w:proofErr w:type="spellStart"/>
            <w:r w:rsidRPr="001009FF">
              <w:rPr>
                <w:rFonts w:asciiTheme="majorBidi" w:hAnsiTheme="majorBidi" w:cstheme="majorBidi"/>
              </w:rPr>
              <w:t>fosfomycin</w:t>
            </w:r>
            <w:proofErr w:type="spellEnd"/>
          </w:p>
          <w:p w14:paraId="15A141A2"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tigecycline   + colistin</w:t>
            </w:r>
          </w:p>
          <w:p w14:paraId="665F9EAB"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tigecycline   + meropenem + colistin</w:t>
            </w:r>
          </w:p>
          <w:p w14:paraId="7D56F683" w14:textId="77777777" w:rsidR="00273F92" w:rsidRPr="001009FF" w:rsidRDefault="00273F92" w:rsidP="003C01A5">
            <w:pPr>
              <w:tabs>
                <w:tab w:val="num" w:pos="342"/>
              </w:tabs>
              <w:rPr>
                <w:rFonts w:asciiTheme="majorBidi" w:hAnsiTheme="majorBidi" w:cstheme="majorBidi"/>
              </w:rPr>
            </w:pPr>
          </w:p>
        </w:tc>
      </w:tr>
      <w:tr w:rsidR="00273F92" w:rsidRPr="001009FF" w14:paraId="5A69A88A" w14:textId="77777777" w:rsidTr="00273F92">
        <w:tc>
          <w:tcPr>
            <w:tcW w:w="776" w:type="pct"/>
          </w:tcPr>
          <w:p w14:paraId="71B7842F" w14:textId="77777777" w:rsidR="00273F92" w:rsidRPr="001009FF" w:rsidRDefault="00273F92" w:rsidP="003C01A5">
            <w:pPr>
              <w:pStyle w:val="BodyText2"/>
              <w:spacing w:line="264" w:lineRule="auto"/>
              <w:rPr>
                <w:rFonts w:asciiTheme="majorBidi" w:hAnsiTheme="majorBidi" w:cstheme="majorBidi"/>
                <w:b/>
              </w:rPr>
            </w:pPr>
            <w:r w:rsidRPr="001009FF">
              <w:rPr>
                <w:rFonts w:asciiTheme="majorBidi" w:hAnsiTheme="majorBidi" w:cstheme="majorBidi"/>
                <w:b/>
              </w:rPr>
              <w:t>Outcomes</w:t>
            </w:r>
          </w:p>
        </w:tc>
        <w:tc>
          <w:tcPr>
            <w:tcW w:w="2075" w:type="pct"/>
          </w:tcPr>
          <w:p w14:paraId="2856F84F" w14:textId="77777777" w:rsidR="00273F92" w:rsidRPr="001009FF" w:rsidRDefault="00273F92" w:rsidP="003C01A5">
            <w:pPr>
              <w:pStyle w:val="BodyText2"/>
              <w:spacing w:line="264" w:lineRule="auto"/>
              <w:rPr>
                <w:rFonts w:asciiTheme="majorBidi" w:hAnsiTheme="majorBidi" w:cstheme="majorBidi"/>
              </w:rPr>
            </w:pPr>
            <w:r w:rsidRPr="001009FF">
              <w:rPr>
                <w:rFonts w:asciiTheme="majorBidi" w:hAnsiTheme="majorBidi" w:cstheme="majorBidi"/>
              </w:rPr>
              <w:t>The outcome measures to be considered include:</w:t>
            </w:r>
          </w:p>
          <w:p w14:paraId="2B80C4A5"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All-cause mortality</w:t>
            </w:r>
          </w:p>
          <w:p w14:paraId="0604AE89"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Clinical cure (complete resolution of signs/symptoms of the index infection such that no further antimicrobial therapy is needed)</w:t>
            </w:r>
          </w:p>
          <w:p w14:paraId="7CA860E8"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Microbiologic eradication</w:t>
            </w:r>
          </w:p>
          <w:p w14:paraId="629AABC0"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 xml:space="preserve">Emergence of resistance </w:t>
            </w:r>
          </w:p>
          <w:p w14:paraId="62BBCE2C"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Hospital days</w:t>
            </w:r>
          </w:p>
          <w:p w14:paraId="59E15DA0" w14:textId="13F9782D" w:rsidR="00273F92" w:rsidRPr="001009FF" w:rsidRDefault="0008183A" w:rsidP="003C01A5">
            <w:pPr>
              <w:pStyle w:val="ListParagraph"/>
              <w:numPr>
                <w:ilvl w:val="0"/>
                <w:numId w:val="9"/>
              </w:numPr>
              <w:spacing w:line="264" w:lineRule="auto"/>
              <w:rPr>
                <w:rFonts w:asciiTheme="majorBidi" w:hAnsiTheme="majorBidi" w:cstheme="majorBidi"/>
              </w:rPr>
            </w:pPr>
            <w:r>
              <w:rPr>
                <w:rFonts w:asciiTheme="majorBidi" w:hAnsiTheme="majorBidi" w:cstheme="majorBidi"/>
              </w:rPr>
              <w:t>ICU</w:t>
            </w:r>
            <w:r w:rsidR="00273F92" w:rsidRPr="001009FF">
              <w:rPr>
                <w:rFonts w:asciiTheme="majorBidi" w:hAnsiTheme="majorBidi" w:cstheme="majorBidi"/>
              </w:rPr>
              <w:t xml:space="preserve"> days</w:t>
            </w:r>
          </w:p>
          <w:p w14:paraId="35D1B5B1"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Readmission rate within 90 days of treatment</w:t>
            </w:r>
          </w:p>
          <w:p w14:paraId="493416B9"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 xml:space="preserve">Number of treatment days </w:t>
            </w:r>
          </w:p>
          <w:p w14:paraId="6E58A5B9"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Health-related quality of life</w:t>
            </w:r>
          </w:p>
          <w:p w14:paraId="59DAA756" w14:textId="139C0523"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Adverse events</w:t>
            </w:r>
            <w:r w:rsidR="00E01FDE">
              <w:rPr>
                <w:rFonts w:asciiTheme="majorBidi" w:hAnsiTheme="majorBidi" w:cstheme="majorBidi"/>
              </w:rPr>
              <w:t xml:space="preserve"> (AE)</w:t>
            </w:r>
            <w:r w:rsidRPr="001009FF">
              <w:rPr>
                <w:rFonts w:asciiTheme="majorBidi" w:hAnsiTheme="majorBidi" w:cstheme="majorBidi"/>
              </w:rPr>
              <w:t xml:space="preserve"> (including those associated with </w:t>
            </w:r>
            <w:r w:rsidRPr="001009FF">
              <w:rPr>
                <w:rFonts w:asciiTheme="majorBidi" w:hAnsiTheme="majorBidi" w:cstheme="majorBidi"/>
                <w:i/>
                <w:iCs/>
              </w:rPr>
              <w:t>Clostridium Difficile</w:t>
            </w:r>
            <w:r w:rsidRPr="001009FF">
              <w:rPr>
                <w:rFonts w:asciiTheme="majorBidi" w:hAnsiTheme="majorBidi" w:cstheme="majorBidi"/>
              </w:rPr>
              <w:t xml:space="preserve"> infection and renal toxicity)</w:t>
            </w:r>
          </w:p>
        </w:tc>
        <w:tc>
          <w:tcPr>
            <w:tcW w:w="2149" w:type="pct"/>
          </w:tcPr>
          <w:p w14:paraId="34527545" w14:textId="77777777" w:rsidR="00273F92" w:rsidRPr="001009FF" w:rsidRDefault="00273F92" w:rsidP="003C01A5">
            <w:pPr>
              <w:spacing w:line="264" w:lineRule="auto"/>
              <w:rPr>
                <w:rFonts w:asciiTheme="majorBidi" w:hAnsiTheme="majorBidi" w:cstheme="majorBidi"/>
              </w:rPr>
            </w:pPr>
            <w:r w:rsidRPr="001009FF">
              <w:rPr>
                <w:rFonts w:asciiTheme="majorBidi" w:hAnsiTheme="majorBidi" w:cstheme="majorBidi"/>
              </w:rPr>
              <w:t>Same as for microbiology-directed treatment</w:t>
            </w:r>
          </w:p>
        </w:tc>
      </w:tr>
      <w:tr w:rsidR="00273F92" w:rsidRPr="001009FF" w14:paraId="4E011B88" w14:textId="77777777" w:rsidTr="00273F92">
        <w:tc>
          <w:tcPr>
            <w:tcW w:w="776" w:type="pct"/>
          </w:tcPr>
          <w:p w14:paraId="2273931F" w14:textId="77777777" w:rsidR="00273F92" w:rsidRPr="001009FF" w:rsidRDefault="00273F92" w:rsidP="003C01A5">
            <w:pPr>
              <w:pStyle w:val="BodyText2"/>
              <w:spacing w:line="264" w:lineRule="auto"/>
              <w:rPr>
                <w:rFonts w:asciiTheme="majorBidi" w:hAnsiTheme="majorBidi" w:cstheme="majorBidi"/>
                <w:b/>
              </w:rPr>
            </w:pPr>
            <w:r w:rsidRPr="001009FF">
              <w:rPr>
                <w:rFonts w:asciiTheme="majorBidi" w:hAnsiTheme="majorBidi" w:cstheme="majorBidi"/>
                <w:b/>
              </w:rPr>
              <w:t>Study designs</w:t>
            </w:r>
          </w:p>
        </w:tc>
        <w:tc>
          <w:tcPr>
            <w:tcW w:w="2075" w:type="pct"/>
          </w:tcPr>
          <w:p w14:paraId="46DFCFB2" w14:textId="77777777" w:rsidR="00273F92" w:rsidRPr="001009FF" w:rsidRDefault="00273F92" w:rsidP="003C01A5">
            <w:pPr>
              <w:pStyle w:val="BodyText2"/>
              <w:spacing w:line="264" w:lineRule="auto"/>
              <w:rPr>
                <w:rFonts w:asciiTheme="majorBidi" w:hAnsiTheme="majorBidi" w:cstheme="majorBidi"/>
              </w:rPr>
            </w:pPr>
            <w:r w:rsidRPr="001009FF">
              <w:rPr>
                <w:rFonts w:asciiTheme="majorBidi" w:hAnsiTheme="majorBidi" w:cstheme="majorBidi"/>
              </w:rPr>
              <w:t>The types of studies and data to be considered include:</w:t>
            </w:r>
          </w:p>
          <w:p w14:paraId="132FCBCA" w14:textId="55492940" w:rsidR="00273F92" w:rsidRPr="001009FF" w:rsidRDefault="0008183A" w:rsidP="003C01A5">
            <w:pPr>
              <w:pStyle w:val="ListParagraph"/>
              <w:numPr>
                <w:ilvl w:val="0"/>
                <w:numId w:val="9"/>
              </w:numPr>
              <w:spacing w:line="264" w:lineRule="auto"/>
              <w:rPr>
                <w:rFonts w:asciiTheme="majorBidi" w:hAnsiTheme="majorBidi" w:cstheme="majorBidi"/>
              </w:rPr>
            </w:pPr>
            <w:bookmarkStart w:id="81" w:name="_Hlk85728822"/>
            <w:r>
              <w:rPr>
                <w:rFonts w:asciiTheme="majorBidi" w:hAnsiTheme="majorBidi" w:cstheme="majorBidi"/>
              </w:rPr>
              <w:t>RCTs</w:t>
            </w:r>
          </w:p>
          <w:bookmarkEnd w:id="81"/>
          <w:p w14:paraId="2BA9BBFB"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Observational studies</w:t>
            </w:r>
          </w:p>
          <w:p w14:paraId="299D5D7C"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In-vitro susceptibility data</w:t>
            </w:r>
          </w:p>
          <w:p w14:paraId="15181499" w14:textId="77777777" w:rsidR="00273F92" w:rsidRPr="001009FF" w:rsidRDefault="00273F92" w:rsidP="003C01A5">
            <w:pPr>
              <w:pStyle w:val="ListParagraph"/>
              <w:numPr>
                <w:ilvl w:val="0"/>
                <w:numId w:val="9"/>
              </w:numPr>
              <w:spacing w:line="264" w:lineRule="auto"/>
              <w:rPr>
                <w:rFonts w:asciiTheme="majorBidi" w:hAnsiTheme="majorBidi" w:cstheme="majorBidi"/>
              </w:rPr>
            </w:pPr>
            <w:r w:rsidRPr="001009FF">
              <w:rPr>
                <w:rFonts w:asciiTheme="majorBidi" w:hAnsiTheme="majorBidi" w:cstheme="majorBidi"/>
              </w:rPr>
              <w:t xml:space="preserve">National, </w:t>
            </w:r>
            <w:proofErr w:type="gramStart"/>
            <w:r w:rsidRPr="001009FF">
              <w:rPr>
                <w:rFonts w:asciiTheme="majorBidi" w:hAnsiTheme="majorBidi" w:cstheme="majorBidi"/>
              </w:rPr>
              <w:t>regional</w:t>
            </w:r>
            <w:proofErr w:type="gramEnd"/>
            <w:r w:rsidRPr="001009FF">
              <w:rPr>
                <w:rFonts w:asciiTheme="majorBidi" w:hAnsiTheme="majorBidi" w:cstheme="majorBidi"/>
              </w:rPr>
              <w:t xml:space="preserve"> or international datasets</w:t>
            </w:r>
          </w:p>
          <w:p w14:paraId="57DAEE0C" w14:textId="341E19C6" w:rsidR="00273F92" w:rsidRPr="001009FF" w:rsidRDefault="0008183A" w:rsidP="003C01A5">
            <w:pPr>
              <w:pStyle w:val="ListParagraph"/>
              <w:numPr>
                <w:ilvl w:val="0"/>
                <w:numId w:val="9"/>
              </w:numPr>
              <w:spacing w:line="264" w:lineRule="auto"/>
              <w:rPr>
                <w:rFonts w:asciiTheme="majorBidi" w:hAnsiTheme="majorBidi" w:cstheme="majorBidi"/>
              </w:rPr>
            </w:pPr>
            <w:r>
              <w:rPr>
                <w:rFonts w:asciiTheme="majorBidi" w:hAnsiTheme="majorBidi" w:cstheme="majorBidi"/>
              </w:rPr>
              <w:t>PK/PD studies</w:t>
            </w:r>
          </w:p>
        </w:tc>
        <w:tc>
          <w:tcPr>
            <w:tcW w:w="2149" w:type="pct"/>
          </w:tcPr>
          <w:p w14:paraId="04EB329B" w14:textId="77777777" w:rsidR="00273F92" w:rsidRPr="001009FF" w:rsidRDefault="00273F92" w:rsidP="003C01A5">
            <w:pPr>
              <w:spacing w:before="120" w:after="120" w:line="264" w:lineRule="auto"/>
              <w:rPr>
                <w:rFonts w:asciiTheme="majorBidi" w:hAnsiTheme="majorBidi" w:cstheme="majorBidi"/>
              </w:rPr>
            </w:pPr>
            <w:r w:rsidRPr="001009FF">
              <w:rPr>
                <w:rFonts w:asciiTheme="majorBidi" w:hAnsiTheme="majorBidi" w:cstheme="majorBidi"/>
              </w:rPr>
              <w:t>Same as for microbiology-directed treatment</w:t>
            </w:r>
          </w:p>
        </w:tc>
      </w:tr>
    </w:tbl>
    <w:p w14:paraId="4F8A45E4" w14:textId="1D11ACB1" w:rsidR="00273F92" w:rsidRPr="00EC4036" w:rsidRDefault="0008183A" w:rsidP="00EC4036">
      <w:pPr>
        <w:rPr>
          <w:rStyle w:val="Heading1Char"/>
          <w:rFonts w:asciiTheme="majorBidi" w:eastAsiaTheme="minorHAnsi" w:hAnsiTheme="majorBidi"/>
          <w:b w:val="0"/>
          <w:bCs w:val="0"/>
          <w:sz w:val="20"/>
          <w:szCs w:val="20"/>
        </w:rPr>
        <w:sectPr w:rsidR="00273F92" w:rsidRPr="00EC4036" w:rsidSect="00983C84">
          <w:pgSz w:w="16838" w:h="11906" w:orient="landscape"/>
          <w:pgMar w:top="1276" w:right="1440" w:bottom="1440" w:left="1440" w:header="708" w:footer="708" w:gutter="0"/>
          <w:cols w:space="708"/>
          <w:docGrid w:linePitch="360"/>
        </w:sectPr>
      </w:pPr>
      <w:proofErr w:type="spellStart"/>
      <w:r w:rsidRPr="0008183A">
        <w:rPr>
          <w:rFonts w:asciiTheme="majorBidi" w:hAnsiTheme="majorBidi" w:cstheme="majorBidi"/>
          <w:sz w:val="20"/>
          <w:szCs w:val="20"/>
        </w:rPr>
        <w:t>AmpC</w:t>
      </w:r>
      <w:proofErr w:type="spellEnd"/>
      <w:r w:rsidRPr="0008183A">
        <w:rPr>
          <w:rFonts w:asciiTheme="majorBidi" w:hAnsiTheme="majorBidi" w:cstheme="majorBidi"/>
          <w:sz w:val="20"/>
          <w:szCs w:val="20"/>
        </w:rPr>
        <w:t xml:space="preserve">, </w:t>
      </w:r>
      <w:proofErr w:type="spellStart"/>
      <w:r w:rsidRPr="0008183A">
        <w:rPr>
          <w:rFonts w:asciiTheme="majorBidi" w:hAnsiTheme="majorBidi" w:cstheme="majorBidi"/>
          <w:sz w:val="20"/>
          <w:szCs w:val="20"/>
        </w:rPr>
        <w:t>amphicillinase</w:t>
      </w:r>
      <w:proofErr w:type="spellEnd"/>
      <w:r w:rsidRPr="0008183A">
        <w:rPr>
          <w:rFonts w:asciiTheme="majorBidi" w:hAnsiTheme="majorBidi" w:cstheme="majorBidi"/>
          <w:sz w:val="20"/>
          <w:szCs w:val="20"/>
        </w:rPr>
        <w:t xml:space="preserve"> C; </w:t>
      </w:r>
      <w:r w:rsidRPr="005563A2">
        <w:rPr>
          <w:rFonts w:asciiTheme="majorBidi" w:hAnsiTheme="majorBidi" w:cstheme="majorBidi"/>
          <w:sz w:val="20"/>
          <w:szCs w:val="20"/>
        </w:rPr>
        <w:t xml:space="preserve">CAZ-AVI, ceftazidime-avibactam; </w:t>
      </w:r>
      <w:proofErr w:type="spellStart"/>
      <w:r w:rsidRPr="005563A2">
        <w:rPr>
          <w:rFonts w:asciiTheme="majorBidi" w:hAnsiTheme="majorBidi" w:cstheme="majorBidi"/>
          <w:sz w:val="20"/>
          <w:szCs w:val="20"/>
        </w:rPr>
        <w:t>cUTI</w:t>
      </w:r>
      <w:proofErr w:type="spellEnd"/>
      <w:r w:rsidRPr="005563A2">
        <w:rPr>
          <w:rFonts w:asciiTheme="majorBidi" w:hAnsiTheme="majorBidi" w:cstheme="majorBidi"/>
          <w:sz w:val="20"/>
          <w:szCs w:val="20"/>
        </w:rPr>
        <w:t xml:space="preserve">, Complicated urinary tract infection; </w:t>
      </w:r>
      <w:r w:rsidRPr="0008183A">
        <w:rPr>
          <w:rFonts w:asciiTheme="majorBidi" w:hAnsiTheme="majorBidi" w:cstheme="majorBidi"/>
          <w:sz w:val="20"/>
          <w:szCs w:val="20"/>
        </w:rPr>
        <w:t xml:space="preserve">ES, </w:t>
      </w:r>
      <w:proofErr w:type="spellStart"/>
      <w:r w:rsidRPr="0008183A">
        <w:rPr>
          <w:rFonts w:asciiTheme="majorBidi" w:hAnsiTheme="majorBidi" w:cstheme="majorBidi"/>
          <w:sz w:val="20"/>
          <w:szCs w:val="20"/>
        </w:rPr>
        <w:t>empíric</w:t>
      </w:r>
      <w:proofErr w:type="spellEnd"/>
      <w:r w:rsidRPr="0008183A">
        <w:rPr>
          <w:rFonts w:asciiTheme="majorBidi" w:hAnsiTheme="majorBidi" w:cstheme="majorBidi"/>
          <w:sz w:val="20"/>
          <w:szCs w:val="20"/>
        </w:rPr>
        <w:t xml:space="preserve"> setting; ESBL, extended spectrum beta-lactamase; HAP, Hospital</w:t>
      </w:r>
      <w:r w:rsidR="00B65F32">
        <w:rPr>
          <w:rFonts w:asciiTheme="majorBidi" w:hAnsiTheme="majorBidi" w:cstheme="majorBidi"/>
          <w:sz w:val="20"/>
          <w:szCs w:val="20"/>
        </w:rPr>
        <w:t>-</w:t>
      </w:r>
      <w:r w:rsidRPr="0008183A">
        <w:rPr>
          <w:rFonts w:asciiTheme="majorBidi" w:hAnsiTheme="majorBidi" w:cstheme="majorBidi"/>
          <w:sz w:val="20"/>
          <w:szCs w:val="20"/>
        </w:rPr>
        <w:t xml:space="preserve">associated pneumonia; HVCS, high value clinical scenario; </w:t>
      </w:r>
      <w:r w:rsidRPr="005563A2">
        <w:rPr>
          <w:rFonts w:asciiTheme="majorBidi" w:hAnsiTheme="majorBidi" w:cstheme="majorBidi"/>
          <w:sz w:val="20"/>
          <w:szCs w:val="20"/>
        </w:rPr>
        <w:t xml:space="preserve">ICU, intensive care unit; MDS, microbiology-directed setting; OXA-48oxacillinase-48-like </w:t>
      </w:r>
      <w:proofErr w:type="spellStart"/>
      <w:r w:rsidRPr="005563A2">
        <w:rPr>
          <w:rFonts w:asciiTheme="majorBidi" w:hAnsiTheme="majorBidi" w:cstheme="majorBidi"/>
          <w:sz w:val="20"/>
          <w:szCs w:val="20"/>
        </w:rPr>
        <w:t>carbapenemase</w:t>
      </w:r>
      <w:proofErr w:type="spellEnd"/>
      <w:r w:rsidRPr="005563A2">
        <w:rPr>
          <w:rFonts w:asciiTheme="majorBidi" w:hAnsiTheme="majorBidi" w:cstheme="majorBidi"/>
          <w:sz w:val="20"/>
          <w:szCs w:val="20"/>
        </w:rPr>
        <w:t xml:space="preserve">; PK/PD, Pharmacokinetic and pharmacodynamic; RCTs, </w:t>
      </w:r>
      <w:proofErr w:type="gramStart"/>
      <w:r w:rsidRPr="005563A2">
        <w:rPr>
          <w:rFonts w:asciiTheme="majorBidi" w:hAnsiTheme="majorBidi" w:cstheme="majorBidi"/>
          <w:sz w:val="20"/>
          <w:szCs w:val="20"/>
        </w:rPr>
        <w:t>Randomised</w:t>
      </w:r>
      <w:proofErr w:type="gramEnd"/>
      <w:r w:rsidRPr="005563A2">
        <w:rPr>
          <w:rFonts w:asciiTheme="majorBidi" w:hAnsiTheme="majorBidi" w:cstheme="majorBidi"/>
          <w:sz w:val="20"/>
          <w:szCs w:val="20"/>
        </w:rPr>
        <w:t xml:space="preserve"> controlled trials; VAP, Ventilator associated pneumonia </w:t>
      </w:r>
    </w:p>
    <w:p w14:paraId="574C69C2" w14:textId="1DD73262" w:rsidR="00885DFB" w:rsidRPr="003C01A5" w:rsidRDefault="00885DFB" w:rsidP="003C01A5">
      <w:pPr>
        <w:pStyle w:val="EEPRUnumberedLevel1Headingnew"/>
      </w:pPr>
      <w:bookmarkStart w:id="82" w:name="_Toc83890503"/>
      <w:bookmarkStart w:id="83" w:name="_Toc87462977"/>
      <w:bookmarkEnd w:id="77"/>
      <w:r w:rsidRPr="003C01A5">
        <w:lastRenderedPageBreak/>
        <w:t>Clinical evidence</w:t>
      </w:r>
      <w:bookmarkEnd w:id="82"/>
      <w:bookmarkEnd w:id="83"/>
    </w:p>
    <w:p w14:paraId="3915294B" w14:textId="6F7F5D7E" w:rsidR="00DF1CD3" w:rsidRPr="00DF1CD3" w:rsidRDefault="00411972" w:rsidP="00DF1CD3">
      <w:pPr>
        <w:spacing w:before="240" w:after="120" w:line="360" w:lineRule="auto"/>
        <w:jc w:val="both"/>
        <w:rPr>
          <w:rFonts w:asciiTheme="majorBidi" w:eastAsia="Calibri" w:hAnsiTheme="majorBidi" w:cstheme="majorBidi"/>
        </w:rPr>
      </w:pPr>
      <w:r w:rsidRPr="004222B2">
        <w:rPr>
          <w:rFonts w:ascii="Times New Roman" w:eastAsia="Calibri" w:hAnsi="Times New Roman" w:cs="Times New Roman"/>
        </w:rPr>
        <w:t>The evidence reviews</w:t>
      </w:r>
      <w:r w:rsidR="00DF1CD3" w:rsidRPr="004222B2">
        <w:rPr>
          <w:rFonts w:ascii="Times New Roman" w:eastAsia="Calibri" w:hAnsi="Times New Roman" w:cs="Times New Roman"/>
        </w:rPr>
        <w:t xml:space="preserve"> reported within this section</w:t>
      </w:r>
      <w:r w:rsidRPr="004222B2">
        <w:rPr>
          <w:rFonts w:ascii="Times New Roman" w:eastAsia="Calibri" w:hAnsi="Times New Roman" w:cs="Times New Roman"/>
        </w:rPr>
        <w:t xml:space="preserve"> focus on </w:t>
      </w:r>
      <w:r w:rsidR="00DF1CD3" w:rsidRPr="004222B2">
        <w:rPr>
          <w:rFonts w:ascii="Times New Roman" w:eastAsia="Calibri" w:hAnsi="Times New Roman" w:cs="Times New Roman"/>
        </w:rPr>
        <w:t>the clinical evidence</w:t>
      </w:r>
      <w:r w:rsidRPr="004222B2">
        <w:rPr>
          <w:rFonts w:ascii="Times New Roman" w:eastAsia="Calibri" w:hAnsi="Times New Roman" w:cs="Times New Roman"/>
        </w:rPr>
        <w:t xml:space="preserve"> required to inform </w:t>
      </w:r>
      <w:r w:rsidR="00DF1CD3" w:rsidRPr="004222B2">
        <w:rPr>
          <w:rFonts w:ascii="Times New Roman" w:eastAsia="Calibri" w:hAnsi="Times New Roman" w:cs="Times New Roman"/>
        </w:rPr>
        <w:t xml:space="preserve">the patient-level component of </w:t>
      </w:r>
      <w:r w:rsidRPr="004222B2">
        <w:rPr>
          <w:rFonts w:ascii="Times New Roman" w:eastAsia="Calibri" w:hAnsi="Times New Roman" w:cs="Times New Roman"/>
        </w:rPr>
        <w:t>the decision-analytic modelling</w:t>
      </w:r>
      <w:r w:rsidR="00DF1CD3" w:rsidRPr="004222B2">
        <w:rPr>
          <w:rFonts w:ascii="Times New Roman" w:eastAsia="Calibri" w:hAnsi="Times New Roman" w:cs="Times New Roman"/>
        </w:rPr>
        <w:t xml:space="preserve">. </w:t>
      </w:r>
      <w:r w:rsidR="00DF1CD3" w:rsidRPr="004222B2">
        <w:rPr>
          <w:rFonts w:asciiTheme="majorBidi" w:eastAsia="Calibri" w:hAnsiTheme="majorBidi" w:cstheme="majorBidi"/>
        </w:rPr>
        <w:t>This</w:t>
      </w:r>
      <w:r w:rsidR="00885DFB" w:rsidRPr="004222B2">
        <w:rPr>
          <w:rFonts w:asciiTheme="majorBidi" w:eastAsia="Calibri" w:hAnsiTheme="majorBidi" w:cstheme="majorBidi"/>
        </w:rPr>
        <w:t xml:space="preserve"> includes estimating the comparative effectiveness of treatments, </w:t>
      </w:r>
      <w:r w:rsidRPr="004222B2">
        <w:rPr>
          <w:rFonts w:asciiTheme="majorBidi" w:eastAsia="Calibri" w:hAnsiTheme="majorBidi" w:cstheme="majorBidi"/>
        </w:rPr>
        <w:t xml:space="preserve">including both efficacy and safety, </w:t>
      </w:r>
      <w:r w:rsidR="00885DFB" w:rsidRPr="004222B2">
        <w:rPr>
          <w:rFonts w:asciiTheme="majorBidi" w:eastAsia="Calibri" w:hAnsiTheme="majorBidi" w:cstheme="majorBidi"/>
        </w:rPr>
        <w:t xml:space="preserve">and the consequences of treatments in terms of long-term clinical outcomes, for both efficacy and safety. </w:t>
      </w:r>
      <w:r w:rsidR="00DF1CD3" w:rsidRPr="004222B2">
        <w:rPr>
          <w:rFonts w:asciiTheme="majorBidi" w:eastAsia="Calibri" w:hAnsiTheme="majorBidi" w:cstheme="majorBidi"/>
        </w:rPr>
        <w:t xml:space="preserve">Clinical evidence that informs the population-level components of the analysis is described in </w:t>
      </w:r>
      <w:r w:rsidR="00DF1CD3" w:rsidRPr="000C15B2">
        <w:rPr>
          <w:rFonts w:asciiTheme="majorBidi" w:eastAsia="Calibri" w:hAnsiTheme="majorBidi" w:cstheme="majorBidi"/>
        </w:rPr>
        <w:t>Section</w:t>
      </w:r>
      <w:r w:rsidR="00AC40FF">
        <w:rPr>
          <w:rFonts w:asciiTheme="majorBidi" w:eastAsia="Calibri" w:hAnsiTheme="majorBidi" w:cstheme="majorBidi"/>
        </w:rPr>
        <w:t xml:space="preserve"> 7.2.5</w:t>
      </w:r>
      <w:r w:rsidR="000C15B2">
        <w:rPr>
          <w:rFonts w:asciiTheme="majorBidi" w:eastAsia="Calibri" w:hAnsiTheme="majorBidi" w:cstheme="majorBidi"/>
        </w:rPr>
        <w:t>.</w:t>
      </w:r>
      <w:r w:rsidR="00DF1CD3" w:rsidRPr="000C15B2">
        <w:rPr>
          <w:rFonts w:asciiTheme="majorBidi" w:eastAsia="Calibri" w:hAnsiTheme="majorBidi" w:cstheme="majorBidi"/>
        </w:rPr>
        <w:t xml:space="preserve"> </w:t>
      </w:r>
    </w:p>
    <w:p w14:paraId="04A59E18" w14:textId="06605915" w:rsidR="00F10F0A" w:rsidRPr="003C01A5" w:rsidRDefault="00F87CA3" w:rsidP="003C01A5">
      <w:pPr>
        <w:pStyle w:val="EEPRUnumberedLevel2Headingnew"/>
      </w:pPr>
      <w:bookmarkStart w:id="84" w:name="_Toc83890505"/>
      <w:bookmarkStart w:id="85" w:name="_Toc87462978"/>
      <w:r w:rsidRPr="003C01A5">
        <w:t>Approaches to estimating comparative effectiveness</w:t>
      </w:r>
      <w:bookmarkEnd w:id="84"/>
      <w:bookmarkEnd w:id="85"/>
    </w:p>
    <w:p w14:paraId="2E359CAC" w14:textId="3547B66F" w:rsidR="00F87CA3" w:rsidRPr="006E4E83" w:rsidRDefault="00F10F0A" w:rsidP="00B674A1">
      <w:pPr>
        <w:pStyle w:val="Heading3"/>
        <w:ind w:left="1276" w:hanging="567"/>
        <w:rPr>
          <w:rFonts w:asciiTheme="majorBidi" w:hAnsiTheme="majorBidi"/>
          <w:sz w:val="26"/>
          <w:szCs w:val="26"/>
        </w:rPr>
      </w:pPr>
      <w:bookmarkStart w:id="86" w:name="_Toc87462979"/>
      <w:r w:rsidRPr="006E4E83">
        <w:rPr>
          <w:rFonts w:asciiTheme="majorBidi" w:hAnsiTheme="majorBidi"/>
          <w:sz w:val="26"/>
          <w:szCs w:val="26"/>
        </w:rPr>
        <w:t xml:space="preserve">4.1.1 </w:t>
      </w:r>
      <w:r w:rsidR="00F87CA3" w:rsidRPr="006E4E83">
        <w:rPr>
          <w:rFonts w:asciiTheme="majorBidi" w:hAnsiTheme="majorBidi"/>
          <w:sz w:val="26"/>
          <w:szCs w:val="26"/>
        </w:rPr>
        <w:t>Sources of evidence</w:t>
      </w:r>
      <w:bookmarkEnd w:id="86"/>
    </w:p>
    <w:p w14:paraId="4701A83A" w14:textId="15A65512" w:rsidR="00C15C9E" w:rsidRDefault="00885DFB" w:rsidP="00A83123">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In comparison to a standard HTA, the data available for evaluating new AMs are less straightforward. </w:t>
      </w:r>
      <w:r w:rsidR="00411972">
        <w:rPr>
          <w:rFonts w:asciiTheme="majorBidi" w:eastAsia="Calibri" w:hAnsiTheme="majorBidi" w:cstheme="majorBidi"/>
        </w:rPr>
        <w:t>This has been discussed in detail in EEPRU’s framework.</w:t>
      </w:r>
      <w:r w:rsidR="00A83123">
        <w:rPr>
          <w:rFonts w:asciiTheme="majorBidi" w:eastAsia="Calibri" w:hAnsiTheme="majorBidi" w:cstheme="majorBidi"/>
          <w:noProof/>
          <w:vertAlign w:val="superscript"/>
        </w:rPr>
        <w:t>13</w:t>
      </w:r>
      <w:r w:rsidR="00411972">
        <w:rPr>
          <w:rFonts w:asciiTheme="majorBidi" w:eastAsia="Calibri" w:hAnsiTheme="majorBidi" w:cstheme="majorBidi"/>
        </w:rPr>
        <w:t xml:space="preserve"> </w:t>
      </w:r>
      <w:r w:rsidRPr="00885DFB">
        <w:rPr>
          <w:rFonts w:asciiTheme="majorBidi" w:eastAsia="Calibri" w:hAnsiTheme="majorBidi" w:cstheme="majorBidi"/>
        </w:rPr>
        <w:t xml:space="preserve">This is largely because the randomised controlled trial (RCT) evidence is primarily generated for regulatory purposes, to demonstrate safety and efficacy against a range of pathogens. Trials are usually non-inferiority in design (usually with a -10% margin), </w:t>
      </w:r>
      <w:r w:rsidR="00C274D5">
        <w:rPr>
          <w:rFonts w:asciiTheme="majorBidi" w:eastAsia="Calibri" w:hAnsiTheme="majorBidi" w:cstheme="majorBidi"/>
        </w:rPr>
        <w:t>and the comparators</w:t>
      </w:r>
      <w:r w:rsidR="000A4506">
        <w:rPr>
          <w:rFonts w:asciiTheme="majorBidi" w:eastAsia="Calibri" w:hAnsiTheme="majorBidi" w:cstheme="majorBidi"/>
        </w:rPr>
        <w:t xml:space="preserve"> </w:t>
      </w:r>
      <w:r w:rsidRPr="00885DFB">
        <w:rPr>
          <w:rFonts w:asciiTheme="majorBidi" w:eastAsia="Calibri" w:hAnsiTheme="majorBidi" w:cstheme="majorBidi"/>
        </w:rPr>
        <w:t>tend to be best available therapy</w:t>
      </w:r>
      <w:r w:rsidR="000A4506">
        <w:rPr>
          <w:rFonts w:asciiTheme="majorBidi" w:eastAsia="Calibri" w:hAnsiTheme="majorBidi" w:cstheme="majorBidi"/>
        </w:rPr>
        <w:t xml:space="preserve">. </w:t>
      </w:r>
      <w:r w:rsidR="006E65BD">
        <w:rPr>
          <w:rFonts w:asciiTheme="majorBidi" w:eastAsia="Calibri" w:hAnsiTheme="majorBidi" w:cstheme="majorBidi"/>
        </w:rPr>
        <w:t>Patients with e</w:t>
      </w:r>
      <w:r w:rsidR="006E65BD" w:rsidRPr="00885DFB">
        <w:rPr>
          <w:rFonts w:asciiTheme="majorBidi" w:eastAsia="Calibri" w:hAnsiTheme="majorBidi" w:cstheme="majorBidi"/>
        </w:rPr>
        <w:t>xtensively drug</w:t>
      </w:r>
      <w:r w:rsidR="006E65BD">
        <w:rPr>
          <w:rFonts w:asciiTheme="majorBidi" w:eastAsia="Calibri" w:hAnsiTheme="majorBidi" w:cstheme="majorBidi"/>
        </w:rPr>
        <w:t xml:space="preserve"> </w:t>
      </w:r>
      <w:r w:rsidR="006E65BD" w:rsidRPr="00885DFB">
        <w:rPr>
          <w:rFonts w:asciiTheme="majorBidi" w:eastAsia="Calibri" w:hAnsiTheme="majorBidi" w:cstheme="majorBidi"/>
        </w:rPr>
        <w:t xml:space="preserve">resistant </w:t>
      </w:r>
      <w:r w:rsidR="006E65BD">
        <w:rPr>
          <w:rFonts w:asciiTheme="majorBidi" w:eastAsia="Calibri" w:hAnsiTheme="majorBidi" w:cstheme="majorBidi"/>
        </w:rPr>
        <w:t>infections</w:t>
      </w:r>
      <w:r w:rsidR="006E65BD" w:rsidRPr="00885DFB">
        <w:rPr>
          <w:rFonts w:asciiTheme="majorBidi" w:eastAsia="Calibri" w:hAnsiTheme="majorBidi" w:cstheme="majorBidi"/>
        </w:rPr>
        <w:t xml:space="preserve">, such as those with </w:t>
      </w:r>
      <w:r w:rsidR="004E5867" w:rsidRPr="00756514">
        <w:rPr>
          <w:rFonts w:asciiTheme="majorBidi" w:eastAsia="Calibri" w:hAnsiTheme="majorBidi" w:cstheme="majorBidi"/>
        </w:rPr>
        <w:t>OXA-48</w:t>
      </w:r>
      <w:r w:rsidR="004E5867">
        <w:rPr>
          <w:rFonts w:asciiTheme="majorBidi" w:eastAsia="Calibri" w:hAnsiTheme="majorBidi" w:cstheme="majorBidi"/>
        </w:rPr>
        <w:t xml:space="preserve"> </w:t>
      </w:r>
      <w:r w:rsidR="006E65BD" w:rsidRPr="00885DFB">
        <w:rPr>
          <w:rFonts w:asciiTheme="majorBidi" w:eastAsia="Calibri" w:hAnsiTheme="majorBidi" w:cstheme="majorBidi"/>
        </w:rPr>
        <w:t xml:space="preserve">infections, are usually excluded </w:t>
      </w:r>
      <w:r w:rsidR="006E65BD">
        <w:rPr>
          <w:rFonts w:asciiTheme="majorBidi" w:eastAsia="Calibri" w:hAnsiTheme="majorBidi" w:cstheme="majorBidi"/>
        </w:rPr>
        <w:t>from these trials because</w:t>
      </w:r>
      <w:r w:rsidR="006E65BD" w:rsidRPr="00885DFB">
        <w:rPr>
          <w:rFonts w:asciiTheme="majorBidi" w:eastAsia="Calibri" w:hAnsiTheme="majorBidi" w:cstheme="majorBidi"/>
        </w:rPr>
        <w:t xml:space="preserve"> it would be unethical to randomise patients to an ineffective comparator treatment</w:t>
      </w:r>
      <w:r w:rsidR="006E65BD">
        <w:rPr>
          <w:rFonts w:asciiTheme="majorBidi" w:eastAsia="Calibri" w:hAnsiTheme="majorBidi" w:cstheme="majorBidi"/>
        </w:rPr>
        <w:t xml:space="preserve">, and testing patients to find out which treatments they are susceptible to could introduce critical time delays in treatment of very ill patients. Therefore, trials tend to recruit patients who are expected to be susceptible to the intervention and the comparator, </w:t>
      </w:r>
      <w:proofErr w:type="gramStart"/>
      <w:r w:rsidR="006E65BD">
        <w:rPr>
          <w:rFonts w:asciiTheme="majorBidi" w:eastAsia="Calibri" w:hAnsiTheme="majorBidi" w:cstheme="majorBidi"/>
        </w:rPr>
        <w:t>i.e.</w:t>
      </w:r>
      <w:proofErr w:type="gramEnd"/>
      <w:r w:rsidR="006E65BD">
        <w:rPr>
          <w:rFonts w:asciiTheme="majorBidi" w:eastAsia="Calibri" w:hAnsiTheme="majorBidi" w:cstheme="majorBidi"/>
        </w:rPr>
        <w:t xml:space="preserve"> not extensively drug resistant. The relative treatment effect generated by such trials cannot be generalised to resistant populations, since this would overestimate the efficacy of the comparators, as resistant patients are unlikely to respond as well to best available therapy. </w:t>
      </w:r>
      <w:r w:rsidR="006E65BD" w:rsidRPr="00885DFB">
        <w:rPr>
          <w:rFonts w:asciiTheme="majorBidi" w:eastAsia="Calibri" w:hAnsiTheme="majorBidi" w:cstheme="majorBidi"/>
        </w:rPr>
        <w:t xml:space="preserve"> </w:t>
      </w:r>
      <w:r w:rsidR="006E65BD">
        <w:rPr>
          <w:rFonts w:asciiTheme="majorBidi" w:eastAsia="Calibri" w:hAnsiTheme="majorBidi" w:cstheme="majorBidi"/>
        </w:rPr>
        <w:t xml:space="preserve">In addition, best available therapy </w:t>
      </w:r>
      <w:r w:rsidRPr="00885DFB">
        <w:rPr>
          <w:rFonts w:asciiTheme="majorBidi" w:eastAsia="Calibri" w:hAnsiTheme="majorBidi" w:cstheme="majorBidi"/>
        </w:rPr>
        <w:t xml:space="preserve">may not match clinical practice in England since best practice is highly variable due to local protocols reflecting testing capacities and the microbiological epidemiology </w:t>
      </w:r>
      <w:proofErr w:type="gramStart"/>
      <w:r w:rsidRPr="00885DFB">
        <w:rPr>
          <w:rFonts w:asciiTheme="majorBidi" w:eastAsia="Calibri" w:hAnsiTheme="majorBidi" w:cstheme="majorBidi"/>
        </w:rPr>
        <w:t>in a given</w:t>
      </w:r>
      <w:proofErr w:type="gramEnd"/>
      <w:r w:rsidRPr="00885DFB">
        <w:rPr>
          <w:rFonts w:asciiTheme="majorBidi" w:eastAsia="Calibri" w:hAnsiTheme="majorBidi" w:cstheme="majorBidi"/>
        </w:rPr>
        <w:t xml:space="preserve"> area. </w:t>
      </w:r>
      <w:r w:rsidR="006E65BD">
        <w:rPr>
          <w:rFonts w:asciiTheme="majorBidi" w:eastAsia="Calibri" w:hAnsiTheme="majorBidi" w:cstheme="majorBidi"/>
        </w:rPr>
        <w:t>R</w:t>
      </w:r>
      <w:r w:rsidRPr="00885DFB">
        <w:rPr>
          <w:rFonts w:asciiTheme="majorBidi" w:eastAsia="Calibri" w:hAnsiTheme="majorBidi" w:cstheme="majorBidi"/>
        </w:rPr>
        <w:t xml:space="preserve">egulatory trials also do not tend to address differences in treatment pathways, such as </w:t>
      </w:r>
      <w:r w:rsidR="00CF68D0">
        <w:rPr>
          <w:rFonts w:asciiTheme="majorBidi" w:eastAsia="Calibri" w:hAnsiTheme="majorBidi" w:cstheme="majorBidi"/>
        </w:rPr>
        <w:t xml:space="preserve">are found between </w:t>
      </w:r>
      <w:r w:rsidRPr="00885DFB">
        <w:rPr>
          <w:rFonts w:asciiTheme="majorBidi" w:eastAsia="Calibri" w:hAnsiTheme="majorBidi" w:cstheme="majorBidi"/>
        </w:rPr>
        <w:t xml:space="preserve">the </w:t>
      </w:r>
      <w:r w:rsidR="004E462B">
        <w:rPr>
          <w:rFonts w:asciiTheme="majorBidi" w:eastAsia="Calibri" w:hAnsiTheme="majorBidi" w:cstheme="majorBidi"/>
        </w:rPr>
        <w:t>MDS</w:t>
      </w:r>
      <w:r w:rsidRPr="00885DFB">
        <w:rPr>
          <w:rFonts w:asciiTheme="majorBidi" w:eastAsia="Calibri" w:hAnsiTheme="majorBidi" w:cstheme="majorBidi"/>
        </w:rPr>
        <w:t xml:space="preserve"> and risk-based </w:t>
      </w:r>
      <w:r w:rsidR="004E462B">
        <w:rPr>
          <w:rFonts w:asciiTheme="majorBidi" w:eastAsia="Calibri" w:hAnsiTheme="majorBidi" w:cstheme="majorBidi"/>
        </w:rPr>
        <w:t>ES</w:t>
      </w:r>
      <w:r w:rsidRPr="00885DFB">
        <w:rPr>
          <w:rFonts w:asciiTheme="majorBidi" w:eastAsia="Calibri" w:hAnsiTheme="majorBidi" w:cstheme="majorBidi"/>
        </w:rPr>
        <w:t xml:space="preserve">, or differences in stewardship protocols, such as rotation of AMs, mixing treatments, or combination therapies. For the assessment </w:t>
      </w:r>
      <w:r w:rsidR="00CF68D0">
        <w:rPr>
          <w:rFonts w:asciiTheme="majorBidi" w:eastAsia="Calibri" w:hAnsiTheme="majorBidi" w:cstheme="majorBidi"/>
        </w:rPr>
        <w:t>within the MDS</w:t>
      </w:r>
      <w:r w:rsidR="002140E4">
        <w:rPr>
          <w:rFonts w:asciiTheme="majorBidi" w:eastAsia="Calibri" w:hAnsiTheme="majorBidi" w:cstheme="majorBidi"/>
        </w:rPr>
        <w:t>,</w:t>
      </w:r>
      <w:r w:rsidRPr="00885DFB">
        <w:rPr>
          <w:rFonts w:asciiTheme="majorBidi" w:eastAsia="Calibri" w:hAnsiTheme="majorBidi" w:cstheme="majorBidi"/>
        </w:rPr>
        <w:t xml:space="preserve"> RCTs and observational studies are required that report outcomes in </w:t>
      </w:r>
      <w:r w:rsidR="00CF68D0">
        <w:rPr>
          <w:rFonts w:asciiTheme="majorBidi" w:eastAsia="Calibri" w:hAnsiTheme="majorBidi" w:cstheme="majorBidi"/>
        </w:rPr>
        <w:t>patients with</w:t>
      </w:r>
      <w:r w:rsidR="002140E4">
        <w:rPr>
          <w:rFonts w:asciiTheme="majorBidi" w:eastAsia="Calibri" w:hAnsiTheme="majorBidi" w:cstheme="majorBidi"/>
        </w:rPr>
        <w:t xml:space="preserve"> the</w:t>
      </w:r>
      <w:r w:rsidR="002140E4" w:rsidRPr="00885DFB">
        <w:rPr>
          <w:rFonts w:asciiTheme="majorBidi" w:eastAsia="Calibri" w:hAnsiTheme="majorBidi" w:cstheme="majorBidi"/>
        </w:rPr>
        <w:t xml:space="preserve"> </w:t>
      </w:r>
      <w:r w:rsidRPr="00885DFB">
        <w:rPr>
          <w:rFonts w:asciiTheme="majorBidi" w:eastAsia="Calibri" w:hAnsiTheme="majorBidi" w:cstheme="majorBidi"/>
        </w:rPr>
        <w:t>confirmed pathogen</w:t>
      </w:r>
      <w:r w:rsidR="00CF68D0">
        <w:rPr>
          <w:rFonts w:asciiTheme="majorBidi" w:eastAsia="Calibri" w:hAnsiTheme="majorBidi" w:cstheme="majorBidi"/>
        </w:rPr>
        <w:t>-</w:t>
      </w:r>
      <w:r w:rsidRPr="00885DFB">
        <w:rPr>
          <w:rFonts w:asciiTheme="majorBidi" w:eastAsia="Calibri" w:hAnsiTheme="majorBidi" w:cstheme="majorBidi"/>
        </w:rPr>
        <w:t xml:space="preserve">mechanism combination of interest, whilst in the </w:t>
      </w:r>
      <w:r w:rsidR="00CF68D0">
        <w:rPr>
          <w:rFonts w:asciiTheme="majorBidi" w:eastAsia="Calibri" w:hAnsiTheme="majorBidi" w:cstheme="majorBidi"/>
        </w:rPr>
        <w:t>ES</w:t>
      </w:r>
      <w:r w:rsidR="002140E4">
        <w:rPr>
          <w:rFonts w:asciiTheme="majorBidi" w:eastAsia="Calibri" w:hAnsiTheme="majorBidi" w:cstheme="majorBidi"/>
        </w:rPr>
        <w:t>,</w:t>
      </w:r>
      <w:r w:rsidRPr="00885DFB">
        <w:rPr>
          <w:rFonts w:asciiTheme="majorBidi" w:eastAsia="Calibri" w:hAnsiTheme="majorBidi" w:cstheme="majorBidi"/>
        </w:rPr>
        <w:t xml:space="preserve"> patients will </w:t>
      </w:r>
      <w:r w:rsidR="002140E4">
        <w:rPr>
          <w:rFonts w:asciiTheme="majorBidi" w:eastAsia="Calibri" w:hAnsiTheme="majorBidi" w:cstheme="majorBidi"/>
        </w:rPr>
        <w:t xml:space="preserve">only </w:t>
      </w:r>
      <w:r w:rsidRPr="00885DFB">
        <w:rPr>
          <w:rFonts w:asciiTheme="majorBidi" w:eastAsia="Calibri" w:hAnsiTheme="majorBidi" w:cstheme="majorBidi"/>
        </w:rPr>
        <w:t xml:space="preserve">be suspected </w:t>
      </w:r>
      <w:r w:rsidR="00CF68D0">
        <w:rPr>
          <w:rFonts w:asciiTheme="majorBidi" w:eastAsia="Calibri" w:hAnsiTheme="majorBidi" w:cstheme="majorBidi"/>
        </w:rPr>
        <w:t>of</w:t>
      </w:r>
      <w:r w:rsidRPr="00885DFB">
        <w:rPr>
          <w:rFonts w:asciiTheme="majorBidi" w:eastAsia="Calibri" w:hAnsiTheme="majorBidi" w:cstheme="majorBidi"/>
        </w:rPr>
        <w:t xml:space="preserve"> having an infection with the pathogen</w:t>
      </w:r>
      <w:r w:rsidR="00CF68D0">
        <w:rPr>
          <w:rFonts w:asciiTheme="majorBidi" w:eastAsia="Calibri" w:hAnsiTheme="majorBidi" w:cstheme="majorBidi"/>
        </w:rPr>
        <w:t>-</w:t>
      </w:r>
      <w:r w:rsidRPr="00885DFB">
        <w:rPr>
          <w:rFonts w:asciiTheme="majorBidi" w:eastAsia="Calibri" w:hAnsiTheme="majorBidi" w:cstheme="majorBidi"/>
        </w:rPr>
        <w:t xml:space="preserve">mechanism combination of interest. </w:t>
      </w:r>
    </w:p>
    <w:p w14:paraId="21A596CD" w14:textId="50CAF26C" w:rsidR="00F87CA3" w:rsidRDefault="00885DFB" w:rsidP="00A83123">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As such, from the outset, EEPRU were aware that </w:t>
      </w:r>
      <w:r w:rsidR="00CF68D0">
        <w:rPr>
          <w:rFonts w:asciiTheme="majorBidi" w:eastAsia="Calibri" w:hAnsiTheme="majorBidi" w:cstheme="majorBidi"/>
        </w:rPr>
        <w:t>additional</w:t>
      </w:r>
      <w:r w:rsidRPr="00885DFB">
        <w:rPr>
          <w:rFonts w:asciiTheme="majorBidi" w:eastAsia="Calibri" w:hAnsiTheme="majorBidi" w:cstheme="majorBidi"/>
        </w:rPr>
        <w:t xml:space="preserve"> sources of evidence may be required to fulfil the comparative effectiveness component, since it was unlikely that the RCTs would have been performed in patients with infections caused by the </w:t>
      </w:r>
      <w:r w:rsidR="00CF68D0">
        <w:rPr>
          <w:rFonts w:asciiTheme="majorBidi" w:eastAsia="Calibri" w:hAnsiTheme="majorBidi" w:cstheme="majorBidi"/>
        </w:rPr>
        <w:t xml:space="preserve">specific </w:t>
      </w:r>
      <w:r w:rsidRPr="00885DFB">
        <w:rPr>
          <w:rFonts w:asciiTheme="majorBidi" w:eastAsia="Calibri" w:hAnsiTheme="majorBidi" w:cstheme="majorBidi"/>
        </w:rPr>
        <w:t xml:space="preserve">pathogen-mechanisms of interest. </w:t>
      </w:r>
      <w:r w:rsidR="00F87CA3">
        <w:rPr>
          <w:rFonts w:asciiTheme="majorBidi" w:eastAsia="Calibri" w:hAnsiTheme="majorBidi" w:cstheme="majorBidi"/>
        </w:rPr>
        <w:t xml:space="preserve">The next levels of evidence in the evidence hierarchy are non-randomised studies and observational studies. </w:t>
      </w:r>
      <w:r w:rsidR="00C15C9E">
        <w:rPr>
          <w:rFonts w:asciiTheme="majorBidi" w:eastAsia="Calibri" w:hAnsiTheme="majorBidi" w:cstheme="majorBidi"/>
        </w:rPr>
        <w:lastRenderedPageBreak/>
        <w:t>EEPRU’s earlier work</w:t>
      </w:r>
      <w:r w:rsidR="00A83123" w:rsidRPr="00A83123">
        <w:rPr>
          <w:rFonts w:asciiTheme="majorBidi" w:eastAsia="Calibri" w:hAnsiTheme="majorBidi" w:cstheme="majorBidi"/>
          <w:noProof/>
          <w:vertAlign w:val="superscript"/>
        </w:rPr>
        <w:t>13</w:t>
      </w:r>
      <w:r w:rsidR="00C15C9E">
        <w:rPr>
          <w:rFonts w:asciiTheme="majorBidi" w:eastAsia="Calibri" w:hAnsiTheme="majorBidi" w:cstheme="majorBidi"/>
        </w:rPr>
        <w:t xml:space="preserve"> </w:t>
      </w:r>
      <w:r w:rsidR="00F87CA3">
        <w:rPr>
          <w:rFonts w:asciiTheme="majorBidi" w:eastAsia="Calibri" w:hAnsiTheme="majorBidi" w:cstheme="majorBidi"/>
        </w:rPr>
        <w:t xml:space="preserve">also </w:t>
      </w:r>
      <w:r w:rsidR="00C15C9E">
        <w:rPr>
          <w:rFonts w:asciiTheme="majorBidi" w:eastAsia="Calibri" w:hAnsiTheme="majorBidi" w:cstheme="majorBidi"/>
        </w:rPr>
        <w:t>highlighted the potential for using susceptibility studies to supplement clinical data.</w:t>
      </w:r>
      <w:r w:rsidR="00F87CA3">
        <w:rPr>
          <w:rFonts w:asciiTheme="majorBidi" w:eastAsia="Calibri" w:hAnsiTheme="majorBidi" w:cstheme="majorBidi"/>
        </w:rPr>
        <w:t xml:space="preserve"> We therefore aimed to identify all </w:t>
      </w:r>
      <w:r w:rsidR="00EA0D6C">
        <w:rPr>
          <w:rFonts w:asciiTheme="majorBidi" w:eastAsia="Calibri" w:hAnsiTheme="majorBidi" w:cstheme="majorBidi"/>
        </w:rPr>
        <w:t xml:space="preserve">these </w:t>
      </w:r>
      <w:r w:rsidR="00F87CA3">
        <w:rPr>
          <w:rFonts w:asciiTheme="majorBidi" w:eastAsia="Calibri" w:hAnsiTheme="majorBidi" w:cstheme="majorBidi"/>
        </w:rPr>
        <w:t xml:space="preserve">possible sources </w:t>
      </w:r>
      <w:r w:rsidR="009838CA">
        <w:rPr>
          <w:rFonts w:asciiTheme="majorBidi" w:eastAsia="Calibri" w:hAnsiTheme="majorBidi" w:cstheme="majorBidi"/>
        </w:rPr>
        <w:t xml:space="preserve">of evidence </w:t>
      </w:r>
      <w:r w:rsidR="00F87CA3">
        <w:rPr>
          <w:rFonts w:asciiTheme="majorBidi" w:eastAsia="Calibri" w:hAnsiTheme="majorBidi" w:cstheme="majorBidi"/>
        </w:rPr>
        <w:t xml:space="preserve">in our review (see </w:t>
      </w:r>
      <w:r w:rsidR="004222B2">
        <w:rPr>
          <w:rFonts w:asciiTheme="majorBidi" w:eastAsia="Calibri" w:hAnsiTheme="majorBidi" w:cstheme="majorBidi"/>
        </w:rPr>
        <w:t>Section 4.3</w:t>
      </w:r>
      <w:r w:rsidR="00F87CA3">
        <w:rPr>
          <w:rFonts w:asciiTheme="majorBidi" w:eastAsia="Calibri" w:hAnsiTheme="majorBidi" w:cstheme="majorBidi"/>
        </w:rPr>
        <w:t xml:space="preserve">). </w:t>
      </w:r>
      <w:r w:rsidR="00D86E3D">
        <w:rPr>
          <w:rFonts w:asciiTheme="majorBidi" w:eastAsia="Calibri" w:hAnsiTheme="majorBidi" w:cstheme="majorBidi"/>
        </w:rPr>
        <w:t>In the next section,</w:t>
      </w:r>
      <w:r w:rsidR="00F87CA3">
        <w:rPr>
          <w:rFonts w:asciiTheme="majorBidi" w:eastAsia="Calibri" w:hAnsiTheme="majorBidi" w:cstheme="majorBidi"/>
        </w:rPr>
        <w:t xml:space="preserve"> a brief description of susceptibility studies</w:t>
      </w:r>
      <w:r w:rsidR="00D86E3D">
        <w:rPr>
          <w:rFonts w:asciiTheme="majorBidi" w:eastAsia="Calibri" w:hAnsiTheme="majorBidi" w:cstheme="majorBidi"/>
        </w:rPr>
        <w:t xml:space="preserve"> is </w:t>
      </w:r>
      <w:proofErr w:type="gramStart"/>
      <w:r w:rsidR="00D86E3D">
        <w:rPr>
          <w:rFonts w:asciiTheme="majorBidi" w:eastAsia="Calibri" w:hAnsiTheme="majorBidi" w:cstheme="majorBidi"/>
        </w:rPr>
        <w:t>provided</w:t>
      </w:r>
      <w:r w:rsidR="00F87CA3">
        <w:rPr>
          <w:rFonts w:asciiTheme="majorBidi" w:eastAsia="Calibri" w:hAnsiTheme="majorBidi" w:cstheme="majorBidi"/>
        </w:rPr>
        <w:t>, since</w:t>
      </w:r>
      <w:proofErr w:type="gramEnd"/>
      <w:r w:rsidR="00F87CA3">
        <w:rPr>
          <w:rFonts w:asciiTheme="majorBidi" w:eastAsia="Calibri" w:hAnsiTheme="majorBidi" w:cstheme="majorBidi"/>
        </w:rPr>
        <w:t xml:space="preserve"> this study design is one not commonly encountered. </w:t>
      </w:r>
      <w:r w:rsidR="00D86E3D">
        <w:rPr>
          <w:rFonts w:asciiTheme="majorBidi" w:eastAsia="Calibri" w:hAnsiTheme="majorBidi" w:cstheme="majorBidi"/>
        </w:rPr>
        <w:t>Following this, a discussion of</w:t>
      </w:r>
      <w:r w:rsidR="00F87CA3">
        <w:rPr>
          <w:rFonts w:asciiTheme="majorBidi" w:eastAsia="Calibri" w:hAnsiTheme="majorBidi" w:cstheme="majorBidi"/>
        </w:rPr>
        <w:t xml:space="preserve"> how the different study designs might be used</w:t>
      </w:r>
      <w:r w:rsidR="00EA0D6C">
        <w:rPr>
          <w:rFonts w:asciiTheme="majorBidi" w:eastAsia="Calibri" w:hAnsiTheme="majorBidi" w:cstheme="majorBidi"/>
        </w:rPr>
        <w:t xml:space="preserve"> to produce effectiveness estimates</w:t>
      </w:r>
      <w:r w:rsidR="00D86E3D">
        <w:rPr>
          <w:rFonts w:asciiTheme="majorBidi" w:eastAsia="Calibri" w:hAnsiTheme="majorBidi" w:cstheme="majorBidi"/>
        </w:rPr>
        <w:t xml:space="preserve"> is provided</w:t>
      </w:r>
      <w:r w:rsidR="00EA0D6C">
        <w:rPr>
          <w:rFonts w:asciiTheme="majorBidi" w:eastAsia="Calibri" w:hAnsiTheme="majorBidi" w:cstheme="majorBidi"/>
        </w:rPr>
        <w:t xml:space="preserve"> (Section 4.1.2).</w:t>
      </w:r>
    </w:p>
    <w:p w14:paraId="7E80DEDA" w14:textId="63223CD4" w:rsidR="00F87CA3" w:rsidRPr="00685394" w:rsidRDefault="00A508ED" w:rsidP="00685394">
      <w:pPr>
        <w:keepNext/>
        <w:keepLines/>
        <w:spacing w:before="240" w:after="120" w:line="360" w:lineRule="auto"/>
        <w:outlineLvl w:val="3"/>
        <w:rPr>
          <w:rFonts w:asciiTheme="majorBidi" w:eastAsiaTheme="majorEastAsia" w:hAnsiTheme="majorBidi" w:cs="Times New Roman"/>
          <w:b/>
          <w:sz w:val="26"/>
          <w:szCs w:val="26"/>
        </w:rPr>
      </w:pPr>
      <w:bookmarkStart w:id="87" w:name="_Ref84769971"/>
      <w:r w:rsidRPr="00685394">
        <w:rPr>
          <w:rFonts w:asciiTheme="majorBidi" w:eastAsiaTheme="majorEastAsia" w:hAnsiTheme="majorBidi" w:cs="Times New Roman"/>
          <w:b/>
          <w:sz w:val="26"/>
          <w:szCs w:val="26"/>
        </w:rPr>
        <w:t xml:space="preserve">4.1.1.1 </w:t>
      </w:r>
      <w:r w:rsidR="006B59B6" w:rsidRPr="00685394">
        <w:rPr>
          <w:rFonts w:asciiTheme="majorBidi" w:eastAsiaTheme="majorEastAsia" w:hAnsiTheme="majorBidi" w:cs="Times New Roman"/>
          <w:b/>
          <w:sz w:val="26"/>
          <w:szCs w:val="26"/>
        </w:rPr>
        <w:t>S</w:t>
      </w:r>
      <w:r w:rsidR="00F87CA3" w:rsidRPr="00685394">
        <w:rPr>
          <w:rFonts w:asciiTheme="majorBidi" w:eastAsiaTheme="majorEastAsia" w:hAnsiTheme="majorBidi" w:cs="Times New Roman"/>
          <w:b/>
          <w:sz w:val="26"/>
          <w:szCs w:val="26"/>
        </w:rPr>
        <w:t>usceptibility stud</w:t>
      </w:r>
      <w:r w:rsidR="006B59B6" w:rsidRPr="00685394">
        <w:rPr>
          <w:rFonts w:asciiTheme="majorBidi" w:eastAsiaTheme="majorEastAsia" w:hAnsiTheme="majorBidi" w:cs="Times New Roman"/>
          <w:b/>
          <w:sz w:val="26"/>
          <w:szCs w:val="26"/>
        </w:rPr>
        <w:t>ies</w:t>
      </w:r>
      <w:r w:rsidR="00F162E5" w:rsidRPr="00685394">
        <w:rPr>
          <w:rFonts w:asciiTheme="majorBidi" w:eastAsiaTheme="majorEastAsia" w:hAnsiTheme="majorBidi" w:cs="Times New Roman"/>
          <w:b/>
          <w:sz w:val="26"/>
          <w:szCs w:val="26"/>
        </w:rPr>
        <w:t>, PK/PD studies</w:t>
      </w:r>
      <w:r w:rsidR="00EA0D6C" w:rsidRPr="00685394">
        <w:rPr>
          <w:rFonts w:asciiTheme="majorBidi" w:eastAsiaTheme="majorEastAsia" w:hAnsiTheme="majorBidi" w:cs="Times New Roman"/>
          <w:b/>
          <w:sz w:val="26"/>
          <w:szCs w:val="26"/>
        </w:rPr>
        <w:t xml:space="preserve"> and breakpoints</w:t>
      </w:r>
      <w:bookmarkEnd w:id="87"/>
    </w:p>
    <w:p w14:paraId="2826062A" w14:textId="61CAF320" w:rsidR="00C15C9E" w:rsidRPr="00C15C9E" w:rsidRDefault="00C15C9E" w:rsidP="00C15C9E">
      <w:pPr>
        <w:spacing w:before="240" w:line="360" w:lineRule="auto"/>
        <w:jc w:val="both"/>
        <w:rPr>
          <w:rFonts w:asciiTheme="majorBidi" w:eastAsia="Calibri" w:hAnsiTheme="majorBidi" w:cstheme="majorBidi"/>
        </w:rPr>
      </w:pPr>
      <w:r w:rsidRPr="00C15C9E">
        <w:rPr>
          <w:rFonts w:asciiTheme="majorBidi" w:eastAsia="Calibri" w:hAnsiTheme="majorBidi" w:cstheme="majorBidi"/>
        </w:rPr>
        <w:t xml:space="preserve">Susceptibility studies are </w:t>
      </w:r>
      <w:r w:rsidR="00D86E3D" w:rsidRPr="00D86E3D">
        <w:rPr>
          <w:rFonts w:asciiTheme="majorBidi" w:eastAsia="Calibri" w:hAnsiTheme="majorBidi" w:cstheme="majorBidi"/>
          <w:i/>
          <w:iCs/>
        </w:rPr>
        <w:t>in vitro</w:t>
      </w:r>
      <w:r w:rsidRPr="00C15C9E">
        <w:rPr>
          <w:rFonts w:asciiTheme="majorBidi" w:eastAsia="Calibri" w:hAnsiTheme="majorBidi" w:cstheme="majorBidi"/>
        </w:rPr>
        <w:t xml:space="preserve"> studies that report the results of </w:t>
      </w:r>
      <w:r w:rsidR="00161C00">
        <w:rPr>
          <w:rFonts w:asciiTheme="majorBidi" w:eastAsia="Calibri" w:hAnsiTheme="majorBidi" w:cstheme="majorBidi"/>
        </w:rPr>
        <w:t>AST</w:t>
      </w:r>
      <w:r w:rsidRPr="00C15C9E">
        <w:rPr>
          <w:rFonts w:asciiTheme="majorBidi" w:eastAsia="Calibri" w:hAnsiTheme="majorBidi" w:cstheme="majorBidi"/>
        </w:rPr>
        <w:t xml:space="preserve">. AST is a laboratory method where isolates taken from patients (from infections, or during screening) are grown </w:t>
      </w:r>
      <w:r w:rsidRPr="00D86E3D">
        <w:rPr>
          <w:rFonts w:asciiTheme="majorBidi" w:eastAsia="Calibri" w:hAnsiTheme="majorBidi" w:cstheme="majorBidi"/>
          <w:i/>
          <w:iCs/>
        </w:rPr>
        <w:t>in vitro</w:t>
      </w:r>
      <w:r w:rsidRPr="00C15C9E">
        <w:rPr>
          <w:rFonts w:asciiTheme="majorBidi" w:eastAsia="Calibri" w:hAnsiTheme="majorBidi" w:cstheme="majorBidi"/>
        </w:rPr>
        <w:t xml:space="preserve"> (cultured</w:t>
      </w:r>
      <w:proofErr w:type="gramStart"/>
      <w:r w:rsidRPr="00C15C9E">
        <w:rPr>
          <w:rFonts w:asciiTheme="majorBidi" w:eastAsia="Calibri" w:hAnsiTheme="majorBidi" w:cstheme="majorBidi"/>
        </w:rPr>
        <w:t>)</w:t>
      </w:r>
      <w:r w:rsidR="00F87CA3">
        <w:rPr>
          <w:rFonts w:asciiTheme="majorBidi" w:eastAsia="Calibri" w:hAnsiTheme="majorBidi" w:cstheme="majorBidi"/>
        </w:rPr>
        <w:t>,</w:t>
      </w:r>
      <w:r w:rsidRPr="00C15C9E">
        <w:rPr>
          <w:rFonts w:asciiTheme="majorBidi" w:eastAsia="Calibri" w:hAnsiTheme="majorBidi" w:cstheme="majorBidi"/>
        </w:rPr>
        <w:t xml:space="preserve"> and</w:t>
      </w:r>
      <w:proofErr w:type="gramEnd"/>
      <w:r w:rsidRPr="00C15C9E">
        <w:rPr>
          <w:rFonts w:asciiTheme="majorBidi" w:eastAsia="Calibri" w:hAnsiTheme="majorBidi" w:cstheme="majorBidi"/>
        </w:rPr>
        <w:t xml:space="preserve"> tested for their susceptibility to various </w:t>
      </w:r>
      <w:r w:rsidR="00161C00">
        <w:rPr>
          <w:rFonts w:asciiTheme="majorBidi" w:eastAsia="Calibri" w:hAnsiTheme="majorBidi" w:cstheme="majorBidi"/>
        </w:rPr>
        <w:t>AM</w:t>
      </w:r>
      <w:r w:rsidR="00161C00" w:rsidRPr="00C15C9E">
        <w:rPr>
          <w:rFonts w:asciiTheme="majorBidi" w:eastAsia="Calibri" w:hAnsiTheme="majorBidi" w:cstheme="majorBidi"/>
        </w:rPr>
        <w:t xml:space="preserve"> </w:t>
      </w:r>
      <w:r w:rsidRPr="00C15C9E">
        <w:rPr>
          <w:rFonts w:asciiTheme="majorBidi" w:eastAsia="Calibri" w:hAnsiTheme="majorBidi" w:cstheme="majorBidi"/>
        </w:rPr>
        <w:t xml:space="preserve">treatments. The </w:t>
      </w:r>
      <w:r w:rsidR="00161C00">
        <w:rPr>
          <w:rFonts w:asciiTheme="majorBidi" w:eastAsia="Calibri" w:hAnsiTheme="majorBidi" w:cstheme="majorBidi"/>
        </w:rPr>
        <w:t>AM</w:t>
      </w:r>
      <w:r w:rsidR="00161C00" w:rsidRPr="00C15C9E">
        <w:rPr>
          <w:rFonts w:asciiTheme="majorBidi" w:eastAsia="Calibri" w:hAnsiTheme="majorBidi" w:cstheme="majorBidi"/>
        </w:rPr>
        <w:t xml:space="preserve"> </w:t>
      </w:r>
      <w:r w:rsidRPr="00C15C9E">
        <w:rPr>
          <w:rFonts w:asciiTheme="majorBidi" w:eastAsia="Calibri" w:hAnsiTheme="majorBidi" w:cstheme="majorBidi"/>
        </w:rPr>
        <w:t xml:space="preserve">being tested is applied at increasing concentrations to separate cultures of the sampled isolate, and the degree to which microbial growth is inhibited at each concentration is assessed. The lowest concentration at which microbial growth is inhibited is known as the minimum inhibitory concentration, or MIC. </w:t>
      </w:r>
    </w:p>
    <w:p w14:paraId="55C74FE0" w14:textId="1A11CA4B" w:rsidR="00C15C9E" w:rsidRPr="00C15C9E" w:rsidRDefault="00C15C9E" w:rsidP="00A83123">
      <w:pPr>
        <w:spacing w:before="240" w:line="360" w:lineRule="auto"/>
        <w:jc w:val="both"/>
        <w:rPr>
          <w:rFonts w:asciiTheme="majorBidi" w:eastAsia="Calibri" w:hAnsiTheme="majorBidi" w:cstheme="majorBidi"/>
        </w:rPr>
      </w:pPr>
      <w:r w:rsidRPr="00C15C9E">
        <w:rPr>
          <w:rFonts w:asciiTheme="majorBidi" w:eastAsia="Calibri" w:hAnsiTheme="majorBidi" w:cstheme="majorBidi"/>
        </w:rPr>
        <w:t>Clinical breakpoints distinguish between isolates where there is a likelihood of treatment success from those where treatment is more likely to fail.</w:t>
      </w:r>
      <w:r w:rsidR="00A83123" w:rsidRPr="00A83123">
        <w:rPr>
          <w:rFonts w:asciiTheme="majorBidi" w:eastAsia="Calibri" w:hAnsiTheme="majorBidi" w:cstheme="majorBidi"/>
          <w:noProof/>
          <w:vertAlign w:val="superscript"/>
        </w:rPr>
        <w:t>19</w:t>
      </w:r>
      <w:r w:rsidRPr="00C15C9E">
        <w:rPr>
          <w:rFonts w:asciiTheme="majorBidi" w:eastAsia="Calibri" w:hAnsiTheme="majorBidi" w:cstheme="majorBidi"/>
        </w:rPr>
        <w:t xml:space="preserve"> If the MIC of a given isolate is at or below the breakpoint, the isolate is judged to be “susceptible”. If it is above the breakpoint, the isolate is judged to be “resistant</w:t>
      </w:r>
      <w:proofErr w:type="gramStart"/>
      <w:r w:rsidRPr="00C15C9E">
        <w:rPr>
          <w:rFonts w:asciiTheme="majorBidi" w:eastAsia="Calibri" w:hAnsiTheme="majorBidi" w:cstheme="majorBidi"/>
        </w:rPr>
        <w:t>” .</w:t>
      </w:r>
      <w:proofErr w:type="gramEnd"/>
      <w:r w:rsidRPr="00C15C9E">
        <w:rPr>
          <w:rFonts w:asciiTheme="majorBidi" w:eastAsia="Calibri" w:hAnsiTheme="majorBidi" w:cstheme="majorBidi"/>
        </w:rPr>
        <w:t xml:space="preserve"> For some antimicrobials, there is also an intermediate category, which more recently has become “susceptible – increased exposure” indicating that a higher dose of the drug should be used to elicit a response. </w:t>
      </w:r>
      <w:r w:rsidR="005D3C14" w:rsidRPr="005745A3">
        <w:rPr>
          <w:rFonts w:asciiTheme="majorBidi" w:hAnsiTheme="majorBidi" w:cstheme="majorBidi"/>
        </w:rPr>
        <w:t>They may also report the concentration at which 50% of isolates were inhibited (MIC 50), and the concentration at which 90% were inhibited (MIC 90)</w:t>
      </w:r>
      <w:r w:rsidR="005D3C14">
        <w:rPr>
          <w:rFonts w:asciiTheme="majorBidi" w:hAnsiTheme="majorBidi" w:cstheme="majorBidi"/>
        </w:rPr>
        <w:t>.</w:t>
      </w:r>
    </w:p>
    <w:p w14:paraId="5A501D50" w14:textId="6BFDE576" w:rsidR="00C15C9E" w:rsidRPr="00C15C9E" w:rsidRDefault="00C15C9E" w:rsidP="00A83123">
      <w:pPr>
        <w:spacing w:before="240" w:line="360" w:lineRule="auto"/>
        <w:jc w:val="both"/>
        <w:rPr>
          <w:rFonts w:asciiTheme="majorBidi" w:eastAsia="Calibri" w:hAnsiTheme="majorBidi" w:cstheme="majorBidi"/>
        </w:rPr>
      </w:pPr>
      <w:r w:rsidRPr="00C15C9E">
        <w:rPr>
          <w:rFonts w:asciiTheme="majorBidi" w:eastAsia="Calibri" w:hAnsiTheme="majorBidi" w:cstheme="majorBidi"/>
        </w:rPr>
        <w:t>The methods for setting breakpoints are not standardised. Currently, they are generally set by considering</w:t>
      </w:r>
      <w:r w:rsidR="00A83123" w:rsidRPr="00A83123">
        <w:rPr>
          <w:rFonts w:asciiTheme="majorBidi" w:eastAsia="Calibri" w:hAnsiTheme="majorBidi" w:cstheme="majorBidi"/>
          <w:noProof/>
          <w:vertAlign w:val="superscript"/>
        </w:rPr>
        <w:t>20</w:t>
      </w:r>
      <w:r w:rsidRPr="00C15C9E">
        <w:rPr>
          <w:rFonts w:asciiTheme="majorBidi" w:eastAsia="Calibri" w:hAnsiTheme="majorBidi" w:cstheme="majorBidi"/>
        </w:rPr>
        <w:t>:</w:t>
      </w:r>
    </w:p>
    <w:p w14:paraId="4E817734" w14:textId="49DFFF03" w:rsidR="00C15C9E" w:rsidRPr="00F87CA3" w:rsidRDefault="00C15C9E" w:rsidP="005A3BE6">
      <w:pPr>
        <w:pStyle w:val="ListParagraph"/>
        <w:numPr>
          <w:ilvl w:val="0"/>
          <w:numId w:val="22"/>
        </w:numPr>
        <w:spacing w:before="240" w:line="360" w:lineRule="auto"/>
        <w:jc w:val="both"/>
        <w:rPr>
          <w:rFonts w:asciiTheme="majorBidi" w:eastAsia="Calibri" w:hAnsiTheme="majorBidi" w:cstheme="majorBidi"/>
        </w:rPr>
      </w:pPr>
      <w:r w:rsidRPr="00F87CA3">
        <w:rPr>
          <w:rFonts w:asciiTheme="majorBidi" w:eastAsia="Calibri" w:hAnsiTheme="majorBidi" w:cstheme="majorBidi"/>
        </w:rPr>
        <w:t xml:space="preserve">The </w:t>
      </w:r>
      <w:r w:rsidR="002961EA">
        <w:rPr>
          <w:rFonts w:asciiTheme="majorBidi" w:eastAsia="Calibri" w:hAnsiTheme="majorBidi" w:cstheme="majorBidi"/>
        </w:rPr>
        <w:t>pharmacokinetic (</w:t>
      </w:r>
      <w:r w:rsidRPr="00F87CA3">
        <w:rPr>
          <w:rFonts w:asciiTheme="majorBidi" w:eastAsia="Calibri" w:hAnsiTheme="majorBidi" w:cstheme="majorBidi"/>
        </w:rPr>
        <w:t>PK</w:t>
      </w:r>
      <w:r w:rsidR="002961EA">
        <w:rPr>
          <w:rFonts w:asciiTheme="majorBidi" w:eastAsia="Calibri" w:hAnsiTheme="majorBidi" w:cstheme="majorBidi"/>
        </w:rPr>
        <w:t>)</w:t>
      </w:r>
      <w:r w:rsidRPr="00F87CA3">
        <w:rPr>
          <w:rFonts w:asciiTheme="majorBidi" w:eastAsia="Calibri" w:hAnsiTheme="majorBidi" w:cstheme="majorBidi"/>
        </w:rPr>
        <w:t xml:space="preserve"> data: how the body affects the drug with respect to absorption, distribution, metabolism, and excretion, usually obtained from studies in healthy volunteers</w:t>
      </w:r>
    </w:p>
    <w:p w14:paraId="57C6EA5E" w14:textId="42437E7A" w:rsidR="00C15C9E" w:rsidRPr="00F87CA3" w:rsidRDefault="00C15C9E" w:rsidP="005A3BE6">
      <w:pPr>
        <w:pStyle w:val="ListParagraph"/>
        <w:numPr>
          <w:ilvl w:val="0"/>
          <w:numId w:val="22"/>
        </w:numPr>
        <w:spacing w:before="240" w:line="360" w:lineRule="auto"/>
        <w:jc w:val="both"/>
        <w:rPr>
          <w:rFonts w:asciiTheme="majorBidi" w:eastAsia="Calibri" w:hAnsiTheme="majorBidi" w:cstheme="majorBidi"/>
        </w:rPr>
      </w:pPr>
      <w:r w:rsidRPr="00F87CA3">
        <w:rPr>
          <w:rFonts w:asciiTheme="majorBidi" w:eastAsia="Calibri" w:hAnsiTheme="majorBidi" w:cstheme="majorBidi"/>
        </w:rPr>
        <w:t xml:space="preserve">The </w:t>
      </w:r>
      <w:r w:rsidR="002961EA">
        <w:rPr>
          <w:rFonts w:asciiTheme="majorBidi" w:eastAsia="Calibri" w:hAnsiTheme="majorBidi" w:cstheme="majorBidi"/>
        </w:rPr>
        <w:t>pharmacodynamic (</w:t>
      </w:r>
      <w:r w:rsidRPr="00F87CA3">
        <w:rPr>
          <w:rFonts w:asciiTheme="majorBidi" w:eastAsia="Calibri" w:hAnsiTheme="majorBidi" w:cstheme="majorBidi"/>
        </w:rPr>
        <w:t>PD</w:t>
      </w:r>
      <w:r w:rsidR="002961EA">
        <w:rPr>
          <w:rFonts w:asciiTheme="majorBidi" w:eastAsia="Calibri" w:hAnsiTheme="majorBidi" w:cstheme="majorBidi"/>
        </w:rPr>
        <w:t>)</w:t>
      </w:r>
      <w:r w:rsidRPr="00F87CA3">
        <w:rPr>
          <w:rFonts w:asciiTheme="majorBidi" w:eastAsia="Calibri" w:hAnsiTheme="majorBidi" w:cstheme="majorBidi"/>
        </w:rPr>
        <w:t xml:space="preserve"> data: how the drug affects the body (efficacy and toxicity) at its site(s) of action, usually obtained from </w:t>
      </w:r>
      <w:r w:rsidR="00D86E3D" w:rsidRPr="00D86E3D">
        <w:rPr>
          <w:rFonts w:asciiTheme="majorBidi" w:eastAsia="Calibri" w:hAnsiTheme="majorBidi" w:cstheme="majorBidi"/>
          <w:i/>
          <w:iCs/>
        </w:rPr>
        <w:t>in vitro</w:t>
      </w:r>
      <w:r w:rsidRPr="00F87CA3">
        <w:rPr>
          <w:rFonts w:asciiTheme="majorBidi" w:eastAsia="Calibri" w:hAnsiTheme="majorBidi" w:cstheme="majorBidi"/>
        </w:rPr>
        <w:t xml:space="preserve"> studies, hollow fibre studies, animal studies, and human studies. This data is used to set </w:t>
      </w:r>
      <w:r w:rsidR="002961EA">
        <w:rPr>
          <w:rFonts w:asciiTheme="majorBidi" w:eastAsia="Calibri" w:hAnsiTheme="majorBidi" w:cstheme="majorBidi"/>
        </w:rPr>
        <w:t>PD</w:t>
      </w:r>
      <w:r w:rsidR="002961EA" w:rsidRPr="00F87CA3">
        <w:rPr>
          <w:rFonts w:asciiTheme="majorBidi" w:eastAsia="Calibri" w:hAnsiTheme="majorBidi" w:cstheme="majorBidi"/>
        </w:rPr>
        <w:t xml:space="preserve"> </w:t>
      </w:r>
      <w:r w:rsidRPr="00F87CA3">
        <w:rPr>
          <w:rFonts w:asciiTheme="majorBidi" w:eastAsia="Calibri" w:hAnsiTheme="majorBidi" w:cstheme="majorBidi"/>
        </w:rPr>
        <w:t xml:space="preserve">targets </w:t>
      </w:r>
      <w:proofErr w:type="gramStart"/>
      <w:r w:rsidRPr="00F87CA3">
        <w:rPr>
          <w:rFonts w:asciiTheme="majorBidi" w:eastAsia="Calibri" w:hAnsiTheme="majorBidi" w:cstheme="majorBidi"/>
        </w:rPr>
        <w:t>e.g.</w:t>
      </w:r>
      <w:proofErr w:type="gramEnd"/>
      <w:r w:rsidRPr="00F87CA3">
        <w:rPr>
          <w:rFonts w:asciiTheme="majorBidi" w:eastAsia="Calibri" w:hAnsiTheme="majorBidi" w:cstheme="majorBidi"/>
        </w:rPr>
        <w:t xml:space="preserve"> for time above MIC</w:t>
      </w:r>
    </w:p>
    <w:p w14:paraId="051A083F" w14:textId="77777777" w:rsidR="00C15C9E" w:rsidRPr="00F87CA3" w:rsidRDefault="00C15C9E" w:rsidP="005A3BE6">
      <w:pPr>
        <w:pStyle w:val="ListParagraph"/>
        <w:numPr>
          <w:ilvl w:val="0"/>
          <w:numId w:val="22"/>
        </w:numPr>
        <w:spacing w:before="240" w:line="360" w:lineRule="auto"/>
        <w:jc w:val="both"/>
        <w:rPr>
          <w:rFonts w:asciiTheme="majorBidi" w:eastAsia="Calibri" w:hAnsiTheme="majorBidi" w:cstheme="majorBidi"/>
        </w:rPr>
      </w:pPr>
      <w:r w:rsidRPr="00F87CA3">
        <w:rPr>
          <w:rFonts w:asciiTheme="majorBidi" w:eastAsia="Calibri" w:hAnsiTheme="majorBidi" w:cstheme="majorBidi"/>
        </w:rPr>
        <w:t>Mathematical models (</w:t>
      </w:r>
      <w:proofErr w:type="gramStart"/>
      <w:r w:rsidRPr="00F87CA3">
        <w:rPr>
          <w:rFonts w:asciiTheme="majorBidi" w:eastAsia="Calibri" w:hAnsiTheme="majorBidi" w:cstheme="majorBidi"/>
        </w:rPr>
        <w:t>e.g.</w:t>
      </w:r>
      <w:proofErr w:type="gramEnd"/>
      <w:r w:rsidRPr="00F87CA3">
        <w:rPr>
          <w:rFonts w:asciiTheme="majorBidi" w:eastAsia="Calibri" w:hAnsiTheme="majorBidi" w:cstheme="majorBidi"/>
        </w:rPr>
        <w:t xml:space="preserve"> Monte Carlo simulation) to assess the likelihood of achieving the targets suggested by the PD data </w:t>
      </w:r>
    </w:p>
    <w:p w14:paraId="52BB022C" w14:textId="0D110E86" w:rsidR="00C15C9E" w:rsidRDefault="00C15C9E" w:rsidP="005A3BE6">
      <w:pPr>
        <w:pStyle w:val="ListParagraph"/>
        <w:numPr>
          <w:ilvl w:val="0"/>
          <w:numId w:val="22"/>
        </w:numPr>
        <w:spacing w:before="240" w:line="360" w:lineRule="auto"/>
        <w:jc w:val="both"/>
        <w:rPr>
          <w:rFonts w:asciiTheme="majorBidi" w:eastAsia="Calibri" w:hAnsiTheme="majorBidi" w:cstheme="majorBidi"/>
        </w:rPr>
      </w:pPr>
      <w:r w:rsidRPr="00F87CA3">
        <w:rPr>
          <w:rFonts w:asciiTheme="majorBidi" w:eastAsia="Calibri" w:hAnsiTheme="majorBidi" w:cstheme="majorBidi"/>
        </w:rPr>
        <w:t>Any available clinical data linking treatment to clinical outcomes (</w:t>
      </w:r>
      <w:proofErr w:type="gramStart"/>
      <w:r w:rsidRPr="00F87CA3">
        <w:rPr>
          <w:rFonts w:asciiTheme="majorBidi" w:eastAsia="Calibri" w:hAnsiTheme="majorBidi" w:cstheme="majorBidi"/>
        </w:rPr>
        <w:t>e.g.</w:t>
      </w:r>
      <w:proofErr w:type="gramEnd"/>
      <w:r w:rsidRPr="00F87CA3">
        <w:rPr>
          <w:rFonts w:asciiTheme="majorBidi" w:eastAsia="Calibri" w:hAnsiTheme="majorBidi" w:cstheme="majorBidi"/>
        </w:rPr>
        <w:t xml:space="preserve"> from RCTs or observational studies).</w:t>
      </w:r>
    </w:p>
    <w:p w14:paraId="6266E7BF" w14:textId="5BCA9DF0" w:rsidR="00F162E5" w:rsidRPr="00F162E5" w:rsidRDefault="00F162E5" w:rsidP="00F162E5">
      <w:pPr>
        <w:spacing w:before="240" w:line="360" w:lineRule="auto"/>
        <w:jc w:val="both"/>
        <w:rPr>
          <w:rFonts w:asciiTheme="majorBidi" w:eastAsia="Calibri" w:hAnsiTheme="majorBidi" w:cstheme="majorBidi"/>
        </w:rPr>
      </w:pPr>
      <w:r>
        <w:rPr>
          <w:rFonts w:asciiTheme="majorBidi" w:eastAsia="Calibri" w:hAnsiTheme="majorBidi" w:cstheme="majorBidi"/>
        </w:rPr>
        <w:t xml:space="preserve">PK/PD studies are conducted to estimate how much drug will be available at the site of interest, and for what </w:t>
      </w:r>
      <w:proofErr w:type="gramStart"/>
      <w:r>
        <w:rPr>
          <w:rFonts w:asciiTheme="majorBidi" w:eastAsia="Calibri" w:hAnsiTheme="majorBidi" w:cstheme="majorBidi"/>
        </w:rPr>
        <w:t>period of time</w:t>
      </w:r>
      <w:proofErr w:type="gramEnd"/>
      <w:r>
        <w:rPr>
          <w:rFonts w:asciiTheme="majorBidi" w:eastAsia="Calibri" w:hAnsiTheme="majorBidi" w:cstheme="majorBidi"/>
        </w:rPr>
        <w:t xml:space="preserve"> at a given dose. One of its primary uses is by manufacturers and regulatory bodies </w:t>
      </w:r>
      <w:r>
        <w:rPr>
          <w:rFonts w:asciiTheme="majorBidi" w:eastAsia="Calibri" w:hAnsiTheme="majorBidi" w:cstheme="majorBidi"/>
        </w:rPr>
        <w:lastRenderedPageBreak/>
        <w:t xml:space="preserve">to decide on the appropriate dose and </w:t>
      </w:r>
      <w:r w:rsidR="00F769FB">
        <w:rPr>
          <w:rFonts w:asciiTheme="majorBidi" w:eastAsia="Calibri" w:hAnsiTheme="majorBidi" w:cstheme="majorBidi"/>
        </w:rPr>
        <w:t>dose frequency</w:t>
      </w:r>
      <w:r>
        <w:rPr>
          <w:rFonts w:asciiTheme="majorBidi" w:eastAsia="Calibri" w:hAnsiTheme="majorBidi" w:cstheme="majorBidi"/>
        </w:rPr>
        <w:t xml:space="preserve"> of the drug</w:t>
      </w:r>
      <w:r w:rsidR="00F769FB">
        <w:rPr>
          <w:rFonts w:asciiTheme="majorBidi" w:eastAsia="Calibri" w:hAnsiTheme="majorBidi" w:cstheme="majorBidi"/>
        </w:rPr>
        <w:t>,</w:t>
      </w:r>
      <w:r>
        <w:rPr>
          <w:rFonts w:asciiTheme="majorBidi" w:eastAsia="Calibri" w:hAnsiTheme="majorBidi" w:cstheme="majorBidi"/>
        </w:rPr>
        <w:t xml:space="preserve"> such that it is likely to be available at concentrations that are likely to have an effect at the sites of interest. </w:t>
      </w:r>
    </w:p>
    <w:p w14:paraId="6B4F2F0B" w14:textId="77777777" w:rsidR="00C15C9E" w:rsidRPr="00C15C9E" w:rsidRDefault="00C15C9E" w:rsidP="00C15C9E">
      <w:pPr>
        <w:spacing w:before="240" w:line="360" w:lineRule="auto"/>
        <w:jc w:val="both"/>
        <w:rPr>
          <w:rFonts w:asciiTheme="majorBidi" w:eastAsia="Calibri" w:hAnsiTheme="majorBidi" w:cstheme="majorBidi"/>
        </w:rPr>
      </w:pPr>
      <w:r w:rsidRPr="00C15C9E">
        <w:rPr>
          <w:rFonts w:asciiTheme="majorBidi" w:eastAsia="Calibri" w:hAnsiTheme="majorBidi" w:cstheme="majorBidi"/>
        </w:rPr>
        <w:t>There are two main organisations that set breakpoints, the Clinical Laboratory Standards Institute (CLSI) in the US, and the European Committee on Antimicrobial Susceptibility Testing (EUCAST) in Europe. These two organisations use different methodologies to set breakpoints, leading to differences in the breakpoints set both in absolute and relative terms, between treatments. They also describe different laboratory methods to assess MICs. In addition, many labs may use commercial assays, conducted according to manufacturer’s instructions. Clinical advisors to EEPRU indicated that it was unclear to what extent CLSI, EUCAST and commercial methods would produce the same absolute values, and in the event that values were different, whether relative values between treatments would also be different (</w:t>
      </w:r>
      <w:proofErr w:type="gramStart"/>
      <w:r w:rsidRPr="00C15C9E">
        <w:rPr>
          <w:rFonts w:asciiTheme="majorBidi" w:eastAsia="Calibri" w:hAnsiTheme="majorBidi" w:cstheme="majorBidi"/>
        </w:rPr>
        <w:t>i.e.</w:t>
      </w:r>
      <w:proofErr w:type="gramEnd"/>
      <w:r w:rsidRPr="00C15C9E">
        <w:rPr>
          <w:rFonts w:asciiTheme="majorBidi" w:eastAsia="Calibri" w:hAnsiTheme="majorBidi" w:cstheme="majorBidi"/>
        </w:rPr>
        <w:t xml:space="preserve"> the difference in absolute values was not consistent across treatments). In the UK, the British Society for Antimicrobial Chemotherapy (BSAC) now recommends use of EUCAST methods and breakpoints. </w:t>
      </w:r>
    </w:p>
    <w:p w14:paraId="57CCA9C3" w14:textId="418BC140" w:rsidR="00C15C9E" w:rsidRPr="00C15C9E" w:rsidRDefault="00C15C9E" w:rsidP="00C15C9E">
      <w:pPr>
        <w:spacing w:before="240" w:line="360" w:lineRule="auto"/>
        <w:jc w:val="both"/>
        <w:rPr>
          <w:rFonts w:asciiTheme="majorBidi" w:eastAsia="Calibri" w:hAnsiTheme="majorBidi" w:cstheme="majorBidi"/>
        </w:rPr>
      </w:pPr>
      <w:r w:rsidRPr="00C15C9E">
        <w:rPr>
          <w:rFonts w:asciiTheme="majorBidi" w:eastAsia="Calibri" w:hAnsiTheme="majorBidi" w:cstheme="majorBidi"/>
        </w:rPr>
        <w:t xml:space="preserve">Susceptibility studies tend to report </w:t>
      </w:r>
      <w:r w:rsidR="009838CA">
        <w:rPr>
          <w:rFonts w:asciiTheme="majorBidi" w:eastAsia="Calibri" w:hAnsiTheme="majorBidi" w:cstheme="majorBidi"/>
        </w:rPr>
        <w:t xml:space="preserve">the proportion </w:t>
      </w:r>
      <w:r w:rsidRPr="00C15C9E">
        <w:rPr>
          <w:rFonts w:asciiTheme="majorBidi" w:eastAsia="Calibri" w:hAnsiTheme="majorBidi" w:cstheme="majorBidi"/>
        </w:rPr>
        <w:t>S, I and R, or list the number of isolates at each MIC. An example is given in</w:t>
      </w:r>
      <w:r w:rsidR="00273E62">
        <w:rPr>
          <w:rFonts w:asciiTheme="majorBidi" w:eastAsia="Calibri" w:hAnsiTheme="majorBidi" w:cstheme="majorBidi"/>
        </w:rPr>
        <w:t xml:space="preserve"> </w:t>
      </w:r>
      <w:r w:rsidR="00273E62" w:rsidRPr="00273E62">
        <w:rPr>
          <w:rFonts w:asciiTheme="majorBidi" w:eastAsia="Calibri" w:hAnsiTheme="majorBidi" w:cstheme="majorBidi"/>
        </w:rPr>
        <w:t>Table 2</w:t>
      </w:r>
      <w:r w:rsidRPr="00C15C9E">
        <w:rPr>
          <w:rFonts w:asciiTheme="majorBidi" w:eastAsia="Calibri" w:hAnsiTheme="majorBidi" w:cstheme="majorBidi"/>
        </w:rPr>
        <w:t xml:space="preserve">. Here, for cefepime, the breakpoint is 1mg/L, and since all isolates had MICs higher than the breakpoint, none were susceptible. For CAZ-AVI, with a breakpoint of 8mg/L, 90.9% were susceptible, since only one isolate had a MIC above this point. </w:t>
      </w:r>
    </w:p>
    <w:p w14:paraId="59B3474F" w14:textId="29BBC466" w:rsidR="00C15C9E" w:rsidRPr="00F87CA3" w:rsidRDefault="00F87CA3" w:rsidP="00F87CA3">
      <w:pPr>
        <w:pStyle w:val="Caption"/>
        <w:keepNext/>
        <w:rPr>
          <w:rFonts w:asciiTheme="majorBidi" w:hAnsiTheme="majorBidi" w:cstheme="majorBidi"/>
          <w:b/>
          <w:bCs/>
          <w:i w:val="0"/>
          <w:iCs w:val="0"/>
          <w:sz w:val="22"/>
          <w:szCs w:val="22"/>
        </w:rPr>
      </w:pPr>
      <w:bookmarkStart w:id="88" w:name="_Ref85640173"/>
      <w:bookmarkStart w:id="89" w:name="_Toc86418979"/>
      <w:r w:rsidRPr="001009FF">
        <w:rPr>
          <w:rFonts w:asciiTheme="majorBidi" w:hAnsiTheme="majorBidi" w:cstheme="majorBidi"/>
          <w:b/>
          <w:bCs/>
          <w:i w:val="0"/>
          <w:iCs w:val="0"/>
          <w:color w:val="auto"/>
          <w:sz w:val="22"/>
          <w:szCs w:val="22"/>
        </w:rPr>
        <w:t xml:space="preserve">Table </w:t>
      </w:r>
      <w:r w:rsidR="00F10F0A">
        <w:rPr>
          <w:rFonts w:asciiTheme="majorBidi" w:hAnsiTheme="majorBidi" w:cstheme="majorBidi"/>
          <w:b/>
          <w:bCs/>
          <w:i w:val="0"/>
          <w:iCs w:val="0"/>
          <w:noProof/>
          <w:color w:val="auto"/>
          <w:sz w:val="22"/>
          <w:szCs w:val="22"/>
        </w:rPr>
        <w:t>2</w:t>
      </w:r>
      <w:bookmarkEnd w:id="88"/>
      <w:r w:rsidR="00C15C9E" w:rsidRPr="00F87CA3">
        <w:rPr>
          <w:rFonts w:asciiTheme="majorBidi" w:hAnsiTheme="majorBidi" w:cstheme="majorBidi"/>
          <w:b/>
          <w:bCs/>
          <w:i w:val="0"/>
          <w:iCs w:val="0"/>
          <w:sz w:val="22"/>
          <w:szCs w:val="22"/>
        </w:rPr>
        <w:tab/>
      </w:r>
      <w:r w:rsidR="00C15C9E" w:rsidRPr="00F87CA3">
        <w:rPr>
          <w:rFonts w:asciiTheme="majorBidi" w:hAnsiTheme="majorBidi" w:cstheme="majorBidi"/>
          <w:b/>
          <w:bCs/>
          <w:i w:val="0"/>
          <w:iCs w:val="0"/>
          <w:sz w:val="22"/>
          <w:szCs w:val="22"/>
        </w:rPr>
        <w:tab/>
        <w:t>Example of a susceptibility study data table</w:t>
      </w:r>
      <w:bookmarkEnd w:id="89"/>
    </w:p>
    <w:tbl>
      <w:tblPr>
        <w:tblStyle w:val="GridTable1Light"/>
        <w:tblW w:w="0" w:type="auto"/>
        <w:tblLook w:val="04A0" w:firstRow="1" w:lastRow="0" w:firstColumn="1" w:lastColumn="0" w:noHBand="0" w:noVBand="1"/>
      </w:tblPr>
      <w:tblGrid>
        <w:gridCol w:w="1923"/>
        <w:gridCol w:w="722"/>
        <w:gridCol w:w="601"/>
        <w:gridCol w:w="601"/>
        <w:gridCol w:w="491"/>
        <w:gridCol w:w="546"/>
        <w:gridCol w:w="491"/>
        <w:gridCol w:w="436"/>
        <w:gridCol w:w="491"/>
        <w:gridCol w:w="436"/>
        <w:gridCol w:w="436"/>
        <w:gridCol w:w="562"/>
        <w:gridCol w:w="1280"/>
      </w:tblGrid>
      <w:tr w:rsidR="00C15C9E" w:rsidRPr="001009FF" w14:paraId="13D9B596" w14:textId="77777777" w:rsidTr="00AF475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tcPr>
          <w:p w14:paraId="4DC391B7" w14:textId="4965A976" w:rsidR="00C15C9E" w:rsidRPr="001009FF" w:rsidRDefault="00C15C9E" w:rsidP="00C15C9E">
            <w:pPr>
              <w:rPr>
                <w:rFonts w:asciiTheme="majorBidi" w:eastAsia="Times New Roman" w:hAnsiTheme="majorBidi" w:cstheme="majorBidi"/>
                <w:b w:val="0"/>
                <w:bCs w:val="0"/>
                <w:color w:val="000000"/>
              </w:rPr>
            </w:pPr>
            <w:proofErr w:type="gramStart"/>
            <w:r w:rsidRPr="001009FF">
              <w:rPr>
                <w:rFonts w:asciiTheme="majorBidi" w:eastAsia="Times New Roman" w:hAnsiTheme="majorBidi" w:cstheme="majorBidi"/>
                <w:color w:val="000000"/>
              </w:rPr>
              <w:t>Treatment</w:t>
            </w:r>
            <w:r w:rsidR="009838CA" w:rsidRPr="001009FF">
              <w:rPr>
                <w:rFonts w:asciiTheme="majorBidi" w:eastAsia="Times New Roman" w:hAnsiTheme="majorBidi" w:cstheme="majorBidi"/>
                <w:color w:val="000000"/>
              </w:rPr>
              <w:t>;</w:t>
            </w:r>
            <w:proofErr w:type="gramEnd"/>
          </w:p>
          <w:p w14:paraId="62BA0886" w14:textId="77777777" w:rsidR="00C15C9E" w:rsidRPr="001009FF" w:rsidRDefault="00C15C9E" w:rsidP="00C15C9E">
            <w:pPr>
              <w:rPr>
                <w:rFonts w:asciiTheme="majorBidi" w:eastAsia="Times New Roman" w:hAnsiTheme="majorBidi" w:cstheme="majorBidi"/>
              </w:rPr>
            </w:pPr>
            <w:r w:rsidRPr="001009FF">
              <w:rPr>
                <w:rFonts w:asciiTheme="majorBidi" w:eastAsia="Times New Roman" w:hAnsiTheme="majorBidi" w:cstheme="majorBidi"/>
              </w:rPr>
              <w:t xml:space="preserve">Breakpoint </w:t>
            </w:r>
          </w:p>
        </w:tc>
        <w:tc>
          <w:tcPr>
            <w:tcW w:w="0" w:type="auto"/>
            <w:gridSpan w:val="12"/>
          </w:tcPr>
          <w:p w14:paraId="15E5DDDD" w14:textId="77777777" w:rsidR="00C15C9E" w:rsidRPr="001009FF" w:rsidRDefault="00C15C9E" w:rsidP="00C15C9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rPr>
            </w:pPr>
            <w:r w:rsidRPr="001009FF">
              <w:rPr>
                <w:rFonts w:asciiTheme="majorBidi" w:eastAsia="Times New Roman" w:hAnsiTheme="majorBidi" w:cstheme="majorBidi"/>
                <w:color w:val="000000"/>
              </w:rPr>
              <w:t>Number susceptible</w:t>
            </w:r>
          </w:p>
          <w:p w14:paraId="2E7D3151" w14:textId="77777777" w:rsidR="00C15C9E" w:rsidRPr="001009FF" w:rsidRDefault="00C15C9E" w:rsidP="00C15C9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rPr>
            </w:pPr>
            <w:r w:rsidRPr="001009FF">
              <w:rPr>
                <w:rFonts w:asciiTheme="majorBidi" w:eastAsia="Times New Roman" w:hAnsiTheme="majorBidi" w:cstheme="majorBidi"/>
                <w:color w:val="000000"/>
              </w:rPr>
              <w:t>Cumulative % susceptible</w:t>
            </w:r>
          </w:p>
        </w:tc>
      </w:tr>
      <w:tr w:rsidR="00C15C9E" w:rsidRPr="001009FF" w14:paraId="45427630" w14:textId="77777777" w:rsidTr="00AF4752">
        <w:trPr>
          <w:trHeight w:val="1515"/>
        </w:trPr>
        <w:tc>
          <w:tcPr>
            <w:cnfStyle w:val="001000000000" w:firstRow="0" w:lastRow="0" w:firstColumn="1" w:lastColumn="0" w:oddVBand="0" w:evenVBand="0" w:oddHBand="0" w:evenHBand="0" w:firstRowFirstColumn="0" w:firstRowLastColumn="0" w:lastRowFirstColumn="0" w:lastRowLastColumn="0"/>
            <w:tcW w:w="0" w:type="auto"/>
            <w:hideMark/>
          </w:tcPr>
          <w:p w14:paraId="22180812" w14:textId="77777777" w:rsidR="00C15C9E" w:rsidRPr="001009FF" w:rsidRDefault="00C15C9E" w:rsidP="00C15C9E">
            <w:pPr>
              <w:rPr>
                <w:rFonts w:asciiTheme="majorBidi" w:eastAsia="Times New Roman" w:hAnsiTheme="majorBidi" w:cstheme="majorBidi"/>
              </w:rPr>
            </w:pPr>
            <w:r w:rsidRPr="001009FF">
              <w:rPr>
                <w:rFonts w:asciiTheme="majorBidi" w:eastAsia="Times New Roman" w:hAnsiTheme="majorBidi" w:cstheme="majorBidi"/>
              </w:rPr>
              <w:t> </w:t>
            </w:r>
          </w:p>
          <w:p w14:paraId="0EFA6672" w14:textId="77777777" w:rsidR="00C15C9E" w:rsidRPr="001009FF" w:rsidRDefault="00C15C9E" w:rsidP="00C15C9E">
            <w:pPr>
              <w:rPr>
                <w:rFonts w:asciiTheme="majorBidi" w:eastAsia="Times New Roman" w:hAnsiTheme="majorBidi" w:cstheme="majorBidi"/>
              </w:rPr>
            </w:pPr>
            <w:r w:rsidRPr="001009FF">
              <w:rPr>
                <w:rFonts w:asciiTheme="majorBidi" w:eastAsia="Times New Roman" w:hAnsiTheme="majorBidi" w:cstheme="majorBidi"/>
                <w:color w:val="000000"/>
              </w:rPr>
              <w:t>Drug concentration (mg/L)</w:t>
            </w:r>
          </w:p>
        </w:tc>
        <w:tc>
          <w:tcPr>
            <w:tcW w:w="0" w:type="auto"/>
            <w:hideMark/>
          </w:tcPr>
          <w:p w14:paraId="3738D6F7"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≤0.06</w:t>
            </w:r>
          </w:p>
        </w:tc>
        <w:tc>
          <w:tcPr>
            <w:tcW w:w="0" w:type="auto"/>
            <w:hideMark/>
          </w:tcPr>
          <w:p w14:paraId="1A9B9A6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0.12</w:t>
            </w:r>
          </w:p>
        </w:tc>
        <w:tc>
          <w:tcPr>
            <w:tcW w:w="0" w:type="auto"/>
            <w:hideMark/>
          </w:tcPr>
          <w:p w14:paraId="5E7E03C7"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0.25</w:t>
            </w:r>
          </w:p>
        </w:tc>
        <w:tc>
          <w:tcPr>
            <w:tcW w:w="0" w:type="auto"/>
            <w:hideMark/>
          </w:tcPr>
          <w:p w14:paraId="2363DE4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0.5</w:t>
            </w:r>
          </w:p>
        </w:tc>
        <w:tc>
          <w:tcPr>
            <w:tcW w:w="0" w:type="auto"/>
            <w:hideMark/>
          </w:tcPr>
          <w:p w14:paraId="4952523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1</w:t>
            </w:r>
          </w:p>
        </w:tc>
        <w:tc>
          <w:tcPr>
            <w:tcW w:w="0" w:type="auto"/>
            <w:hideMark/>
          </w:tcPr>
          <w:p w14:paraId="762898F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2</w:t>
            </w:r>
          </w:p>
        </w:tc>
        <w:tc>
          <w:tcPr>
            <w:tcW w:w="0" w:type="auto"/>
            <w:hideMark/>
          </w:tcPr>
          <w:p w14:paraId="0E8204AB"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4</w:t>
            </w:r>
          </w:p>
        </w:tc>
        <w:tc>
          <w:tcPr>
            <w:tcW w:w="0" w:type="auto"/>
            <w:hideMark/>
          </w:tcPr>
          <w:p w14:paraId="2CF9D72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8</w:t>
            </w:r>
          </w:p>
        </w:tc>
        <w:tc>
          <w:tcPr>
            <w:tcW w:w="0" w:type="auto"/>
            <w:hideMark/>
          </w:tcPr>
          <w:p w14:paraId="07C0EF5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16</w:t>
            </w:r>
          </w:p>
        </w:tc>
        <w:tc>
          <w:tcPr>
            <w:tcW w:w="0" w:type="auto"/>
            <w:hideMark/>
          </w:tcPr>
          <w:p w14:paraId="0FAB4244"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32</w:t>
            </w:r>
          </w:p>
        </w:tc>
        <w:tc>
          <w:tcPr>
            <w:tcW w:w="0" w:type="auto"/>
            <w:hideMark/>
          </w:tcPr>
          <w:p w14:paraId="3819D3C4"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&gt;32</w:t>
            </w:r>
          </w:p>
        </w:tc>
        <w:tc>
          <w:tcPr>
            <w:tcW w:w="0" w:type="auto"/>
            <w:hideMark/>
          </w:tcPr>
          <w:p w14:paraId="51DDCE5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b/>
                <w:bCs/>
                <w:color w:val="000000"/>
              </w:rPr>
              <w:t>Susceptible</w:t>
            </w:r>
          </w:p>
        </w:tc>
      </w:tr>
      <w:tr w:rsidR="00C15C9E" w:rsidRPr="001009FF" w14:paraId="40658D01" w14:textId="77777777" w:rsidTr="00AF4752">
        <w:trPr>
          <w:trHeight w:val="511"/>
        </w:trPr>
        <w:tc>
          <w:tcPr>
            <w:cnfStyle w:val="001000000000" w:firstRow="0" w:lastRow="0" w:firstColumn="1" w:lastColumn="0" w:oddVBand="0" w:evenVBand="0" w:oddHBand="0" w:evenHBand="0" w:firstRowFirstColumn="0" w:firstRowLastColumn="0" w:lastRowFirstColumn="0" w:lastRowLastColumn="0"/>
            <w:tcW w:w="0" w:type="auto"/>
            <w:hideMark/>
          </w:tcPr>
          <w:p w14:paraId="21BCF651" w14:textId="77777777" w:rsidR="00C15C9E" w:rsidRPr="001009FF" w:rsidRDefault="00C15C9E" w:rsidP="00C15C9E">
            <w:pPr>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Cefepime (n=11) </w:t>
            </w:r>
          </w:p>
          <w:p w14:paraId="694243F6" w14:textId="77777777" w:rsidR="00C15C9E" w:rsidRPr="001009FF" w:rsidRDefault="00C15C9E" w:rsidP="00C15C9E">
            <w:pPr>
              <w:rPr>
                <w:rFonts w:asciiTheme="majorBidi" w:eastAsia="Times New Roman" w:hAnsiTheme="majorBidi" w:cstheme="majorBidi"/>
                <w:color w:val="000000"/>
              </w:rPr>
            </w:pPr>
          </w:p>
          <w:p w14:paraId="2E361999" w14:textId="77777777" w:rsidR="00C15C9E" w:rsidRPr="001009FF" w:rsidRDefault="00C15C9E" w:rsidP="00C15C9E">
            <w:pPr>
              <w:rPr>
                <w:rFonts w:asciiTheme="majorBidi" w:eastAsia="Times New Roman" w:hAnsiTheme="majorBidi" w:cstheme="majorBidi"/>
                <w:color w:val="000000"/>
              </w:rPr>
            </w:pPr>
            <w:r w:rsidRPr="001009FF">
              <w:rPr>
                <w:rFonts w:asciiTheme="majorBidi" w:eastAsia="Times New Roman" w:hAnsiTheme="majorBidi" w:cstheme="majorBidi"/>
                <w:color w:val="000000"/>
              </w:rPr>
              <w:t>BP:  1mg/L</w:t>
            </w:r>
          </w:p>
        </w:tc>
        <w:tc>
          <w:tcPr>
            <w:tcW w:w="0" w:type="auto"/>
            <w:hideMark/>
          </w:tcPr>
          <w:p w14:paraId="6C80C544"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231CB4D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1F53898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62CFFAE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5FDA2BB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4FCCE31A"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0231367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35021FE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4 </w:t>
            </w:r>
          </w:p>
          <w:p w14:paraId="2D8FE4FA"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4500A7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36</w:t>
            </w:r>
          </w:p>
        </w:tc>
        <w:tc>
          <w:tcPr>
            <w:tcW w:w="0" w:type="auto"/>
            <w:hideMark/>
          </w:tcPr>
          <w:p w14:paraId="0DAD265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3 </w:t>
            </w:r>
          </w:p>
          <w:p w14:paraId="46A454D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295753E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64</w:t>
            </w:r>
          </w:p>
        </w:tc>
        <w:tc>
          <w:tcPr>
            <w:tcW w:w="0" w:type="auto"/>
            <w:hideMark/>
          </w:tcPr>
          <w:p w14:paraId="163BC886"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1 </w:t>
            </w:r>
          </w:p>
          <w:p w14:paraId="0E888836"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26DE36B1"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73</w:t>
            </w:r>
          </w:p>
        </w:tc>
        <w:tc>
          <w:tcPr>
            <w:tcW w:w="0" w:type="auto"/>
            <w:hideMark/>
          </w:tcPr>
          <w:p w14:paraId="35E4EB2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3 </w:t>
            </w:r>
          </w:p>
          <w:p w14:paraId="2A1F3D79"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B8604C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100</w:t>
            </w:r>
          </w:p>
        </w:tc>
        <w:tc>
          <w:tcPr>
            <w:tcW w:w="0" w:type="auto"/>
            <w:hideMark/>
          </w:tcPr>
          <w:p w14:paraId="2F730F01"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p w14:paraId="6C136DBB"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xml:space="preserve">0% </w:t>
            </w:r>
          </w:p>
        </w:tc>
      </w:tr>
      <w:tr w:rsidR="00C15C9E" w:rsidRPr="001009FF" w14:paraId="275F1353" w14:textId="77777777" w:rsidTr="00AF4752">
        <w:trPr>
          <w:trHeight w:val="359"/>
        </w:trPr>
        <w:tc>
          <w:tcPr>
            <w:cnfStyle w:val="001000000000" w:firstRow="0" w:lastRow="0" w:firstColumn="1" w:lastColumn="0" w:oddVBand="0" w:evenVBand="0" w:oddHBand="0" w:evenHBand="0" w:firstRowFirstColumn="0" w:firstRowLastColumn="0" w:lastRowFirstColumn="0" w:lastRowLastColumn="0"/>
            <w:tcW w:w="0" w:type="auto"/>
            <w:hideMark/>
          </w:tcPr>
          <w:p w14:paraId="12DF32C3" w14:textId="77777777" w:rsidR="00C15C9E" w:rsidRPr="001009FF" w:rsidRDefault="00C15C9E" w:rsidP="00C15C9E">
            <w:pPr>
              <w:rPr>
                <w:rFonts w:asciiTheme="majorBidi" w:eastAsia="Times New Roman" w:hAnsiTheme="majorBidi" w:cstheme="majorBidi"/>
                <w:color w:val="000000"/>
                <w:lang w:val="pt-PT"/>
              </w:rPr>
            </w:pPr>
            <w:r w:rsidRPr="001009FF">
              <w:rPr>
                <w:rFonts w:asciiTheme="majorBidi" w:eastAsia="Times New Roman" w:hAnsiTheme="majorBidi" w:cstheme="majorBidi"/>
                <w:color w:val="000000"/>
                <w:lang w:val="pt-PT"/>
              </w:rPr>
              <w:t xml:space="preserve">Meropenem (n=11) </w:t>
            </w:r>
          </w:p>
          <w:p w14:paraId="17AB1CB0" w14:textId="77777777" w:rsidR="00C15C9E" w:rsidRPr="001009FF" w:rsidRDefault="00C15C9E" w:rsidP="00C15C9E">
            <w:pPr>
              <w:rPr>
                <w:rFonts w:asciiTheme="majorBidi" w:eastAsia="Times New Roman" w:hAnsiTheme="majorBidi" w:cstheme="majorBidi"/>
                <w:color w:val="000000"/>
                <w:lang w:val="pt-PT"/>
              </w:rPr>
            </w:pPr>
          </w:p>
          <w:p w14:paraId="1A78481C" w14:textId="77777777" w:rsidR="00C15C9E" w:rsidRPr="001009FF" w:rsidRDefault="00C15C9E" w:rsidP="00C15C9E">
            <w:pPr>
              <w:rPr>
                <w:rFonts w:asciiTheme="majorBidi" w:eastAsia="Times New Roman" w:hAnsiTheme="majorBidi" w:cstheme="majorBidi"/>
                <w:color w:val="000000"/>
                <w:lang w:val="pt-PT"/>
              </w:rPr>
            </w:pPr>
            <w:r w:rsidRPr="001009FF">
              <w:rPr>
                <w:rFonts w:asciiTheme="majorBidi" w:eastAsia="Times New Roman" w:hAnsiTheme="majorBidi" w:cstheme="majorBidi"/>
                <w:color w:val="000000"/>
                <w:lang w:val="pt-PT"/>
              </w:rPr>
              <w:t>BP: 2mg/L</w:t>
            </w:r>
          </w:p>
        </w:tc>
        <w:tc>
          <w:tcPr>
            <w:tcW w:w="0" w:type="auto"/>
            <w:hideMark/>
          </w:tcPr>
          <w:p w14:paraId="1373082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4 </w:t>
            </w:r>
          </w:p>
          <w:p w14:paraId="3F0D946B"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703A03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36</w:t>
            </w:r>
          </w:p>
        </w:tc>
        <w:tc>
          <w:tcPr>
            <w:tcW w:w="0" w:type="auto"/>
            <w:hideMark/>
          </w:tcPr>
          <w:p w14:paraId="3125510B"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3 </w:t>
            </w:r>
          </w:p>
          <w:p w14:paraId="7FA2D34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24906B84"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64</w:t>
            </w:r>
          </w:p>
        </w:tc>
        <w:tc>
          <w:tcPr>
            <w:tcW w:w="0" w:type="auto"/>
            <w:hideMark/>
          </w:tcPr>
          <w:p w14:paraId="53797241"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0 </w:t>
            </w:r>
          </w:p>
          <w:p w14:paraId="75211681"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11694C7A"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64</w:t>
            </w:r>
          </w:p>
        </w:tc>
        <w:tc>
          <w:tcPr>
            <w:tcW w:w="0" w:type="auto"/>
            <w:hideMark/>
          </w:tcPr>
          <w:p w14:paraId="0FA7904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1 </w:t>
            </w:r>
          </w:p>
          <w:p w14:paraId="2A57CBB7"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52EFAF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73</w:t>
            </w:r>
          </w:p>
        </w:tc>
        <w:tc>
          <w:tcPr>
            <w:tcW w:w="0" w:type="auto"/>
            <w:hideMark/>
          </w:tcPr>
          <w:p w14:paraId="765F3E4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3 </w:t>
            </w:r>
          </w:p>
          <w:p w14:paraId="3EE62F5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1FB32A4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100</w:t>
            </w:r>
          </w:p>
        </w:tc>
        <w:tc>
          <w:tcPr>
            <w:tcW w:w="0" w:type="auto"/>
            <w:hideMark/>
          </w:tcPr>
          <w:p w14:paraId="376A6B9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08AE72B9"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2773E82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249D8B1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4AEEAFC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41DB2443"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w:t>
            </w:r>
          </w:p>
        </w:tc>
        <w:tc>
          <w:tcPr>
            <w:tcW w:w="0" w:type="auto"/>
            <w:hideMark/>
          </w:tcPr>
          <w:p w14:paraId="0F0B018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p w14:paraId="34471E3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xml:space="preserve">100% </w:t>
            </w:r>
          </w:p>
        </w:tc>
      </w:tr>
      <w:tr w:rsidR="00C15C9E" w:rsidRPr="001009FF" w14:paraId="4D87ED5F" w14:textId="77777777" w:rsidTr="00AF4752">
        <w:trPr>
          <w:trHeight w:val="674"/>
        </w:trPr>
        <w:tc>
          <w:tcPr>
            <w:cnfStyle w:val="001000000000" w:firstRow="0" w:lastRow="0" w:firstColumn="1" w:lastColumn="0" w:oddVBand="0" w:evenVBand="0" w:oddHBand="0" w:evenHBand="0" w:firstRowFirstColumn="0" w:firstRowLastColumn="0" w:lastRowFirstColumn="0" w:lastRowLastColumn="0"/>
            <w:tcW w:w="0" w:type="auto"/>
            <w:hideMark/>
          </w:tcPr>
          <w:p w14:paraId="05752DD9" w14:textId="77777777" w:rsidR="00C15C9E" w:rsidRPr="001009FF" w:rsidRDefault="00C15C9E" w:rsidP="00C15C9E">
            <w:pPr>
              <w:rPr>
                <w:rFonts w:asciiTheme="majorBidi" w:eastAsia="Times New Roman" w:hAnsiTheme="majorBidi" w:cstheme="majorBidi"/>
                <w:color w:val="000000"/>
                <w:lang w:val="pt-PT"/>
              </w:rPr>
            </w:pPr>
            <w:r w:rsidRPr="001009FF">
              <w:rPr>
                <w:rFonts w:asciiTheme="majorBidi" w:eastAsia="Times New Roman" w:hAnsiTheme="majorBidi" w:cstheme="majorBidi"/>
                <w:color w:val="000000"/>
                <w:lang w:val="pt-PT"/>
              </w:rPr>
              <w:t xml:space="preserve">CAZ-AVI (n=11) </w:t>
            </w:r>
          </w:p>
          <w:p w14:paraId="7B6C9760" w14:textId="77777777" w:rsidR="00C15C9E" w:rsidRPr="001009FF" w:rsidRDefault="00C15C9E" w:rsidP="00C15C9E">
            <w:pPr>
              <w:rPr>
                <w:rFonts w:asciiTheme="majorBidi" w:eastAsia="Times New Roman" w:hAnsiTheme="majorBidi" w:cstheme="majorBidi"/>
                <w:color w:val="000000"/>
                <w:lang w:val="pt-PT"/>
              </w:rPr>
            </w:pPr>
          </w:p>
          <w:p w14:paraId="0FF82AE6" w14:textId="77777777" w:rsidR="00C15C9E" w:rsidRPr="001009FF" w:rsidRDefault="00C15C9E" w:rsidP="00C15C9E">
            <w:pPr>
              <w:rPr>
                <w:rFonts w:asciiTheme="majorBidi" w:eastAsia="Times New Roman" w:hAnsiTheme="majorBidi" w:cstheme="majorBidi"/>
                <w:color w:val="000000"/>
                <w:lang w:val="pt-PT"/>
              </w:rPr>
            </w:pPr>
            <w:r w:rsidRPr="001009FF">
              <w:rPr>
                <w:rFonts w:asciiTheme="majorBidi" w:eastAsia="Times New Roman" w:hAnsiTheme="majorBidi" w:cstheme="majorBidi"/>
                <w:color w:val="000000"/>
                <w:lang w:val="pt-PT"/>
              </w:rPr>
              <w:t>BP: 8mg/L</w:t>
            </w:r>
          </w:p>
        </w:tc>
        <w:tc>
          <w:tcPr>
            <w:tcW w:w="0" w:type="auto"/>
            <w:hideMark/>
          </w:tcPr>
          <w:p w14:paraId="3E92781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1 </w:t>
            </w:r>
          </w:p>
          <w:p w14:paraId="14170A71"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52F847F9"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w:t>
            </w:r>
          </w:p>
        </w:tc>
        <w:tc>
          <w:tcPr>
            <w:tcW w:w="0" w:type="auto"/>
            <w:hideMark/>
          </w:tcPr>
          <w:p w14:paraId="19EDFAC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0 </w:t>
            </w:r>
          </w:p>
          <w:p w14:paraId="59BA0CD7"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518B739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w:t>
            </w:r>
          </w:p>
        </w:tc>
        <w:tc>
          <w:tcPr>
            <w:tcW w:w="0" w:type="auto"/>
            <w:hideMark/>
          </w:tcPr>
          <w:p w14:paraId="6DDD44E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0 </w:t>
            </w:r>
          </w:p>
          <w:p w14:paraId="5CA88FA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499CF089"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w:t>
            </w:r>
          </w:p>
        </w:tc>
        <w:tc>
          <w:tcPr>
            <w:tcW w:w="0" w:type="auto"/>
            <w:hideMark/>
          </w:tcPr>
          <w:p w14:paraId="24C487F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1 </w:t>
            </w:r>
          </w:p>
          <w:p w14:paraId="22A01007"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7193B076"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18</w:t>
            </w:r>
          </w:p>
        </w:tc>
        <w:tc>
          <w:tcPr>
            <w:tcW w:w="0" w:type="auto"/>
            <w:hideMark/>
          </w:tcPr>
          <w:p w14:paraId="49E5897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0 </w:t>
            </w:r>
          </w:p>
          <w:p w14:paraId="05D86C89"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5AC87B5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18</w:t>
            </w:r>
          </w:p>
        </w:tc>
        <w:tc>
          <w:tcPr>
            <w:tcW w:w="0" w:type="auto"/>
            <w:hideMark/>
          </w:tcPr>
          <w:p w14:paraId="5831967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3 </w:t>
            </w:r>
          </w:p>
          <w:p w14:paraId="01657054"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p w14:paraId="2B9302FC"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45 </w:t>
            </w:r>
          </w:p>
        </w:tc>
        <w:tc>
          <w:tcPr>
            <w:tcW w:w="0" w:type="auto"/>
            <w:hideMark/>
          </w:tcPr>
          <w:p w14:paraId="41E6476D"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5 </w:t>
            </w:r>
          </w:p>
          <w:p w14:paraId="3A4F09AF"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533621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91</w:t>
            </w:r>
          </w:p>
        </w:tc>
        <w:tc>
          <w:tcPr>
            <w:tcW w:w="0" w:type="auto"/>
            <w:hideMark/>
          </w:tcPr>
          <w:p w14:paraId="1F467B8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0</w:t>
            </w:r>
          </w:p>
          <w:p w14:paraId="6DFC95FE"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0E132FD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91 </w:t>
            </w:r>
          </w:p>
        </w:tc>
        <w:tc>
          <w:tcPr>
            <w:tcW w:w="0" w:type="auto"/>
            <w:hideMark/>
          </w:tcPr>
          <w:p w14:paraId="111EA9EA"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0 </w:t>
            </w:r>
          </w:p>
          <w:p w14:paraId="60693DF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407A086A"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91</w:t>
            </w:r>
          </w:p>
        </w:tc>
        <w:tc>
          <w:tcPr>
            <w:tcW w:w="0" w:type="auto"/>
            <w:hideMark/>
          </w:tcPr>
          <w:p w14:paraId="24A19763"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1009FF">
              <w:rPr>
                <w:rFonts w:asciiTheme="majorBidi" w:eastAsia="Times New Roman" w:hAnsiTheme="majorBidi" w:cstheme="majorBidi"/>
                <w:color w:val="000000"/>
              </w:rPr>
              <w:t xml:space="preserve">0 </w:t>
            </w:r>
          </w:p>
          <w:p w14:paraId="66397260"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44E5BCAB"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rPr>
              <w:t>91</w:t>
            </w:r>
          </w:p>
        </w:tc>
        <w:tc>
          <w:tcPr>
            <w:tcW w:w="0" w:type="auto"/>
            <w:hideMark/>
          </w:tcPr>
          <w:p w14:paraId="3C83C643"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1 </w:t>
            </w:r>
          </w:p>
          <w:p w14:paraId="2659BF86"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
          <w:p w14:paraId="5C154095"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100</w:t>
            </w:r>
          </w:p>
        </w:tc>
        <w:tc>
          <w:tcPr>
            <w:tcW w:w="0" w:type="auto"/>
            <w:hideMark/>
          </w:tcPr>
          <w:p w14:paraId="365B8A38"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p w14:paraId="70D24402" w14:textId="77777777" w:rsidR="00C15C9E" w:rsidRPr="001009FF" w:rsidRDefault="00C15C9E" w:rsidP="00C15C9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1009FF">
              <w:rPr>
                <w:rFonts w:asciiTheme="majorBidi" w:eastAsia="Times New Roman" w:hAnsiTheme="majorBidi" w:cstheme="majorBidi"/>
                <w:color w:val="000000"/>
              </w:rPr>
              <w:t xml:space="preserve">90.9% </w:t>
            </w:r>
          </w:p>
        </w:tc>
      </w:tr>
    </w:tbl>
    <w:p w14:paraId="72AA3E09" w14:textId="77777777" w:rsidR="00C15C9E" w:rsidRPr="00AB10ED" w:rsidRDefault="00C15C9E" w:rsidP="00C15C9E">
      <w:pPr>
        <w:rPr>
          <w:rFonts w:asciiTheme="majorBidi" w:hAnsiTheme="majorBidi" w:cstheme="majorBidi"/>
        </w:rPr>
      </w:pPr>
      <w:r w:rsidRPr="00AB10ED">
        <w:rPr>
          <w:rFonts w:asciiTheme="majorBidi" w:hAnsiTheme="majorBidi" w:cstheme="majorBidi"/>
        </w:rPr>
        <w:t>BP, breakpoint; MIC, minimum inhibitory concentration; S, susceptible</w:t>
      </w:r>
    </w:p>
    <w:p w14:paraId="081AC806" w14:textId="22B7B4D8" w:rsidR="00C15C9E" w:rsidRDefault="00C15C9E" w:rsidP="00C15C9E">
      <w:pPr>
        <w:rPr>
          <w:rFonts w:asciiTheme="majorBidi" w:eastAsia="Times New Roman" w:hAnsiTheme="majorBidi" w:cstheme="majorBidi"/>
          <w:b/>
          <w:bCs/>
          <w:color w:val="000000"/>
        </w:rPr>
      </w:pPr>
    </w:p>
    <w:p w14:paraId="7CA1775D" w14:textId="602B545D" w:rsidR="00F87CA3" w:rsidRPr="006E4E83" w:rsidRDefault="00F87CA3" w:rsidP="00B674A1">
      <w:pPr>
        <w:pStyle w:val="Heading3"/>
        <w:ind w:left="1276" w:hanging="567"/>
        <w:rPr>
          <w:rFonts w:asciiTheme="majorBidi" w:hAnsiTheme="majorBidi"/>
          <w:sz w:val="26"/>
          <w:szCs w:val="26"/>
        </w:rPr>
      </w:pPr>
      <w:bookmarkStart w:id="90" w:name="_Toc87462980"/>
      <w:r w:rsidRPr="006E4E83">
        <w:rPr>
          <w:rFonts w:asciiTheme="majorBidi" w:hAnsiTheme="majorBidi"/>
          <w:sz w:val="26"/>
          <w:szCs w:val="26"/>
        </w:rPr>
        <w:lastRenderedPageBreak/>
        <w:t>4.1.2</w:t>
      </w:r>
      <w:r w:rsidR="00EA0D6C" w:rsidRPr="006E4E83">
        <w:rPr>
          <w:rFonts w:asciiTheme="majorBidi" w:hAnsiTheme="majorBidi"/>
          <w:sz w:val="26"/>
          <w:szCs w:val="26"/>
        </w:rPr>
        <w:t xml:space="preserve"> Producing comparative efficacy estimates</w:t>
      </w:r>
      <w:bookmarkEnd w:id="90"/>
    </w:p>
    <w:p w14:paraId="192DCCA7" w14:textId="0B53E193" w:rsidR="00885DFB" w:rsidRPr="00885DFB" w:rsidRDefault="00DD0227" w:rsidP="000A4506">
      <w:pPr>
        <w:spacing w:after="60" w:line="360" w:lineRule="auto"/>
        <w:jc w:val="both"/>
        <w:rPr>
          <w:rFonts w:asciiTheme="majorBidi" w:eastAsia="Calibri" w:hAnsiTheme="majorBidi" w:cstheme="majorBidi"/>
          <w:b/>
          <w:bCs/>
        </w:rPr>
      </w:pPr>
      <w:r>
        <w:rPr>
          <w:rFonts w:asciiTheme="majorBidi" w:eastAsia="Calibri" w:hAnsiTheme="majorBidi" w:cstheme="majorBidi"/>
        </w:rPr>
        <w:t>Three</w:t>
      </w:r>
      <w:r w:rsidR="00885DFB" w:rsidRPr="00885DFB">
        <w:rPr>
          <w:rFonts w:asciiTheme="majorBidi" w:eastAsia="Calibri" w:hAnsiTheme="majorBidi" w:cstheme="majorBidi"/>
        </w:rPr>
        <w:t xml:space="preserve"> main approaches</w:t>
      </w:r>
      <w:r>
        <w:rPr>
          <w:rFonts w:asciiTheme="majorBidi" w:eastAsia="Calibri" w:hAnsiTheme="majorBidi" w:cstheme="majorBidi"/>
        </w:rPr>
        <w:t>, relating to the three main types of evidence available</w:t>
      </w:r>
      <w:r w:rsidR="00885DFB" w:rsidRPr="00885DFB">
        <w:rPr>
          <w:rFonts w:asciiTheme="majorBidi" w:eastAsia="Calibri" w:hAnsiTheme="majorBidi" w:cstheme="majorBidi"/>
        </w:rPr>
        <w:t xml:space="preserve"> were developed:</w:t>
      </w:r>
    </w:p>
    <w:p w14:paraId="0D10EEF3" w14:textId="702DFCC0" w:rsidR="00885DFB" w:rsidRDefault="00885DFB" w:rsidP="00EE6004">
      <w:pPr>
        <w:numPr>
          <w:ilvl w:val="0"/>
          <w:numId w:val="5"/>
        </w:numPr>
        <w:spacing w:before="240" w:after="120" w:line="360" w:lineRule="auto"/>
        <w:contextualSpacing/>
        <w:jc w:val="both"/>
        <w:rPr>
          <w:rFonts w:asciiTheme="majorBidi" w:eastAsia="Calibri" w:hAnsiTheme="majorBidi" w:cstheme="majorBidi"/>
        </w:rPr>
      </w:pPr>
      <w:r w:rsidRPr="00885DFB">
        <w:rPr>
          <w:rFonts w:asciiTheme="majorBidi" w:eastAsia="Calibri" w:hAnsiTheme="majorBidi" w:cstheme="majorBidi"/>
          <w:b/>
          <w:bCs/>
        </w:rPr>
        <w:t>Approach 1:</w:t>
      </w:r>
      <w:r w:rsidRPr="00885DFB">
        <w:rPr>
          <w:rFonts w:asciiTheme="majorBidi" w:eastAsia="Calibri" w:hAnsiTheme="majorBidi" w:cstheme="majorBidi"/>
        </w:rPr>
        <w:t xml:space="preserve"> </w:t>
      </w:r>
      <w:r w:rsidR="00DD0227">
        <w:rPr>
          <w:rFonts w:asciiTheme="majorBidi" w:eastAsia="Calibri" w:hAnsiTheme="majorBidi" w:cstheme="majorBidi"/>
        </w:rPr>
        <w:t>Review</w:t>
      </w:r>
      <w:r w:rsidRPr="00885DFB">
        <w:rPr>
          <w:rFonts w:asciiTheme="majorBidi" w:eastAsia="Calibri" w:hAnsiTheme="majorBidi" w:cstheme="majorBidi"/>
        </w:rPr>
        <w:t xml:space="preserve"> RCTs for any subgroup data relating to the pathogen-mechanisms-sites defined in the HVCSs and use these estimates to inform the model. A </w:t>
      </w:r>
      <w:r w:rsidR="002961EA">
        <w:rPr>
          <w:rFonts w:asciiTheme="majorBidi" w:eastAsia="Calibri" w:hAnsiTheme="majorBidi" w:cstheme="majorBidi"/>
        </w:rPr>
        <w:t xml:space="preserve">network </w:t>
      </w:r>
      <w:proofErr w:type="spellStart"/>
      <w:proofErr w:type="gramStart"/>
      <w:r w:rsidR="002961EA">
        <w:rPr>
          <w:rFonts w:asciiTheme="majorBidi" w:eastAsia="Calibri" w:hAnsiTheme="majorBidi" w:cstheme="majorBidi"/>
        </w:rPr>
        <w:t>meta analysis</w:t>
      </w:r>
      <w:proofErr w:type="spellEnd"/>
      <w:proofErr w:type="gramEnd"/>
      <w:r w:rsidR="002961EA">
        <w:rPr>
          <w:rFonts w:asciiTheme="majorBidi" w:eastAsia="Calibri" w:hAnsiTheme="majorBidi" w:cstheme="majorBidi"/>
        </w:rPr>
        <w:t xml:space="preserve"> (</w:t>
      </w:r>
      <w:r w:rsidR="0027081F">
        <w:rPr>
          <w:rFonts w:asciiTheme="majorBidi" w:eastAsia="Calibri" w:hAnsiTheme="majorBidi" w:cstheme="majorBidi"/>
        </w:rPr>
        <w:t>NMA</w:t>
      </w:r>
      <w:r w:rsidR="002961EA">
        <w:rPr>
          <w:rFonts w:asciiTheme="majorBidi" w:eastAsia="Calibri" w:hAnsiTheme="majorBidi" w:cstheme="majorBidi"/>
        </w:rPr>
        <w:t>)</w:t>
      </w:r>
      <w:r w:rsidRPr="00885DFB">
        <w:rPr>
          <w:rFonts w:asciiTheme="majorBidi" w:eastAsia="Calibri" w:hAnsiTheme="majorBidi" w:cstheme="majorBidi"/>
        </w:rPr>
        <w:t xml:space="preserve"> would likely be needed to provide estimates for </w:t>
      </w:r>
      <w:r w:rsidR="0097169C">
        <w:rPr>
          <w:rFonts w:asciiTheme="majorBidi" w:eastAsia="Calibri" w:hAnsiTheme="majorBidi" w:cstheme="majorBidi"/>
        </w:rPr>
        <w:t xml:space="preserve">the intervention and </w:t>
      </w:r>
      <w:r w:rsidRPr="00885DFB">
        <w:rPr>
          <w:rFonts w:asciiTheme="majorBidi" w:eastAsia="Calibri" w:hAnsiTheme="majorBidi" w:cstheme="majorBidi"/>
        </w:rPr>
        <w:t>comparators, and all these studies would also need to be in the pathogen-mechanisms-sites defined in the HVCSs.</w:t>
      </w:r>
    </w:p>
    <w:p w14:paraId="5DAB904E" w14:textId="186BBE91" w:rsidR="00885DFB" w:rsidRPr="00885DFB" w:rsidRDefault="00885DFB" w:rsidP="00EE6004">
      <w:pPr>
        <w:numPr>
          <w:ilvl w:val="0"/>
          <w:numId w:val="5"/>
        </w:numPr>
        <w:spacing w:before="240" w:after="120" w:line="360" w:lineRule="auto"/>
        <w:contextualSpacing/>
        <w:jc w:val="both"/>
        <w:rPr>
          <w:rFonts w:asciiTheme="majorBidi" w:eastAsia="Calibri" w:hAnsiTheme="majorBidi" w:cstheme="majorBidi"/>
        </w:rPr>
      </w:pPr>
      <w:r w:rsidRPr="00885DFB">
        <w:rPr>
          <w:rFonts w:asciiTheme="majorBidi" w:eastAsia="Calibri" w:hAnsiTheme="majorBidi" w:cstheme="majorBidi"/>
          <w:b/>
          <w:bCs/>
        </w:rPr>
        <w:t>Approach 2:</w:t>
      </w:r>
      <w:r w:rsidRPr="00885DFB">
        <w:rPr>
          <w:rFonts w:asciiTheme="majorBidi" w:eastAsia="Calibri" w:hAnsiTheme="majorBidi" w:cstheme="majorBidi"/>
        </w:rPr>
        <w:t xml:space="preserve"> Construct a network of observational studies relating to the pathogen-mechanism-sites defined in the HVCSs, treated with </w:t>
      </w:r>
      <w:r w:rsidR="002B009C">
        <w:rPr>
          <w:rFonts w:asciiTheme="majorBidi" w:eastAsia="Calibri" w:hAnsiTheme="majorBidi" w:cstheme="majorBidi"/>
        </w:rPr>
        <w:t>CAZ-AVI</w:t>
      </w:r>
      <w:r w:rsidRPr="00885DFB">
        <w:rPr>
          <w:rFonts w:asciiTheme="majorBidi" w:eastAsia="Calibri" w:hAnsiTheme="majorBidi" w:cstheme="majorBidi"/>
        </w:rPr>
        <w:t xml:space="preserve"> and comparators. </w:t>
      </w:r>
      <w:r w:rsidR="005D3C14">
        <w:rPr>
          <w:rFonts w:asciiTheme="majorBidi" w:eastAsia="Calibri" w:hAnsiTheme="majorBidi" w:cstheme="majorBidi"/>
        </w:rPr>
        <w:t>Individual</w:t>
      </w:r>
      <w:r w:rsidR="00DD0227">
        <w:rPr>
          <w:rFonts w:asciiTheme="majorBidi" w:eastAsia="Calibri" w:hAnsiTheme="majorBidi" w:cstheme="majorBidi"/>
        </w:rPr>
        <w:t xml:space="preserve"> patient data (</w:t>
      </w:r>
      <w:r w:rsidRPr="00885DFB">
        <w:rPr>
          <w:rFonts w:asciiTheme="majorBidi" w:eastAsia="Calibri" w:hAnsiTheme="majorBidi" w:cstheme="majorBidi"/>
        </w:rPr>
        <w:t>IPD</w:t>
      </w:r>
      <w:r w:rsidR="00DD0227">
        <w:rPr>
          <w:rFonts w:asciiTheme="majorBidi" w:eastAsia="Calibri" w:hAnsiTheme="majorBidi" w:cstheme="majorBidi"/>
        </w:rPr>
        <w:t>)</w:t>
      </w:r>
      <w:r w:rsidRPr="00885DFB">
        <w:rPr>
          <w:rFonts w:asciiTheme="majorBidi" w:eastAsia="Calibri" w:hAnsiTheme="majorBidi" w:cstheme="majorBidi"/>
        </w:rPr>
        <w:t xml:space="preserve"> data would be required for at least one study to adjust for confounders.</w:t>
      </w:r>
    </w:p>
    <w:p w14:paraId="0F6E1DF6" w14:textId="79A8495C" w:rsidR="00745CEF" w:rsidRPr="00745CEF" w:rsidRDefault="00885DFB" w:rsidP="00EE6004">
      <w:pPr>
        <w:numPr>
          <w:ilvl w:val="0"/>
          <w:numId w:val="5"/>
        </w:numPr>
        <w:spacing w:before="240" w:after="120" w:line="360" w:lineRule="auto"/>
        <w:contextualSpacing/>
        <w:jc w:val="both"/>
        <w:rPr>
          <w:rFonts w:asciiTheme="majorBidi" w:eastAsia="Calibri" w:hAnsiTheme="majorBidi" w:cstheme="majorBidi"/>
        </w:rPr>
      </w:pPr>
      <w:r w:rsidRPr="00885DFB">
        <w:rPr>
          <w:rFonts w:asciiTheme="majorBidi" w:eastAsia="Calibri" w:hAnsiTheme="majorBidi" w:cstheme="majorBidi"/>
          <w:b/>
          <w:bCs/>
        </w:rPr>
        <w:t>Approach 3:</w:t>
      </w:r>
      <w:r w:rsidRPr="00885DFB">
        <w:rPr>
          <w:rFonts w:asciiTheme="majorBidi" w:eastAsia="Calibri" w:hAnsiTheme="majorBidi" w:cstheme="majorBidi"/>
        </w:rPr>
        <w:t xml:space="preserve"> Use susceptibility studies</w:t>
      </w:r>
      <w:r w:rsidR="00C7727D">
        <w:rPr>
          <w:rFonts w:asciiTheme="majorBidi" w:eastAsia="Calibri" w:hAnsiTheme="majorBidi" w:cstheme="majorBidi"/>
        </w:rPr>
        <w:t xml:space="preserve"> (see section </w:t>
      </w:r>
      <w:r w:rsidR="005D3C14">
        <w:rPr>
          <w:rFonts w:asciiTheme="majorBidi" w:eastAsia="Calibri" w:hAnsiTheme="majorBidi" w:cstheme="majorBidi"/>
        </w:rPr>
        <w:t>4.1.1.1</w:t>
      </w:r>
      <w:r w:rsidR="00C7727D">
        <w:rPr>
          <w:rFonts w:asciiTheme="majorBidi" w:eastAsia="Calibri" w:hAnsiTheme="majorBidi" w:cstheme="majorBidi"/>
        </w:rPr>
        <w:t xml:space="preserve"> </w:t>
      </w:r>
      <w:r w:rsidR="005D3C14">
        <w:rPr>
          <w:rFonts w:asciiTheme="majorBidi" w:eastAsia="Calibri" w:hAnsiTheme="majorBidi" w:cstheme="majorBidi"/>
        </w:rPr>
        <w:t>a</w:t>
      </w:r>
      <w:r w:rsidR="00C7727D">
        <w:rPr>
          <w:rFonts w:asciiTheme="majorBidi" w:eastAsia="Calibri" w:hAnsiTheme="majorBidi" w:cstheme="majorBidi"/>
        </w:rPr>
        <w:t>bove)</w:t>
      </w:r>
      <w:r w:rsidRPr="00885DFB">
        <w:rPr>
          <w:rFonts w:asciiTheme="majorBidi" w:eastAsia="Calibri" w:hAnsiTheme="majorBidi" w:cstheme="majorBidi"/>
        </w:rPr>
        <w:t xml:space="preserve">, </w:t>
      </w:r>
      <w:proofErr w:type="gramStart"/>
      <w:r w:rsidRPr="00885DFB">
        <w:rPr>
          <w:rFonts w:asciiTheme="majorBidi" w:eastAsia="Calibri" w:hAnsiTheme="majorBidi" w:cstheme="majorBidi"/>
        </w:rPr>
        <w:t>i.e.</w:t>
      </w:r>
      <w:proofErr w:type="gramEnd"/>
      <w:r w:rsidRPr="00885DFB">
        <w:rPr>
          <w:rFonts w:asciiTheme="majorBidi" w:eastAsia="Calibri" w:hAnsiTheme="majorBidi" w:cstheme="majorBidi"/>
        </w:rPr>
        <w:t xml:space="preserve"> those that have tested relevant treatments in </w:t>
      </w:r>
      <w:r w:rsidR="00FE2007" w:rsidRPr="00FE2007">
        <w:rPr>
          <w:rFonts w:asciiTheme="majorBidi" w:eastAsia="Calibri" w:hAnsiTheme="majorBidi" w:cstheme="majorBidi"/>
        </w:rPr>
        <w:t>OXA-48</w:t>
      </w:r>
      <w:r w:rsidR="00FE2007" w:rsidRPr="00FE2007">
        <w:rPr>
          <w:rFonts w:asciiTheme="majorBidi" w:eastAsia="Calibri" w:hAnsiTheme="majorBidi" w:cstheme="majorBidi"/>
          <w:i/>
          <w:iCs/>
        </w:rPr>
        <w:t xml:space="preserve"> </w:t>
      </w:r>
      <w:proofErr w:type="spellStart"/>
      <w:r w:rsidR="00FE2007" w:rsidRPr="00FE2007">
        <w:rPr>
          <w:rFonts w:asciiTheme="majorBidi" w:eastAsia="Calibri" w:hAnsiTheme="majorBidi" w:cstheme="majorBidi"/>
          <w:i/>
          <w:iCs/>
        </w:rPr>
        <w:t>Enterobacterales</w:t>
      </w:r>
      <w:proofErr w:type="spellEnd"/>
      <w:r w:rsidRPr="00885DFB">
        <w:rPr>
          <w:rFonts w:asciiTheme="majorBidi" w:eastAsia="Calibri" w:hAnsiTheme="majorBidi" w:cstheme="majorBidi"/>
        </w:rPr>
        <w:t xml:space="preserve"> isolates </w:t>
      </w:r>
      <w:r w:rsidR="00D86E3D" w:rsidRPr="00D86E3D">
        <w:rPr>
          <w:rFonts w:asciiTheme="majorBidi" w:eastAsia="Calibri" w:hAnsiTheme="majorBidi" w:cstheme="majorBidi"/>
          <w:i/>
          <w:iCs/>
        </w:rPr>
        <w:t>in vitro</w:t>
      </w:r>
      <w:r w:rsidRPr="00885DFB">
        <w:rPr>
          <w:rFonts w:asciiTheme="majorBidi" w:eastAsia="Calibri" w:hAnsiTheme="majorBidi" w:cstheme="majorBidi"/>
          <w:i/>
          <w:iCs/>
        </w:rPr>
        <w:t xml:space="preserve">, </w:t>
      </w:r>
      <w:r w:rsidRPr="00885DFB">
        <w:rPr>
          <w:rFonts w:asciiTheme="majorBidi" w:eastAsia="Calibri" w:hAnsiTheme="majorBidi" w:cstheme="majorBidi"/>
        </w:rPr>
        <w:t xml:space="preserve">to provide estimates of relative treatment effects. </w:t>
      </w:r>
      <w:r w:rsidR="00DD0227">
        <w:rPr>
          <w:rFonts w:asciiTheme="majorBidi" w:eastAsia="Calibri" w:hAnsiTheme="majorBidi" w:cstheme="majorBidi"/>
        </w:rPr>
        <w:t xml:space="preserve">Conduct </w:t>
      </w:r>
      <w:r w:rsidR="00800B9C">
        <w:rPr>
          <w:rFonts w:asciiTheme="majorBidi" w:eastAsia="Calibri" w:hAnsiTheme="majorBidi" w:cstheme="majorBidi"/>
        </w:rPr>
        <w:t>a</w:t>
      </w:r>
      <w:r w:rsidR="00745CEF">
        <w:rPr>
          <w:rFonts w:asciiTheme="majorBidi" w:eastAsia="Calibri" w:hAnsiTheme="majorBidi" w:cstheme="majorBidi"/>
        </w:rPr>
        <w:t xml:space="preserve"> </w:t>
      </w:r>
      <w:r w:rsidR="0027081F">
        <w:rPr>
          <w:rFonts w:asciiTheme="majorBidi" w:eastAsia="Calibri" w:hAnsiTheme="majorBidi" w:cstheme="majorBidi"/>
        </w:rPr>
        <w:t>NMA</w:t>
      </w:r>
      <w:r w:rsidR="00CB4072" w:rsidRPr="00800B9C">
        <w:rPr>
          <w:rFonts w:asciiTheme="majorBidi" w:eastAsia="Calibri" w:hAnsiTheme="majorBidi" w:cstheme="majorBidi"/>
        </w:rPr>
        <w:t xml:space="preserve"> of susceptibility </w:t>
      </w:r>
      <w:proofErr w:type="gramStart"/>
      <w:r w:rsidR="00CB4072" w:rsidRPr="00800B9C">
        <w:rPr>
          <w:rFonts w:asciiTheme="majorBidi" w:eastAsia="Calibri" w:hAnsiTheme="majorBidi" w:cstheme="majorBidi"/>
        </w:rPr>
        <w:t>evidence</w:t>
      </w:r>
      <w:proofErr w:type="gramEnd"/>
      <w:r w:rsidR="00DD0227">
        <w:rPr>
          <w:rFonts w:asciiTheme="majorBidi" w:eastAsia="Calibri" w:hAnsiTheme="majorBidi" w:cstheme="majorBidi"/>
        </w:rPr>
        <w:t xml:space="preserve"> if </w:t>
      </w:r>
      <w:r w:rsidR="00D637B1">
        <w:rPr>
          <w:rFonts w:asciiTheme="majorBidi" w:eastAsia="Calibri" w:hAnsiTheme="majorBidi" w:cstheme="majorBidi"/>
        </w:rPr>
        <w:t>necessary,</w:t>
      </w:r>
      <w:r w:rsidR="00DD0227">
        <w:rPr>
          <w:rFonts w:asciiTheme="majorBidi" w:eastAsia="Calibri" w:hAnsiTheme="majorBidi" w:cstheme="majorBidi"/>
        </w:rPr>
        <w:t xml:space="preserve"> to link the </w:t>
      </w:r>
      <w:r w:rsidR="00186A46">
        <w:rPr>
          <w:rFonts w:asciiTheme="majorBidi" w:eastAsia="Calibri" w:hAnsiTheme="majorBidi" w:cstheme="majorBidi"/>
        </w:rPr>
        <w:t>intervention</w:t>
      </w:r>
      <w:r w:rsidR="00DD0227">
        <w:rPr>
          <w:rFonts w:asciiTheme="majorBidi" w:eastAsia="Calibri" w:hAnsiTheme="majorBidi" w:cstheme="majorBidi"/>
        </w:rPr>
        <w:t xml:space="preserve"> and its comparators. </w:t>
      </w:r>
      <w:r w:rsidRPr="00885DFB">
        <w:rPr>
          <w:rFonts w:asciiTheme="majorBidi" w:eastAsia="Calibri" w:hAnsiTheme="majorBidi" w:cstheme="majorBidi"/>
        </w:rPr>
        <w:t xml:space="preserve">Link </w:t>
      </w:r>
      <w:r w:rsidR="00D86E3D" w:rsidRPr="00D86E3D">
        <w:rPr>
          <w:rFonts w:asciiTheme="majorBidi" w:eastAsia="Calibri" w:hAnsiTheme="majorBidi" w:cstheme="majorBidi"/>
          <w:i/>
          <w:iCs/>
        </w:rPr>
        <w:t>in vitro</w:t>
      </w:r>
      <w:r w:rsidRPr="00885DFB">
        <w:rPr>
          <w:rFonts w:asciiTheme="majorBidi" w:eastAsia="Calibri" w:hAnsiTheme="majorBidi" w:cstheme="majorBidi"/>
        </w:rPr>
        <w:t xml:space="preserve"> susceptibility to clinical outcomes.</w:t>
      </w:r>
      <w:r w:rsidR="00745CEF">
        <w:rPr>
          <w:rFonts w:asciiTheme="majorBidi" w:eastAsia="Calibri" w:hAnsiTheme="majorBidi" w:cstheme="majorBidi"/>
        </w:rPr>
        <w:t xml:space="preserve"> </w:t>
      </w:r>
      <w:r w:rsidR="00745CEF" w:rsidRPr="00745CEF">
        <w:rPr>
          <w:rFonts w:asciiTheme="majorBidi" w:eastAsia="Calibri" w:hAnsiTheme="majorBidi" w:cstheme="majorBidi"/>
        </w:rPr>
        <w:t>Two approaches to linking susceptibility to clinical outcomes were considered:</w:t>
      </w:r>
    </w:p>
    <w:p w14:paraId="1570DB72" w14:textId="2CE21E49" w:rsidR="00745CEF" w:rsidRPr="003108AF" w:rsidRDefault="00745CEF" w:rsidP="005A3BE6">
      <w:pPr>
        <w:pStyle w:val="ListParagraph"/>
        <w:numPr>
          <w:ilvl w:val="0"/>
          <w:numId w:val="23"/>
        </w:numPr>
        <w:spacing w:before="240" w:after="120" w:line="360" w:lineRule="auto"/>
        <w:jc w:val="both"/>
        <w:rPr>
          <w:rFonts w:asciiTheme="majorBidi" w:eastAsia="Calibri" w:hAnsiTheme="majorBidi" w:cstheme="majorBidi"/>
        </w:rPr>
      </w:pPr>
      <w:r w:rsidRPr="003108AF">
        <w:rPr>
          <w:rFonts w:asciiTheme="majorBidi" w:eastAsia="Calibri" w:hAnsiTheme="majorBidi" w:cstheme="majorBidi"/>
        </w:rPr>
        <w:t>Assume that, for patients who are susceptible to the treatment they are given, clinical outcomes would be similar regardless of the treatment received</w:t>
      </w:r>
    </w:p>
    <w:p w14:paraId="52D82AEF" w14:textId="6D9E9097" w:rsidR="00745CEF" w:rsidRPr="003108AF" w:rsidRDefault="00745CEF" w:rsidP="005A3BE6">
      <w:pPr>
        <w:pStyle w:val="ListParagraph"/>
        <w:numPr>
          <w:ilvl w:val="0"/>
          <w:numId w:val="23"/>
        </w:numPr>
        <w:spacing w:before="240" w:after="120" w:line="360" w:lineRule="auto"/>
        <w:jc w:val="both"/>
        <w:rPr>
          <w:rFonts w:asciiTheme="majorBidi" w:eastAsia="Calibri" w:hAnsiTheme="majorBidi" w:cstheme="majorBidi"/>
        </w:rPr>
      </w:pPr>
      <w:r w:rsidRPr="003108AF">
        <w:rPr>
          <w:rFonts w:asciiTheme="majorBidi" w:eastAsia="Calibri" w:hAnsiTheme="majorBidi" w:cstheme="majorBidi"/>
        </w:rPr>
        <w:t>Assume that different treatment</w:t>
      </w:r>
      <w:r w:rsidR="000C4CDC" w:rsidRPr="003108AF">
        <w:rPr>
          <w:rFonts w:asciiTheme="majorBidi" w:eastAsia="Calibri" w:hAnsiTheme="majorBidi" w:cstheme="majorBidi"/>
        </w:rPr>
        <w:t>s</w:t>
      </w:r>
      <w:r w:rsidRPr="003108AF">
        <w:rPr>
          <w:rFonts w:asciiTheme="majorBidi" w:eastAsia="Calibri" w:hAnsiTheme="majorBidi" w:cstheme="majorBidi"/>
        </w:rPr>
        <w:t xml:space="preserve"> may result in different outcomes even amongst those susceptible to the treatment. Use evidence from an NMA of RCTs (in </w:t>
      </w:r>
      <w:r w:rsidR="005D3C14">
        <w:rPr>
          <w:rFonts w:asciiTheme="majorBidi" w:eastAsia="Calibri" w:hAnsiTheme="majorBidi" w:cstheme="majorBidi"/>
        </w:rPr>
        <w:t xml:space="preserve">any susceptible pathogen-mechanism, not just </w:t>
      </w:r>
      <w:r w:rsidRPr="003108AF">
        <w:rPr>
          <w:rFonts w:asciiTheme="majorBidi" w:eastAsia="Calibri" w:hAnsiTheme="majorBidi" w:cstheme="majorBidi"/>
        </w:rPr>
        <w:t>those considered within our HVCS) to estimate differences in treatment outcomes amongst susceptible patients. Th</w:t>
      </w:r>
      <w:r w:rsidR="000C4CDC" w:rsidRPr="003108AF">
        <w:rPr>
          <w:rFonts w:asciiTheme="majorBidi" w:eastAsia="Calibri" w:hAnsiTheme="majorBidi" w:cstheme="majorBidi"/>
        </w:rPr>
        <w:t>ese relative treatment effects</w:t>
      </w:r>
      <w:r w:rsidRPr="003108AF">
        <w:rPr>
          <w:rFonts w:asciiTheme="majorBidi" w:eastAsia="Calibri" w:hAnsiTheme="majorBidi" w:cstheme="majorBidi"/>
        </w:rPr>
        <w:t xml:space="preserve"> would then be applied to the proportion susceptible to the intervention and comparators</w:t>
      </w:r>
      <w:r w:rsidR="000C4CDC" w:rsidRPr="003108AF">
        <w:rPr>
          <w:rFonts w:asciiTheme="majorBidi" w:eastAsia="Calibri" w:hAnsiTheme="majorBidi" w:cstheme="majorBidi"/>
        </w:rPr>
        <w:t>,</w:t>
      </w:r>
      <w:r w:rsidRPr="003108AF">
        <w:rPr>
          <w:rFonts w:asciiTheme="majorBidi" w:eastAsia="Calibri" w:hAnsiTheme="majorBidi" w:cstheme="majorBidi"/>
        </w:rPr>
        <w:t xml:space="preserve"> taken from the susceptibility NMA</w:t>
      </w:r>
      <w:r w:rsidR="00A45CC1">
        <w:rPr>
          <w:rFonts w:asciiTheme="majorBidi" w:eastAsia="Calibri" w:hAnsiTheme="majorBidi" w:cstheme="majorBidi"/>
        </w:rPr>
        <w:t xml:space="preserve"> or epidemiological data</w:t>
      </w:r>
      <w:r w:rsidR="005A18F6" w:rsidRPr="003108AF">
        <w:rPr>
          <w:rFonts w:asciiTheme="majorBidi" w:eastAsia="Calibri" w:hAnsiTheme="majorBidi" w:cstheme="majorBidi"/>
        </w:rPr>
        <w:t>.</w:t>
      </w:r>
    </w:p>
    <w:p w14:paraId="72527D0A" w14:textId="77777777" w:rsidR="00885DFB" w:rsidRPr="00885DFB" w:rsidRDefault="00885DFB" w:rsidP="00885DFB">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Each of these approaches has its own merits and challenges. </w:t>
      </w:r>
    </w:p>
    <w:p w14:paraId="6193E34A" w14:textId="321ED709" w:rsidR="00885DFB" w:rsidRPr="00885DFB" w:rsidRDefault="00885DFB" w:rsidP="00756514">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In Approach 1, the difficulties with recruiting resistant </w:t>
      </w:r>
      <w:r w:rsidR="003432D7" w:rsidRPr="00885DFB">
        <w:rPr>
          <w:rFonts w:asciiTheme="majorBidi" w:eastAsia="Calibri" w:hAnsiTheme="majorBidi" w:cstheme="majorBidi"/>
        </w:rPr>
        <w:t>patients</w:t>
      </w:r>
      <w:r w:rsidRPr="00885DFB">
        <w:rPr>
          <w:rFonts w:asciiTheme="majorBidi" w:eastAsia="Calibri" w:hAnsiTheme="majorBidi" w:cstheme="majorBidi"/>
        </w:rPr>
        <w:t xml:space="preserve"> means subgroup data from RCTs may be underpowered and under-representative of the full spectrum of infections. Where available, however, they could provide estimates with high internal validity (low risk of bias). Equivalent data for compar</w:t>
      </w:r>
      <w:r w:rsidR="002140E4">
        <w:rPr>
          <w:rFonts w:asciiTheme="majorBidi" w:eastAsia="Calibri" w:hAnsiTheme="majorBidi" w:cstheme="majorBidi"/>
        </w:rPr>
        <w:t>a</w:t>
      </w:r>
      <w:r w:rsidRPr="00885DFB">
        <w:rPr>
          <w:rFonts w:asciiTheme="majorBidi" w:eastAsia="Calibri" w:hAnsiTheme="majorBidi" w:cstheme="majorBidi"/>
        </w:rPr>
        <w:t>tors from RCTs may be missing in the pathogen-mechanism-sites of interest.</w:t>
      </w:r>
    </w:p>
    <w:p w14:paraId="01837510" w14:textId="7990D4A5" w:rsidR="00885DFB" w:rsidRPr="00885DFB" w:rsidRDefault="00885DFB" w:rsidP="00885DFB">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In Approach 2, comparative observational studies are often at high risk of confounding due to imbalances between prognostic and/or predictive factors at baseline, whilst comparisons across single arm studies would require advanced synthesis techniques </w:t>
      </w:r>
      <w:r w:rsidR="000B6374">
        <w:rPr>
          <w:rFonts w:asciiTheme="majorBidi" w:eastAsia="Calibri" w:hAnsiTheme="majorBidi" w:cstheme="majorBidi"/>
        </w:rPr>
        <w:t>to mitigate against any apparent imbalances. Results from such analyses can</w:t>
      </w:r>
      <w:r w:rsidRPr="00885DFB">
        <w:rPr>
          <w:rFonts w:asciiTheme="majorBidi" w:eastAsia="Calibri" w:hAnsiTheme="majorBidi" w:cstheme="majorBidi"/>
        </w:rPr>
        <w:t xml:space="preserve"> be prone to a high degree of uncertainty </w:t>
      </w:r>
      <w:r w:rsidR="000B6374">
        <w:rPr>
          <w:rFonts w:asciiTheme="majorBidi" w:eastAsia="Calibri" w:hAnsiTheme="majorBidi" w:cstheme="majorBidi"/>
        </w:rPr>
        <w:t xml:space="preserve">and there may be residual </w:t>
      </w:r>
      <w:r w:rsidR="000B6374">
        <w:rPr>
          <w:rFonts w:asciiTheme="majorBidi" w:eastAsia="Calibri" w:hAnsiTheme="majorBidi" w:cstheme="majorBidi"/>
        </w:rPr>
        <w:lastRenderedPageBreak/>
        <w:t xml:space="preserve">confounding, </w:t>
      </w:r>
      <w:proofErr w:type="gramStart"/>
      <w:r w:rsidR="000B6374">
        <w:rPr>
          <w:rFonts w:asciiTheme="majorBidi" w:eastAsia="Calibri" w:hAnsiTheme="majorBidi" w:cstheme="majorBidi"/>
        </w:rPr>
        <w:t>e.g.</w:t>
      </w:r>
      <w:proofErr w:type="gramEnd"/>
      <w:r w:rsidR="000B6374">
        <w:rPr>
          <w:rFonts w:asciiTheme="majorBidi" w:eastAsia="Calibri" w:hAnsiTheme="majorBidi" w:cstheme="majorBidi"/>
        </w:rPr>
        <w:t xml:space="preserve"> from imbalances in unknown or unobserved confounders</w:t>
      </w:r>
      <w:r w:rsidRPr="00885DFB">
        <w:rPr>
          <w:rFonts w:asciiTheme="majorBidi" w:eastAsia="Calibri" w:hAnsiTheme="majorBidi" w:cstheme="majorBidi"/>
        </w:rPr>
        <w:t xml:space="preserve">. </w:t>
      </w:r>
      <w:r w:rsidR="009838CA">
        <w:rPr>
          <w:rFonts w:asciiTheme="majorBidi" w:eastAsia="Calibri" w:hAnsiTheme="majorBidi" w:cstheme="majorBidi"/>
        </w:rPr>
        <w:t>However, s</w:t>
      </w:r>
      <w:r w:rsidRPr="00885DFB">
        <w:rPr>
          <w:rFonts w:asciiTheme="majorBidi" w:eastAsia="Calibri" w:hAnsiTheme="majorBidi" w:cstheme="majorBidi"/>
        </w:rPr>
        <w:t>uch studies may be able to</w:t>
      </w:r>
      <w:r w:rsidR="000B6374">
        <w:rPr>
          <w:rFonts w:asciiTheme="majorBidi" w:eastAsia="Calibri" w:hAnsiTheme="majorBidi" w:cstheme="majorBidi"/>
        </w:rPr>
        <w:t xml:space="preserve"> include</w:t>
      </w:r>
      <w:r w:rsidRPr="00885DFB">
        <w:rPr>
          <w:rFonts w:asciiTheme="majorBidi" w:eastAsia="Calibri" w:hAnsiTheme="majorBidi" w:cstheme="majorBidi"/>
        </w:rPr>
        <w:t xml:space="preserve"> higher numbers of patients, since the barriers to recruitment described for RCTs are re</w:t>
      </w:r>
      <w:r w:rsidR="000B6374">
        <w:rPr>
          <w:rFonts w:asciiTheme="majorBidi" w:eastAsia="Calibri" w:hAnsiTheme="majorBidi" w:cstheme="majorBidi"/>
        </w:rPr>
        <w:t>duced</w:t>
      </w:r>
      <w:r w:rsidRPr="00885DFB">
        <w:rPr>
          <w:rFonts w:asciiTheme="majorBidi" w:eastAsia="Calibri" w:hAnsiTheme="majorBidi" w:cstheme="majorBidi"/>
        </w:rPr>
        <w:t xml:space="preserve">. </w:t>
      </w:r>
    </w:p>
    <w:p w14:paraId="2B2E9EDC" w14:textId="3257EF94" w:rsidR="00885DFB" w:rsidRPr="00885DFB" w:rsidRDefault="00885DFB" w:rsidP="000C4CDC">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In Approach 3, susceptibility studies have the advantage of testing all the treatments in the same sample of isolates, thereby reducing the chance of heterogeneity in patient samples between arms introducing confounding. </w:t>
      </w:r>
      <w:r w:rsidR="00D637B1">
        <w:rPr>
          <w:rFonts w:asciiTheme="majorBidi" w:eastAsia="Calibri" w:hAnsiTheme="majorBidi" w:cstheme="majorBidi"/>
        </w:rPr>
        <w:t xml:space="preserve">They also tend to include higher numbers of patients/isolates. </w:t>
      </w:r>
      <w:r w:rsidRPr="00885DFB">
        <w:rPr>
          <w:rFonts w:asciiTheme="majorBidi" w:eastAsia="Calibri" w:hAnsiTheme="majorBidi" w:cstheme="majorBidi"/>
        </w:rPr>
        <w:t xml:space="preserve">However, any given susceptibility study will have its own distribution of susceptibilities for each treatment, which give rise to the comparative treatment effects as expressed by % susceptibility, and this may not match the susceptibility profile of pathogens circulating in the UK, or that are likely to circulate in the future. In addition, susceptibility studies are </w:t>
      </w:r>
      <w:r w:rsidR="00D86E3D" w:rsidRPr="00D86E3D">
        <w:rPr>
          <w:rFonts w:asciiTheme="majorBidi" w:eastAsia="Calibri" w:hAnsiTheme="majorBidi" w:cstheme="majorBidi"/>
          <w:i/>
          <w:iCs/>
        </w:rPr>
        <w:t>in vitro</w:t>
      </w:r>
      <w:r w:rsidRPr="00885DFB">
        <w:rPr>
          <w:rFonts w:asciiTheme="majorBidi" w:eastAsia="Calibri" w:hAnsiTheme="majorBidi" w:cstheme="majorBidi"/>
        </w:rPr>
        <w:t xml:space="preserve">, and no clinical outcomes are reported. </w:t>
      </w:r>
      <w:proofErr w:type="gramStart"/>
      <w:r w:rsidRPr="00885DFB">
        <w:rPr>
          <w:rFonts w:asciiTheme="majorBidi" w:eastAsia="Calibri" w:hAnsiTheme="majorBidi" w:cstheme="majorBidi"/>
        </w:rPr>
        <w:t>In order to</w:t>
      </w:r>
      <w:proofErr w:type="gramEnd"/>
      <w:r w:rsidRPr="00885DFB">
        <w:rPr>
          <w:rFonts w:asciiTheme="majorBidi" w:eastAsia="Calibri" w:hAnsiTheme="majorBidi" w:cstheme="majorBidi"/>
        </w:rPr>
        <w:t xml:space="preserve"> use this approach in the model, additional evidence </w:t>
      </w:r>
      <w:r w:rsidRPr="00C1594A">
        <w:rPr>
          <w:rFonts w:asciiTheme="majorBidi" w:eastAsia="Calibri" w:hAnsiTheme="majorBidi" w:cstheme="majorBidi"/>
        </w:rPr>
        <w:t>requirements would be created</w:t>
      </w:r>
      <w:r w:rsidR="000C4CDC" w:rsidRPr="00C1594A">
        <w:rPr>
          <w:rFonts w:asciiTheme="majorBidi" w:eastAsia="Calibri" w:hAnsiTheme="majorBidi" w:cstheme="majorBidi"/>
        </w:rPr>
        <w:t xml:space="preserve"> since susceptibility </w:t>
      </w:r>
      <w:r w:rsidR="00CB4072" w:rsidRPr="00C1594A">
        <w:rPr>
          <w:rFonts w:asciiTheme="majorBidi" w:eastAsia="Calibri" w:hAnsiTheme="majorBidi" w:cstheme="majorBidi"/>
        </w:rPr>
        <w:t>can be considered a</w:t>
      </w:r>
      <w:r w:rsidR="000C4CDC" w:rsidRPr="00C1594A">
        <w:rPr>
          <w:rFonts w:asciiTheme="majorBidi" w:eastAsia="Calibri" w:hAnsiTheme="majorBidi" w:cstheme="majorBidi"/>
        </w:rPr>
        <w:t xml:space="preserve"> surrogate endpoint. It would be necessary to</w:t>
      </w:r>
      <w:r w:rsidR="000C4CDC">
        <w:rPr>
          <w:rFonts w:asciiTheme="majorBidi" w:eastAsia="Calibri" w:hAnsiTheme="majorBidi" w:cstheme="majorBidi"/>
        </w:rPr>
        <w:t xml:space="preserve"> link </w:t>
      </w:r>
      <w:r w:rsidRPr="00885DFB">
        <w:rPr>
          <w:rFonts w:asciiTheme="majorBidi" w:eastAsia="Calibri" w:hAnsiTheme="majorBidi" w:cstheme="majorBidi"/>
        </w:rPr>
        <w:t>susceptibility to clinical outcomes such as clinical cure, 30-day mortality, 90-day mortality, hospital length of stay</w:t>
      </w:r>
      <w:r w:rsidR="005B4EB8">
        <w:rPr>
          <w:rFonts w:asciiTheme="majorBidi" w:eastAsia="Calibri" w:hAnsiTheme="majorBidi" w:cstheme="majorBidi"/>
        </w:rPr>
        <w:t xml:space="preserve"> (LOS)</w:t>
      </w:r>
      <w:r w:rsidRPr="00885DFB">
        <w:rPr>
          <w:rFonts w:asciiTheme="majorBidi" w:eastAsia="Calibri" w:hAnsiTheme="majorBidi" w:cstheme="majorBidi"/>
        </w:rPr>
        <w:t xml:space="preserve">, long term mortality and recurrence of infections (see questions </w:t>
      </w:r>
      <w:r w:rsidR="00512409">
        <w:rPr>
          <w:rFonts w:asciiTheme="majorBidi" w:eastAsia="Calibri" w:hAnsiTheme="majorBidi" w:cstheme="majorBidi"/>
        </w:rPr>
        <w:t>4-6</w:t>
      </w:r>
      <w:r w:rsidRPr="00885DFB">
        <w:rPr>
          <w:rFonts w:asciiTheme="majorBidi" w:eastAsia="Calibri" w:hAnsiTheme="majorBidi" w:cstheme="majorBidi"/>
        </w:rPr>
        <w:t xml:space="preserve"> below). </w:t>
      </w:r>
      <w:r w:rsidR="000C4CDC">
        <w:rPr>
          <w:rFonts w:asciiTheme="majorBidi" w:eastAsia="Calibri" w:hAnsiTheme="majorBidi" w:cstheme="majorBidi"/>
        </w:rPr>
        <w:t>As noted above, t</w:t>
      </w:r>
      <w:r w:rsidR="00D637B1">
        <w:rPr>
          <w:rFonts w:asciiTheme="majorBidi" w:eastAsia="Calibri" w:hAnsiTheme="majorBidi" w:cstheme="majorBidi"/>
        </w:rPr>
        <w:t>his approach would assume that, conditional upon susceptibility, clinical outcomes are similar across different antimicrobials. An extension to this approach would be to use evidence from a NMA of RCTs (in broader populations than those considered within our HVCS) to estimate differences in treatment outcomes amongst susceptible patients</w:t>
      </w:r>
      <w:r w:rsidR="004F313F">
        <w:rPr>
          <w:rFonts w:asciiTheme="majorBidi" w:eastAsia="Calibri" w:hAnsiTheme="majorBidi" w:cstheme="majorBidi"/>
        </w:rPr>
        <w:t xml:space="preserve"> regardless of the pathogen-mechanism they are infected by</w:t>
      </w:r>
      <w:r w:rsidR="00016308">
        <w:rPr>
          <w:rFonts w:asciiTheme="majorBidi" w:eastAsia="Calibri" w:hAnsiTheme="majorBidi" w:cstheme="majorBidi"/>
        </w:rPr>
        <w:t xml:space="preserve">, but dependent on the </w:t>
      </w:r>
      <w:r w:rsidR="00161C00">
        <w:rPr>
          <w:rFonts w:asciiTheme="majorBidi" w:eastAsia="Calibri" w:hAnsiTheme="majorBidi" w:cstheme="majorBidi"/>
        </w:rPr>
        <w:t>AM</w:t>
      </w:r>
      <w:r w:rsidR="00016308">
        <w:rPr>
          <w:rFonts w:asciiTheme="majorBidi" w:eastAsia="Calibri" w:hAnsiTheme="majorBidi" w:cstheme="majorBidi"/>
        </w:rPr>
        <w:t xml:space="preserve"> they were treated with</w:t>
      </w:r>
      <w:r w:rsidR="004F313F">
        <w:rPr>
          <w:rFonts w:asciiTheme="majorBidi" w:eastAsia="Calibri" w:hAnsiTheme="majorBidi" w:cstheme="majorBidi"/>
        </w:rPr>
        <w:t>. This</w:t>
      </w:r>
      <w:r w:rsidR="00195B1E">
        <w:rPr>
          <w:rFonts w:asciiTheme="majorBidi" w:eastAsia="Calibri" w:hAnsiTheme="majorBidi" w:cstheme="majorBidi"/>
        </w:rPr>
        <w:t xml:space="preserve"> would assume that relative treatment effects </w:t>
      </w:r>
      <w:r w:rsidR="00016308">
        <w:rPr>
          <w:rFonts w:asciiTheme="majorBidi" w:eastAsia="Calibri" w:hAnsiTheme="majorBidi" w:cstheme="majorBidi"/>
        </w:rPr>
        <w:t xml:space="preserve">between antimicrobials </w:t>
      </w:r>
      <w:r w:rsidR="00195B1E">
        <w:rPr>
          <w:rFonts w:asciiTheme="majorBidi" w:eastAsia="Calibri" w:hAnsiTheme="majorBidi" w:cstheme="majorBidi"/>
        </w:rPr>
        <w:t xml:space="preserve">are generalisable </w:t>
      </w:r>
      <w:r w:rsidR="00016308">
        <w:rPr>
          <w:rFonts w:asciiTheme="majorBidi" w:eastAsia="Calibri" w:hAnsiTheme="majorBidi" w:cstheme="majorBidi"/>
        </w:rPr>
        <w:t>across</w:t>
      </w:r>
      <w:r w:rsidR="00195B1E">
        <w:rPr>
          <w:rFonts w:asciiTheme="majorBidi" w:eastAsia="Calibri" w:hAnsiTheme="majorBidi" w:cstheme="majorBidi"/>
        </w:rPr>
        <w:t xml:space="preserve"> pathogen-mechanisms</w:t>
      </w:r>
      <w:r w:rsidR="00016308">
        <w:rPr>
          <w:rFonts w:asciiTheme="majorBidi" w:eastAsia="Calibri" w:hAnsiTheme="majorBidi" w:cstheme="majorBidi"/>
        </w:rPr>
        <w:t>, so long as patients were susceptible to the treatment they were given</w:t>
      </w:r>
      <w:r w:rsidR="00195B1E">
        <w:rPr>
          <w:rFonts w:asciiTheme="majorBidi" w:eastAsia="Calibri" w:hAnsiTheme="majorBidi" w:cstheme="majorBidi"/>
        </w:rPr>
        <w:t>. For both approaches, these assumptions would need to be supported by empirical evidence and</w:t>
      </w:r>
      <w:r w:rsidR="00512409">
        <w:rPr>
          <w:rFonts w:asciiTheme="majorBidi" w:eastAsia="Calibri" w:hAnsiTheme="majorBidi" w:cstheme="majorBidi"/>
        </w:rPr>
        <w:t>/or</w:t>
      </w:r>
      <w:r w:rsidR="00016308">
        <w:rPr>
          <w:rFonts w:asciiTheme="majorBidi" w:eastAsia="Calibri" w:hAnsiTheme="majorBidi" w:cstheme="majorBidi"/>
        </w:rPr>
        <w:t xml:space="preserve"> </w:t>
      </w:r>
      <w:r w:rsidR="00195B1E">
        <w:rPr>
          <w:rFonts w:asciiTheme="majorBidi" w:eastAsia="Calibri" w:hAnsiTheme="majorBidi" w:cstheme="majorBidi"/>
        </w:rPr>
        <w:t>expert opinion.</w:t>
      </w:r>
    </w:p>
    <w:p w14:paraId="7B5199CE" w14:textId="1D21FA9A" w:rsidR="00885DFB" w:rsidRPr="00A508ED" w:rsidRDefault="00885DFB" w:rsidP="00B674A1">
      <w:pPr>
        <w:pStyle w:val="EEPRUnumberedstylelevel3"/>
        <w:ind w:left="851" w:hanging="567"/>
      </w:pPr>
      <w:bookmarkStart w:id="91" w:name="_Toc83890506"/>
      <w:bookmarkStart w:id="92" w:name="_Toc87462981"/>
      <w:r w:rsidRPr="00A508ED">
        <w:t>4.2 Review questions</w:t>
      </w:r>
      <w:bookmarkEnd w:id="91"/>
      <w:bookmarkEnd w:id="92"/>
    </w:p>
    <w:p w14:paraId="04866787" w14:textId="1830C48A" w:rsidR="00885DFB" w:rsidRPr="00885DFB" w:rsidRDefault="00885DFB" w:rsidP="00885DFB">
      <w:pPr>
        <w:spacing w:after="120" w:line="360" w:lineRule="auto"/>
        <w:rPr>
          <w:rFonts w:asciiTheme="majorBidi" w:eastAsia="Calibri" w:hAnsiTheme="majorBidi" w:cstheme="majorBidi"/>
        </w:rPr>
      </w:pPr>
      <w:r w:rsidRPr="00885DFB">
        <w:rPr>
          <w:rFonts w:asciiTheme="majorBidi" w:eastAsia="Calibri" w:hAnsiTheme="majorBidi" w:cstheme="majorBidi"/>
        </w:rPr>
        <w:t xml:space="preserve">For each approach, a </w:t>
      </w:r>
      <w:r w:rsidR="00C07A38">
        <w:rPr>
          <w:rFonts w:asciiTheme="majorBidi" w:eastAsia="Calibri" w:hAnsiTheme="majorBidi" w:cstheme="majorBidi"/>
        </w:rPr>
        <w:t xml:space="preserve">corresponding </w:t>
      </w:r>
      <w:r w:rsidRPr="00885DFB">
        <w:rPr>
          <w:rFonts w:asciiTheme="majorBidi" w:eastAsia="Calibri" w:hAnsiTheme="majorBidi" w:cstheme="majorBidi"/>
        </w:rPr>
        <w:t>review qu</w:t>
      </w:r>
      <w:r w:rsidRPr="00994836">
        <w:rPr>
          <w:rFonts w:asciiTheme="majorBidi" w:eastAsia="Calibri" w:hAnsiTheme="majorBidi" w:cstheme="majorBidi"/>
        </w:rPr>
        <w:t>estion was developed</w:t>
      </w:r>
      <w:r w:rsidR="00994836" w:rsidRPr="00994836">
        <w:rPr>
          <w:rFonts w:asciiTheme="majorBidi" w:eastAsia="Calibri" w:hAnsiTheme="majorBidi" w:cstheme="majorBidi"/>
        </w:rPr>
        <w:t xml:space="preserve"> (see Table 3)</w:t>
      </w:r>
      <w:r w:rsidRPr="00994836">
        <w:rPr>
          <w:rFonts w:asciiTheme="majorBidi" w:eastAsia="Calibri" w:hAnsiTheme="majorBidi" w:cstheme="majorBidi"/>
        </w:rPr>
        <w:t>. Th</w:t>
      </w:r>
      <w:r w:rsidRPr="00885DFB">
        <w:rPr>
          <w:rFonts w:asciiTheme="majorBidi" w:eastAsia="Calibri" w:hAnsiTheme="majorBidi" w:cstheme="majorBidi"/>
        </w:rPr>
        <w:t xml:space="preserve">is section briefly states each review question, whilst </w:t>
      </w:r>
      <w:r w:rsidR="00504107">
        <w:rPr>
          <w:rFonts w:asciiTheme="majorBidi" w:eastAsia="Calibri" w:hAnsiTheme="majorBidi" w:cstheme="majorBidi"/>
        </w:rPr>
        <w:t>S</w:t>
      </w:r>
      <w:r w:rsidRPr="00885DFB">
        <w:rPr>
          <w:rFonts w:asciiTheme="majorBidi" w:eastAsia="Calibri" w:hAnsiTheme="majorBidi" w:cstheme="majorBidi"/>
        </w:rPr>
        <w:t xml:space="preserve">ections </w:t>
      </w:r>
      <w:r w:rsidR="00504107">
        <w:rPr>
          <w:rFonts w:asciiTheme="majorBidi" w:eastAsia="Calibri" w:hAnsiTheme="majorBidi" w:cstheme="majorBidi"/>
        </w:rPr>
        <w:t>4.3 and 4.6</w:t>
      </w:r>
      <w:r w:rsidRPr="00885DFB">
        <w:rPr>
          <w:rFonts w:asciiTheme="majorBidi" w:eastAsia="Calibri" w:hAnsiTheme="majorBidi" w:cstheme="majorBidi"/>
        </w:rPr>
        <w:t xml:space="preserve"> describe the PICOS and methods of evidence retrieval for each question.</w:t>
      </w:r>
      <w:r w:rsidR="00580175">
        <w:rPr>
          <w:rFonts w:asciiTheme="majorBidi" w:eastAsia="Calibri" w:hAnsiTheme="majorBidi" w:cstheme="majorBidi"/>
        </w:rPr>
        <w:t xml:space="preserve"> </w:t>
      </w:r>
      <w:r w:rsidR="00FE2007">
        <w:rPr>
          <w:rFonts w:asciiTheme="majorBidi" w:eastAsia="Calibri" w:hAnsiTheme="majorBidi" w:cstheme="majorBidi"/>
        </w:rPr>
        <w:t xml:space="preserve">Subsequently, Section 4.6 describes three additional reviews (Reviews 4-6) relating to Approach 3. </w:t>
      </w:r>
    </w:p>
    <w:p w14:paraId="3F233A36" w14:textId="453506AF" w:rsidR="00C07A38" w:rsidRPr="006E4E83" w:rsidRDefault="00C07A38" w:rsidP="00B674A1">
      <w:pPr>
        <w:pStyle w:val="Heading3"/>
        <w:ind w:left="1276" w:hanging="567"/>
        <w:rPr>
          <w:rFonts w:asciiTheme="majorBidi" w:hAnsiTheme="majorBidi"/>
          <w:sz w:val="26"/>
          <w:szCs w:val="26"/>
        </w:rPr>
      </w:pPr>
      <w:bookmarkStart w:id="93" w:name="_Toc87462982"/>
      <w:bookmarkStart w:id="94" w:name="_Hlk81838527"/>
      <w:bookmarkStart w:id="95" w:name="_Hlk77600266"/>
      <w:r w:rsidRPr="006E4E83">
        <w:rPr>
          <w:rFonts w:asciiTheme="majorBidi" w:hAnsiTheme="majorBidi"/>
          <w:sz w:val="26"/>
          <w:szCs w:val="26"/>
        </w:rPr>
        <w:t xml:space="preserve">4.2.1 </w:t>
      </w:r>
      <w:r w:rsidRPr="006E4E83">
        <w:rPr>
          <w:rFonts w:asciiTheme="majorBidi" w:hAnsiTheme="majorBidi"/>
          <w:sz w:val="26"/>
          <w:szCs w:val="26"/>
        </w:rPr>
        <w:tab/>
      </w:r>
      <w:r w:rsidR="00FE2007" w:rsidRPr="006E4E83">
        <w:rPr>
          <w:rFonts w:asciiTheme="majorBidi" w:hAnsiTheme="majorBidi"/>
          <w:sz w:val="26"/>
          <w:szCs w:val="26"/>
        </w:rPr>
        <w:t>Review</w:t>
      </w:r>
      <w:r w:rsidR="00885DFB" w:rsidRPr="006E4E83">
        <w:rPr>
          <w:rFonts w:asciiTheme="majorBidi" w:hAnsiTheme="majorBidi"/>
          <w:sz w:val="26"/>
          <w:szCs w:val="26"/>
        </w:rPr>
        <w:t xml:space="preserve"> 1</w:t>
      </w:r>
      <w:bookmarkEnd w:id="93"/>
    </w:p>
    <w:p w14:paraId="7C97F6FB" w14:textId="41F43630" w:rsidR="00885DFB" w:rsidRPr="00C07A38" w:rsidRDefault="00C07A38" w:rsidP="00C07A38">
      <w:pPr>
        <w:rPr>
          <w:rFonts w:asciiTheme="majorBidi" w:eastAsia="Calibri" w:hAnsiTheme="majorBidi" w:cstheme="majorBidi"/>
          <w:b/>
          <w:bCs/>
        </w:rPr>
      </w:pPr>
      <w:r w:rsidRPr="00C07A38">
        <w:rPr>
          <w:rFonts w:asciiTheme="majorBidi" w:eastAsia="Calibri" w:hAnsiTheme="majorBidi" w:cstheme="majorBidi"/>
          <w:b/>
          <w:bCs/>
        </w:rPr>
        <w:t>Review question: B</w:t>
      </w:r>
      <w:r w:rsidR="004F313F" w:rsidRPr="00C07A38">
        <w:rPr>
          <w:rFonts w:asciiTheme="majorBidi" w:eastAsia="Calibri" w:hAnsiTheme="majorBidi" w:cstheme="majorBidi"/>
          <w:b/>
          <w:bCs/>
        </w:rPr>
        <w:t>ased on RCT evidence, w</w:t>
      </w:r>
      <w:r w:rsidR="00885DFB" w:rsidRPr="00C07A38">
        <w:rPr>
          <w:rFonts w:asciiTheme="majorBidi" w:eastAsia="Calibri" w:hAnsiTheme="majorBidi" w:cstheme="majorBidi"/>
          <w:b/>
          <w:bCs/>
        </w:rPr>
        <w:t xml:space="preserve">hat is the comparative effectiveness of the </w:t>
      </w:r>
      <w:r w:rsidR="004F313F" w:rsidRPr="00C07A38">
        <w:rPr>
          <w:rFonts w:asciiTheme="majorBidi" w:eastAsia="Calibri" w:hAnsiTheme="majorBidi" w:cstheme="majorBidi"/>
          <w:b/>
          <w:bCs/>
        </w:rPr>
        <w:t>intervention</w:t>
      </w:r>
      <w:r w:rsidR="00885DFB" w:rsidRPr="00C07A38">
        <w:rPr>
          <w:rFonts w:asciiTheme="majorBidi" w:eastAsia="Calibri" w:hAnsiTheme="majorBidi" w:cstheme="majorBidi"/>
          <w:b/>
          <w:bCs/>
        </w:rPr>
        <w:t xml:space="preserve"> and comparators</w:t>
      </w:r>
      <w:bookmarkEnd w:id="94"/>
      <w:r w:rsidR="00885DFB" w:rsidRPr="00C07A38">
        <w:rPr>
          <w:rFonts w:asciiTheme="majorBidi" w:eastAsia="Calibri" w:hAnsiTheme="majorBidi" w:cstheme="majorBidi"/>
          <w:b/>
          <w:bCs/>
        </w:rPr>
        <w:t xml:space="preserve"> in patients with </w:t>
      </w:r>
      <w:proofErr w:type="spellStart"/>
      <w:r w:rsidR="004F313F" w:rsidRPr="00C07A38">
        <w:rPr>
          <w:rFonts w:asciiTheme="majorBidi" w:eastAsia="Calibri" w:hAnsiTheme="majorBidi" w:cstheme="majorBidi"/>
          <w:b/>
          <w:bCs/>
        </w:rPr>
        <w:t>cUTI</w:t>
      </w:r>
      <w:proofErr w:type="spellEnd"/>
      <w:r w:rsidR="004F313F" w:rsidRPr="00C07A38">
        <w:rPr>
          <w:rFonts w:asciiTheme="majorBidi" w:eastAsia="Calibri" w:hAnsiTheme="majorBidi" w:cstheme="majorBidi"/>
          <w:b/>
          <w:bCs/>
        </w:rPr>
        <w:t xml:space="preserve"> or HAP/VAP cause</w:t>
      </w:r>
      <w:r w:rsidR="0037519F" w:rsidRPr="00C07A38">
        <w:rPr>
          <w:rFonts w:asciiTheme="majorBidi" w:eastAsia="Calibri" w:hAnsiTheme="majorBidi" w:cstheme="majorBidi"/>
          <w:b/>
          <w:bCs/>
        </w:rPr>
        <w:t>d</w:t>
      </w:r>
      <w:r w:rsidR="004F313F" w:rsidRPr="00C07A38">
        <w:rPr>
          <w:rFonts w:asciiTheme="majorBidi" w:eastAsia="Calibri" w:hAnsiTheme="majorBidi" w:cstheme="majorBidi"/>
          <w:b/>
          <w:bCs/>
        </w:rPr>
        <w:t xml:space="preserve"> by a</w:t>
      </w:r>
      <w:r w:rsidR="00FE2007">
        <w:rPr>
          <w:rFonts w:asciiTheme="majorBidi" w:eastAsia="Calibri" w:hAnsiTheme="majorBidi" w:cstheme="majorBidi"/>
          <w:b/>
          <w:bCs/>
        </w:rPr>
        <w:t>n</w:t>
      </w:r>
      <w:r w:rsidR="004F313F" w:rsidRPr="00C07A38">
        <w:rPr>
          <w:rFonts w:asciiTheme="majorBidi" w:eastAsia="Calibri" w:hAnsiTheme="majorBidi" w:cstheme="majorBidi"/>
          <w:b/>
          <w:bCs/>
        </w:rPr>
        <w:t xml:space="preserve"> </w:t>
      </w:r>
      <w:r w:rsidR="00FE2007" w:rsidRPr="00FE2007">
        <w:rPr>
          <w:rFonts w:asciiTheme="majorBidi" w:eastAsia="Calibri" w:hAnsiTheme="majorBidi" w:cstheme="majorBidi"/>
          <w:b/>
          <w:bCs/>
        </w:rPr>
        <w:t xml:space="preserve">OXA-48 </w:t>
      </w:r>
      <w:proofErr w:type="spellStart"/>
      <w:r w:rsidR="00FE2007" w:rsidRPr="00FE2007">
        <w:rPr>
          <w:rFonts w:asciiTheme="majorBidi" w:eastAsia="Calibri" w:hAnsiTheme="majorBidi" w:cstheme="majorBidi"/>
          <w:b/>
          <w:bCs/>
          <w:i/>
          <w:iCs/>
        </w:rPr>
        <w:t>Enterobacterales</w:t>
      </w:r>
      <w:proofErr w:type="spellEnd"/>
      <w:r w:rsidR="004F313F" w:rsidRPr="00C07A38">
        <w:rPr>
          <w:rFonts w:asciiTheme="majorBidi" w:eastAsia="Calibri" w:hAnsiTheme="majorBidi" w:cstheme="majorBidi"/>
          <w:b/>
          <w:bCs/>
        </w:rPr>
        <w:t xml:space="preserve"> infection</w:t>
      </w:r>
      <w:r w:rsidR="00885DFB" w:rsidRPr="00C07A38">
        <w:rPr>
          <w:rFonts w:asciiTheme="majorBidi" w:eastAsia="Calibri" w:hAnsiTheme="majorBidi" w:cstheme="majorBidi"/>
          <w:b/>
          <w:bCs/>
        </w:rPr>
        <w:t xml:space="preserve">? </w:t>
      </w:r>
    </w:p>
    <w:p w14:paraId="6CEAFDEE" w14:textId="77777777" w:rsidR="00885DFB" w:rsidRPr="00885DFB" w:rsidRDefault="00885DFB" w:rsidP="00885DFB">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As well as recruiting patients infected with the relevant pathogen-mechanism combination, the ideal study would be based on treatment in the UK or a country with a similar demographic and healthcare system, to reduce the impact of other factors on patient outcomes. Only evidence relating to the sites of </w:t>
      </w:r>
      <w:r w:rsidRPr="00885DFB">
        <w:rPr>
          <w:rFonts w:asciiTheme="majorBidi" w:eastAsia="Calibri" w:hAnsiTheme="majorBidi" w:cstheme="majorBidi"/>
        </w:rPr>
        <w:lastRenderedPageBreak/>
        <w:t xml:space="preserve">interest would be </w:t>
      </w:r>
      <w:proofErr w:type="gramStart"/>
      <w:r w:rsidRPr="00885DFB">
        <w:rPr>
          <w:rFonts w:asciiTheme="majorBidi" w:eastAsia="Calibri" w:hAnsiTheme="majorBidi" w:cstheme="majorBidi"/>
        </w:rPr>
        <w:t>relevant, since</w:t>
      </w:r>
      <w:proofErr w:type="gramEnd"/>
      <w:r w:rsidRPr="00885DFB">
        <w:rPr>
          <w:rFonts w:asciiTheme="majorBidi" w:eastAsia="Calibri" w:hAnsiTheme="majorBidi" w:cstheme="majorBidi"/>
        </w:rPr>
        <w:t xml:space="preserve"> the risk of mortality and morbidity from infections at other sites is likely to be different. </w:t>
      </w:r>
    </w:p>
    <w:p w14:paraId="0D005133" w14:textId="6D7383D2" w:rsidR="00C07A38" w:rsidRPr="006E4E83" w:rsidRDefault="00C07A38" w:rsidP="00B674A1">
      <w:pPr>
        <w:pStyle w:val="Heading3"/>
        <w:ind w:left="1276" w:hanging="567"/>
        <w:rPr>
          <w:rFonts w:asciiTheme="majorBidi" w:hAnsiTheme="majorBidi"/>
          <w:sz w:val="26"/>
          <w:szCs w:val="26"/>
        </w:rPr>
      </w:pPr>
      <w:bookmarkStart w:id="96" w:name="_Toc87462983"/>
      <w:r w:rsidRPr="006E4E83">
        <w:rPr>
          <w:rFonts w:asciiTheme="majorBidi" w:hAnsiTheme="majorBidi"/>
          <w:sz w:val="26"/>
          <w:szCs w:val="26"/>
        </w:rPr>
        <w:t xml:space="preserve">4.2.2 </w:t>
      </w:r>
      <w:r w:rsidRPr="006E4E83">
        <w:rPr>
          <w:rFonts w:asciiTheme="majorBidi" w:hAnsiTheme="majorBidi"/>
          <w:sz w:val="26"/>
          <w:szCs w:val="26"/>
        </w:rPr>
        <w:tab/>
      </w:r>
      <w:r w:rsidR="00FE2007" w:rsidRPr="006E4E83">
        <w:rPr>
          <w:rFonts w:asciiTheme="majorBidi" w:hAnsiTheme="majorBidi"/>
          <w:sz w:val="26"/>
          <w:szCs w:val="26"/>
        </w:rPr>
        <w:t>Review</w:t>
      </w:r>
      <w:r w:rsidR="00885DFB" w:rsidRPr="006E4E83">
        <w:rPr>
          <w:rFonts w:asciiTheme="majorBidi" w:hAnsiTheme="majorBidi"/>
          <w:sz w:val="26"/>
          <w:szCs w:val="26"/>
        </w:rPr>
        <w:t xml:space="preserve"> 2</w:t>
      </w:r>
      <w:bookmarkEnd w:id="96"/>
      <w:r w:rsidR="00885DFB" w:rsidRPr="006E4E83">
        <w:rPr>
          <w:rFonts w:asciiTheme="majorBidi" w:hAnsiTheme="majorBidi"/>
          <w:sz w:val="26"/>
          <w:szCs w:val="26"/>
        </w:rPr>
        <w:t xml:space="preserve"> </w:t>
      </w:r>
      <w:r w:rsidR="004822E9" w:rsidRPr="006E4E83">
        <w:rPr>
          <w:rFonts w:asciiTheme="majorBidi" w:hAnsiTheme="majorBidi"/>
          <w:sz w:val="26"/>
          <w:szCs w:val="26"/>
        </w:rPr>
        <w:t xml:space="preserve"> </w:t>
      </w:r>
    </w:p>
    <w:p w14:paraId="0E1C9251" w14:textId="4B1389A7" w:rsidR="00885DFB" w:rsidRPr="00C07A38" w:rsidRDefault="00C07A38" w:rsidP="00C07A38">
      <w:pPr>
        <w:rPr>
          <w:rFonts w:asciiTheme="majorBidi" w:eastAsia="Calibri" w:hAnsiTheme="majorBidi" w:cstheme="majorBidi"/>
          <w:b/>
          <w:bCs/>
        </w:rPr>
      </w:pPr>
      <w:r>
        <w:rPr>
          <w:rFonts w:asciiTheme="majorBidi" w:eastAsia="Calibri" w:hAnsiTheme="majorBidi" w:cstheme="majorBidi"/>
          <w:b/>
          <w:bCs/>
        </w:rPr>
        <w:t xml:space="preserve">Review question: </w:t>
      </w:r>
      <w:r w:rsidR="00081DBA" w:rsidRPr="00C07A38">
        <w:rPr>
          <w:rFonts w:asciiTheme="majorBidi" w:eastAsia="Calibri" w:hAnsiTheme="majorBidi" w:cstheme="majorBidi"/>
          <w:b/>
          <w:bCs/>
        </w:rPr>
        <w:t xml:space="preserve">Based on observational studies, what is the comparative effectiveness of the intervention and comparators in patients with </w:t>
      </w:r>
      <w:proofErr w:type="spellStart"/>
      <w:r w:rsidR="00081DBA" w:rsidRPr="00C07A38">
        <w:rPr>
          <w:rFonts w:asciiTheme="majorBidi" w:eastAsia="Calibri" w:hAnsiTheme="majorBidi" w:cstheme="majorBidi"/>
          <w:b/>
          <w:bCs/>
        </w:rPr>
        <w:t>cUTI</w:t>
      </w:r>
      <w:proofErr w:type="spellEnd"/>
      <w:r w:rsidR="00081DBA" w:rsidRPr="00C07A38">
        <w:rPr>
          <w:rFonts w:asciiTheme="majorBidi" w:eastAsia="Calibri" w:hAnsiTheme="majorBidi" w:cstheme="majorBidi"/>
          <w:b/>
          <w:bCs/>
        </w:rPr>
        <w:t xml:space="preserve"> or HAP/VAP cause</w:t>
      </w:r>
      <w:r w:rsidR="0037519F" w:rsidRPr="00C07A38">
        <w:rPr>
          <w:rFonts w:asciiTheme="majorBidi" w:eastAsia="Calibri" w:hAnsiTheme="majorBidi" w:cstheme="majorBidi"/>
          <w:b/>
          <w:bCs/>
        </w:rPr>
        <w:t>d</w:t>
      </w:r>
      <w:r w:rsidR="00081DBA" w:rsidRPr="00C07A38">
        <w:rPr>
          <w:rFonts w:asciiTheme="majorBidi" w:eastAsia="Calibri" w:hAnsiTheme="majorBidi" w:cstheme="majorBidi"/>
          <w:b/>
          <w:bCs/>
        </w:rPr>
        <w:t xml:space="preserve"> by a</w:t>
      </w:r>
      <w:r w:rsidR="00FE2007">
        <w:rPr>
          <w:rFonts w:asciiTheme="majorBidi" w:eastAsia="Calibri" w:hAnsiTheme="majorBidi" w:cstheme="majorBidi"/>
          <w:b/>
          <w:bCs/>
        </w:rPr>
        <w:t>n</w:t>
      </w:r>
      <w:r w:rsidR="00081DBA" w:rsidRPr="00C07A38">
        <w:rPr>
          <w:rFonts w:asciiTheme="majorBidi" w:eastAsia="Calibri" w:hAnsiTheme="majorBidi" w:cstheme="majorBidi"/>
          <w:b/>
          <w:bCs/>
        </w:rPr>
        <w:t xml:space="preserve"> </w:t>
      </w:r>
      <w:r w:rsidR="00FE2007">
        <w:rPr>
          <w:rFonts w:asciiTheme="majorBidi" w:eastAsia="Calibri" w:hAnsiTheme="majorBidi" w:cstheme="majorBidi"/>
          <w:b/>
          <w:bCs/>
        </w:rPr>
        <w:t xml:space="preserve">OXA-48 </w:t>
      </w:r>
      <w:proofErr w:type="spellStart"/>
      <w:r w:rsidR="00FE2007" w:rsidRPr="00FE2007">
        <w:rPr>
          <w:rFonts w:asciiTheme="majorBidi" w:eastAsia="Calibri" w:hAnsiTheme="majorBidi" w:cstheme="majorBidi"/>
          <w:b/>
          <w:bCs/>
          <w:i/>
          <w:iCs/>
        </w:rPr>
        <w:t>Enterobacterales</w:t>
      </w:r>
      <w:proofErr w:type="spellEnd"/>
      <w:r w:rsidR="00081DBA" w:rsidRPr="00C07A38">
        <w:rPr>
          <w:rFonts w:asciiTheme="majorBidi" w:eastAsia="Calibri" w:hAnsiTheme="majorBidi" w:cstheme="majorBidi"/>
          <w:b/>
          <w:bCs/>
        </w:rPr>
        <w:t xml:space="preserve"> infection</w:t>
      </w:r>
      <w:r w:rsidR="00885DFB" w:rsidRPr="00C07A38">
        <w:rPr>
          <w:rFonts w:asciiTheme="majorBidi" w:eastAsia="Calibri" w:hAnsiTheme="majorBidi" w:cstheme="majorBidi"/>
          <w:b/>
          <w:bCs/>
        </w:rPr>
        <w:t>?</w:t>
      </w:r>
    </w:p>
    <w:p w14:paraId="7925F4D4" w14:textId="6B8FE88F" w:rsidR="00885DFB" w:rsidRPr="00885DFB" w:rsidRDefault="00885DFB" w:rsidP="00885DFB">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Again, </w:t>
      </w:r>
      <w:r w:rsidR="00081DBA">
        <w:rPr>
          <w:rFonts w:asciiTheme="majorBidi" w:eastAsia="Calibri" w:hAnsiTheme="majorBidi" w:cstheme="majorBidi"/>
        </w:rPr>
        <w:t>a</w:t>
      </w:r>
      <w:r w:rsidR="00081DBA" w:rsidRPr="00885DFB">
        <w:rPr>
          <w:rFonts w:asciiTheme="majorBidi" w:eastAsia="Calibri" w:hAnsiTheme="majorBidi" w:cstheme="majorBidi"/>
        </w:rPr>
        <w:t>s well as recruiting patients infected with the relevant pathogen-mechanism combination</w:t>
      </w:r>
      <w:r w:rsidR="00081DBA">
        <w:rPr>
          <w:rFonts w:asciiTheme="majorBidi" w:eastAsia="Calibri" w:hAnsiTheme="majorBidi" w:cstheme="majorBidi"/>
        </w:rPr>
        <w:t>,</w:t>
      </w:r>
      <w:r w:rsidR="00081DBA" w:rsidRPr="00885DFB">
        <w:rPr>
          <w:rFonts w:asciiTheme="majorBidi" w:eastAsia="Calibri" w:hAnsiTheme="majorBidi" w:cstheme="majorBidi"/>
        </w:rPr>
        <w:t xml:space="preserve"> </w:t>
      </w:r>
      <w:r w:rsidRPr="00885DFB">
        <w:rPr>
          <w:rFonts w:asciiTheme="majorBidi" w:eastAsia="Calibri" w:hAnsiTheme="majorBidi" w:cstheme="majorBidi"/>
        </w:rPr>
        <w:t xml:space="preserve">the ideal study would include patients in the UK or a country with a similar demographic and healthcare </w:t>
      </w:r>
      <w:proofErr w:type="gramStart"/>
      <w:r w:rsidRPr="00885DFB">
        <w:rPr>
          <w:rFonts w:asciiTheme="majorBidi" w:eastAsia="Calibri" w:hAnsiTheme="majorBidi" w:cstheme="majorBidi"/>
        </w:rPr>
        <w:t>system, and</w:t>
      </w:r>
      <w:proofErr w:type="gramEnd"/>
      <w:r w:rsidRPr="00885DFB">
        <w:rPr>
          <w:rFonts w:asciiTheme="majorBidi" w:eastAsia="Calibri" w:hAnsiTheme="majorBidi" w:cstheme="majorBidi"/>
        </w:rPr>
        <w:t xml:space="preserve"> would be in the sites of interest.</w:t>
      </w:r>
    </w:p>
    <w:p w14:paraId="55F16BCF" w14:textId="0DE847E8" w:rsidR="00C07A38" w:rsidRPr="006E4E83" w:rsidRDefault="00C07A38" w:rsidP="00B674A1">
      <w:pPr>
        <w:pStyle w:val="Heading3"/>
        <w:ind w:left="1276" w:hanging="567"/>
        <w:rPr>
          <w:rFonts w:asciiTheme="majorBidi" w:hAnsiTheme="majorBidi"/>
          <w:sz w:val="26"/>
          <w:szCs w:val="26"/>
        </w:rPr>
      </w:pPr>
      <w:bookmarkStart w:id="97" w:name="_Toc87462984"/>
      <w:bookmarkEnd w:id="95"/>
      <w:r w:rsidRPr="006E4E83">
        <w:rPr>
          <w:rFonts w:asciiTheme="majorBidi" w:hAnsiTheme="majorBidi"/>
          <w:sz w:val="26"/>
          <w:szCs w:val="26"/>
        </w:rPr>
        <w:t>4.2.3</w:t>
      </w:r>
      <w:r w:rsidRPr="006E4E83">
        <w:rPr>
          <w:rFonts w:asciiTheme="majorBidi" w:hAnsiTheme="majorBidi"/>
          <w:sz w:val="26"/>
          <w:szCs w:val="26"/>
        </w:rPr>
        <w:tab/>
      </w:r>
      <w:r w:rsidR="00FE2007" w:rsidRPr="006E4E83">
        <w:rPr>
          <w:rFonts w:asciiTheme="majorBidi" w:hAnsiTheme="majorBidi"/>
          <w:sz w:val="26"/>
          <w:szCs w:val="26"/>
        </w:rPr>
        <w:t>Review</w:t>
      </w:r>
      <w:r w:rsidR="00A508ED" w:rsidRPr="006E4E83">
        <w:rPr>
          <w:rFonts w:asciiTheme="majorBidi" w:hAnsiTheme="majorBidi"/>
          <w:sz w:val="26"/>
          <w:szCs w:val="26"/>
        </w:rPr>
        <w:t xml:space="preserve"> 3</w:t>
      </w:r>
      <w:bookmarkEnd w:id="97"/>
      <w:r w:rsidR="00885DFB" w:rsidRPr="006E4E83">
        <w:rPr>
          <w:rFonts w:asciiTheme="majorBidi" w:hAnsiTheme="majorBidi"/>
          <w:sz w:val="26"/>
          <w:szCs w:val="26"/>
        </w:rPr>
        <w:t xml:space="preserve"> </w:t>
      </w:r>
      <w:r w:rsidR="004822E9" w:rsidRPr="006E4E83">
        <w:rPr>
          <w:rFonts w:asciiTheme="majorBidi" w:hAnsiTheme="majorBidi"/>
          <w:sz w:val="26"/>
          <w:szCs w:val="26"/>
        </w:rPr>
        <w:t xml:space="preserve"> </w:t>
      </w:r>
    </w:p>
    <w:p w14:paraId="402E6D30" w14:textId="4A98E7E7" w:rsidR="00885DFB" w:rsidRPr="00C07A38" w:rsidRDefault="00C07A38" w:rsidP="00C07A38">
      <w:pPr>
        <w:rPr>
          <w:rFonts w:asciiTheme="majorBidi" w:eastAsia="Calibri" w:hAnsiTheme="majorBidi" w:cstheme="majorBidi"/>
          <w:b/>
          <w:bCs/>
        </w:rPr>
      </w:pPr>
      <w:r w:rsidRPr="00C07A38">
        <w:rPr>
          <w:rFonts w:asciiTheme="majorBidi" w:eastAsia="Calibri" w:hAnsiTheme="majorBidi" w:cstheme="majorBidi"/>
          <w:b/>
          <w:bCs/>
        </w:rPr>
        <w:t xml:space="preserve">Review question: </w:t>
      </w:r>
      <w:r w:rsidR="00885DFB" w:rsidRPr="00C07A38">
        <w:rPr>
          <w:rFonts w:asciiTheme="majorBidi" w:eastAsia="Calibri" w:hAnsiTheme="majorBidi" w:cstheme="majorBidi"/>
          <w:b/>
          <w:bCs/>
        </w:rPr>
        <w:t>What is the comparative effectiveness of the treatment and comparators based on in-vitro susceptibility studies?</w:t>
      </w:r>
    </w:p>
    <w:p w14:paraId="501FB429" w14:textId="273EAA3E" w:rsidR="00885DFB" w:rsidRDefault="00885DFB" w:rsidP="00885DFB">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Because of their </w:t>
      </w:r>
      <w:r w:rsidR="00D86E3D" w:rsidRPr="00D86E3D">
        <w:rPr>
          <w:rFonts w:asciiTheme="majorBidi" w:eastAsia="Calibri" w:hAnsiTheme="majorBidi" w:cstheme="majorBidi"/>
          <w:i/>
          <w:iCs/>
        </w:rPr>
        <w:t>in vitro</w:t>
      </w:r>
      <w:r w:rsidRPr="00885DFB">
        <w:rPr>
          <w:rFonts w:asciiTheme="majorBidi" w:eastAsia="Calibri" w:hAnsiTheme="majorBidi" w:cstheme="majorBidi"/>
        </w:rPr>
        <w:t xml:space="preserve"> nature, and since clinical experts to EEPRU indicated that the site of the infection the isolate was obtained from was unlikely to affect the susceptibility profile of the infecting pathogen, isolates could be collected from any site. </w:t>
      </w:r>
    </w:p>
    <w:p w14:paraId="2C3D2D3E" w14:textId="7A2C7640" w:rsidR="0037519F" w:rsidRPr="0037519F" w:rsidRDefault="0037519F" w:rsidP="0037519F">
      <w:pPr>
        <w:pStyle w:val="Caption"/>
        <w:rPr>
          <w:rFonts w:asciiTheme="majorBidi" w:hAnsiTheme="majorBidi" w:cstheme="majorBidi"/>
          <w:b/>
          <w:bCs/>
          <w:i w:val="0"/>
          <w:iCs w:val="0"/>
          <w:color w:val="auto"/>
          <w:sz w:val="22"/>
          <w:szCs w:val="22"/>
        </w:rPr>
      </w:pPr>
      <w:bookmarkStart w:id="98" w:name="_Ref84780789"/>
      <w:bookmarkStart w:id="99" w:name="_Toc86418980"/>
      <w:bookmarkStart w:id="100" w:name="_Hlk77764896"/>
      <w:r w:rsidRPr="006732B3">
        <w:rPr>
          <w:rFonts w:asciiTheme="majorBidi" w:hAnsiTheme="majorBidi" w:cstheme="majorBidi"/>
          <w:b/>
          <w:bCs/>
          <w:i w:val="0"/>
          <w:iCs w:val="0"/>
          <w:color w:val="auto"/>
          <w:sz w:val="22"/>
          <w:szCs w:val="22"/>
        </w:rPr>
        <w:t xml:space="preserve">Table </w:t>
      </w:r>
      <w:r w:rsidR="00F10F0A">
        <w:rPr>
          <w:rFonts w:asciiTheme="majorBidi" w:hAnsiTheme="majorBidi" w:cstheme="majorBidi"/>
          <w:b/>
          <w:bCs/>
          <w:i w:val="0"/>
          <w:iCs w:val="0"/>
          <w:noProof/>
          <w:color w:val="auto"/>
          <w:sz w:val="22"/>
          <w:szCs w:val="22"/>
        </w:rPr>
        <w:t>3</w:t>
      </w:r>
      <w:bookmarkEnd w:id="98"/>
      <w:r w:rsidRPr="006732B3">
        <w:rPr>
          <w:rFonts w:asciiTheme="majorBidi" w:hAnsiTheme="majorBidi" w:cstheme="majorBidi"/>
          <w:b/>
          <w:bCs/>
          <w:i w:val="0"/>
          <w:iCs w:val="0"/>
          <w:color w:val="auto"/>
          <w:sz w:val="22"/>
          <w:szCs w:val="22"/>
        </w:rPr>
        <w:tab/>
      </w:r>
      <w:r>
        <w:rPr>
          <w:rFonts w:asciiTheme="majorBidi" w:hAnsiTheme="majorBidi" w:cstheme="majorBidi"/>
          <w:b/>
          <w:bCs/>
          <w:i w:val="0"/>
          <w:iCs w:val="0"/>
          <w:color w:val="auto"/>
          <w:sz w:val="22"/>
          <w:szCs w:val="22"/>
        </w:rPr>
        <w:tab/>
      </w:r>
      <w:r w:rsidRPr="0037519F">
        <w:rPr>
          <w:rFonts w:asciiTheme="majorBidi" w:hAnsiTheme="majorBidi" w:cstheme="majorBidi"/>
          <w:b/>
          <w:bCs/>
          <w:i w:val="0"/>
          <w:iCs w:val="0"/>
          <w:color w:val="auto"/>
          <w:sz w:val="22"/>
          <w:szCs w:val="22"/>
        </w:rPr>
        <w:t>Summary of the approaches to estimating comparative efficacy and safety</w:t>
      </w:r>
      <w:bookmarkEnd w:id="99"/>
      <w:r w:rsidRPr="0037519F">
        <w:rPr>
          <w:rFonts w:asciiTheme="majorBidi" w:hAnsiTheme="majorBidi" w:cstheme="majorBidi"/>
          <w:b/>
          <w:bCs/>
          <w:i w:val="0"/>
          <w:iCs w:val="0"/>
          <w:color w:val="auto"/>
          <w:sz w:val="22"/>
          <w:szCs w:val="22"/>
        </w:rPr>
        <w:t xml:space="preserve"> </w:t>
      </w:r>
    </w:p>
    <w:tbl>
      <w:tblPr>
        <w:tblStyle w:val="TableGrid"/>
        <w:tblW w:w="0" w:type="auto"/>
        <w:tblLook w:val="04A0" w:firstRow="1" w:lastRow="0" w:firstColumn="1" w:lastColumn="0" w:noHBand="0" w:noVBand="1"/>
      </w:tblPr>
      <w:tblGrid>
        <w:gridCol w:w="1254"/>
        <w:gridCol w:w="1472"/>
        <w:gridCol w:w="2225"/>
        <w:gridCol w:w="1646"/>
        <w:gridCol w:w="1421"/>
        <w:gridCol w:w="998"/>
      </w:tblGrid>
      <w:tr w:rsidR="00815A88" w:rsidRPr="006732B3" w14:paraId="0C6B8C8E" w14:textId="77777777" w:rsidTr="00152448">
        <w:tc>
          <w:tcPr>
            <w:tcW w:w="0" w:type="auto"/>
          </w:tcPr>
          <w:p w14:paraId="2A037D35" w14:textId="77777777" w:rsidR="0037519F" w:rsidRPr="006732B3" w:rsidRDefault="0037519F" w:rsidP="00152448">
            <w:pPr>
              <w:rPr>
                <w:rFonts w:asciiTheme="majorBidi" w:hAnsiTheme="majorBidi" w:cstheme="majorBidi"/>
                <w:b/>
                <w:bCs/>
              </w:rPr>
            </w:pPr>
            <w:r w:rsidRPr="006732B3">
              <w:rPr>
                <w:rFonts w:asciiTheme="majorBidi" w:hAnsiTheme="majorBidi" w:cstheme="majorBidi"/>
                <w:b/>
                <w:bCs/>
              </w:rPr>
              <w:t>Approach number</w:t>
            </w:r>
          </w:p>
        </w:tc>
        <w:tc>
          <w:tcPr>
            <w:tcW w:w="0" w:type="auto"/>
          </w:tcPr>
          <w:p w14:paraId="62E72D6C" w14:textId="36AB6820" w:rsidR="0037519F" w:rsidRPr="006732B3" w:rsidRDefault="00512409" w:rsidP="00152448">
            <w:pPr>
              <w:rPr>
                <w:rFonts w:asciiTheme="majorBidi" w:hAnsiTheme="majorBidi" w:cstheme="majorBidi"/>
                <w:b/>
                <w:bCs/>
              </w:rPr>
            </w:pPr>
            <w:r>
              <w:rPr>
                <w:rFonts w:asciiTheme="majorBidi" w:hAnsiTheme="majorBidi" w:cstheme="majorBidi"/>
                <w:b/>
                <w:bCs/>
              </w:rPr>
              <w:t>Study</w:t>
            </w:r>
            <w:r w:rsidR="0037519F" w:rsidRPr="006732B3">
              <w:rPr>
                <w:rFonts w:asciiTheme="majorBidi" w:hAnsiTheme="majorBidi" w:cstheme="majorBidi"/>
                <w:b/>
                <w:bCs/>
              </w:rPr>
              <w:t xml:space="preserve"> designs</w:t>
            </w:r>
          </w:p>
        </w:tc>
        <w:tc>
          <w:tcPr>
            <w:tcW w:w="0" w:type="auto"/>
          </w:tcPr>
          <w:p w14:paraId="59C679E6" w14:textId="77777777" w:rsidR="0037519F" w:rsidRPr="006732B3" w:rsidRDefault="0037519F" w:rsidP="00152448">
            <w:pPr>
              <w:rPr>
                <w:rFonts w:asciiTheme="majorBidi" w:hAnsiTheme="majorBidi" w:cstheme="majorBidi"/>
                <w:b/>
                <w:bCs/>
              </w:rPr>
            </w:pPr>
            <w:r w:rsidRPr="006732B3">
              <w:rPr>
                <w:rFonts w:asciiTheme="majorBidi" w:hAnsiTheme="majorBidi" w:cstheme="majorBidi"/>
                <w:b/>
                <w:bCs/>
              </w:rPr>
              <w:t>Review question and number</w:t>
            </w:r>
          </w:p>
        </w:tc>
        <w:tc>
          <w:tcPr>
            <w:tcW w:w="0" w:type="auto"/>
          </w:tcPr>
          <w:p w14:paraId="2E3F5B73" w14:textId="77777777" w:rsidR="0037519F" w:rsidRPr="006732B3" w:rsidRDefault="0037519F" w:rsidP="00152448">
            <w:pPr>
              <w:rPr>
                <w:rFonts w:asciiTheme="majorBidi" w:hAnsiTheme="majorBidi" w:cstheme="majorBidi"/>
                <w:b/>
                <w:bCs/>
              </w:rPr>
            </w:pPr>
            <w:r w:rsidRPr="006732B3">
              <w:rPr>
                <w:rFonts w:asciiTheme="majorBidi" w:hAnsiTheme="majorBidi" w:cstheme="majorBidi"/>
                <w:b/>
                <w:bCs/>
              </w:rPr>
              <w:t>Analytical approach</w:t>
            </w:r>
          </w:p>
        </w:tc>
        <w:tc>
          <w:tcPr>
            <w:tcW w:w="0" w:type="auto"/>
          </w:tcPr>
          <w:p w14:paraId="4FA41E06" w14:textId="77777777" w:rsidR="0037519F" w:rsidRPr="006732B3" w:rsidRDefault="0037519F" w:rsidP="00152448">
            <w:pPr>
              <w:rPr>
                <w:rFonts w:asciiTheme="majorBidi" w:hAnsiTheme="majorBidi" w:cstheme="majorBidi"/>
                <w:b/>
                <w:bCs/>
              </w:rPr>
            </w:pPr>
            <w:r w:rsidRPr="006732B3">
              <w:rPr>
                <w:rFonts w:asciiTheme="majorBidi" w:hAnsiTheme="majorBidi" w:cstheme="majorBidi"/>
                <w:b/>
                <w:bCs/>
              </w:rPr>
              <w:t>Taken forward (with reasons)?</w:t>
            </w:r>
          </w:p>
        </w:tc>
        <w:tc>
          <w:tcPr>
            <w:tcW w:w="0" w:type="auto"/>
          </w:tcPr>
          <w:p w14:paraId="66209E73" w14:textId="316892CA" w:rsidR="0037519F" w:rsidRPr="006732B3" w:rsidRDefault="00504107" w:rsidP="00152448">
            <w:pPr>
              <w:rPr>
                <w:rFonts w:asciiTheme="majorBidi" w:hAnsiTheme="majorBidi" w:cstheme="majorBidi"/>
                <w:b/>
                <w:bCs/>
              </w:rPr>
            </w:pPr>
            <w:r>
              <w:rPr>
                <w:rFonts w:asciiTheme="majorBidi" w:hAnsiTheme="majorBidi" w:cstheme="majorBidi"/>
                <w:b/>
                <w:bCs/>
              </w:rPr>
              <w:t>Results</w:t>
            </w:r>
            <w:r w:rsidR="0037519F" w:rsidRPr="006732B3">
              <w:rPr>
                <w:rFonts w:asciiTheme="majorBidi" w:hAnsiTheme="majorBidi" w:cstheme="majorBidi"/>
                <w:b/>
                <w:bCs/>
              </w:rPr>
              <w:t xml:space="preserve"> </w:t>
            </w:r>
          </w:p>
        </w:tc>
      </w:tr>
      <w:tr w:rsidR="00815A88" w:rsidRPr="006732B3" w14:paraId="6ABDBBFC" w14:textId="77777777" w:rsidTr="00152448">
        <w:tc>
          <w:tcPr>
            <w:tcW w:w="0" w:type="auto"/>
          </w:tcPr>
          <w:p w14:paraId="14FBD0D8" w14:textId="39A98A16" w:rsidR="0037519F" w:rsidRPr="006732B3" w:rsidRDefault="0037519F" w:rsidP="00152448">
            <w:pPr>
              <w:rPr>
                <w:rFonts w:asciiTheme="majorBidi" w:hAnsiTheme="majorBidi" w:cstheme="majorBidi"/>
              </w:rPr>
            </w:pPr>
            <w:r w:rsidRPr="006732B3">
              <w:rPr>
                <w:rFonts w:asciiTheme="majorBidi" w:hAnsiTheme="majorBidi" w:cstheme="majorBidi"/>
              </w:rPr>
              <w:t>1</w:t>
            </w:r>
          </w:p>
        </w:tc>
        <w:tc>
          <w:tcPr>
            <w:tcW w:w="0" w:type="auto"/>
          </w:tcPr>
          <w:p w14:paraId="1B87BD39" w14:textId="77777777" w:rsidR="0037519F" w:rsidRPr="006732B3" w:rsidRDefault="0037519F" w:rsidP="00152448">
            <w:pPr>
              <w:rPr>
                <w:rFonts w:asciiTheme="majorBidi" w:hAnsiTheme="majorBidi" w:cstheme="majorBidi"/>
              </w:rPr>
            </w:pPr>
            <w:r w:rsidRPr="006732B3">
              <w:rPr>
                <w:rFonts w:asciiTheme="majorBidi" w:hAnsiTheme="majorBidi" w:cstheme="majorBidi"/>
              </w:rPr>
              <w:t>RCTs</w:t>
            </w:r>
          </w:p>
        </w:tc>
        <w:tc>
          <w:tcPr>
            <w:tcW w:w="0" w:type="auto"/>
          </w:tcPr>
          <w:p w14:paraId="4172E383" w14:textId="2CC0BC59" w:rsidR="0037519F" w:rsidRPr="006732B3" w:rsidRDefault="0037519F" w:rsidP="00756514">
            <w:pPr>
              <w:rPr>
                <w:rFonts w:asciiTheme="majorBidi" w:hAnsiTheme="majorBidi" w:cstheme="majorBidi"/>
              </w:rPr>
            </w:pPr>
            <w:r w:rsidRPr="006732B3">
              <w:rPr>
                <w:rFonts w:asciiTheme="majorBidi" w:hAnsiTheme="majorBidi" w:cstheme="majorBidi"/>
              </w:rPr>
              <w:t xml:space="preserve">1. Based on RCT evidence, what is the comparative effectiveness of the intervention and comparators in patients with </w:t>
            </w:r>
            <w:proofErr w:type="spellStart"/>
            <w:r w:rsidRPr="006732B3">
              <w:rPr>
                <w:rFonts w:asciiTheme="majorBidi" w:hAnsiTheme="majorBidi" w:cstheme="majorBidi"/>
              </w:rPr>
              <w:t>cUTI</w:t>
            </w:r>
            <w:proofErr w:type="spellEnd"/>
            <w:r w:rsidRPr="006732B3">
              <w:rPr>
                <w:rFonts w:asciiTheme="majorBidi" w:hAnsiTheme="majorBidi" w:cstheme="majorBidi"/>
              </w:rPr>
              <w:t xml:space="preserve"> or HAP/VAP caused by a</w:t>
            </w:r>
            <w:r w:rsidR="00FE2007">
              <w:rPr>
                <w:rFonts w:asciiTheme="majorBidi" w:hAnsiTheme="majorBidi" w:cstheme="majorBidi"/>
              </w:rPr>
              <w:t>n</w:t>
            </w:r>
            <w:r w:rsidRPr="006732B3">
              <w:rPr>
                <w:rFonts w:asciiTheme="majorBidi" w:hAnsiTheme="majorBidi" w:cstheme="majorBidi"/>
              </w:rPr>
              <w:t xml:space="preserve">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Pr="006732B3">
              <w:rPr>
                <w:rFonts w:asciiTheme="majorBidi" w:hAnsiTheme="majorBidi" w:cstheme="majorBidi"/>
              </w:rPr>
              <w:t xml:space="preserve"> infection?</w:t>
            </w:r>
          </w:p>
        </w:tc>
        <w:tc>
          <w:tcPr>
            <w:tcW w:w="0" w:type="auto"/>
          </w:tcPr>
          <w:p w14:paraId="6F8EEE15" w14:textId="77777777" w:rsidR="0037519F" w:rsidRPr="006732B3" w:rsidRDefault="0037519F" w:rsidP="00152448">
            <w:pPr>
              <w:rPr>
                <w:rFonts w:asciiTheme="majorBidi" w:hAnsiTheme="majorBidi" w:cstheme="majorBidi"/>
              </w:rPr>
            </w:pPr>
            <w:r w:rsidRPr="006732B3">
              <w:rPr>
                <w:rFonts w:asciiTheme="majorBidi" w:hAnsiTheme="majorBidi" w:cstheme="majorBidi"/>
              </w:rPr>
              <w:t xml:space="preserve">NMA to estimate comparative efficacy </w:t>
            </w:r>
          </w:p>
        </w:tc>
        <w:tc>
          <w:tcPr>
            <w:tcW w:w="0" w:type="auto"/>
          </w:tcPr>
          <w:p w14:paraId="59507F22" w14:textId="3823412A" w:rsidR="0037519F" w:rsidRPr="006732B3" w:rsidRDefault="0037519F" w:rsidP="00152448">
            <w:pPr>
              <w:rPr>
                <w:rFonts w:asciiTheme="majorBidi" w:hAnsiTheme="majorBidi" w:cstheme="majorBidi"/>
              </w:rPr>
            </w:pPr>
            <w:r w:rsidRPr="006732B3">
              <w:rPr>
                <w:rFonts w:asciiTheme="majorBidi" w:hAnsiTheme="majorBidi" w:cstheme="majorBidi"/>
              </w:rPr>
              <w:t>No, insufficient evidence in patients with OXA-48 infections</w:t>
            </w:r>
          </w:p>
        </w:tc>
        <w:tc>
          <w:tcPr>
            <w:tcW w:w="0" w:type="auto"/>
          </w:tcPr>
          <w:p w14:paraId="002A1D96" w14:textId="0DD897F0" w:rsidR="0037519F" w:rsidRPr="006732B3" w:rsidRDefault="00DC41F5" w:rsidP="00152448">
            <w:pPr>
              <w:rPr>
                <w:rFonts w:asciiTheme="majorBidi" w:hAnsiTheme="majorBidi" w:cstheme="majorBidi"/>
              </w:rPr>
            </w:pPr>
            <w:r w:rsidRPr="006732B3">
              <w:rPr>
                <w:rFonts w:asciiTheme="majorBidi" w:hAnsiTheme="majorBidi" w:cstheme="majorBidi"/>
              </w:rPr>
              <w:t>Section 4.4.</w:t>
            </w:r>
            <w:r w:rsidR="002B12D8">
              <w:rPr>
                <w:rFonts w:asciiTheme="majorBidi" w:hAnsiTheme="majorBidi" w:cstheme="majorBidi"/>
              </w:rPr>
              <w:t>2</w:t>
            </w:r>
          </w:p>
        </w:tc>
      </w:tr>
      <w:tr w:rsidR="00815A88" w:rsidRPr="006732B3" w14:paraId="3E55E1BA" w14:textId="77777777" w:rsidTr="00152448">
        <w:tc>
          <w:tcPr>
            <w:tcW w:w="0" w:type="auto"/>
          </w:tcPr>
          <w:p w14:paraId="0BE1B11B" w14:textId="77777777" w:rsidR="0037519F" w:rsidRPr="006732B3" w:rsidRDefault="0037519F" w:rsidP="00152448">
            <w:pPr>
              <w:rPr>
                <w:rFonts w:asciiTheme="majorBidi" w:hAnsiTheme="majorBidi" w:cstheme="majorBidi"/>
              </w:rPr>
            </w:pPr>
            <w:r w:rsidRPr="006732B3">
              <w:rPr>
                <w:rFonts w:asciiTheme="majorBidi" w:hAnsiTheme="majorBidi" w:cstheme="majorBidi"/>
              </w:rPr>
              <w:t>2</w:t>
            </w:r>
          </w:p>
        </w:tc>
        <w:tc>
          <w:tcPr>
            <w:tcW w:w="0" w:type="auto"/>
          </w:tcPr>
          <w:p w14:paraId="6C5412A7" w14:textId="77777777" w:rsidR="0037519F" w:rsidRPr="006732B3" w:rsidRDefault="0037519F" w:rsidP="00152448">
            <w:pPr>
              <w:rPr>
                <w:rFonts w:asciiTheme="majorBidi" w:hAnsiTheme="majorBidi" w:cstheme="majorBidi"/>
              </w:rPr>
            </w:pPr>
            <w:r w:rsidRPr="006732B3">
              <w:rPr>
                <w:rFonts w:asciiTheme="majorBidi" w:hAnsiTheme="majorBidi" w:cstheme="majorBidi"/>
              </w:rPr>
              <w:t>Observational studies</w:t>
            </w:r>
          </w:p>
        </w:tc>
        <w:tc>
          <w:tcPr>
            <w:tcW w:w="0" w:type="auto"/>
          </w:tcPr>
          <w:p w14:paraId="705C7332" w14:textId="071BC994" w:rsidR="0037519F" w:rsidRPr="006732B3" w:rsidRDefault="0037519F" w:rsidP="00756514">
            <w:pPr>
              <w:rPr>
                <w:rFonts w:asciiTheme="majorBidi" w:hAnsiTheme="majorBidi" w:cstheme="majorBidi"/>
              </w:rPr>
            </w:pPr>
            <w:r w:rsidRPr="006732B3">
              <w:rPr>
                <w:rFonts w:asciiTheme="majorBidi" w:eastAsia="Calibri" w:hAnsiTheme="majorBidi" w:cstheme="majorBidi"/>
              </w:rPr>
              <w:t>2. Based on observational studies, w</w:t>
            </w:r>
            <w:r w:rsidRPr="006732B3">
              <w:rPr>
                <w:rFonts w:asciiTheme="majorBidi" w:hAnsiTheme="majorBidi" w:cstheme="majorBidi"/>
              </w:rPr>
              <w:t xml:space="preserve">hat is the comparative effectiveness of the intervention and comparators in patients with </w:t>
            </w:r>
            <w:proofErr w:type="spellStart"/>
            <w:r w:rsidR="002E4733" w:rsidRPr="006732B3">
              <w:rPr>
                <w:rFonts w:asciiTheme="majorBidi" w:hAnsiTheme="majorBidi" w:cstheme="majorBidi"/>
              </w:rPr>
              <w:t>cUTI</w:t>
            </w:r>
            <w:proofErr w:type="spellEnd"/>
            <w:r w:rsidR="002E4733" w:rsidRPr="006732B3">
              <w:rPr>
                <w:rFonts w:asciiTheme="majorBidi" w:hAnsiTheme="majorBidi" w:cstheme="majorBidi"/>
              </w:rPr>
              <w:t xml:space="preserve"> or HAP/VAP caused by a</w:t>
            </w:r>
            <w:r w:rsidR="00FE2007">
              <w:rPr>
                <w:rFonts w:asciiTheme="majorBidi" w:hAnsiTheme="majorBidi" w:cstheme="majorBidi"/>
              </w:rPr>
              <w:t>n</w:t>
            </w:r>
            <w:r w:rsidR="002E4733" w:rsidRPr="006732B3">
              <w:rPr>
                <w:rFonts w:asciiTheme="majorBidi" w:hAnsiTheme="majorBidi" w:cstheme="majorBidi"/>
              </w:rPr>
              <w:t xml:space="preserve">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002E4733" w:rsidRPr="006732B3">
              <w:rPr>
                <w:rFonts w:asciiTheme="majorBidi" w:hAnsiTheme="majorBidi" w:cstheme="majorBidi"/>
              </w:rPr>
              <w:t xml:space="preserve"> infection?</w:t>
            </w:r>
          </w:p>
        </w:tc>
        <w:tc>
          <w:tcPr>
            <w:tcW w:w="0" w:type="auto"/>
          </w:tcPr>
          <w:p w14:paraId="25BC3FF9" w14:textId="77777777" w:rsidR="0037519F" w:rsidRPr="006732B3" w:rsidRDefault="0037519F" w:rsidP="00152448">
            <w:pPr>
              <w:rPr>
                <w:rFonts w:asciiTheme="majorBidi" w:hAnsiTheme="majorBidi" w:cstheme="majorBidi"/>
              </w:rPr>
            </w:pPr>
            <w:r w:rsidRPr="006732B3">
              <w:rPr>
                <w:rFonts w:asciiTheme="majorBidi" w:hAnsiTheme="majorBidi" w:cstheme="majorBidi"/>
              </w:rPr>
              <w:t>Matched analysis</w:t>
            </w:r>
          </w:p>
        </w:tc>
        <w:tc>
          <w:tcPr>
            <w:tcW w:w="0" w:type="auto"/>
          </w:tcPr>
          <w:p w14:paraId="41EF0235" w14:textId="0FA042D0" w:rsidR="0037519F" w:rsidRPr="006732B3" w:rsidRDefault="0037519F" w:rsidP="00152448">
            <w:pPr>
              <w:rPr>
                <w:rFonts w:asciiTheme="majorBidi" w:hAnsiTheme="majorBidi" w:cstheme="majorBidi"/>
              </w:rPr>
            </w:pPr>
            <w:r w:rsidRPr="006732B3">
              <w:rPr>
                <w:rFonts w:asciiTheme="majorBidi" w:hAnsiTheme="majorBidi" w:cstheme="majorBidi"/>
              </w:rPr>
              <w:t xml:space="preserve">No, </w:t>
            </w:r>
            <w:r w:rsidR="00815A88" w:rsidRPr="006732B3">
              <w:rPr>
                <w:rFonts w:asciiTheme="majorBidi" w:hAnsiTheme="majorBidi" w:cstheme="majorBidi"/>
              </w:rPr>
              <w:t xml:space="preserve">small studies, </w:t>
            </w:r>
            <w:r w:rsidRPr="006732B3">
              <w:rPr>
                <w:rFonts w:asciiTheme="majorBidi" w:hAnsiTheme="majorBidi" w:cstheme="majorBidi"/>
              </w:rPr>
              <w:t xml:space="preserve">data not reported </w:t>
            </w:r>
            <w:r w:rsidR="00815A88" w:rsidRPr="006732B3">
              <w:rPr>
                <w:rFonts w:asciiTheme="majorBidi" w:hAnsiTheme="majorBidi" w:cstheme="majorBidi"/>
              </w:rPr>
              <w:t>specific to</w:t>
            </w:r>
            <w:r w:rsidRPr="006732B3">
              <w:rPr>
                <w:rFonts w:asciiTheme="majorBidi" w:hAnsiTheme="majorBidi" w:cstheme="majorBidi"/>
              </w:rPr>
              <w:t xml:space="preserve"> the sites of interest; IPD not available</w:t>
            </w:r>
          </w:p>
        </w:tc>
        <w:tc>
          <w:tcPr>
            <w:tcW w:w="0" w:type="auto"/>
          </w:tcPr>
          <w:p w14:paraId="0934816D" w14:textId="27963A08" w:rsidR="0037519F" w:rsidRPr="006732B3" w:rsidRDefault="00DC41F5" w:rsidP="00152448">
            <w:pPr>
              <w:rPr>
                <w:rFonts w:asciiTheme="majorBidi" w:hAnsiTheme="majorBidi" w:cstheme="majorBidi"/>
              </w:rPr>
            </w:pPr>
            <w:r w:rsidRPr="006732B3">
              <w:rPr>
                <w:rFonts w:asciiTheme="majorBidi" w:hAnsiTheme="majorBidi" w:cstheme="majorBidi"/>
              </w:rPr>
              <w:t>Section 4.4.</w:t>
            </w:r>
            <w:r w:rsidR="002B12D8">
              <w:rPr>
                <w:rFonts w:asciiTheme="majorBidi" w:hAnsiTheme="majorBidi" w:cstheme="majorBidi"/>
              </w:rPr>
              <w:t>2</w:t>
            </w:r>
          </w:p>
        </w:tc>
      </w:tr>
      <w:tr w:rsidR="00815A88" w:rsidRPr="006732B3" w14:paraId="6F1C6792" w14:textId="77777777" w:rsidTr="00152448">
        <w:tc>
          <w:tcPr>
            <w:tcW w:w="0" w:type="auto"/>
          </w:tcPr>
          <w:p w14:paraId="7FC18012" w14:textId="77777777" w:rsidR="0093357A" w:rsidRPr="006732B3" w:rsidRDefault="0093357A" w:rsidP="00152448">
            <w:pPr>
              <w:rPr>
                <w:rFonts w:asciiTheme="majorBidi" w:hAnsiTheme="majorBidi" w:cstheme="majorBidi"/>
              </w:rPr>
            </w:pPr>
            <w:r w:rsidRPr="006732B3">
              <w:rPr>
                <w:rFonts w:asciiTheme="majorBidi" w:hAnsiTheme="majorBidi" w:cstheme="majorBidi"/>
              </w:rPr>
              <w:lastRenderedPageBreak/>
              <w:t>3</w:t>
            </w:r>
          </w:p>
        </w:tc>
        <w:tc>
          <w:tcPr>
            <w:tcW w:w="0" w:type="auto"/>
          </w:tcPr>
          <w:p w14:paraId="3D5B3B22" w14:textId="77777777" w:rsidR="0093357A" w:rsidRPr="006732B3" w:rsidRDefault="0093357A" w:rsidP="00152448">
            <w:pPr>
              <w:rPr>
                <w:rFonts w:asciiTheme="majorBidi" w:hAnsiTheme="majorBidi" w:cstheme="majorBidi"/>
              </w:rPr>
            </w:pPr>
            <w:r w:rsidRPr="006732B3">
              <w:rPr>
                <w:rFonts w:asciiTheme="majorBidi" w:hAnsiTheme="majorBidi" w:cstheme="majorBidi"/>
              </w:rPr>
              <w:t>Susceptibility studies</w:t>
            </w:r>
          </w:p>
        </w:tc>
        <w:tc>
          <w:tcPr>
            <w:tcW w:w="0" w:type="auto"/>
          </w:tcPr>
          <w:p w14:paraId="6FF86648" w14:textId="307E064D" w:rsidR="0093357A" w:rsidRPr="006732B3" w:rsidRDefault="0093357A" w:rsidP="00152448">
            <w:pPr>
              <w:rPr>
                <w:rFonts w:asciiTheme="majorBidi" w:hAnsiTheme="majorBidi" w:cstheme="majorBidi"/>
              </w:rPr>
            </w:pPr>
            <w:r w:rsidRPr="006732B3">
              <w:rPr>
                <w:rFonts w:asciiTheme="majorBidi" w:hAnsiTheme="majorBidi" w:cstheme="majorBidi"/>
              </w:rPr>
              <w:t>3. What is the comparative effectiveness of the treatm</w:t>
            </w:r>
            <w:r w:rsidR="00512409">
              <w:rPr>
                <w:rFonts w:asciiTheme="majorBidi" w:hAnsiTheme="majorBidi" w:cstheme="majorBidi"/>
              </w:rPr>
              <w:t xml:space="preserve">ent and comparators based on </w:t>
            </w:r>
            <w:r w:rsidR="00512409" w:rsidRPr="00512409">
              <w:rPr>
                <w:rFonts w:asciiTheme="majorBidi" w:hAnsiTheme="majorBidi" w:cstheme="majorBidi"/>
                <w:i/>
              </w:rPr>
              <w:t xml:space="preserve">in </w:t>
            </w:r>
            <w:r w:rsidRPr="00512409">
              <w:rPr>
                <w:rFonts w:asciiTheme="majorBidi" w:hAnsiTheme="majorBidi" w:cstheme="majorBidi"/>
                <w:i/>
              </w:rPr>
              <w:t>vitro</w:t>
            </w:r>
            <w:r w:rsidRPr="006732B3">
              <w:rPr>
                <w:rFonts w:asciiTheme="majorBidi" w:hAnsiTheme="majorBidi" w:cstheme="majorBidi"/>
              </w:rPr>
              <w:t xml:space="preserve"> susceptibility studies?</w:t>
            </w:r>
          </w:p>
        </w:tc>
        <w:tc>
          <w:tcPr>
            <w:tcW w:w="0" w:type="auto"/>
          </w:tcPr>
          <w:p w14:paraId="2778DDAE" w14:textId="34F7B4A5" w:rsidR="0093357A" w:rsidRPr="006732B3" w:rsidRDefault="0093357A" w:rsidP="00152448">
            <w:pPr>
              <w:rPr>
                <w:rFonts w:asciiTheme="majorBidi" w:hAnsiTheme="majorBidi" w:cstheme="majorBidi"/>
              </w:rPr>
            </w:pPr>
            <w:r w:rsidRPr="006732B3">
              <w:rPr>
                <w:rFonts w:asciiTheme="majorBidi" w:hAnsiTheme="majorBidi" w:cstheme="majorBidi"/>
              </w:rPr>
              <w:t xml:space="preserve">NMA to estimate comparative efficacy from susceptibility studies; link susceptibility to clinical outcomes </w:t>
            </w:r>
          </w:p>
        </w:tc>
        <w:tc>
          <w:tcPr>
            <w:tcW w:w="0" w:type="auto"/>
          </w:tcPr>
          <w:p w14:paraId="62DD2A0F" w14:textId="77777777" w:rsidR="0093357A" w:rsidRPr="006732B3" w:rsidRDefault="0093357A" w:rsidP="00152448">
            <w:pPr>
              <w:rPr>
                <w:rFonts w:asciiTheme="majorBidi" w:hAnsiTheme="majorBidi" w:cstheme="majorBidi"/>
              </w:rPr>
            </w:pPr>
            <w:r w:rsidRPr="006732B3">
              <w:rPr>
                <w:rFonts w:asciiTheme="majorBidi" w:hAnsiTheme="majorBidi" w:cstheme="majorBidi"/>
              </w:rPr>
              <w:t>Yes</w:t>
            </w:r>
          </w:p>
        </w:tc>
        <w:tc>
          <w:tcPr>
            <w:tcW w:w="0" w:type="auto"/>
          </w:tcPr>
          <w:p w14:paraId="59A37716" w14:textId="26D86909" w:rsidR="0093357A" w:rsidRPr="006732B3" w:rsidRDefault="0093357A" w:rsidP="00152448">
            <w:pPr>
              <w:rPr>
                <w:rFonts w:asciiTheme="majorBidi" w:hAnsiTheme="majorBidi" w:cstheme="majorBidi"/>
              </w:rPr>
            </w:pPr>
            <w:r w:rsidRPr="006732B3">
              <w:rPr>
                <w:rFonts w:asciiTheme="majorBidi" w:hAnsiTheme="majorBidi" w:cstheme="majorBidi"/>
              </w:rPr>
              <w:t xml:space="preserve">Sections </w:t>
            </w:r>
            <w:r w:rsidR="00DC41F5" w:rsidRPr="006732B3">
              <w:rPr>
                <w:rFonts w:asciiTheme="majorBidi" w:hAnsiTheme="majorBidi" w:cstheme="majorBidi"/>
              </w:rPr>
              <w:t>4.4.</w:t>
            </w:r>
            <w:r w:rsidR="002B12D8">
              <w:rPr>
                <w:rFonts w:asciiTheme="majorBidi" w:hAnsiTheme="majorBidi" w:cstheme="majorBidi"/>
              </w:rPr>
              <w:t>3</w:t>
            </w:r>
            <w:r w:rsidR="00504107">
              <w:rPr>
                <w:rFonts w:asciiTheme="majorBidi" w:hAnsiTheme="majorBidi" w:cstheme="majorBidi"/>
              </w:rPr>
              <w:t xml:space="preserve"> – 4.</w:t>
            </w:r>
            <w:r w:rsidR="002B12D8">
              <w:rPr>
                <w:rFonts w:asciiTheme="majorBidi" w:hAnsiTheme="majorBidi" w:cstheme="majorBidi"/>
              </w:rPr>
              <w:t>5.4</w:t>
            </w:r>
          </w:p>
        </w:tc>
      </w:tr>
      <w:tr w:rsidR="00815A88" w:rsidRPr="006732B3" w14:paraId="2428A509" w14:textId="77777777" w:rsidTr="00152448">
        <w:tc>
          <w:tcPr>
            <w:tcW w:w="0" w:type="auto"/>
          </w:tcPr>
          <w:p w14:paraId="2FBE516A" w14:textId="376B94F5" w:rsidR="0093357A" w:rsidRPr="006732B3" w:rsidRDefault="00D96F92" w:rsidP="00152448">
            <w:pPr>
              <w:rPr>
                <w:rFonts w:asciiTheme="majorBidi" w:hAnsiTheme="majorBidi" w:cstheme="majorBidi"/>
              </w:rPr>
            </w:pPr>
            <w:r>
              <w:rPr>
                <w:rFonts w:asciiTheme="majorBidi" w:hAnsiTheme="majorBidi" w:cstheme="majorBidi"/>
              </w:rPr>
              <w:t>3 (continued)</w:t>
            </w:r>
          </w:p>
        </w:tc>
        <w:tc>
          <w:tcPr>
            <w:tcW w:w="0" w:type="auto"/>
          </w:tcPr>
          <w:p w14:paraId="33460F46" w14:textId="77777777" w:rsidR="0093357A" w:rsidRPr="006732B3" w:rsidRDefault="0093357A" w:rsidP="00152448">
            <w:pPr>
              <w:rPr>
                <w:rFonts w:asciiTheme="majorBidi" w:hAnsiTheme="majorBidi" w:cstheme="majorBidi"/>
              </w:rPr>
            </w:pPr>
            <w:r w:rsidRPr="006732B3">
              <w:rPr>
                <w:rFonts w:asciiTheme="majorBidi" w:hAnsiTheme="majorBidi" w:cstheme="majorBidi"/>
              </w:rPr>
              <w:t>Any clinical study</w:t>
            </w:r>
          </w:p>
        </w:tc>
        <w:tc>
          <w:tcPr>
            <w:tcW w:w="0" w:type="auto"/>
          </w:tcPr>
          <w:p w14:paraId="21C4BA03" w14:textId="0B7323FA" w:rsidR="0093357A" w:rsidRPr="006732B3" w:rsidRDefault="0093357A" w:rsidP="00152448">
            <w:pPr>
              <w:rPr>
                <w:rFonts w:asciiTheme="majorBidi" w:hAnsiTheme="majorBidi" w:cstheme="majorBidi"/>
              </w:rPr>
            </w:pPr>
            <w:r w:rsidRPr="006732B3">
              <w:rPr>
                <w:rFonts w:asciiTheme="majorBidi" w:hAnsiTheme="majorBidi" w:cstheme="majorBidi"/>
              </w:rPr>
              <w:t xml:space="preserve">4. What is the link between </w:t>
            </w:r>
            <w:r w:rsidR="00D86E3D" w:rsidRPr="006732B3">
              <w:rPr>
                <w:rFonts w:asciiTheme="majorBidi" w:hAnsiTheme="majorBidi" w:cstheme="majorBidi"/>
                <w:i/>
                <w:iCs/>
              </w:rPr>
              <w:t>in vitro</w:t>
            </w:r>
            <w:r w:rsidRPr="006732B3">
              <w:rPr>
                <w:rFonts w:asciiTheme="majorBidi" w:hAnsiTheme="majorBidi" w:cstheme="majorBidi"/>
              </w:rPr>
              <w:t xml:space="preserve"> susceptibility and clinical outcomes from the published literature?</w:t>
            </w:r>
          </w:p>
        </w:tc>
        <w:tc>
          <w:tcPr>
            <w:tcW w:w="0" w:type="auto"/>
          </w:tcPr>
          <w:p w14:paraId="1320C6CE" w14:textId="36BBB131" w:rsidR="0093357A" w:rsidRPr="006732B3" w:rsidRDefault="00D96F92" w:rsidP="00152448">
            <w:pPr>
              <w:rPr>
                <w:rFonts w:asciiTheme="majorBidi" w:hAnsiTheme="majorBidi" w:cstheme="majorBidi"/>
              </w:rPr>
            </w:pPr>
            <w:r w:rsidRPr="006732B3">
              <w:rPr>
                <w:rFonts w:asciiTheme="majorBidi" w:hAnsiTheme="majorBidi" w:cstheme="majorBidi"/>
              </w:rPr>
              <w:t>MA to estimate comparative efficacy from susceptibility studies; link susceptibility to clinical outcomes</w:t>
            </w:r>
          </w:p>
        </w:tc>
        <w:tc>
          <w:tcPr>
            <w:tcW w:w="0" w:type="auto"/>
          </w:tcPr>
          <w:p w14:paraId="6B778BC6" w14:textId="6B0C50C4" w:rsidR="0093357A" w:rsidRPr="006732B3" w:rsidRDefault="00D96F92" w:rsidP="00152448">
            <w:pPr>
              <w:rPr>
                <w:rFonts w:asciiTheme="majorBidi" w:hAnsiTheme="majorBidi" w:cstheme="majorBidi"/>
              </w:rPr>
            </w:pPr>
            <w:r w:rsidRPr="006732B3">
              <w:rPr>
                <w:rFonts w:asciiTheme="majorBidi" w:hAnsiTheme="majorBidi" w:cstheme="majorBidi"/>
              </w:rPr>
              <w:t>Yes</w:t>
            </w:r>
          </w:p>
        </w:tc>
        <w:tc>
          <w:tcPr>
            <w:tcW w:w="0" w:type="auto"/>
          </w:tcPr>
          <w:p w14:paraId="643A1AF2" w14:textId="059679B0" w:rsidR="0093357A" w:rsidRPr="006732B3" w:rsidRDefault="001B21BC" w:rsidP="00152448">
            <w:pPr>
              <w:rPr>
                <w:rFonts w:asciiTheme="majorBidi" w:hAnsiTheme="majorBidi" w:cstheme="majorBidi"/>
              </w:rPr>
            </w:pPr>
            <w:r w:rsidRPr="006732B3">
              <w:rPr>
                <w:rFonts w:asciiTheme="majorBidi" w:hAnsiTheme="majorBidi" w:cstheme="majorBidi"/>
              </w:rPr>
              <w:t xml:space="preserve">Sections </w:t>
            </w:r>
            <w:r w:rsidR="00DC41F5" w:rsidRPr="006732B3">
              <w:rPr>
                <w:rFonts w:asciiTheme="majorBidi" w:hAnsiTheme="majorBidi" w:cstheme="majorBidi"/>
              </w:rPr>
              <w:t>4.6.2</w:t>
            </w:r>
          </w:p>
        </w:tc>
      </w:tr>
      <w:tr w:rsidR="00815A88" w:rsidRPr="006732B3" w14:paraId="52CAC74A" w14:textId="77777777" w:rsidTr="00152448">
        <w:tc>
          <w:tcPr>
            <w:tcW w:w="0" w:type="auto"/>
          </w:tcPr>
          <w:p w14:paraId="46500C0E" w14:textId="32904C85" w:rsidR="0093357A" w:rsidRPr="006732B3" w:rsidRDefault="00D96F92" w:rsidP="00152448">
            <w:pPr>
              <w:rPr>
                <w:rFonts w:asciiTheme="majorBidi" w:hAnsiTheme="majorBidi" w:cstheme="majorBidi"/>
              </w:rPr>
            </w:pPr>
            <w:r>
              <w:rPr>
                <w:rFonts w:asciiTheme="majorBidi" w:hAnsiTheme="majorBidi" w:cstheme="majorBidi"/>
              </w:rPr>
              <w:t>3 (continued)</w:t>
            </w:r>
          </w:p>
        </w:tc>
        <w:tc>
          <w:tcPr>
            <w:tcW w:w="0" w:type="auto"/>
          </w:tcPr>
          <w:p w14:paraId="07EB615C" w14:textId="77777777" w:rsidR="0093357A" w:rsidRPr="006732B3" w:rsidRDefault="0093357A" w:rsidP="00152448">
            <w:pPr>
              <w:rPr>
                <w:rFonts w:asciiTheme="majorBidi" w:hAnsiTheme="majorBidi" w:cstheme="majorBidi"/>
              </w:rPr>
            </w:pPr>
            <w:r w:rsidRPr="006732B3">
              <w:rPr>
                <w:rFonts w:asciiTheme="majorBidi" w:hAnsiTheme="majorBidi" w:cstheme="majorBidi"/>
              </w:rPr>
              <w:t>Any clinical study</w:t>
            </w:r>
          </w:p>
        </w:tc>
        <w:tc>
          <w:tcPr>
            <w:tcW w:w="0" w:type="auto"/>
          </w:tcPr>
          <w:p w14:paraId="6C02CBF4" w14:textId="65102470" w:rsidR="0093357A" w:rsidRPr="006732B3" w:rsidRDefault="0093357A" w:rsidP="00152448">
            <w:pPr>
              <w:rPr>
                <w:rFonts w:asciiTheme="majorBidi" w:hAnsiTheme="majorBidi" w:cstheme="majorBidi"/>
              </w:rPr>
            </w:pPr>
            <w:r w:rsidRPr="006732B3">
              <w:rPr>
                <w:rFonts w:asciiTheme="majorBidi" w:hAnsiTheme="majorBidi" w:cstheme="majorBidi"/>
              </w:rPr>
              <w:t xml:space="preserve">5. What is the long-term risk of mortality (and other outcomes) for patients with carbapenem-resistant </w:t>
            </w:r>
            <w:proofErr w:type="spellStart"/>
            <w:r w:rsidRPr="006732B3">
              <w:rPr>
                <w:rFonts w:asciiTheme="majorBidi" w:hAnsiTheme="majorBidi" w:cstheme="majorBidi"/>
              </w:rPr>
              <w:t>cUTI</w:t>
            </w:r>
            <w:proofErr w:type="spellEnd"/>
            <w:r w:rsidRPr="006732B3">
              <w:rPr>
                <w:rFonts w:asciiTheme="majorBidi" w:hAnsiTheme="majorBidi" w:cstheme="majorBidi"/>
              </w:rPr>
              <w:t xml:space="preserve"> or HAP/VAP?</w:t>
            </w:r>
          </w:p>
        </w:tc>
        <w:tc>
          <w:tcPr>
            <w:tcW w:w="0" w:type="auto"/>
          </w:tcPr>
          <w:p w14:paraId="42573F0F" w14:textId="77777777" w:rsidR="0093357A" w:rsidRPr="006732B3" w:rsidRDefault="0093357A" w:rsidP="00152448">
            <w:pPr>
              <w:rPr>
                <w:rFonts w:asciiTheme="majorBidi" w:hAnsiTheme="majorBidi" w:cstheme="majorBidi"/>
              </w:rPr>
            </w:pPr>
            <w:r w:rsidRPr="006732B3">
              <w:rPr>
                <w:rFonts w:asciiTheme="majorBidi" w:hAnsiTheme="majorBidi" w:cstheme="majorBidi"/>
              </w:rPr>
              <w:t>To supplement approaches 1-3</w:t>
            </w:r>
          </w:p>
        </w:tc>
        <w:tc>
          <w:tcPr>
            <w:tcW w:w="0" w:type="auto"/>
          </w:tcPr>
          <w:p w14:paraId="281B0030" w14:textId="52837061" w:rsidR="0093357A" w:rsidRPr="006732B3" w:rsidRDefault="00D96F92" w:rsidP="00152448">
            <w:pPr>
              <w:rPr>
                <w:rFonts w:asciiTheme="majorBidi" w:hAnsiTheme="majorBidi" w:cstheme="majorBidi"/>
              </w:rPr>
            </w:pPr>
            <w:r w:rsidRPr="006732B3">
              <w:rPr>
                <w:rFonts w:asciiTheme="majorBidi" w:hAnsiTheme="majorBidi" w:cstheme="majorBidi"/>
              </w:rPr>
              <w:t>Yes</w:t>
            </w:r>
          </w:p>
        </w:tc>
        <w:tc>
          <w:tcPr>
            <w:tcW w:w="0" w:type="auto"/>
          </w:tcPr>
          <w:p w14:paraId="2EE2EDD5" w14:textId="40876683" w:rsidR="0093357A" w:rsidRPr="006732B3" w:rsidRDefault="001B21BC" w:rsidP="00152448">
            <w:pPr>
              <w:rPr>
                <w:rFonts w:asciiTheme="majorBidi" w:hAnsiTheme="majorBidi" w:cstheme="majorBidi"/>
              </w:rPr>
            </w:pPr>
            <w:r w:rsidRPr="006732B3">
              <w:rPr>
                <w:rFonts w:asciiTheme="majorBidi" w:hAnsiTheme="majorBidi" w:cstheme="majorBidi"/>
              </w:rPr>
              <w:t xml:space="preserve">Sections </w:t>
            </w:r>
            <w:r w:rsidR="00DC41F5" w:rsidRPr="006732B3">
              <w:rPr>
                <w:rFonts w:asciiTheme="majorBidi" w:hAnsiTheme="majorBidi" w:cstheme="majorBidi"/>
              </w:rPr>
              <w:t>4.6.3</w:t>
            </w:r>
          </w:p>
        </w:tc>
      </w:tr>
      <w:tr w:rsidR="00815A88" w:rsidRPr="006732B3" w14:paraId="1A6AFD88" w14:textId="77777777" w:rsidTr="00152448">
        <w:tc>
          <w:tcPr>
            <w:tcW w:w="0" w:type="auto"/>
          </w:tcPr>
          <w:p w14:paraId="484C4397" w14:textId="64D46474" w:rsidR="0093357A" w:rsidRPr="006732B3" w:rsidRDefault="00D96F92" w:rsidP="00152448">
            <w:pPr>
              <w:rPr>
                <w:rFonts w:asciiTheme="majorBidi" w:hAnsiTheme="majorBidi" w:cstheme="majorBidi"/>
              </w:rPr>
            </w:pPr>
            <w:r>
              <w:rPr>
                <w:rFonts w:asciiTheme="majorBidi" w:hAnsiTheme="majorBidi" w:cstheme="majorBidi"/>
              </w:rPr>
              <w:t>3 (continued)</w:t>
            </w:r>
          </w:p>
        </w:tc>
        <w:tc>
          <w:tcPr>
            <w:tcW w:w="0" w:type="auto"/>
          </w:tcPr>
          <w:p w14:paraId="30C9CC4D" w14:textId="77777777" w:rsidR="0093357A" w:rsidRPr="006732B3" w:rsidRDefault="0093357A" w:rsidP="00152448">
            <w:pPr>
              <w:rPr>
                <w:rFonts w:asciiTheme="majorBidi" w:hAnsiTheme="majorBidi" w:cstheme="majorBidi"/>
              </w:rPr>
            </w:pPr>
            <w:r w:rsidRPr="006732B3">
              <w:rPr>
                <w:rFonts w:asciiTheme="majorBidi" w:hAnsiTheme="majorBidi" w:cstheme="majorBidi"/>
              </w:rPr>
              <w:t>RCTs</w:t>
            </w:r>
          </w:p>
        </w:tc>
        <w:tc>
          <w:tcPr>
            <w:tcW w:w="0" w:type="auto"/>
          </w:tcPr>
          <w:p w14:paraId="48AF74A6" w14:textId="50F8C38B" w:rsidR="0093357A" w:rsidRPr="006732B3" w:rsidRDefault="0093357A" w:rsidP="001C1F5D">
            <w:pPr>
              <w:rPr>
                <w:rFonts w:asciiTheme="majorBidi" w:hAnsiTheme="majorBidi" w:cstheme="majorBidi"/>
              </w:rPr>
            </w:pPr>
            <w:r w:rsidRPr="006732B3">
              <w:rPr>
                <w:rFonts w:asciiTheme="majorBidi" w:hAnsiTheme="majorBidi" w:cstheme="majorBidi"/>
              </w:rPr>
              <w:t>6. What are the important safety implications of CAZ-AVI?</w:t>
            </w:r>
          </w:p>
        </w:tc>
        <w:tc>
          <w:tcPr>
            <w:tcW w:w="0" w:type="auto"/>
          </w:tcPr>
          <w:p w14:paraId="0E1AD382" w14:textId="77777777" w:rsidR="0093357A" w:rsidRPr="006732B3" w:rsidRDefault="0093357A" w:rsidP="00152448">
            <w:pPr>
              <w:rPr>
                <w:rFonts w:asciiTheme="majorBidi" w:hAnsiTheme="majorBidi" w:cstheme="majorBidi"/>
              </w:rPr>
            </w:pPr>
            <w:r w:rsidRPr="006732B3">
              <w:rPr>
                <w:rFonts w:asciiTheme="majorBidi" w:hAnsiTheme="majorBidi" w:cstheme="majorBidi"/>
              </w:rPr>
              <w:t>To supplement approaches 1-3</w:t>
            </w:r>
          </w:p>
        </w:tc>
        <w:tc>
          <w:tcPr>
            <w:tcW w:w="0" w:type="auto"/>
          </w:tcPr>
          <w:p w14:paraId="3630D57A" w14:textId="177B18C6" w:rsidR="0093357A" w:rsidRPr="006732B3" w:rsidRDefault="00D96F92" w:rsidP="00152448">
            <w:pPr>
              <w:rPr>
                <w:rFonts w:asciiTheme="majorBidi" w:hAnsiTheme="majorBidi" w:cstheme="majorBidi"/>
              </w:rPr>
            </w:pPr>
            <w:r w:rsidRPr="006732B3">
              <w:rPr>
                <w:rFonts w:asciiTheme="majorBidi" w:hAnsiTheme="majorBidi" w:cstheme="majorBidi"/>
              </w:rPr>
              <w:t>Yes</w:t>
            </w:r>
          </w:p>
        </w:tc>
        <w:tc>
          <w:tcPr>
            <w:tcW w:w="0" w:type="auto"/>
          </w:tcPr>
          <w:p w14:paraId="0A7A8C74" w14:textId="24BCD88E" w:rsidR="0093357A" w:rsidRPr="006732B3" w:rsidRDefault="001B21BC" w:rsidP="00152448">
            <w:pPr>
              <w:rPr>
                <w:rFonts w:asciiTheme="majorBidi" w:hAnsiTheme="majorBidi" w:cstheme="majorBidi"/>
              </w:rPr>
            </w:pPr>
            <w:r w:rsidRPr="006732B3">
              <w:rPr>
                <w:rFonts w:asciiTheme="majorBidi" w:hAnsiTheme="majorBidi" w:cstheme="majorBidi"/>
              </w:rPr>
              <w:t xml:space="preserve">Sections </w:t>
            </w:r>
            <w:r w:rsidR="00DC41F5" w:rsidRPr="006732B3">
              <w:rPr>
                <w:rFonts w:asciiTheme="majorBidi" w:hAnsiTheme="majorBidi" w:cstheme="majorBidi"/>
              </w:rPr>
              <w:t>4.6.</w:t>
            </w:r>
            <w:r w:rsidR="002B12D8">
              <w:rPr>
                <w:rFonts w:asciiTheme="majorBidi" w:hAnsiTheme="majorBidi" w:cstheme="majorBidi"/>
              </w:rPr>
              <w:t>4</w:t>
            </w:r>
          </w:p>
        </w:tc>
      </w:tr>
    </w:tbl>
    <w:p w14:paraId="0BF751A2" w14:textId="3057F250" w:rsidR="0037519F" w:rsidRPr="000E7567" w:rsidRDefault="000E7567" w:rsidP="0037519F">
      <w:pPr>
        <w:rPr>
          <w:rFonts w:asciiTheme="majorBidi" w:hAnsiTheme="majorBidi" w:cstheme="majorBidi"/>
        </w:rPr>
      </w:pPr>
      <w:r w:rsidRPr="000E7567">
        <w:rPr>
          <w:rFonts w:asciiTheme="majorBidi" w:hAnsiTheme="majorBidi" w:cstheme="majorBidi"/>
        </w:rPr>
        <w:t>CAZ-</w:t>
      </w:r>
      <w:proofErr w:type="spellStart"/>
      <w:r w:rsidRPr="000E7567">
        <w:rPr>
          <w:rFonts w:asciiTheme="majorBidi" w:hAnsiTheme="majorBidi" w:cstheme="majorBidi"/>
        </w:rPr>
        <w:t>AVi</w:t>
      </w:r>
      <w:proofErr w:type="spellEnd"/>
      <w:r w:rsidRPr="000E7567">
        <w:rPr>
          <w:rFonts w:asciiTheme="majorBidi" w:hAnsiTheme="majorBidi" w:cstheme="majorBidi"/>
        </w:rPr>
        <w:t xml:space="preserve">, ceftazidime-avibactam; </w:t>
      </w:r>
      <w:proofErr w:type="spellStart"/>
      <w:r w:rsidRPr="000E7567">
        <w:rPr>
          <w:rFonts w:asciiTheme="majorBidi" w:hAnsiTheme="majorBidi" w:cstheme="majorBidi"/>
        </w:rPr>
        <w:t>cUTI</w:t>
      </w:r>
      <w:proofErr w:type="spellEnd"/>
      <w:r w:rsidRPr="000E7567">
        <w:rPr>
          <w:rFonts w:asciiTheme="majorBidi" w:hAnsiTheme="majorBidi" w:cstheme="majorBidi"/>
        </w:rPr>
        <w:t xml:space="preserve">, complicated urinary tract infection; HAP/VAP, hospital associate pneumonia/ventilator associated pneumonia; IPD, individual patient data; NMA, network meta-analysis; OXA-48 oxacillinase 48; RCT, randomised controlled trial </w:t>
      </w:r>
    </w:p>
    <w:p w14:paraId="2DAC6957" w14:textId="2759ED45" w:rsidR="00A508ED" w:rsidRPr="00A508ED" w:rsidRDefault="00885DFB" w:rsidP="00B674A1">
      <w:pPr>
        <w:pStyle w:val="EEPRUnumberedstylelevel3"/>
        <w:ind w:left="851" w:hanging="567"/>
      </w:pPr>
      <w:bookmarkStart w:id="101" w:name="_Toc87462985"/>
      <w:bookmarkStart w:id="102" w:name="_Ref82435547"/>
      <w:bookmarkStart w:id="103" w:name="_Toc83890507"/>
      <w:bookmarkEnd w:id="100"/>
      <w:r w:rsidRPr="00A508ED">
        <w:t>4.</w:t>
      </w:r>
      <w:r w:rsidR="00A508ED" w:rsidRPr="00A508ED">
        <w:t>3. Review</w:t>
      </w:r>
      <w:r w:rsidR="00C07A38">
        <w:t xml:space="preserve"> methods</w:t>
      </w:r>
      <w:bookmarkEnd w:id="101"/>
    </w:p>
    <w:bookmarkEnd w:id="102"/>
    <w:bookmarkEnd w:id="103"/>
    <w:p w14:paraId="0DC499AE" w14:textId="31368F18" w:rsidR="00885DFB" w:rsidRPr="00885DFB" w:rsidRDefault="00885DFB" w:rsidP="00A83123">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Since review questions 1-3 were of central importance to estimating the comparative efficacy of treatments, a </w:t>
      </w:r>
      <w:r w:rsidRPr="00885DFB">
        <w:rPr>
          <w:rFonts w:asciiTheme="majorBidi" w:eastAsia="Calibri" w:hAnsiTheme="majorBidi" w:cstheme="majorBidi"/>
          <w:i/>
          <w:iCs/>
        </w:rPr>
        <w:t>de novo</w:t>
      </w:r>
      <w:r w:rsidRPr="00885DFB">
        <w:rPr>
          <w:rFonts w:asciiTheme="majorBidi" w:eastAsia="Calibri" w:hAnsiTheme="majorBidi" w:cstheme="majorBidi"/>
        </w:rPr>
        <w:t xml:space="preserve"> search from</w:t>
      </w:r>
      <w:r w:rsidR="00F10440">
        <w:rPr>
          <w:rFonts w:asciiTheme="majorBidi" w:eastAsia="Calibri" w:hAnsiTheme="majorBidi" w:cstheme="majorBidi"/>
        </w:rPr>
        <w:t xml:space="preserve"> database</w:t>
      </w:r>
      <w:r w:rsidRPr="00885DFB">
        <w:rPr>
          <w:rFonts w:asciiTheme="majorBidi" w:eastAsia="Calibri" w:hAnsiTheme="majorBidi" w:cstheme="majorBidi"/>
        </w:rPr>
        <w:t xml:space="preserve"> inception was undertaken to address all three questions. The nature and </w:t>
      </w:r>
      <w:r w:rsidRPr="00F901D1">
        <w:rPr>
          <w:rFonts w:asciiTheme="majorBidi" w:eastAsia="Calibri" w:hAnsiTheme="majorBidi" w:cstheme="majorBidi"/>
        </w:rPr>
        <w:t>suitability of the evidence base was unknown but as already d</w:t>
      </w:r>
      <w:r w:rsidR="00563D5B">
        <w:rPr>
          <w:rFonts w:asciiTheme="majorBidi" w:eastAsia="Calibri" w:hAnsiTheme="majorBidi" w:cstheme="majorBidi"/>
        </w:rPr>
        <w:t>iscusse</w:t>
      </w:r>
      <w:r w:rsidRPr="00F901D1">
        <w:rPr>
          <w:rFonts w:asciiTheme="majorBidi" w:eastAsia="Calibri" w:hAnsiTheme="majorBidi" w:cstheme="majorBidi"/>
        </w:rPr>
        <w:t>d, there was a strong expectation that RCT evidence would not be of high relevance</w:t>
      </w:r>
      <w:proofErr w:type="gramStart"/>
      <w:r w:rsidRPr="00F901D1">
        <w:rPr>
          <w:rFonts w:asciiTheme="majorBidi" w:eastAsia="Calibri" w:hAnsiTheme="majorBidi" w:cstheme="majorBidi"/>
        </w:rPr>
        <w:t>, that is to say, would</w:t>
      </w:r>
      <w:proofErr w:type="gramEnd"/>
      <w:r w:rsidRPr="00F901D1">
        <w:rPr>
          <w:rFonts w:asciiTheme="majorBidi" w:eastAsia="Calibri" w:hAnsiTheme="majorBidi" w:cstheme="majorBidi"/>
        </w:rPr>
        <w:t xml:space="preserve"> not have recruited patients with </w:t>
      </w:r>
      <w:proofErr w:type="spellStart"/>
      <w:r w:rsidR="00C1594A" w:rsidRPr="00C1594A">
        <w:rPr>
          <w:rFonts w:asciiTheme="majorBidi" w:eastAsia="Calibri" w:hAnsiTheme="majorBidi" w:cstheme="majorBidi"/>
          <w:i/>
          <w:iCs/>
        </w:rPr>
        <w:t>Enterobacterales</w:t>
      </w:r>
      <w:proofErr w:type="spellEnd"/>
      <w:r w:rsidRPr="00F901D1">
        <w:rPr>
          <w:rFonts w:asciiTheme="majorBidi" w:eastAsia="Calibri" w:hAnsiTheme="majorBidi" w:cstheme="majorBidi"/>
        </w:rPr>
        <w:t xml:space="preserve"> infections carrying OXA-48. It was also unclear to what extent multiple HVCSs </w:t>
      </w:r>
      <w:r w:rsidR="00F10440">
        <w:rPr>
          <w:rFonts w:asciiTheme="majorBidi" w:eastAsia="Calibri" w:hAnsiTheme="majorBidi" w:cstheme="majorBidi"/>
        </w:rPr>
        <w:t>(</w:t>
      </w:r>
      <w:proofErr w:type="gramStart"/>
      <w:r w:rsidR="00F10440">
        <w:rPr>
          <w:rFonts w:asciiTheme="majorBidi" w:eastAsia="Calibri" w:hAnsiTheme="majorBidi" w:cstheme="majorBidi"/>
        </w:rPr>
        <w:t>e.g.</w:t>
      </w:r>
      <w:proofErr w:type="gramEnd"/>
      <w:r w:rsidR="00F10440">
        <w:rPr>
          <w:rFonts w:asciiTheme="majorBidi" w:eastAsia="Calibri" w:hAnsiTheme="majorBidi" w:cstheme="majorBidi"/>
        </w:rPr>
        <w:t xml:space="preserve"> </w:t>
      </w:r>
      <w:r w:rsidR="00F10440" w:rsidRPr="001C1F5D">
        <w:rPr>
          <w:rFonts w:asciiTheme="majorBidi" w:eastAsia="Calibri" w:hAnsiTheme="majorBidi" w:cstheme="majorBidi"/>
        </w:rPr>
        <w:t xml:space="preserve">including KPC, </w:t>
      </w:r>
      <w:r w:rsidR="00F10440" w:rsidRPr="00F10440">
        <w:rPr>
          <w:rFonts w:asciiTheme="majorBidi" w:eastAsia="Calibri" w:hAnsiTheme="majorBidi" w:cstheme="majorBidi"/>
        </w:rPr>
        <w:t>including BSI</w:t>
      </w:r>
      <w:r w:rsidR="00F10440">
        <w:rPr>
          <w:rFonts w:asciiTheme="majorBidi" w:eastAsia="Calibri" w:hAnsiTheme="majorBidi" w:cstheme="majorBidi"/>
        </w:rPr>
        <w:t xml:space="preserve">) </w:t>
      </w:r>
      <w:r w:rsidRPr="00F901D1">
        <w:rPr>
          <w:rFonts w:asciiTheme="majorBidi" w:eastAsia="Calibri" w:hAnsiTheme="majorBidi" w:cstheme="majorBidi"/>
        </w:rPr>
        <w:t>could be addressed in the evaluation</w:t>
      </w:r>
      <w:r w:rsidR="00F10440">
        <w:rPr>
          <w:rFonts w:asciiTheme="majorBidi" w:eastAsia="Calibri" w:hAnsiTheme="majorBidi" w:cstheme="majorBidi"/>
        </w:rPr>
        <w:t xml:space="preserve"> </w:t>
      </w:r>
      <w:r w:rsidR="00F10440" w:rsidRPr="00F901D1">
        <w:rPr>
          <w:rFonts w:asciiTheme="majorBidi" w:eastAsia="Calibri" w:hAnsiTheme="majorBidi" w:cstheme="majorBidi"/>
        </w:rPr>
        <w:t>(see</w:t>
      </w:r>
      <w:r w:rsidR="00994836">
        <w:rPr>
          <w:rFonts w:asciiTheme="majorBidi" w:eastAsia="Calibri" w:hAnsiTheme="majorBidi" w:cstheme="majorBidi"/>
        </w:rPr>
        <w:t xml:space="preserve"> </w:t>
      </w:r>
      <w:r w:rsidR="00994836" w:rsidRPr="00994836">
        <w:rPr>
          <w:rFonts w:asciiTheme="majorBidi" w:eastAsia="Calibri" w:hAnsiTheme="majorBidi" w:cstheme="majorBidi"/>
        </w:rPr>
        <w:t>Table 4</w:t>
      </w:r>
      <w:r w:rsidR="00F10440" w:rsidRPr="00994836">
        <w:rPr>
          <w:rFonts w:asciiTheme="majorBidi" w:eastAsia="Calibri" w:hAnsiTheme="majorBidi" w:cstheme="majorBidi"/>
        </w:rPr>
        <w:t xml:space="preserve"> </w:t>
      </w:r>
      <w:r w:rsidR="00F10440" w:rsidRPr="00F901D1">
        <w:rPr>
          <w:rFonts w:asciiTheme="majorBidi" w:eastAsia="Calibri" w:hAnsiTheme="majorBidi" w:cstheme="majorBidi"/>
        </w:rPr>
        <w:t>below)</w:t>
      </w:r>
      <w:r w:rsidRPr="00F901D1">
        <w:rPr>
          <w:rFonts w:asciiTheme="majorBidi" w:eastAsia="Calibri" w:hAnsiTheme="majorBidi" w:cstheme="majorBidi"/>
        </w:rPr>
        <w:t xml:space="preserve">. Therefore, a map of the available evidence was first constructed to maintain flexibility, and to aid an informed focusing of the inclusion criteria as the project proceeded (see </w:t>
      </w:r>
      <w:r w:rsidR="00994836" w:rsidRPr="00994836">
        <w:rPr>
          <w:rFonts w:asciiTheme="majorBidi" w:eastAsia="Calibri" w:hAnsiTheme="majorBidi" w:cstheme="majorBidi"/>
        </w:rPr>
        <w:t xml:space="preserve">Table 4 </w:t>
      </w:r>
      <w:r w:rsidRPr="00F901D1">
        <w:rPr>
          <w:rFonts w:asciiTheme="majorBidi" w:eastAsia="Calibri" w:hAnsiTheme="majorBidi" w:cstheme="majorBidi"/>
        </w:rPr>
        <w:t xml:space="preserve">below). This methodology has been used </w:t>
      </w:r>
      <w:proofErr w:type="gramStart"/>
      <w:r w:rsidRPr="00F901D1">
        <w:rPr>
          <w:rFonts w:asciiTheme="majorBidi" w:eastAsia="Calibri" w:hAnsiTheme="majorBidi" w:cstheme="majorBidi"/>
        </w:rPr>
        <w:t>elsewhere, and</w:t>
      </w:r>
      <w:proofErr w:type="gramEnd"/>
      <w:r w:rsidRPr="00F901D1">
        <w:rPr>
          <w:rFonts w:asciiTheme="majorBidi" w:eastAsia="Calibri" w:hAnsiTheme="majorBidi" w:cstheme="majorBidi"/>
        </w:rPr>
        <w:t xml:space="preserve"> is especially suited to topics such as this where the initial scope is broad.</w:t>
      </w:r>
      <w:r w:rsidR="00A83123" w:rsidRPr="00A83123">
        <w:rPr>
          <w:rFonts w:asciiTheme="majorBidi" w:eastAsia="Calibri" w:hAnsiTheme="majorBidi" w:cstheme="majorBidi"/>
          <w:noProof/>
          <w:vertAlign w:val="superscript"/>
        </w:rPr>
        <w:t>21,22</w:t>
      </w:r>
      <w:r w:rsidRPr="00F901D1">
        <w:rPr>
          <w:rFonts w:asciiTheme="majorBidi" w:eastAsia="Calibri" w:hAnsiTheme="majorBidi" w:cstheme="majorBidi"/>
        </w:rPr>
        <w:t xml:space="preserve"> The map comprised data extraction of key study characteristics. It was based on systematic literature searches of key bibliographic databases (see </w:t>
      </w:r>
      <w:r w:rsidR="00504107">
        <w:rPr>
          <w:rFonts w:asciiTheme="majorBidi" w:eastAsia="Calibri" w:hAnsiTheme="majorBidi" w:cstheme="majorBidi"/>
        </w:rPr>
        <w:t xml:space="preserve">Section </w:t>
      </w:r>
      <w:r w:rsidR="00644D0E">
        <w:rPr>
          <w:rFonts w:asciiTheme="majorBidi" w:eastAsia="Calibri" w:hAnsiTheme="majorBidi" w:cstheme="majorBidi"/>
        </w:rPr>
        <w:t>4</w:t>
      </w:r>
      <w:r w:rsidR="00504107">
        <w:rPr>
          <w:rFonts w:asciiTheme="majorBidi" w:eastAsia="Calibri" w:hAnsiTheme="majorBidi" w:cstheme="majorBidi"/>
        </w:rPr>
        <w:t>.3.1</w:t>
      </w:r>
      <w:r w:rsidRPr="00F901D1">
        <w:rPr>
          <w:rFonts w:asciiTheme="majorBidi" w:eastAsia="Calibri" w:hAnsiTheme="majorBidi" w:cstheme="majorBidi"/>
        </w:rPr>
        <w:t xml:space="preserve">) supplemented by evidence submitted by experts and stakeholders, including the submission received from </w:t>
      </w:r>
      <w:r w:rsidR="00D86D66">
        <w:rPr>
          <w:rFonts w:asciiTheme="majorBidi" w:eastAsia="Calibri" w:hAnsiTheme="majorBidi" w:cstheme="majorBidi"/>
        </w:rPr>
        <w:t>Pfizer</w:t>
      </w:r>
      <w:r w:rsidR="003B33B2">
        <w:rPr>
          <w:rFonts w:asciiTheme="majorBidi" w:eastAsia="Calibri" w:hAnsiTheme="majorBidi" w:cstheme="majorBidi"/>
        </w:rPr>
        <w:t xml:space="preserve"> and data requests to PHE, </w:t>
      </w:r>
      <w:proofErr w:type="gramStart"/>
      <w:r w:rsidR="003B33B2">
        <w:rPr>
          <w:rFonts w:asciiTheme="majorBidi" w:eastAsia="Calibri" w:hAnsiTheme="majorBidi" w:cstheme="majorBidi"/>
        </w:rPr>
        <w:t>Pfizer</w:t>
      </w:r>
      <w:proofErr w:type="gramEnd"/>
      <w:r w:rsidR="003B33B2">
        <w:rPr>
          <w:rFonts w:asciiTheme="majorBidi" w:eastAsia="Calibri" w:hAnsiTheme="majorBidi" w:cstheme="majorBidi"/>
        </w:rPr>
        <w:t xml:space="preserve"> and Shionogi (who were participating in a concurrent EEPRU evaluation </w:t>
      </w:r>
      <w:r w:rsidR="003B33B2" w:rsidRPr="000056E1">
        <w:rPr>
          <w:rFonts w:ascii="Times New Roman" w:eastAsia="Calibri" w:hAnsi="Times New Roman" w:cs="Times New Roman"/>
        </w:rPr>
        <w:t xml:space="preserve">of </w:t>
      </w:r>
      <w:proofErr w:type="spellStart"/>
      <w:r w:rsidR="003B33B2" w:rsidRPr="000056E1">
        <w:rPr>
          <w:rFonts w:ascii="Times New Roman" w:eastAsia="Calibri" w:hAnsi="Times New Roman" w:cs="Times New Roman"/>
        </w:rPr>
        <w:t>cefiderocol</w:t>
      </w:r>
      <w:proofErr w:type="spellEnd"/>
      <w:r w:rsidR="003B33B2">
        <w:rPr>
          <w:rFonts w:asciiTheme="majorBidi" w:eastAsia="Calibri" w:hAnsiTheme="majorBidi" w:cstheme="majorBidi"/>
        </w:rPr>
        <w:t>)</w:t>
      </w:r>
      <w:r w:rsidR="00D86D66">
        <w:rPr>
          <w:rFonts w:asciiTheme="majorBidi" w:eastAsia="Calibri" w:hAnsiTheme="majorBidi" w:cstheme="majorBidi"/>
        </w:rPr>
        <w:t>.</w:t>
      </w:r>
      <w:r w:rsidRPr="00F901D1">
        <w:rPr>
          <w:rFonts w:asciiTheme="majorBidi" w:eastAsia="Calibri" w:hAnsiTheme="majorBidi" w:cstheme="majorBidi"/>
        </w:rPr>
        <w:t xml:space="preserve"> Evidence was then selected for further consideration according to a balance of relevance </w:t>
      </w:r>
      <w:r w:rsidRPr="00F901D1">
        <w:rPr>
          <w:rFonts w:asciiTheme="majorBidi" w:eastAsia="Calibri" w:hAnsiTheme="majorBidi" w:cstheme="majorBidi"/>
        </w:rPr>
        <w:lastRenderedPageBreak/>
        <w:t>with study quality, as recommended in the Decision Support Unit Technical Support Document</w:t>
      </w:r>
      <w:r w:rsidR="006F3415">
        <w:rPr>
          <w:rFonts w:asciiTheme="majorBidi" w:eastAsia="Calibri" w:hAnsiTheme="majorBidi" w:cstheme="majorBidi"/>
        </w:rPr>
        <w:t xml:space="preserve"> (TSD)</w:t>
      </w:r>
      <w:r w:rsidRPr="00F901D1">
        <w:rPr>
          <w:rFonts w:asciiTheme="majorBidi" w:eastAsia="Calibri" w:hAnsiTheme="majorBidi" w:cstheme="majorBidi"/>
        </w:rPr>
        <w:t xml:space="preserve"> 13</w:t>
      </w:r>
      <w:r w:rsidR="00A83123" w:rsidRPr="00A83123">
        <w:rPr>
          <w:rFonts w:asciiTheme="majorBidi" w:eastAsia="Calibri" w:hAnsiTheme="majorBidi" w:cstheme="majorBidi"/>
          <w:noProof/>
          <w:vertAlign w:val="superscript"/>
        </w:rPr>
        <w:t>23</w:t>
      </w:r>
      <w:r w:rsidRPr="00F901D1">
        <w:rPr>
          <w:rFonts w:asciiTheme="majorBidi" w:eastAsia="Calibri" w:hAnsiTheme="majorBidi" w:cstheme="majorBidi"/>
        </w:rPr>
        <w:t xml:space="preserve">. </w:t>
      </w:r>
      <w:r w:rsidRPr="00345A2C">
        <w:rPr>
          <w:rFonts w:asciiTheme="majorBidi" w:eastAsia="Calibri" w:hAnsiTheme="majorBidi" w:cstheme="majorBidi"/>
        </w:rPr>
        <w:t>Where preferred sources did not yield data, additional focused searches were employed to ensure studies had not been missed</w:t>
      </w:r>
      <w:r w:rsidR="00345A2C" w:rsidRPr="00345A2C">
        <w:rPr>
          <w:rFonts w:asciiTheme="majorBidi" w:eastAsia="Calibri" w:hAnsiTheme="majorBidi" w:cstheme="majorBidi"/>
        </w:rPr>
        <w:t xml:space="preserve"> or to fill evidence gaps</w:t>
      </w:r>
      <w:r w:rsidR="00644D0E" w:rsidRPr="00345A2C">
        <w:rPr>
          <w:rFonts w:asciiTheme="majorBidi" w:eastAsia="Calibri" w:hAnsiTheme="majorBidi" w:cstheme="majorBidi"/>
        </w:rPr>
        <w:t>.</w:t>
      </w:r>
      <w:r w:rsidRPr="00345A2C">
        <w:rPr>
          <w:rFonts w:asciiTheme="majorBidi" w:eastAsia="Calibri" w:hAnsiTheme="majorBidi" w:cstheme="majorBidi"/>
        </w:rPr>
        <w:t xml:space="preserve"> Where additional searches still did</w:t>
      </w:r>
      <w:r w:rsidRPr="00F901D1">
        <w:rPr>
          <w:rFonts w:asciiTheme="majorBidi" w:eastAsia="Calibri" w:hAnsiTheme="majorBidi" w:cstheme="majorBidi"/>
        </w:rPr>
        <w:t xml:space="preserve"> not yield data, elicitation was performed t</w:t>
      </w:r>
      <w:r w:rsidRPr="00885DFB">
        <w:rPr>
          <w:rFonts w:asciiTheme="majorBidi" w:eastAsia="Calibri" w:hAnsiTheme="majorBidi" w:cstheme="majorBidi"/>
        </w:rPr>
        <w:t>o fulfil the evidence requirement (see</w:t>
      </w:r>
      <w:r w:rsidR="00644D0E">
        <w:rPr>
          <w:rFonts w:asciiTheme="majorBidi" w:eastAsia="Calibri" w:hAnsiTheme="majorBidi" w:cstheme="majorBidi"/>
        </w:rPr>
        <w:t xml:space="preserve"> </w:t>
      </w:r>
      <w:r w:rsidR="00AD709F">
        <w:rPr>
          <w:rFonts w:asciiTheme="majorBidi" w:eastAsia="Calibri" w:hAnsiTheme="majorBidi" w:cstheme="majorBidi"/>
        </w:rPr>
        <w:t>Chapter 5</w:t>
      </w:r>
      <w:r w:rsidRPr="00885DFB">
        <w:rPr>
          <w:rFonts w:asciiTheme="majorBidi" w:eastAsia="Calibri" w:hAnsiTheme="majorBidi" w:cstheme="majorBidi"/>
        </w:rPr>
        <w:t xml:space="preserve">). </w:t>
      </w:r>
    </w:p>
    <w:p w14:paraId="4A4867AD" w14:textId="43DA0B7A" w:rsidR="00885DFB" w:rsidRPr="006E4E83" w:rsidRDefault="00885DFB" w:rsidP="00B674A1">
      <w:pPr>
        <w:pStyle w:val="Heading3"/>
        <w:ind w:left="1276" w:hanging="567"/>
        <w:rPr>
          <w:rFonts w:asciiTheme="majorBidi" w:hAnsiTheme="majorBidi"/>
          <w:sz w:val="26"/>
          <w:szCs w:val="26"/>
        </w:rPr>
      </w:pPr>
      <w:bookmarkStart w:id="104" w:name="_Toc87462986"/>
      <w:r w:rsidRPr="006E4E83">
        <w:rPr>
          <w:rFonts w:asciiTheme="majorBidi" w:hAnsiTheme="majorBidi"/>
          <w:sz w:val="26"/>
          <w:szCs w:val="26"/>
        </w:rPr>
        <w:t>4.</w:t>
      </w:r>
      <w:r w:rsidR="008D0C90" w:rsidRPr="006E4E83">
        <w:rPr>
          <w:rFonts w:asciiTheme="majorBidi" w:hAnsiTheme="majorBidi"/>
          <w:sz w:val="26"/>
          <w:szCs w:val="26"/>
        </w:rPr>
        <w:t>3</w:t>
      </w:r>
      <w:r w:rsidRPr="006E4E83">
        <w:rPr>
          <w:rFonts w:asciiTheme="majorBidi" w:hAnsiTheme="majorBidi"/>
          <w:sz w:val="26"/>
          <w:szCs w:val="26"/>
        </w:rPr>
        <w:t xml:space="preserve">.1 </w:t>
      </w:r>
      <w:bookmarkStart w:id="105" w:name="_Hlk84869213"/>
      <w:r w:rsidRPr="006E4E83">
        <w:rPr>
          <w:rFonts w:asciiTheme="majorBidi" w:hAnsiTheme="majorBidi"/>
          <w:sz w:val="26"/>
          <w:szCs w:val="26"/>
        </w:rPr>
        <w:t>Search strategy</w:t>
      </w:r>
      <w:bookmarkEnd w:id="104"/>
      <w:r w:rsidRPr="006E4E83">
        <w:rPr>
          <w:rFonts w:asciiTheme="majorBidi" w:hAnsiTheme="majorBidi"/>
          <w:sz w:val="26"/>
          <w:szCs w:val="26"/>
        </w:rPr>
        <w:t xml:space="preserve"> </w:t>
      </w:r>
    </w:p>
    <w:bookmarkEnd w:id="105"/>
    <w:p w14:paraId="56BE2BEB" w14:textId="4B154B40" w:rsidR="00885DFB" w:rsidRPr="001C1F5D" w:rsidRDefault="00885DFB" w:rsidP="00885DFB">
      <w:pPr>
        <w:tabs>
          <w:tab w:val="num" w:pos="720"/>
        </w:tabs>
        <w:spacing w:after="120" w:line="360" w:lineRule="auto"/>
        <w:jc w:val="both"/>
        <w:rPr>
          <w:rFonts w:asciiTheme="majorBidi" w:hAnsiTheme="majorBidi" w:cstheme="majorBidi"/>
        </w:rPr>
      </w:pPr>
      <w:r w:rsidRPr="001C1F5D">
        <w:rPr>
          <w:rFonts w:asciiTheme="majorBidi" w:hAnsiTheme="majorBidi" w:cstheme="majorBidi"/>
        </w:rPr>
        <w:t xml:space="preserve">An initial search for studies on CAZ-AVI without study design filters was performed. The first 200 records were reviewed before undertaking searches combined with study design filters (RCTs, observational studies and systematic reviews) </w:t>
      </w:r>
      <w:r w:rsidR="00D86D66" w:rsidRPr="001C1F5D">
        <w:rPr>
          <w:rFonts w:asciiTheme="majorBidi" w:hAnsiTheme="majorBidi" w:cstheme="majorBidi"/>
        </w:rPr>
        <w:t xml:space="preserve">and </w:t>
      </w:r>
      <w:r w:rsidRPr="001C1F5D">
        <w:rPr>
          <w:rFonts w:asciiTheme="majorBidi" w:hAnsiTheme="majorBidi" w:cstheme="majorBidi"/>
        </w:rPr>
        <w:t xml:space="preserve">susceptibility studies terms. </w:t>
      </w:r>
    </w:p>
    <w:p w14:paraId="58A7A891" w14:textId="728ED1C3" w:rsidR="00885DFB" w:rsidRDefault="00885DFB" w:rsidP="00885DFB">
      <w:pPr>
        <w:tabs>
          <w:tab w:val="num" w:pos="720"/>
        </w:tabs>
        <w:spacing w:after="120" w:line="360" w:lineRule="auto"/>
        <w:jc w:val="both"/>
        <w:rPr>
          <w:rFonts w:asciiTheme="majorBidi" w:hAnsiTheme="majorBidi" w:cstheme="majorBidi"/>
        </w:rPr>
      </w:pPr>
      <w:r w:rsidRPr="001C1F5D">
        <w:rPr>
          <w:rFonts w:asciiTheme="majorBidi" w:hAnsiTheme="majorBidi" w:cstheme="majorBidi"/>
        </w:rPr>
        <w:t xml:space="preserve">To ensure that all susceptibility studies from the UK were identified, a search iteration was conducted. Additional terms were included in the iteration, and these were based on a review of susceptibility studies that were identified by sifting the first 200 citations retrieved by the search without study design filters. The iteration included terms for CAZ/AVI AND a UK filter AND (broader OXA-terms OR </w:t>
      </w:r>
      <w:r w:rsidR="00161C00">
        <w:rPr>
          <w:rFonts w:asciiTheme="majorBidi" w:hAnsiTheme="majorBidi" w:cstheme="majorBidi"/>
        </w:rPr>
        <w:t>AM</w:t>
      </w:r>
      <w:r w:rsidRPr="001C1F5D">
        <w:rPr>
          <w:rFonts w:asciiTheme="majorBidi" w:hAnsiTheme="majorBidi" w:cstheme="majorBidi"/>
        </w:rPr>
        <w:t xml:space="preserve"> susceptibility terms).</w:t>
      </w:r>
      <w:r w:rsidRPr="00F901D1">
        <w:rPr>
          <w:rFonts w:asciiTheme="majorBidi" w:hAnsiTheme="majorBidi" w:cstheme="majorBidi"/>
        </w:rPr>
        <w:t xml:space="preserve"> </w:t>
      </w:r>
    </w:p>
    <w:p w14:paraId="54D1946C" w14:textId="77777777" w:rsidR="00885DFB" w:rsidRPr="00885DFB" w:rsidRDefault="00885DFB" w:rsidP="00885DFB">
      <w:pPr>
        <w:tabs>
          <w:tab w:val="num" w:pos="720"/>
        </w:tabs>
        <w:spacing w:before="240" w:line="360" w:lineRule="auto"/>
        <w:jc w:val="both"/>
        <w:rPr>
          <w:rFonts w:ascii="Times New Roman" w:eastAsia="Calibri" w:hAnsi="Times New Roman" w:cs="Times New Roman"/>
        </w:rPr>
      </w:pPr>
      <w:r w:rsidRPr="00F901D1">
        <w:rPr>
          <w:rFonts w:ascii="Times New Roman" w:eastAsia="Calibri" w:hAnsi="Times New Roman" w:cs="Times New Roman"/>
        </w:rPr>
        <w:t>The following electronic databases were</w:t>
      </w:r>
      <w:r w:rsidRPr="00885DFB">
        <w:rPr>
          <w:rFonts w:ascii="Times New Roman" w:eastAsia="Calibri" w:hAnsi="Times New Roman" w:cs="Times New Roman"/>
        </w:rPr>
        <w:t xml:space="preserve"> searched from database inception:</w:t>
      </w:r>
    </w:p>
    <w:p w14:paraId="0737E7FA" w14:textId="77777777" w:rsidR="00885DFB" w:rsidRPr="00885DFB" w:rsidRDefault="00885DFB" w:rsidP="0006376A">
      <w:pPr>
        <w:numPr>
          <w:ilvl w:val="0"/>
          <w:numId w:val="2"/>
        </w:numPr>
        <w:tabs>
          <w:tab w:val="num" w:pos="720"/>
        </w:tabs>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 xml:space="preserve">MEDLINE and </w:t>
      </w:r>
      <w:proofErr w:type="spellStart"/>
      <w:r w:rsidRPr="00885DFB">
        <w:rPr>
          <w:rFonts w:ascii="Times New Roman" w:eastAsia="Calibri" w:hAnsi="Times New Roman" w:cs="Times New Roman"/>
        </w:rPr>
        <w:t>Epub</w:t>
      </w:r>
      <w:proofErr w:type="spellEnd"/>
      <w:r w:rsidRPr="00885DFB">
        <w:rPr>
          <w:rFonts w:ascii="Times New Roman" w:eastAsia="Calibri" w:hAnsi="Times New Roman" w:cs="Times New Roman"/>
        </w:rPr>
        <w:t xml:space="preserve"> Ahead of Print, In-Process, In-Data-Review &amp; Other Non-Indexed Citations, Daily and Versions: Ovid, 1946 to Present</w:t>
      </w:r>
    </w:p>
    <w:p w14:paraId="06CB1526" w14:textId="77777777" w:rsidR="00885DFB" w:rsidRPr="00885DFB" w:rsidRDefault="00885DFB" w:rsidP="0006376A">
      <w:pPr>
        <w:numPr>
          <w:ilvl w:val="0"/>
          <w:numId w:val="2"/>
        </w:numPr>
        <w:tabs>
          <w:tab w:val="num" w:pos="720"/>
        </w:tabs>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EMBASE: Ovid, 1980 to present</w:t>
      </w:r>
    </w:p>
    <w:p w14:paraId="37F7168A" w14:textId="77777777" w:rsidR="00885DFB" w:rsidRPr="00885DFB" w:rsidRDefault="00885DFB" w:rsidP="0006376A">
      <w:pPr>
        <w:numPr>
          <w:ilvl w:val="0"/>
          <w:numId w:val="2"/>
        </w:numPr>
        <w:tabs>
          <w:tab w:val="num" w:pos="720"/>
        </w:tabs>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The University of York Centre for Reviews and Dissemination (CRD) platform</w:t>
      </w:r>
    </w:p>
    <w:p w14:paraId="1D288DC4" w14:textId="77777777" w:rsidR="00885DFB" w:rsidRPr="00885DFB" w:rsidRDefault="00885DFB" w:rsidP="0006376A">
      <w:pPr>
        <w:numPr>
          <w:ilvl w:val="1"/>
          <w:numId w:val="2"/>
        </w:numPr>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Database of Abstracts of Reviews of Effects (DARE): CRD, 1994 to 2015</w:t>
      </w:r>
    </w:p>
    <w:p w14:paraId="37D365AE" w14:textId="77777777" w:rsidR="00885DFB" w:rsidRPr="00885DFB" w:rsidRDefault="00885DFB" w:rsidP="0006376A">
      <w:pPr>
        <w:numPr>
          <w:ilvl w:val="1"/>
          <w:numId w:val="2"/>
        </w:numPr>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Health Technology Assessment Database (HTA): CRD, 1989 to 2018</w:t>
      </w:r>
    </w:p>
    <w:p w14:paraId="43F09702" w14:textId="77777777" w:rsidR="00885DFB" w:rsidRPr="00885DFB" w:rsidRDefault="00885DFB" w:rsidP="0006376A">
      <w:pPr>
        <w:numPr>
          <w:ilvl w:val="1"/>
          <w:numId w:val="2"/>
        </w:numPr>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NHS Economic Evaluation Database (NHS EED): CRD, 1972 to 2015</w:t>
      </w:r>
    </w:p>
    <w:p w14:paraId="7FDDF68C" w14:textId="265248FD" w:rsidR="00885DFB" w:rsidRPr="00885DFB" w:rsidRDefault="00885DFB" w:rsidP="00F957B9">
      <w:pPr>
        <w:tabs>
          <w:tab w:val="left" w:pos="6380"/>
        </w:tabs>
        <w:spacing w:before="240" w:line="360" w:lineRule="auto"/>
        <w:jc w:val="both"/>
        <w:rPr>
          <w:rFonts w:ascii="Times New Roman" w:eastAsia="Calibri" w:hAnsi="Times New Roman" w:cs="Times New Roman"/>
        </w:rPr>
      </w:pPr>
      <w:r w:rsidRPr="00885DFB">
        <w:rPr>
          <w:rFonts w:ascii="Times New Roman" w:eastAsia="Calibri" w:hAnsi="Times New Roman" w:cs="Times New Roman"/>
        </w:rPr>
        <w:t xml:space="preserve">The search strategies are provided in </w:t>
      </w:r>
      <w:r w:rsidRPr="003E794A">
        <w:rPr>
          <w:rFonts w:ascii="Times New Roman" w:hAnsi="Times New Roman"/>
        </w:rPr>
        <w:t>Appendix 1</w:t>
      </w:r>
      <w:r w:rsidRPr="003E794A">
        <w:rPr>
          <w:rFonts w:ascii="Times New Roman" w:eastAsia="Calibri" w:hAnsi="Times New Roman" w:cs="Times New Roman"/>
        </w:rPr>
        <w:t>.</w:t>
      </w:r>
      <w:r w:rsidRPr="00885DFB">
        <w:rPr>
          <w:rFonts w:ascii="Times New Roman" w:eastAsia="Calibri" w:hAnsi="Times New Roman" w:cs="Times New Roman"/>
        </w:rPr>
        <w:t xml:space="preserve"> </w:t>
      </w:r>
    </w:p>
    <w:p w14:paraId="180DA64A" w14:textId="23B740DF" w:rsidR="00885DFB" w:rsidRPr="000056E1" w:rsidRDefault="00885DFB" w:rsidP="00885DFB">
      <w:pPr>
        <w:spacing w:before="240" w:line="360" w:lineRule="auto"/>
        <w:jc w:val="both"/>
        <w:rPr>
          <w:rFonts w:ascii="Times New Roman" w:eastAsia="Calibri" w:hAnsi="Times New Roman" w:cs="Times New Roman"/>
        </w:rPr>
      </w:pPr>
      <w:r w:rsidRPr="000056E1">
        <w:rPr>
          <w:rFonts w:ascii="Times New Roman" w:eastAsia="Calibri" w:hAnsi="Times New Roman" w:cs="Times New Roman"/>
        </w:rPr>
        <w:t>In addition to the database searches, the following unpublished data was requested</w:t>
      </w:r>
      <w:r w:rsidR="008E6F0E">
        <w:rPr>
          <w:rFonts w:ascii="Times New Roman" w:eastAsia="Calibri" w:hAnsi="Times New Roman" w:cs="Times New Roman"/>
        </w:rPr>
        <w:t xml:space="preserve"> (see Appendix 2)</w:t>
      </w:r>
      <w:r w:rsidRPr="000056E1">
        <w:rPr>
          <w:rFonts w:ascii="Times New Roman" w:eastAsia="Calibri" w:hAnsi="Times New Roman" w:cs="Times New Roman"/>
        </w:rPr>
        <w:t>:</w:t>
      </w:r>
    </w:p>
    <w:p w14:paraId="5EB1119D" w14:textId="77777777" w:rsidR="00885DFB" w:rsidRPr="000056E1" w:rsidRDefault="00885DFB" w:rsidP="005A3BE6">
      <w:pPr>
        <w:numPr>
          <w:ilvl w:val="0"/>
          <w:numId w:val="17"/>
        </w:numPr>
        <w:spacing w:before="240" w:after="120" w:line="360" w:lineRule="auto"/>
        <w:contextualSpacing/>
        <w:jc w:val="both"/>
        <w:rPr>
          <w:rFonts w:ascii="Times New Roman" w:eastAsia="Calibri" w:hAnsi="Times New Roman" w:cs="Times New Roman"/>
        </w:rPr>
      </w:pPr>
      <w:r w:rsidRPr="000056E1">
        <w:rPr>
          <w:rFonts w:ascii="Times New Roman" w:eastAsia="Calibri" w:hAnsi="Times New Roman" w:cs="Times New Roman"/>
        </w:rPr>
        <w:t xml:space="preserve">Public Health England </w:t>
      </w:r>
    </w:p>
    <w:p w14:paraId="3A1AC2BB" w14:textId="41591171" w:rsidR="00C1594A" w:rsidRDefault="00885DFB" w:rsidP="00C1594A">
      <w:pPr>
        <w:spacing w:after="120" w:line="360" w:lineRule="auto"/>
        <w:rPr>
          <w:rFonts w:ascii="Times New Roman" w:hAnsi="Times New Roman" w:cs="Times New Roman"/>
        </w:rPr>
      </w:pPr>
      <w:r w:rsidRPr="000056E1">
        <w:rPr>
          <w:rFonts w:ascii="Times New Roman" w:hAnsi="Times New Roman" w:cs="Times New Roman"/>
        </w:rPr>
        <w:t xml:space="preserve">Evidence on susceptibility to </w:t>
      </w:r>
      <w:r w:rsidR="00894865">
        <w:rPr>
          <w:rFonts w:ascii="Times New Roman" w:hAnsi="Times New Roman" w:cs="Times New Roman"/>
        </w:rPr>
        <w:t xml:space="preserve">OXA-48 </w:t>
      </w:r>
      <w:proofErr w:type="spellStart"/>
      <w:r w:rsidR="00894865" w:rsidRPr="00894865">
        <w:rPr>
          <w:rFonts w:ascii="Times New Roman" w:hAnsi="Times New Roman" w:cs="Times New Roman"/>
          <w:i/>
          <w:iCs/>
        </w:rPr>
        <w:t>Enterobacterales</w:t>
      </w:r>
      <w:proofErr w:type="spellEnd"/>
      <w:r w:rsidR="00894865" w:rsidRPr="000056E1">
        <w:rPr>
          <w:rFonts w:ascii="Times New Roman" w:hAnsi="Times New Roman" w:cs="Times New Roman"/>
        </w:rPr>
        <w:t xml:space="preserve"> </w:t>
      </w:r>
      <w:r w:rsidR="00894865">
        <w:rPr>
          <w:rFonts w:ascii="Times New Roman" w:hAnsi="Times New Roman" w:cs="Times New Roman"/>
        </w:rPr>
        <w:t xml:space="preserve">for CAZ-AVI and the comparators defined by the HVCS </w:t>
      </w:r>
      <w:r w:rsidRPr="000056E1">
        <w:rPr>
          <w:rFonts w:ascii="Times New Roman" w:hAnsi="Times New Roman" w:cs="Times New Roman"/>
        </w:rPr>
        <w:t xml:space="preserve">were requested from PHE. </w:t>
      </w:r>
      <w:r w:rsidR="00C1594A">
        <w:rPr>
          <w:rFonts w:ascii="Times New Roman" w:hAnsi="Times New Roman" w:cs="Times New Roman"/>
        </w:rPr>
        <w:t xml:space="preserve">This is detailed in Appendix </w:t>
      </w:r>
      <w:r w:rsidR="00BD6979">
        <w:rPr>
          <w:rFonts w:ascii="Times New Roman" w:hAnsi="Times New Roman" w:cs="Times New Roman"/>
        </w:rPr>
        <w:t xml:space="preserve">2.3 and </w:t>
      </w:r>
      <w:r w:rsidR="00C1594A">
        <w:rPr>
          <w:rFonts w:ascii="Times New Roman" w:hAnsi="Times New Roman" w:cs="Times New Roman"/>
        </w:rPr>
        <w:t>2</w:t>
      </w:r>
      <w:r w:rsidR="000C15B2">
        <w:rPr>
          <w:rFonts w:ascii="Times New Roman" w:hAnsi="Times New Roman" w:cs="Times New Roman"/>
        </w:rPr>
        <w:t>.4</w:t>
      </w:r>
      <w:r w:rsidR="00C1594A">
        <w:rPr>
          <w:rFonts w:ascii="Times New Roman" w:hAnsi="Times New Roman" w:cs="Times New Roman"/>
        </w:rPr>
        <w:t xml:space="preserve">. </w:t>
      </w:r>
    </w:p>
    <w:p w14:paraId="4B78C5DF" w14:textId="2C725B06" w:rsidR="00885DFB" w:rsidRPr="00C1594A" w:rsidRDefault="00885DFB" w:rsidP="005A3BE6">
      <w:pPr>
        <w:pStyle w:val="ListParagraph"/>
        <w:numPr>
          <w:ilvl w:val="0"/>
          <w:numId w:val="17"/>
        </w:numPr>
        <w:spacing w:after="120" w:line="360" w:lineRule="auto"/>
        <w:rPr>
          <w:rFonts w:ascii="Times New Roman" w:eastAsia="Calibri" w:hAnsi="Times New Roman" w:cs="Times New Roman"/>
        </w:rPr>
      </w:pPr>
      <w:r w:rsidRPr="00C1594A">
        <w:rPr>
          <w:rFonts w:ascii="Times New Roman" w:hAnsi="Times New Roman" w:cs="Times New Roman"/>
        </w:rPr>
        <w:t>Data request to Pfizer</w:t>
      </w:r>
    </w:p>
    <w:p w14:paraId="734BEC7A" w14:textId="77777777" w:rsidR="00885DFB" w:rsidRPr="001C1F5D" w:rsidRDefault="00885DFB" w:rsidP="005A3BE6">
      <w:pPr>
        <w:numPr>
          <w:ilvl w:val="1"/>
          <w:numId w:val="17"/>
        </w:numPr>
        <w:spacing w:before="240" w:after="120" w:line="360" w:lineRule="auto"/>
        <w:contextualSpacing/>
        <w:jc w:val="both"/>
        <w:rPr>
          <w:rFonts w:ascii="Times New Roman" w:eastAsia="Calibri" w:hAnsi="Times New Roman" w:cs="Times New Roman"/>
        </w:rPr>
      </w:pPr>
      <w:r w:rsidRPr="001C1F5D">
        <w:rPr>
          <w:rFonts w:ascii="Times New Roman" w:hAnsi="Times New Roman" w:cs="Times New Roman"/>
          <w:b/>
          <w:bCs/>
        </w:rPr>
        <w:t>Submitted to NICE on 21</w:t>
      </w:r>
      <w:r w:rsidRPr="001C1F5D">
        <w:rPr>
          <w:rFonts w:ascii="Times New Roman" w:hAnsi="Times New Roman" w:cs="Times New Roman"/>
          <w:b/>
          <w:bCs/>
          <w:vertAlign w:val="superscript"/>
        </w:rPr>
        <w:t>st</w:t>
      </w:r>
      <w:r w:rsidRPr="001C1F5D">
        <w:rPr>
          <w:rFonts w:ascii="Times New Roman" w:hAnsi="Times New Roman" w:cs="Times New Roman"/>
          <w:b/>
          <w:bCs/>
        </w:rPr>
        <w:t xml:space="preserve"> May 2021:</w:t>
      </w:r>
      <w:r w:rsidRPr="001C1F5D">
        <w:rPr>
          <w:rFonts w:ascii="Times New Roman" w:eastAsia="Calibri" w:hAnsi="Times New Roman" w:cs="Times New Roman"/>
        </w:rPr>
        <w:t xml:space="preserve"> request for any data relating to observational studies for which they had access to IPD</w:t>
      </w:r>
    </w:p>
    <w:p w14:paraId="42BC0246" w14:textId="1C76A1B3" w:rsidR="00885DFB" w:rsidRPr="001C1F5D" w:rsidRDefault="00885DFB" w:rsidP="005A3BE6">
      <w:pPr>
        <w:numPr>
          <w:ilvl w:val="1"/>
          <w:numId w:val="17"/>
        </w:numPr>
        <w:spacing w:before="240" w:after="120" w:line="360" w:lineRule="auto"/>
        <w:contextualSpacing/>
        <w:jc w:val="both"/>
        <w:rPr>
          <w:rFonts w:ascii="Times New Roman" w:eastAsia="Calibri" w:hAnsi="Times New Roman" w:cs="Times New Roman"/>
        </w:rPr>
      </w:pPr>
      <w:r w:rsidRPr="001C1F5D">
        <w:rPr>
          <w:rFonts w:ascii="Times New Roman" w:hAnsi="Times New Roman" w:cs="Times New Roman"/>
          <w:b/>
          <w:bCs/>
        </w:rPr>
        <w:t>Submitted to NICE on 18</w:t>
      </w:r>
      <w:r w:rsidRPr="001C1F5D">
        <w:rPr>
          <w:rFonts w:ascii="Times New Roman" w:hAnsi="Times New Roman" w:cs="Times New Roman"/>
          <w:b/>
          <w:bCs/>
          <w:vertAlign w:val="superscript"/>
        </w:rPr>
        <w:t>th</w:t>
      </w:r>
      <w:r w:rsidRPr="001C1F5D">
        <w:rPr>
          <w:rFonts w:ascii="Times New Roman" w:hAnsi="Times New Roman" w:cs="Times New Roman"/>
          <w:b/>
          <w:bCs/>
        </w:rPr>
        <w:t xml:space="preserve"> June 2021: </w:t>
      </w:r>
      <w:r w:rsidR="00512409" w:rsidRPr="00512409">
        <w:rPr>
          <w:rFonts w:ascii="Times New Roman" w:hAnsi="Times New Roman" w:cs="Times New Roman"/>
          <w:bCs/>
        </w:rPr>
        <w:t>request for a</w:t>
      </w:r>
      <w:r w:rsidRPr="00512409">
        <w:rPr>
          <w:rFonts w:ascii="Times New Roman" w:hAnsi="Times New Roman" w:cs="Times New Roman"/>
        </w:rPr>
        <w:t xml:space="preserve">ny </w:t>
      </w:r>
      <w:r w:rsidR="00FE2007" w:rsidRPr="00512409">
        <w:rPr>
          <w:rFonts w:ascii="Times New Roman" w:hAnsi="Times New Roman" w:cs="Times New Roman"/>
        </w:rPr>
        <w:t xml:space="preserve">OXA-48 </w:t>
      </w:r>
      <w:proofErr w:type="spellStart"/>
      <w:r w:rsidR="00FE2007" w:rsidRPr="00512409">
        <w:rPr>
          <w:rFonts w:ascii="Times New Roman" w:hAnsi="Times New Roman" w:cs="Times New Roman"/>
          <w:i/>
          <w:iCs/>
        </w:rPr>
        <w:t>Enterobacterales</w:t>
      </w:r>
      <w:proofErr w:type="spellEnd"/>
      <w:r w:rsidRPr="00512409">
        <w:rPr>
          <w:rFonts w:ascii="Times New Roman" w:hAnsi="Times New Roman" w:cs="Times New Roman"/>
        </w:rPr>
        <w:t xml:space="preserve"> susceptibility data they had access to,</w:t>
      </w:r>
      <w:r w:rsidRPr="00512409">
        <w:rPr>
          <w:rFonts w:ascii="Times New Roman" w:eastAsia="Calibri" w:hAnsi="Times New Roman" w:cs="Times New Roman"/>
        </w:rPr>
        <w:t xml:space="preserve"> for CAZ-AVI and the HVCS comparators</w:t>
      </w:r>
      <w:r w:rsidRPr="001C1F5D">
        <w:rPr>
          <w:rFonts w:ascii="Times New Roman" w:eastAsia="Calibri" w:hAnsi="Times New Roman" w:cs="Times New Roman"/>
        </w:rPr>
        <w:t xml:space="preserve"> </w:t>
      </w:r>
    </w:p>
    <w:p w14:paraId="37BBC41C" w14:textId="77777777" w:rsidR="00894865" w:rsidRDefault="00894865" w:rsidP="001C1F5D">
      <w:pPr>
        <w:spacing w:before="240" w:after="120" w:line="360" w:lineRule="auto"/>
        <w:contextualSpacing/>
        <w:jc w:val="both"/>
        <w:rPr>
          <w:rFonts w:ascii="Times New Roman" w:hAnsi="Times New Roman" w:cs="Times New Roman"/>
        </w:rPr>
      </w:pPr>
    </w:p>
    <w:p w14:paraId="21C4ADD8" w14:textId="3A11755B" w:rsidR="00C27ADC" w:rsidRDefault="00C27ADC" w:rsidP="00A83123">
      <w:pPr>
        <w:spacing w:before="240" w:after="120" w:line="360" w:lineRule="auto"/>
        <w:contextualSpacing/>
        <w:jc w:val="both"/>
        <w:rPr>
          <w:rFonts w:ascii="Times New Roman" w:hAnsi="Times New Roman" w:cs="Times New Roman"/>
        </w:rPr>
      </w:pPr>
      <w:r w:rsidRPr="00C27ADC">
        <w:rPr>
          <w:rFonts w:ascii="Times New Roman" w:hAnsi="Times New Roman" w:cs="Times New Roman"/>
        </w:rPr>
        <w:t xml:space="preserve">Two surveillance databases were also identified and queried for data that could be included in the review (Antimicrobial Testing Leadership </w:t>
      </w:r>
      <w:proofErr w:type="gramStart"/>
      <w:r w:rsidRPr="00C27ADC">
        <w:rPr>
          <w:rFonts w:ascii="Times New Roman" w:hAnsi="Times New Roman" w:cs="Times New Roman"/>
        </w:rPr>
        <w:t>And</w:t>
      </w:r>
      <w:proofErr w:type="gramEnd"/>
      <w:r w:rsidRPr="00C27ADC">
        <w:rPr>
          <w:rFonts w:ascii="Times New Roman" w:hAnsi="Times New Roman" w:cs="Times New Roman"/>
        </w:rPr>
        <w:t xml:space="preserve"> Surveillance </w:t>
      </w:r>
      <w:r>
        <w:rPr>
          <w:rFonts w:ascii="Times New Roman" w:hAnsi="Times New Roman" w:cs="Times New Roman"/>
        </w:rPr>
        <w:t>(</w:t>
      </w:r>
      <w:r w:rsidRPr="00C27ADC">
        <w:rPr>
          <w:rFonts w:ascii="Times New Roman" w:hAnsi="Times New Roman" w:cs="Times New Roman"/>
        </w:rPr>
        <w:t>ATLAS</w:t>
      </w:r>
      <w:r w:rsidR="00512409">
        <w:rPr>
          <w:rFonts w:ascii="Times New Roman" w:hAnsi="Times New Roman" w:cs="Times New Roman"/>
        </w:rPr>
        <w:t>)</w:t>
      </w:r>
      <w:r w:rsidRPr="00C27ADC">
        <w:rPr>
          <w:rFonts w:ascii="Times New Roman" w:hAnsi="Times New Roman" w:cs="Times New Roman"/>
        </w:rPr>
        <w:t xml:space="preserve"> and SENTRY</w:t>
      </w:r>
      <w:r w:rsidR="001C1F5D">
        <w:rPr>
          <w:rFonts w:ascii="Times New Roman" w:hAnsi="Times New Roman" w:cs="Times New Roman"/>
        </w:rPr>
        <w:t>)</w:t>
      </w:r>
      <w:r w:rsidRPr="00C27ADC">
        <w:rPr>
          <w:rFonts w:ascii="Times New Roman" w:hAnsi="Times New Roman" w:cs="Times New Roman"/>
        </w:rPr>
        <w:t>.</w:t>
      </w:r>
      <w:r w:rsidR="00A83123" w:rsidRPr="00A83123">
        <w:rPr>
          <w:rFonts w:ascii="Times New Roman" w:hAnsi="Times New Roman" w:cs="Times New Roman"/>
          <w:noProof/>
          <w:vertAlign w:val="superscript"/>
        </w:rPr>
        <w:t>24,25</w:t>
      </w:r>
    </w:p>
    <w:p w14:paraId="121CB352" w14:textId="77777777" w:rsidR="00894865" w:rsidRPr="003B33B2" w:rsidRDefault="00894865" w:rsidP="001C1F5D">
      <w:pPr>
        <w:spacing w:before="240" w:after="120" w:line="360" w:lineRule="auto"/>
        <w:contextualSpacing/>
        <w:jc w:val="both"/>
        <w:rPr>
          <w:rFonts w:ascii="Times New Roman" w:hAnsi="Times New Roman" w:cs="Times New Roman"/>
          <w:highlight w:val="yellow"/>
        </w:rPr>
      </w:pPr>
    </w:p>
    <w:p w14:paraId="61D8FD3A" w14:textId="72181D96" w:rsidR="00885DFB" w:rsidRPr="00685394" w:rsidRDefault="00885DFB" w:rsidP="00B674A1">
      <w:pPr>
        <w:pStyle w:val="Heading3"/>
        <w:ind w:left="1276" w:hanging="567"/>
        <w:rPr>
          <w:rFonts w:asciiTheme="majorBidi" w:hAnsiTheme="majorBidi"/>
          <w:sz w:val="26"/>
          <w:szCs w:val="26"/>
        </w:rPr>
      </w:pPr>
      <w:bookmarkStart w:id="106" w:name="_Toc87462987"/>
      <w:bookmarkStart w:id="107" w:name="_Ref82184813"/>
      <w:r w:rsidRPr="006E4E83">
        <w:rPr>
          <w:rFonts w:asciiTheme="majorBidi" w:hAnsiTheme="majorBidi"/>
          <w:sz w:val="26"/>
          <w:szCs w:val="26"/>
        </w:rPr>
        <w:t>4.</w:t>
      </w:r>
      <w:r w:rsidR="008D0C90" w:rsidRPr="006E4E83">
        <w:rPr>
          <w:rFonts w:asciiTheme="majorBidi" w:hAnsiTheme="majorBidi"/>
          <w:sz w:val="26"/>
          <w:szCs w:val="26"/>
        </w:rPr>
        <w:t>3</w:t>
      </w:r>
      <w:r w:rsidRPr="006E4E83">
        <w:rPr>
          <w:rFonts w:asciiTheme="majorBidi" w:hAnsiTheme="majorBidi"/>
          <w:sz w:val="26"/>
          <w:szCs w:val="26"/>
        </w:rPr>
        <w:t xml:space="preserve">.2 </w:t>
      </w:r>
      <w:bookmarkStart w:id="108" w:name="_Hlk84869233"/>
      <w:r w:rsidR="00081A3F" w:rsidRPr="006E4E83">
        <w:rPr>
          <w:rFonts w:asciiTheme="majorBidi" w:hAnsiTheme="majorBidi"/>
          <w:sz w:val="26"/>
          <w:szCs w:val="26"/>
        </w:rPr>
        <w:t>Keyword mapping</w:t>
      </w:r>
      <w:r w:rsidR="00DD122B" w:rsidRPr="006E4E83">
        <w:rPr>
          <w:rFonts w:asciiTheme="majorBidi" w:hAnsiTheme="majorBidi"/>
          <w:sz w:val="26"/>
          <w:szCs w:val="26"/>
        </w:rPr>
        <w:t xml:space="preserve">, </w:t>
      </w:r>
      <w:r w:rsidR="00081A3F" w:rsidRPr="006E4E83">
        <w:rPr>
          <w:rFonts w:asciiTheme="majorBidi" w:hAnsiTheme="majorBidi"/>
          <w:sz w:val="26"/>
          <w:szCs w:val="26"/>
        </w:rPr>
        <w:t xml:space="preserve">study selection, </w:t>
      </w:r>
      <w:r w:rsidR="00DD122B" w:rsidRPr="006E4E83">
        <w:rPr>
          <w:rFonts w:asciiTheme="majorBidi" w:hAnsiTheme="majorBidi"/>
          <w:sz w:val="26"/>
          <w:szCs w:val="26"/>
        </w:rPr>
        <w:t>data extraction and quality assessmen</w:t>
      </w:r>
      <w:r w:rsidR="00DD122B" w:rsidRPr="00685394">
        <w:rPr>
          <w:rFonts w:asciiTheme="majorBidi" w:hAnsiTheme="majorBidi"/>
          <w:sz w:val="26"/>
          <w:szCs w:val="26"/>
        </w:rPr>
        <w:t>t</w:t>
      </w:r>
      <w:bookmarkEnd w:id="106"/>
      <w:r w:rsidRPr="00685394">
        <w:rPr>
          <w:rFonts w:asciiTheme="majorBidi" w:hAnsiTheme="majorBidi"/>
          <w:sz w:val="26"/>
          <w:szCs w:val="26"/>
        </w:rPr>
        <w:t xml:space="preserve"> </w:t>
      </w:r>
      <w:bookmarkEnd w:id="107"/>
      <w:bookmarkEnd w:id="108"/>
    </w:p>
    <w:p w14:paraId="22340AAA" w14:textId="01A29AC3" w:rsidR="00894865" w:rsidRPr="00894865" w:rsidRDefault="00894865" w:rsidP="00894865">
      <w:pPr>
        <w:spacing w:before="240" w:line="360" w:lineRule="auto"/>
        <w:jc w:val="both"/>
        <w:rPr>
          <w:rFonts w:ascii="Times New Roman" w:eastAsia="Calibri" w:hAnsi="Times New Roman" w:cs="Times New Roman"/>
          <w:iCs/>
        </w:rPr>
      </w:pPr>
      <w:r w:rsidRPr="00894865">
        <w:rPr>
          <w:rFonts w:ascii="Times New Roman" w:eastAsia="Calibri" w:hAnsi="Times New Roman" w:cs="Times New Roman"/>
          <w:iCs/>
        </w:rPr>
        <w:t>Citations retrieved by the search were uploaded in Endnote</w:t>
      </w:r>
      <w:r>
        <w:rPr>
          <w:rFonts w:ascii="Times New Roman" w:eastAsia="Calibri" w:hAnsi="Times New Roman" w:cs="Times New Roman"/>
          <w:iCs/>
        </w:rPr>
        <w:t xml:space="preserve"> </w:t>
      </w:r>
      <w:r w:rsidRPr="000056E1">
        <w:rPr>
          <w:rFonts w:ascii="Times New Roman" w:eastAsia="Calibri" w:hAnsi="Times New Roman" w:cs="Times New Roman"/>
        </w:rPr>
        <w:t>(Clarivate Analytics)</w:t>
      </w:r>
      <w:r w:rsidRPr="00894865">
        <w:rPr>
          <w:rFonts w:ascii="Times New Roman" w:eastAsia="Calibri" w:hAnsi="Times New Roman" w:cs="Times New Roman"/>
          <w:iCs/>
        </w:rPr>
        <w:t xml:space="preserve">, </w:t>
      </w:r>
      <w:r>
        <w:rPr>
          <w:rFonts w:ascii="Times New Roman" w:eastAsia="Calibri" w:hAnsi="Times New Roman" w:cs="Times New Roman"/>
          <w:iCs/>
        </w:rPr>
        <w:t xml:space="preserve">deduplicated, </w:t>
      </w:r>
      <w:r w:rsidRPr="00894865">
        <w:rPr>
          <w:rFonts w:ascii="Times New Roman" w:eastAsia="Calibri" w:hAnsi="Times New Roman" w:cs="Times New Roman"/>
          <w:iCs/>
        </w:rPr>
        <w:t>and</w:t>
      </w:r>
      <w:r>
        <w:rPr>
          <w:rFonts w:ascii="Times New Roman" w:eastAsia="Calibri" w:hAnsi="Times New Roman" w:cs="Times New Roman"/>
          <w:iCs/>
        </w:rPr>
        <w:t xml:space="preserve"> considered for inclusion in the review.</w:t>
      </w:r>
      <w:r w:rsidRPr="00894865">
        <w:rPr>
          <w:rFonts w:ascii="Times New Roman" w:eastAsia="Calibri" w:hAnsi="Times New Roman" w:cs="Times New Roman"/>
          <w:iCs/>
        </w:rPr>
        <w:t xml:space="preserve"> </w:t>
      </w:r>
    </w:p>
    <w:p w14:paraId="5C778D3C" w14:textId="406EAB70" w:rsidR="00885DFB" w:rsidRPr="00885DFB" w:rsidRDefault="00885DFB" w:rsidP="000056E1">
      <w:pPr>
        <w:spacing w:before="240" w:line="360" w:lineRule="auto"/>
        <w:jc w:val="both"/>
        <w:rPr>
          <w:rFonts w:ascii="Times New Roman" w:eastAsia="Calibri" w:hAnsi="Times New Roman" w:cs="Times New Roman"/>
        </w:rPr>
      </w:pPr>
      <w:r w:rsidRPr="00885DFB">
        <w:rPr>
          <w:rFonts w:ascii="Times New Roman" w:eastAsia="Calibri" w:hAnsi="Times New Roman" w:cs="Times New Roman"/>
          <w:i/>
        </w:rPr>
        <w:t xml:space="preserve">Keyword mapping: </w:t>
      </w:r>
      <w:r w:rsidRPr="00885DFB">
        <w:rPr>
          <w:rFonts w:ascii="Times New Roman" w:eastAsia="Calibri" w:hAnsi="Times New Roman" w:cs="Times New Roman"/>
        </w:rPr>
        <w:t xml:space="preserve">Citations that met the inclusion </w:t>
      </w:r>
      <w:r w:rsidRPr="000056E1">
        <w:rPr>
          <w:rFonts w:ascii="Times New Roman" w:eastAsia="Calibri" w:hAnsi="Times New Roman" w:cs="Times New Roman"/>
        </w:rPr>
        <w:t xml:space="preserve">criteria listed in </w:t>
      </w:r>
      <w:r w:rsidR="00994836" w:rsidRPr="00994836">
        <w:rPr>
          <w:rFonts w:ascii="Times New Roman" w:eastAsia="Calibri" w:hAnsi="Times New Roman" w:cs="Times New Roman"/>
        </w:rPr>
        <w:t>Table 4</w:t>
      </w:r>
      <w:r w:rsidR="00994836">
        <w:rPr>
          <w:rFonts w:ascii="Times New Roman" w:eastAsia="Calibri" w:hAnsi="Times New Roman" w:cs="Times New Roman"/>
        </w:rPr>
        <w:t xml:space="preserve"> </w:t>
      </w:r>
      <w:r w:rsidRPr="000056E1">
        <w:rPr>
          <w:rFonts w:ascii="Times New Roman" w:eastAsia="Calibri" w:hAnsi="Times New Roman" w:cs="Times New Roman"/>
        </w:rPr>
        <w:t xml:space="preserve">were tagged in Endnote (Clarivate Analytics) by one reviewer, according to key study characteristics: treatment (CAZ-AVI); study design (RCT, observational, susceptibility, PK/PD); mechanism (OXA-48, </w:t>
      </w:r>
      <w:r w:rsidR="00894865">
        <w:rPr>
          <w:rFonts w:ascii="Times New Roman" w:eastAsia="Calibri" w:hAnsi="Times New Roman" w:cs="Times New Roman"/>
        </w:rPr>
        <w:t xml:space="preserve">KPC, </w:t>
      </w:r>
      <w:r w:rsidRPr="000056E1">
        <w:rPr>
          <w:rFonts w:ascii="Times New Roman" w:eastAsia="Calibri" w:hAnsi="Times New Roman" w:cs="Times New Roman"/>
        </w:rPr>
        <w:t>other); pathogen (</w:t>
      </w:r>
      <w:proofErr w:type="spellStart"/>
      <w:r w:rsidR="00FE2007" w:rsidRPr="00FE2007">
        <w:rPr>
          <w:rFonts w:ascii="Times New Roman" w:eastAsia="Calibri" w:hAnsi="Times New Roman" w:cs="Times New Roman"/>
          <w:i/>
          <w:iCs/>
        </w:rPr>
        <w:t>Enterobacterales</w:t>
      </w:r>
      <w:proofErr w:type="spellEnd"/>
      <w:r w:rsidRPr="000056E1">
        <w:rPr>
          <w:rFonts w:ascii="Times New Roman" w:eastAsia="Calibri" w:hAnsi="Times New Roman" w:cs="Times New Roman"/>
        </w:rPr>
        <w:t>,</w:t>
      </w:r>
      <w:r w:rsidR="00081A3F" w:rsidRPr="00081A3F">
        <w:rPr>
          <w:rFonts w:ascii="Times New Roman" w:eastAsia="Calibri" w:hAnsi="Times New Roman" w:cs="Times New Roman"/>
        </w:rPr>
        <w:t xml:space="preserve"> </w:t>
      </w:r>
      <w:r w:rsidRPr="000056E1">
        <w:rPr>
          <w:rFonts w:ascii="Times New Roman" w:eastAsia="Calibri" w:hAnsi="Times New Roman" w:cs="Times New Roman"/>
        </w:rPr>
        <w:t>other); and site (</w:t>
      </w:r>
      <w:proofErr w:type="spellStart"/>
      <w:r w:rsidRPr="000056E1">
        <w:rPr>
          <w:rFonts w:ascii="Times New Roman" w:eastAsia="Calibri" w:hAnsi="Times New Roman" w:cs="Times New Roman"/>
        </w:rPr>
        <w:t>cUTI</w:t>
      </w:r>
      <w:proofErr w:type="spellEnd"/>
      <w:r w:rsidRPr="000056E1">
        <w:rPr>
          <w:rFonts w:ascii="Times New Roman" w:eastAsia="Calibri" w:hAnsi="Times New Roman" w:cs="Times New Roman"/>
        </w:rPr>
        <w:t xml:space="preserve">, HAP/VAP, BSI, other). All potential sources of evidence, including RCTs, observational studies, </w:t>
      </w:r>
      <w:r w:rsidR="00D86E3D" w:rsidRPr="00D86E3D">
        <w:rPr>
          <w:rFonts w:ascii="Times New Roman" w:eastAsia="Calibri" w:hAnsi="Times New Roman" w:cs="Times New Roman"/>
          <w:i/>
          <w:iCs/>
        </w:rPr>
        <w:t>in vitro</w:t>
      </w:r>
      <w:r w:rsidRPr="000056E1">
        <w:rPr>
          <w:rFonts w:ascii="Times New Roman" w:eastAsia="Calibri" w:hAnsi="Times New Roman" w:cs="Times New Roman"/>
        </w:rPr>
        <w:t xml:space="preserve"> studies and national, </w:t>
      </w:r>
      <w:proofErr w:type="gramStart"/>
      <w:r w:rsidRPr="000056E1">
        <w:rPr>
          <w:rFonts w:ascii="Times New Roman" w:eastAsia="Calibri" w:hAnsi="Times New Roman" w:cs="Times New Roman"/>
        </w:rPr>
        <w:t>local</w:t>
      </w:r>
      <w:proofErr w:type="gramEnd"/>
      <w:r w:rsidRPr="000056E1">
        <w:rPr>
          <w:rFonts w:ascii="Times New Roman" w:eastAsia="Calibri" w:hAnsi="Times New Roman" w:cs="Times New Roman"/>
        </w:rPr>
        <w:t xml:space="preserve"> or international</w:t>
      </w:r>
      <w:r w:rsidRPr="00885DFB">
        <w:rPr>
          <w:rFonts w:ascii="Times New Roman" w:eastAsia="Calibri" w:hAnsi="Times New Roman" w:cs="Times New Roman"/>
        </w:rPr>
        <w:t xml:space="preserve"> datasets identified in the grey literature were included in this stage of mapping.</w:t>
      </w:r>
    </w:p>
    <w:p w14:paraId="7172179A" w14:textId="32EC1D15" w:rsidR="00885DFB" w:rsidRPr="00885DFB" w:rsidRDefault="00885DFB" w:rsidP="00885DFB">
      <w:pPr>
        <w:spacing w:before="240" w:line="360" w:lineRule="auto"/>
        <w:jc w:val="both"/>
        <w:rPr>
          <w:rFonts w:ascii="Times New Roman" w:eastAsia="Calibri" w:hAnsi="Times New Roman" w:cs="Times New Roman"/>
        </w:rPr>
      </w:pPr>
      <w:bookmarkStart w:id="109" w:name="_Hlk77601198"/>
      <w:r w:rsidRPr="00885DFB">
        <w:rPr>
          <w:rFonts w:ascii="Times New Roman" w:eastAsia="Calibri" w:hAnsi="Times New Roman" w:cs="Times New Roman"/>
          <w:i/>
        </w:rPr>
        <w:t xml:space="preserve">Key characteristics mapping: </w:t>
      </w:r>
      <w:bookmarkEnd w:id="109"/>
      <w:r w:rsidRPr="00885DFB">
        <w:rPr>
          <w:rFonts w:ascii="Times New Roman" w:eastAsia="Calibri" w:hAnsi="Times New Roman" w:cs="Times New Roman"/>
          <w:iCs/>
        </w:rPr>
        <w:t>A subset of s</w:t>
      </w:r>
      <w:r w:rsidRPr="00885DFB">
        <w:rPr>
          <w:rFonts w:ascii="Times New Roman" w:eastAsia="Calibri" w:hAnsi="Times New Roman" w:cs="Times New Roman"/>
        </w:rPr>
        <w:t xml:space="preserve">tudies that met the inclusion criteria listed in </w:t>
      </w:r>
      <w:r w:rsidR="00994836" w:rsidRPr="00994836">
        <w:rPr>
          <w:rFonts w:ascii="Times New Roman" w:eastAsia="Calibri" w:hAnsi="Times New Roman" w:cs="Times New Roman"/>
        </w:rPr>
        <w:t>Table 4</w:t>
      </w:r>
      <w:r w:rsidR="00994836">
        <w:rPr>
          <w:rFonts w:ascii="Times New Roman" w:eastAsia="Calibri" w:hAnsi="Times New Roman" w:cs="Times New Roman"/>
        </w:rPr>
        <w:t xml:space="preserve"> </w:t>
      </w:r>
      <w:r w:rsidRPr="00885DFB">
        <w:rPr>
          <w:rFonts w:ascii="Times New Roman" w:eastAsia="Calibri" w:hAnsi="Times New Roman" w:cs="Times New Roman"/>
        </w:rPr>
        <w:t xml:space="preserve">were selected for key characteristics tabulation by one reviewer. The full text of RCT and observational studies identified as being potentially relevant </w:t>
      </w:r>
      <w:r w:rsidR="00986A22">
        <w:rPr>
          <w:rFonts w:ascii="Times New Roman" w:eastAsia="Calibri" w:hAnsi="Times New Roman" w:cs="Times New Roman"/>
        </w:rPr>
        <w:t>based on</w:t>
      </w:r>
      <w:r w:rsidRPr="00885DFB">
        <w:rPr>
          <w:rFonts w:ascii="Times New Roman" w:eastAsia="Calibri" w:hAnsi="Times New Roman" w:cs="Times New Roman"/>
        </w:rPr>
        <w:t xml:space="preserve"> their title and abstract were consulted in the first instance, and studies were tabulated and assessed for relevance against the key characteristics mapping criteria, and for relevance to the model. Since an assessment of this map concluded that insufficient relevant </w:t>
      </w:r>
      <w:r w:rsidR="00081A3F" w:rsidRPr="00081A3F">
        <w:rPr>
          <w:rFonts w:ascii="Times New Roman" w:eastAsia="Calibri" w:hAnsi="Times New Roman" w:cs="Times New Roman"/>
          <w:i/>
          <w:iCs/>
        </w:rPr>
        <w:t>in vivo</w:t>
      </w:r>
      <w:r w:rsidR="00081A3F">
        <w:rPr>
          <w:rFonts w:ascii="Times New Roman" w:eastAsia="Calibri" w:hAnsi="Times New Roman" w:cs="Times New Roman"/>
        </w:rPr>
        <w:t xml:space="preserve"> </w:t>
      </w:r>
      <w:r w:rsidRPr="00885DFB">
        <w:rPr>
          <w:rFonts w:ascii="Times New Roman" w:eastAsia="Calibri" w:hAnsi="Times New Roman" w:cs="Times New Roman"/>
        </w:rPr>
        <w:t>evidence was identified (see Section</w:t>
      </w:r>
      <w:r w:rsidR="00AD709F">
        <w:rPr>
          <w:rFonts w:ascii="Times New Roman" w:eastAsia="Calibri" w:hAnsi="Times New Roman" w:cs="Times New Roman"/>
        </w:rPr>
        <w:t xml:space="preserve"> 4.4.</w:t>
      </w:r>
      <w:r w:rsidR="002B12D8">
        <w:rPr>
          <w:rFonts w:ascii="Times New Roman" w:eastAsia="Calibri" w:hAnsi="Times New Roman" w:cs="Times New Roman"/>
        </w:rPr>
        <w:t>2</w:t>
      </w:r>
      <w:r w:rsidRPr="00885DFB">
        <w:rPr>
          <w:rFonts w:ascii="Times New Roman" w:eastAsia="Calibri" w:hAnsi="Times New Roman" w:cs="Times New Roman"/>
        </w:rPr>
        <w:t>), the next level of evidence (susceptibility studies) was also tabulated.</w:t>
      </w:r>
    </w:p>
    <w:p w14:paraId="410062DC" w14:textId="134AAABE" w:rsidR="00885DFB" w:rsidRPr="00885DFB" w:rsidRDefault="00885DFB" w:rsidP="00885DFB">
      <w:pPr>
        <w:spacing w:before="240" w:line="360" w:lineRule="auto"/>
        <w:jc w:val="both"/>
        <w:rPr>
          <w:rFonts w:ascii="Times New Roman" w:eastAsia="Calibri" w:hAnsi="Times New Roman" w:cs="Times New Roman"/>
        </w:rPr>
      </w:pPr>
      <w:r w:rsidRPr="00885DFB">
        <w:rPr>
          <w:rFonts w:ascii="Times New Roman" w:eastAsia="Calibri" w:hAnsi="Times New Roman" w:cs="Times New Roman"/>
        </w:rPr>
        <w:t xml:space="preserve">Key study characteristics tailored to the study designs of interest (e.g., sample size, population, pathogen, mechanism, site, outcomes reported, susceptibility methodology, see </w:t>
      </w:r>
      <w:r w:rsidRPr="00885DFB">
        <w:rPr>
          <w:rFonts w:ascii="Times New Roman" w:hAnsi="Times New Roman" w:cs="Times New Roman"/>
        </w:rPr>
        <w:t>Appendix 3</w:t>
      </w:r>
      <w:r w:rsidRPr="00885DFB">
        <w:rPr>
          <w:rFonts w:ascii="Times New Roman" w:eastAsia="Calibri" w:hAnsi="Times New Roman" w:cs="Times New Roman"/>
        </w:rPr>
        <w:t xml:space="preserve">) were tabulated by one reviewer. Data relating to numeric outcomes were not extracted and quality assessment was not performed at this stage. </w:t>
      </w:r>
    </w:p>
    <w:p w14:paraId="46DD6BC3" w14:textId="0385B3A6" w:rsidR="00885DFB" w:rsidRPr="00885DFB" w:rsidRDefault="00885DFB" w:rsidP="00885DFB">
      <w:pPr>
        <w:spacing w:before="240" w:line="360" w:lineRule="auto"/>
        <w:jc w:val="both"/>
        <w:rPr>
          <w:rFonts w:ascii="Times New Roman" w:eastAsia="Calibri" w:hAnsi="Times New Roman" w:cs="Times New Roman"/>
        </w:rPr>
      </w:pPr>
      <w:r w:rsidRPr="00885DFB">
        <w:rPr>
          <w:rFonts w:ascii="Times New Roman" w:eastAsia="Calibri" w:hAnsi="Times New Roman" w:cs="Times New Roman"/>
          <w:i/>
        </w:rPr>
        <w:t xml:space="preserve">Study selection: </w:t>
      </w:r>
      <w:r w:rsidRPr="00885DFB">
        <w:rPr>
          <w:rFonts w:ascii="Times New Roman" w:eastAsia="Calibri" w:hAnsi="Times New Roman" w:cs="Times New Roman"/>
        </w:rPr>
        <w:t>At the final stage of study selection, only susceptibility studies were considered since other sources did not meet the requirements of the project. The reasons for this decision are detailed in Section 4.</w:t>
      </w:r>
      <w:r w:rsidR="003B33B2">
        <w:rPr>
          <w:rFonts w:ascii="Times New Roman" w:eastAsia="Calibri" w:hAnsi="Times New Roman" w:cs="Times New Roman"/>
        </w:rPr>
        <w:t>4</w:t>
      </w:r>
      <w:r w:rsidR="00AD709F">
        <w:rPr>
          <w:rFonts w:ascii="Times New Roman" w:eastAsia="Calibri" w:hAnsi="Times New Roman" w:cs="Times New Roman"/>
        </w:rPr>
        <w:t>.</w:t>
      </w:r>
      <w:r w:rsidR="002B12D8">
        <w:rPr>
          <w:rFonts w:ascii="Times New Roman" w:eastAsia="Calibri" w:hAnsi="Times New Roman" w:cs="Times New Roman"/>
        </w:rPr>
        <w:t>2</w:t>
      </w:r>
      <w:r w:rsidRPr="00885DFB">
        <w:rPr>
          <w:rFonts w:ascii="Times New Roman" w:eastAsia="Calibri" w:hAnsi="Times New Roman" w:cs="Times New Roman"/>
        </w:rPr>
        <w:t xml:space="preserve">. </w:t>
      </w:r>
      <w:r w:rsidR="00CB6ABB">
        <w:rPr>
          <w:rFonts w:ascii="Times New Roman" w:eastAsia="Calibri" w:hAnsi="Times New Roman" w:cs="Times New Roman"/>
        </w:rPr>
        <w:t>The inclusion criteria are listed in</w:t>
      </w:r>
      <w:r w:rsidR="00994836">
        <w:rPr>
          <w:rFonts w:ascii="Times New Roman" w:eastAsia="Calibri" w:hAnsi="Times New Roman" w:cs="Times New Roman"/>
        </w:rPr>
        <w:t xml:space="preserve"> </w:t>
      </w:r>
      <w:r w:rsidR="00994836" w:rsidRPr="00994836">
        <w:rPr>
          <w:rFonts w:ascii="Times New Roman" w:eastAsia="Calibri" w:hAnsi="Times New Roman" w:cs="Times New Roman"/>
        </w:rPr>
        <w:t>Table 4</w:t>
      </w:r>
      <w:r w:rsidR="00CB6ABB">
        <w:rPr>
          <w:rFonts w:ascii="Times New Roman" w:eastAsia="Calibri" w:hAnsi="Times New Roman" w:cs="Times New Roman"/>
        </w:rPr>
        <w:t>.</w:t>
      </w:r>
    </w:p>
    <w:p w14:paraId="74CEA681" w14:textId="34A4BC84" w:rsidR="005A2359" w:rsidRDefault="00885DFB" w:rsidP="00885DFB">
      <w:pPr>
        <w:spacing w:before="240" w:line="360" w:lineRule="auto"/>
        <w:jc w:val="both"/>
        <w:rPr>
          <w:rFonts w:ascii="Times New Roman" w:eastAsia="Calibri" w:hAnsi="Times New Roman" w:cs="Times New Roman"/>
        </w:rPr>
      </w:pPr>
      <w:r w:rsidRPr="00885DFB">
        <w:rPr>
          <w:rFonts w:ascii="Times New Roman" w:eastAsia="Calibri" w:hAnsi="Times New Roman" w:cs="Times New Roman"/>
        </w:rPr>
        <w:t>Advice was sought from clinical advisors to aid the assessment of the relevance of susceptibility studies to the HVCSs</w:t>
      </w:r>
      <w:r w:rsidR="00CB6ABB">
        <w:rPr>
          <w:rFonts w:ascii="Times New Roman" w:eastAsia="Calibri" w:hAnsi="Times New Roman" w:cs="Times New Roman"/>
        </w:rPr>
        <w:t>, and to inform the final selection of evidence</w:t>
      </w:r>
      <w:r w:rsidRPr="00885DFB">
        <w:rPr>
          <w:rFonts w:ascii="Times New Roman" w:eastAsia="Calibri" w:hAnsi="Times New Roman" w:cs="Times New Roman"/>
        </w:rPr>
        <w:t xml:space="preserve">. Factors including location, date of </w:t>
      </w:r>
      <w:r w:rsidRPr="000056E1">
        <w:rPr>
          <w:rFonts w:ascii="Times New Roman" w:eastAsia="Calibri" w:hAnsi="Times New Roman" w:cs="Times New Roman"/>
        </w:rPr>
        <w:t xml:space="preserve">recruitment, </w:t>
      </w:r>
      <w:r w:rsidRPr="00994836">
        <w:rPr>
          <w:rFonts w:ascii="Times New Roman" w:eastAsia="Calibri" w:hAnsi="Times New Roman" w:cs="Times New Roman"/>
        </w:rPr>
        <w:t xml:space="preserve">OXA-48 versus OXA-48-like mechanisms, </w:t>
      </w:r>
      <w:r w:rsidRPr="000056E1">
        <w:rPr>
          <w:rFonts w:ascii="Times New Roman" w:eastAsia="Calibri" w:hAnsi="Times New Roman" w:cs="Times New Roman"/>
        </w:rPr>
        <w:t xml:space="preserve">sampling strategy, screening and outbreak populations, and susceptibility testing methodologies were considered, and decisions made (see </w:t>
      </w:r>
      <w:r w:rsidR="00994836" w:rsidRPr="00994836">
        <w:rPr>
          <w:rFonts w:ascii="Times New Roman" w:eastAsia="Calibri" w:hAnsi="Times New Roman" w:cs="Times New Roman"/>
        </w:rPr>
        <w:t xml:space="preserve">Table </w:t>
      </w:r>
      <w:r w:rsidR="00994836" w:rsidRPr="00994836">
        <w:rPr>
          <w:rFonts w:ascii="Times New Roman" w:eastAsia="Calibri" w:hAnsi="Times New Roman" w:cs="Times New Roman"/>
        </w:rPr>
        <w:lastRenderedPageBreak/>
        <w:t>5</w:t>
      </w:r>
      <w:r w:rsidRPr="000056E1">
        <w:rPr>
          <w:rFonts w:ascii="Times New Roman" w:eastAsia="Calibri" w:hAnsi="Times New Roman" w:cs="Times New Roman"/>
        </w:rPr>
        <w:t xml:space="preserve">). </w:t>
      </w:r>
      <w:r w:rsidR="00A232EC">
        <w:rPr>
          <w:rFonts w:ascii="Times New Roman" w:eastAsia="Calibri" w:hAnsi="Times New Roman" w:cs="Times New Roman"/>
        </w:rPr>
        <w:t xml:space="preserve">At this point a decision was made not to review the PK/PD data, since this data is reviewed when setting breakpoints, and since clinical advisors to EEPRU stated that </w:t>
      </w:r>
      <w:r w:rsidR="004B0B8A">
        <w:rPr>
          <w:rFonts w:ascii="Times New Roman" w:eastAsia="Calibri" w:hAnsi="Times New Roman" w:cs="Times New Roman"/>
        </w:rPr>
        <w:t xml:space="preserve">since </w:t>
      </w:r>
      <w:r w:rsidR="00A232EC">
        <w:rPr>
          <w:rFonts w:ascii="Times New Roman" w:eastAsia="Calibri" w:hAnsi="Times New Roman" w:cs="Times New Roman"/>
        </w:rPr>
        <w:t xml:space="preserve">the treatment </w:t>
      </w:r>
      <w:r w:rsidR="00A232EC" w:rsidRPr="00A232EC">
        <w:rPr>
          <w:rFonts w:ascii="Times New Roman" w:eastAsia="Calibri" w:hAnsi="Times New Roman" w:cs="Times New Roman"/>
        </w:rPr>
        <w:t xml:space="preserve">and comparators </w:t>
      </w:r>
      <w:r w:rsidR="00A232EC">
        <w:rPr>
          <w:rFonts w:ascii="Times New Roman" w:eastAsia="Calibri" w:hAnsi="Times New Roman" w:cs="Times New Roman"/>
        </w:rPr>
        <w:t>penetrate</w:t>
      </w:r>
      <w:r w:rsidR="00A232EC" w:rsidRPr="00A232EC">
        <w:rPr>
          <w:rFonts w:ascii="Times New Roman" w:eastAsia="Calibri" w:hAnsi="Times New Roman" w:cs="Times New Roman"/>
        </w:rPr>
        <w:t xml:space="preserve"> to the sites of interest</w:t>
      </w:r>
      <w:r w:rsidR="00A232EC">
        <w:rPr>
          <w:rFonts w:ascii="Times New Roman" w:eastAsia="Calibri" w:hAnsi="Times New Roman" w:cs="Times New Roman"/>
        </w:rPr>
        <w:t xml:space="preserve"> </w:t>
      </w:r>
      <w:r w:rsidR="004B0B8A">
        <w:rPr>
          <w:rFonts w:ascii="Times New Roman" w:eastAsia="Calibri" w:hAnsi="Times New Roman" w:cs="Times New Roman"/>
        </w:rPr>
        <w:t xml:space="preserve">it was </w:t>
      </w:r>
      <w:r w:rsidR="00A232EC" w:rsidRPr="00A232EC">
        <w:rPr>
          <w:rFonts w:ascii="Times New Roman" w:eastAsia="Calibri" w:hAnsi="Times New Roman" w:cs="Times New Roman"/>
        </w:rPr>
        <w:t>therefore</w:t>
      </w:r>
      <w:r w:rsidR="00A232EC">
        <w:rPr>
          <w:rFonts w:ascii="Times New Roman" w:eastAsia="Calibri" w:hAnsi="Times New Roman" w:cs="Times New Roman"/>
        </w:rPr>
        <w:t xml:space="preserve"> </w:t>
      </w:r>
      <w:r w:rsidR="00A232EC" w:rsidRPr="00A232EC">
        <w:rPr>
          <w:rFonts w:ascii="Times New Roman" w:eastAsia="Calibri" w:hAnsi="Times New Roman" w:cs="Times New Roman"/>
        </w:rPr>
        <w:t>reasonable to link directly between susceptibility and clinical outcomes</w:t>
      </w:r>
      <w:r w:rsidR="00A232EC">
        <w:rPr>
          <w:rFonts w:ascii="Times New Roman" w:eastAsia="Calibri" w:hAnsi="Times New Roman" w:cs="Times New Roman"/>
        </w:rPr>
        <w:t xml:space="preserve"> (see </w:t>
      </w:r>
      <w:r w:rsidR="00994836" w:rsidRPr="00994836">
        <w:rPr>
          <w:rFonts w:ascii="Times New Roman" w:eastAsia="Calibri" w:hAnsi="Times New Roman" w:cs="Times New Roman"/>
        </w:rPr>
        <w:t>Table 5</w:t>
      </w:r>
      <w:r w:rsidR="00A232EC">
        <w:rPr>
          <w:rFonts w:ascii="Times New Roman" w:eastAsia="Calibri" w:hAnsi="Times New Roman" w:cs="Times New Roman"/>
        </w:rPr>
        <w:t>).</w:t>
      </w:r>
      <w:r w:rsidR="00A232EC" w:rsidRPr="00A232EC">
        <w:rPr>
          <w:rFonts w:ascii="Times New Roman" w:eastAsia="Calibri" w:hAnsi="Times New Roman" w:cs="Times New Roman"/>
        </w:rPr>
        <w:t xml:space="preserve"> </w:t>
      </w:r>
    </w:p>
    <w:p w14:paraId="6E23AD3B" w14:textId="10026201" w:rsidR="005A2359" w:rsidRDefault="00081A3F" w:rsidP="001C1F5D">
      <w:pPr>
        <w:spacing w:before="240" w:line="360" w:lineRule="auto"/>
        <w:jc w:val="both"/>
        <w:rPr>
          <w:rFonts w:ascii="Times New Roman" w:eastAsia="Calibri" w:hAnsi="Times New Roman" w:cs="Times New Roman"/>
        </w:rPr>
      </w:pPr>
      <w:r>
        <w:rPr>
          <w:rFonts w:ascii="Times New Roman" w:eastAsia="Calibri" w:hAnsi="Times New Roman" w:cs="Times New Roman"/>
        </w:rPr>
        <w:t>Due to time restrictions on the project, only s</w:t>
      </w:r>
      <w:r w:rsidR="00885DFB" w:rsidRPr="00885DFB">
        <w:rPr>
          <w:rFonts w:ascii="Times New Roman" w:eastAsia="Calibri" w:hAnsi="Times New Roman" w:cs="Times New Roman"/>
        </w:rPr>
        <w:t xml:space="preserve">tudies reporting susceptibility to both </w:t>
      </w:r>
      <w:r w:rsidRPr="001C1F5D">
        <w:rPr>
          <w:rFonts w:ascii="Times New Roman" w:eastAsia="Calibri" w:hAnsi="Times New Roman" w:cs="Times New Roman"/>
        </w:rPr>
        <w:t>CAZ-AVI</w:t>
      </w:r>
      <w:r>
        <w:rPr>
          <w:rFonts w:ascii="Times New Roman" w:eastAsia="Calibri" w:hAnsi="Times New Roman" w:cs="Times New Roman"/>
        </w:rPr>
        <w:t xml:space="preserve"> </w:t>
      </w:r>
      <w:proofErr w:type="gramStart"/>
      <w:r w:rsidR="00885DFB" w:rsidRPr="00885DFB">
        <w:rPr>
          <w:rFonts w:ascii="Times New Roman" w:eastAsia="Calibri" w:hAnsi="Times New Roman" w:cs="Times New Roman"/>
        </w:rPr>
        <w:t>and also</w:t>
      </w:r>
      <w:proofErr w:type="gramEnd"/>
      <w:r w:rsidR="00885DFB" w:rsidRPr="00885DFB">
        <w:rPr>
          <w:rFonts w:ascii="Times New Roman" w:eastAsia="Calibri" w:hAnsi="Times New Roman" w:cs="Times New Roman"/>
        </w:rPr>
        <w:t xml:space="preserve"> to any one of the comparators listed in</w:t>
      </w:r>
      <w:r w:rsidR="00994836">
        <w:rPr>
          <w:rFonts w:ascii="Times New Roman" w:eastAsia="Calibri" w:hAnsi="Times New Roman" w:cs="Times New Roman"/>
        </w:rPr>
        <w:t xml:space="preserve"> </w:t>
      </w:r>
      <w:r w:rsidR="00994836" w:rsidRPr="00994836">
        <w:rPr>
          <w:rFonts w:ascii="Times New Roman" w:eastAsia="Calibri" w:hAnsi="Times New Roman" w:cs="Times New Roman"/>
        </w:rPr>
        <w:t>Table 1</w:t>
      </w:r>
      <w:r w:rsidR="00885DFB" w:rsidRPr="00885DFB">
        <w:rPr>
          <w:rFonts w:ascii="Times New Roman" w:eastAsia="Calibri" w:hAnsi="Times New Roman" w:cs="Times New Roman"/>
        </w:rPr>
        <w:t xml:space="preserve"> were included.</w:t>
      </w:r>
      <w:r>
        <w:rPr>
          <w:rFonts w:ascii="Times New Roman" w:eastAsia="Calibri" w:hAnsi="Times New Roman" w:cs="Times New Roman"/>
        </w:rPr>
        <w:t xml:space="preserve"> </w:t>
      </w:r>
      <w:bookmarkStart w:id="110" w:name="_Hlk85143228"/>
      <w:r>
        <w:rPr>
          <w:rFonts w:ascii="Times New Roman" w:eastAsia="Calibri" w:hAnsi="Times New Roman" w:cs="Times New Roman"/>
        </w:rPr>
        <w:t xml:space="preserve">This is a pragmatic approach to evidence retrieval, since ideally all susceptibility data relating to all comparators would have been included in the evidence synthesis, but searches to identify this evidence would have been </w:t>
      </w:r>
      <w:r w:rsidR="005C204E">
        <w:rPr>
          <w:rFonts w:ascii="Times New Roman" w:eastAsia="Calibri" w:hAnsi="Times New Roman" w:cs="Times New Roman"/>
        </w:rPr>
        <w:t>large</w:t>
      </w:r>
      <w:r>
        <w:rPr>
          <w:rFonts w:ascii="Times New Roman" w:eastAsia="Calibri" w:hAnsi="Times New Roman" w:cs="Times New Roman"/>
        </w:rPr>
        <w:t xml:space="preserve">. </w:t>
      </w:r>
      <w:bookmarkEnd w:id="110"/>
      <w:r w:rsidR="00BB3349" w:rsidRPr="00BB3349">
        <w:rPr>
          <w:rFonts w:ascii="Times New Roman" w:eastAsia="Calibri" w:hAnsi="Times New Roman" w:cs="Times New Roman"/>
        </w:rPr>
        <w:t>No studies reported combinations of AMs, the process for estimating efficacy for combination treatments using the results of the evidence synthesis a</w:t>
      </w:r>
      <w:r w:rsidR="00BB3349">
        <w:rPr>
          <w:rFonts w:ascii="Times New Roman" w:eastAsia="Calibri" w:hAnsi="Times New Roman" w:cs="Times New Roman"/>
        </w:rPr>
        <w:t>re described in Section 7.2.3.2.</w:t>
      </w:r>
      <w:r w:rsidR="005A2359">
        <w:rPr>
          <w:rFonts w:ascii="Times New Roman" w:eastAsia="Calibri" w:hAnsi="Times New Roman" w:cs="Times New Roman"/>
        </w:rPr>
        <w:t xml:space="preserve"> </w:t>
      </w:r>
      <w:r w:rsidR="005A2359" w:rsidRPr="005A2359">
        <w:rPr>
          <w:rFonts w:ascii="Times New Roman" w:eastAsia="Calibri" w:hAnsi="Times New Roman" w:cs="Times New Roman"/>
        </w:rPr>
        <w:t>Consequently, studies reporting susceptibility to both</w:t>
      </w:r>
      <w:r w:rsidR="00994836">
        <w:rPr>
          <w:rFonts w:ascii="Times New Roman" w:eastAsia="Calibri" w:hAnsi="Times New Roman" w:cs="Times New Roman"/>
        </w:rPr>
        <w:t xml:space="preserve"> CAZ-AVI</w:t>
      </w:r>
      <w:r w:rsidR="005A2359" w:rsidRPr="005A2359">
        <w:rPr>
          <w:rFonts w:ascii="Times New Roman" w:eastAsia="Calibri" w:hAnsi="Times New Roman" w:cs="Times New Roman"/>
        </w:rPr>
        <w:t xml:space="preserve"> </w:t>
      </w:r>
      <w:proofErr w:type="gramStart"/>
      <w:r w:rsidR="005A2359" w:rsidRPr="005A2359">
        <w:rPr>
          <w:rFonts w:ascii="Times New Roman" w:eastAsia="Calibri" w:hAnsi="Times New Roman" w:cs="Times New Roman"/>
        </w:rPr>
        <w:t>and also</w:t>
      </w:r>
      <w:proofErr w:type="gramEnd"/>
      <w:r w:rsidR="005A2359" w:rsidRPr="005A2359">
        <w:rPr>
          <w:rFonts w:ascii="Times New Roman" w:eastAsia="Calibri" w:hAnsi="Times New Roman" w:cs="Times New Roman"/>
        </w:rPr>
        <w:t xml:space="preserve"> to any one of the comparators listed in </w:t>
      </w:r>
      <w:r w:rsidR="00994836" w:rsidRPr="00994836">
        <w:rPr>
          <w:rFonts w:ascii="Times New Roman" w:eastAsia="Calibri" w:hAnsi="Times New Roman" w:cs="Times New Roman"/>
        </w:rPr>
        <w:t>Table 1</w:t>
      </w:r>
      <w:r w:rsidR="00994836">
        <w:rPr>
          <w:rFonts w:ascii="Times New Roman" w:eastAsia="Calibri" w:hAnsi="Times New Roman" w:cs="Times New Roman"/>
        </w:rPr>
        <w:t xml:space="preserve"> </w:t>
      </w:r>
      <w:r w:rsidR="005A2359" w:rsidRPr="005A2359">
        <w:rPr>
          <w:rFonts w:ascii="Times New Roman" w:eastAsia="Calibri" w:hAnsi="Times New Roman" w:cs="Times New Roman"/>
        </w:rPr>
        <w:t>were included.</w:t>
      </w:r>
    </w:p>
    <w:p w14:paraId="27BA1FFB" w14:textId="32AF82DB" w:rsidR="00885DFB" w:rsidRPr="00885DFB" w:rsidRDefault="00885DFB" w:rsidP="00885DFB">
      <w:pPr>
        <w:spacing w:before="240" w:line="360" w:lineRule="auto"/>
        <w:jc w:val="both"/>
        <w:rPr>
          <w:rFonts w:ascii="Times New Roman" w:eastAsia="Calibri" w:hAnsi="Times New Roman" w:cs="Times New Roman"/>
        </w:rPr>
      </w:pPr>
      <w:r w:rsidRPr="006732B3">
        <w:rPr>
          <w:rFonts w:ascii="Times New Roman" w:eastAsia="Calibri" w:hAnsi="Times New Roman" w:cs="Times New Roman"/>
          <w:b/>
          <w:bCs/>
          <w:i/>
        </w:rPr>
        <w:t>Data extraction</w:t>
      </w:r>
      <w:r w:rsidRPr="00885DFB">
        <w:rPr>
          <w:rFonts w:ascii="Times New Roman" w:eastAsia="Calibri" w:hAnsi="Times New Roman" w:cs="Times New Roman"/>
          <w:i/>
        </w:rPr>
        <w:t>:</w:t>
      </w:r>
      <w:r w:rsidRPr="00885DFB">
        <w:rPr>
          <w:rFonts w:ascii="Times New Roman" w:eastAsia="Calibri" w:hAnsi="Times New Roman" w:cs="Times New Roman"/>
        </w:rPr>
        <w:t xml:space="preserve"> Data sources selected for inclusion in the review were data extracted by one reviewer and extractions were checked by a second. </w:t>
      </w:r>
      <w:bookmarkStart w:id="111" w:name="_Hlk85832268"/>
      <w:r w:rsidRPr="00885DFB">
        <w:rPr>
          <w:rFonts w:ascii="Times New Roman" w:eastAsia="Calibri" w:hAnsi="Times New Roman" w:cs="Times New Roman"/>
        </w:rPr>
        <w:t>The initial key characteristics tabulation was expanded to include numerical outcome data</w:t>
      </w:r>
      <w:r w:rsidR="00CB6ABB">
        <w:rPr>
          <w:rFonts w:ascii="Times New Roman" w:eastAsia="Calibri" w:hAnsi="Times New Roman" w:cs="Times New Roman"/>
        </w:rPr>
        <w:t xml:space="preserve"> for the susceptibility studies</w:t>
      </w:r>
      <w:r w:rsidR="002B12D8">
        <w:rPr>
          <w:rFonts w:ascii="Times New Roman" w:eastAsia="Calibri" w:hAnsi="Times New Roman" w:cs="Times New Roman"/>
        </w:rPr>
        <w:t>, and data were checked by a second reviewer</w:t>
      </w:r>
      <w:bookmarkEnd w:id="111"/>
      <w:r w:rsidRPr="00885DFB">
        <w:rPr>
          <w:rFonts w:ascii="Times New Roman" w:eastAsia="Calibri" w:hAnsi="Times New Roman" w:cs="Times New Roman"/>
        </w:rPr>
        <w:t>. Data sources not selected for use in the model or clinical review were tabulated and reasons for their exclusion provided but were not assessed further.</w:t>
      </w:r>
    </w:p>
    <w:p w14:paraId="045A6847" w14:textId="1B7478E4" w:rsidR="00696B65" w:rsidRDefault="00885DFB" w:rsidP="00A83123">
      <w:pPr>
        <w:spacing w:before="240" w:line="360" w:lineRule="auto"/>
        <w:jc w:val="both"/>
        <w:rPr>
          <w:rFonts w:ascii="Times New Roman" w:hAnsi="Times New Roman" w:cs="Times New Roman"/>
        </w:rPr>
      </w:pPr>
      <w:r w:rsidRPr="006732B3">
        <w:rPr>
          <w:rFonts w:ascii="Times New Roman" w:eastAsia="Calibri" w:hAnsi="Times New Roman" w:cs="Times New Roman"/>
          <w:b/>
          <w:bCs/>
          <w:i/>
          <w:iCs/>
        </w:rPr>
        <w:t>Quality assessment</w:t>
      </w:r>
      <w:r w:rsidRPr="00885DFB">
        <w:rPr>
          <w:rFonts w:ascii="Times New Roman" w:eastAsia="Calibri" w:hAnsi="Times New Roman" w:cs="Times New Roman"/>
          <w:i/>
          <w:iCs/>
        </w:rPr>
        <w:t>:</w:t>
      </w:r>
      <w:r w:rsidRPr="00885DFB">
        <w:rPr>
          <w:rFonts w:ascii="Times New Roman" w:eastAsia="Calibri" w:hAnsi="Times New Roman" w:cs="Times New Roman"/>
        </w:rPr>
        <w:t xml:space="preserve"> Since there is no published quality assessment tool for susceptibility studies, a bespoke set of questions were developed and applied, relating to internal bias and relevance. This tool was developed by consulting two tools developed for the assessment of prevalence studies </w:t>
      </w:r>
      <w:r w:rsidR="00A83123" w:rsidRPr="00A83123">
        <w:rPr>
          <w:rFonts w:ascii="Times New Roman" w:eastAsia="Calibri" w:hAnsi="Times New Roman" w:cs="Times New Roman"/>
          <w:noProof/>
          <w:vertAlign w:val="superscript"/>
        </w:rPr>
        <w:t>26,27</w:t>
      </w:r>
      <w:r w:rsidRPr="00885DFB">
        <w:rPr>
          <w:rFonts w:ascii="Times New Roman" w:eastAsia="Calibri" w:hAnsi="Times New Roman" w:cs="Times New Roman"/>
        </w:rPr>
        <w:t>(since studies report the prevalence of susceptibility)</w:t>
      </w:r>
      <w:r w:rsidRPr="00885DFB">
        <w:rPr>
          <w:rFonts w:ascii="Times New Roman" w:hAnsi="Times New Roman" w:cs="Times New Roman"/>
        </w:rPr>
        <w:t xml:space="preserve">, the </w:t>
      </w:r>
      <w:r w:rsidR="006F3415">
        <w:rPr>
          <w:rFonts w:ascii="Times New Roman" w:hAnsi="Times New Roman" w:cs="Times New Roman"/>
        </w:rPr>
        <w:t>risk of bias in non-randomised studies (</w:t>
      </w:r>
      <w:r w:rsidRPr="00885DFB">
        <w:rPr>
          <w:rFonts w:ascii="Times New Roman" w:hAnsi="Times New Roman" w:cs="Times New Roman"/>
        </w:rPr>
        <w:t>ROBINS</w:t>
      </w:r>
      <w:r w:rsidR="006F3415">
        <w:rPr>
          <w:rFonts w:ascii="Times New Roman" w:hAnsi="Times New Roman" w:cs="Times New Roman"/>
        </w:rPr>
        <w:t>)</w:t>
      </w:r>
      <w:r w:rsidRPr="00885DFB">
        <w:rPr>
          <w:rFonts w:ascii="Times New Roman" w:hAnsi="Times New Roman" w:cs="Times New Roman"/>
        </w:rPr>
        <w:t>-1 checklist</w:t>
      </w:r>
      <w:r w:rsidR="00A83123" w:rsidRPr="00A83123">
        <w:rPr>
          <w:rFonts w:ascii="Times New Roman" w:hAnsi="Times New Roman" w:cs="Times New Roman"/>
          <w:noProof/>
          <w:vertAlign w:val="superscript"/>
        </w:rPr>
        <w:t>28</w:t>
      </w:r>
      <w:r w:rsidRPr="00885DFB">
        <w:rPr>
          <w:rFonts w:ascii="Times New Roman" w:hAnsi="Times New Roman" w:cs="Times New Roman"/>
        </w:rPr>
        <w:t xml:space="preserve"> for non-randomised studies (since the studies are comparative, but non-randomised), Cochrane’s </w:t>
      </w:r>
      <w:r w:rsidR="006F3415">
        <w:rPr>
          <w:rFonts w:ascii="Times New Roman" w:hAnsi="Times New Roman" w:cs="Times New Roman"/>
        </w:rPr>
        <w:t>risk of bias 2 (</w:t>
      </w:r>
      <w:r w:rsidRPr="00885DFB">
        <w:rPr>
          <w:rFonts w:ascii="Times New Roman" w:hAnsi="Times New Roman" w:cs="Times New Roman"/>
        </w:rPr>
        <w:t>RoB</w:t>
      </w:r>
      <w:r w:rsidR="006F3415">
        <w:rPr>
          <w:rFonts w:ascii="Times New Roman" w:hAnsi="Times New Roman" w:cs="Times New Roman"/>
        </w:rPr>
        <w:t>2)</w:t>
      </w:r>
      <w:r w:rsidR="00A83123" w:rsidRPr="00A83123">
        <w:rPr>
          <w:rFonts w:ascii="Times New Roman" w:hAnsi="Times New Roman" w:cs="Times New Roman"/>
          <w:noProof/>
          <w:vertAlign w:val="superscript"/>
        </w:rPr>
        <w:t>29</w:t>
      </w:r>
      <w:r w:rsidRPr="00885DFB">
        <w:rPr>
          <w:rFonts w:ascii="Times New Roman" w:hAnsi="Times New Roman" w:cs="Times New Roman"/>
        </w:rPr>
        <w:t xml:space="preserve"> tool (since the network meta-analysis will assume the study arms are equivalent to randomised arms of an RCT), and the Newcastle </w:t>
      </w:r>
      <w:proofErr w:type="spellStart"/>
      <w:r w:rsidRPr="00885DFB">
        <w:rPr>
          <w:rFonts w:ascii="Times New Roman" w:hAnsi="Times New Roman" w:cs="Times New Roman"/>
        </w:rPr>
        <w:t>Ottowa</w:t>
      </w:r>
      <w:proofErr w:type="spellEnd"/>
      <w:r w:rsidRPr="00885DFB">
        <w:rPr>
          <w:rFonts w:ascii="Times New Roman" w:hAnsi="Times New Roman" w:cs="Times New Roman"/>
        </w:rPr>
        <w:t xml:space="preserve"> Scale</w:t>
      </w:r>
      <w:r w:rsidR="00A83123" w:rsidRPr="00A83123">
        <w:rPr>
          <w:rFonts w:ascii="Times New Roman" w:hAnsi="Times New Roman" w:cs="Times New Roman"/>
          <w:noProof/>
          <w:vertAlign w:val="superscript"/>
        </w:rPr>
        <w:t>30</w:t>
      </w:r>
      <w:r w:rsidRPr="00885DFB">
        <w:rPr>
          <w:rFonts w:ascii="Times New Roman" w:hAnsi="Times New Roman" w:cs="Times New Roman"/>
        </w:rPr>
        <w:t xml:space="preserve"> (since these are observational studies). Questions from all tools were considered for </w:t>
      </w:r>
      <w:proofErr w:type="gramStart"/>
      <w:r w:rsidRPr="00885DFB">
        <w:rPr>
          <w:rFonts w:ascii="Times New Roman" w:hAnsi="Times New Roman" w:cs="Times New Roman"/>
        </w:rPr>
        <w:t>inclusion, and</w:t>
      </w:r>
      <w:proofErr w:type="gramEnd"/>
      <w:r w:rsidRPr="00885DFB">
        <w:rPr>
          <w:rFonts w:ascii="Times New Roman" w:hAnsi="Times New Roman" w:cs="Times New Roman"/>
        </w:rPr>
        <w:t xml:space="preserve"> adapted to the specifics of this review. </w:t>
      </w:r>
      <w:r w:rsidR="008E0424">
        <w:rPr>
          <w:rFonts w:ascii="Times New Roman" w:hAnsi="Times New Roman" w:cs="Times New Roman"/>
        </w:rPr>
        <w:t xml:space="preserve">The tool was reviewed by other members of the reviewing team, but no further validation work was undertaken. </w:t>
      </w:r>
      <w:r w:rsidRPr="00885DFB">
        <w:rPr>
          <w:rFonts w:ascii="Times New Roman" w:hAnsi="Times New Roman" w:cs="Times New Roman"/>
        </w:rPr>
        <w:t>The final tool is reported in Appendix 4</w:t>
      </w:r>
      <w:r w:rsidRPr="007A7BEC">
        <w:rPr>
          <w:rFonts w:ascii="Times New Roman" w:hAnsi="Times New Roman"/>
        </w:rPr>
        <w:t>.</w:t>
      </w:r>
      <w:r w:rsidRPr="00885DFB">
        <w:rPr>
          <w:rFonts w:ascii="Times New Roman" w:hAnsi="Times New Roman" w:cs="Times New Roman"/>
        </w:rPr>
        <w:t xml:space="preserve"> </w:t>
      </w:r>
      <w:r w:rsidR="007F06E1">
        <w:rPr>
          <w:rFonts w:ascii="Times New Roman" w:hAnsi="Times New Roman" w:cs="Times New Roman"/>
        </w:rPr>
        <w:t xml:space="preserve">Risk of bias was assessed </w:t>
      </w:r>
      <w:r w:rsidR="008E0424">
        <w:rPr>
          <w:rFonts w:ascii="Times New Roman" w:hAnsi="Times New Roman" w:cs="Times New Roman"/>
        </w:rPr>
        <w:t xml:space="preserve">using this tool </w:t>
      </w:r>
      <w:r w:rsidR="007F06E1">
        <w:rPr>
          <w:rFonts w:ascii="Times New Roman" w:hAnsi="Times New Roman" w:cs="Times New Roman"/>
        </w:rPr>
        <w:t xml:space="preserve">by one reviewer. </w:t>
      </w:r>
      <w:bookmarkStart w:id="112" w:name="_Ref78191795"/>
      <w:bookmarkStart w:id="113" w:name="_Toc77931477"/>
      <w:bookmarkStart w:id="114" w:name="_Toc83300844"/>
      <w:bookmarkStart w:id="115" w:name="_Toc83821903"/>
    </w:p>
    <w:p w14:paraId="34DE6F41" w14:textId="005DD189" w:rsidR="00885DFB" w:rsidRPr="001C1F5D" w:rsidRDefault="00885DFB" w:rsidP="00885DFB">
      <w:pPr>
        <w:keepNext/>
        <w:spacing w:before="360" w:after="200" w:line="240" w:lineRule="auto"/>
        <w:rPr>
          <w:rFonts w:asciiTheme="majorBidi" w:hAnsiTheme="majorBidi"/>
          <w:b/>
          <w:sz w:val="20"/>
        </w:rPr>
      </w:pPr>
      <w:bookmarkStart w:id="116" w:name="_Ref85640469"/>
      <w:bookmarkStart w:id="117" w:name="_Toc86418981"/>
      <w:r w:rsidRPr="006732B3">
        <w:rPr>
          <w:rFonts w:asciiTheme="majorBidi" w:hAnsiTheme="majorBidi"/>
          <w:b/>
          <w:sz w:val="20"/>
        </w:rPr>
        <w:t xml:space="preserve">Table </w:t>
      </w:r>
      <w:r w:rsidR="00F10F0A">
        <w:rPr>
          <w:rFonts w:asciiTheme="majorBidi" w:hAnsiTheme="majorBidi"/>
          <w:b/>
          <w:noProof/>
          <w:sz w:val="20"/>
        </w:rPr>
        <w:t>4</w:t>
      </w:r>
      <w:bookmarkEnd w:id="112"/>
      <w:bookmarkEnd w:id="116"/>
      <w:r w:rsidRPr="006732B3">
        <w:rPr>
          <w:rFonts w:asciiTheme="majorBidi" w:hAnsiTheme="majorBidi"/>
          <w:b/>
          <w:sz w:val="20"/>
        </w:rPr>
        <w:t xml:space="preserve">: </w:t>
      </w:r>
      <w:r w:rsidRPr="001C1F5D">
        <w:rPr>
          <w:rFonts w:asciiTheme="majorBidi" w:hAnsiTheme="majorBidi"/>
          <w:b/>
          <w:sz w:val="20"/>
        </w:rPr>
        <w:t>Inclusion criteria at each stage of the mapping review</w:t>
      </w:r>
      <w:bookmarkEnd w:id="113"/>
      <w:bookmarkEnd w:id="114"/>
      <w:bookmarkEnd w:id="115"/>
      <w:bookmarkEnd w:id="117"/>
    </w:p>
    <w:tbl>
      <w:tblPr>
        <w:tblStyle w:val="TableGrid"/>
        <w:tblW w:w="0" w:type="auto"/>
        <w:tblLook w:val="04A0" w:firstRow="1" w:lastRow="0" w:firstColumn="1" w:lastColumn="0" w:noHBand="0" w:noVBand="1"/>
      </w:tblPr>
      <w:tblGrid>
        <w:gridCol w:w="1646"/>
        <w:gridCol w:w="1983"/>
        <w:gridCol w:w="2112"/>
        <w:gridCol w:w="3275"/>
      </w:tblGrid>
      <w:tr w:rsidR="00885DFB" w:rsidRPr="006732B3" w14:paraId="35E762BD" w14:textId="77777777" w:rsidTr="00885DFB">
        <w:tc>
          <w:tcPr>
            <w:tcW w:w="0" w:type="auto"/>
          </w:tcPr>
          <w:p w14:paraId="545EDC4A"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Characteristic</w:t>
            </w:r>
          </w:p>
        </w:tc>
        <w:tc>
          <w:tcPr>
            <w:tcW w:w="0" w:type="auto"/>
          </w:tcPr>
          <w:p w14:paraId="5635EE41"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Keyword mapping*</w:t>
            </w:r>
          </w:p>
        </w:tc>
        <w:tc>
          <w:tcPr>
            <w:tcW w:w="0" w:type="auto"/>
          </w:tcPr>
          <w:p w14:paraId="6E02189D"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Key characteristics tabulation*</w:t>
            </w:r>
          </w:p>
        </w:tc>
        <w:tc>
          <w:tcPr>
            <w:tcW w:w="0" w:type="auto"/>
          </w:tcPr>
          <w:p w14:paraId="6177398B"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Selection for synthesis</w:t>
            </w:r>
          </w:p>
        </w:tc>
      </w:tr>
      <w:tr w:rsidR="00885DFB" w:rsidRPr="006732B3" w14:paraId="48C7FC72" w14:textId="77777777" w:rsidTr="00885DFB">
        <w:tc>
          <w:tcPr>
            <w:tcW w:w="0" w:type="auto"/>
            <w:shd w:val="clear" w:color="auto" w:fill="D9D9D9" w:themeFill="background1" w:themeFillShade="D9"/>
          </w:tcPr>
          <w:p w14:paraId="08C3ACF4"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Population</w:t>
            </w:r>
          </w:p>
        </w:tc>
        <w:tc>
          <w:tcPr>
            <w:tcW w:w="0" w:type="auto"/>
            <w:shd w:val="clear" w:color="auto" w:fill="D9D9D9" w:themeFill="background1" w:themeFillShade="D9"/>
          </w:tcPr>
          <w:p w14:paraId="55CEBA45" w14:textId="77777777" w:rsidR="00885DFB" w:rsidRPr="006732B3" w:rsidRDefault="00885DFB" w:rsidP="00885DFB">
            <w:pPr>
              <w:spacing w:after="60"/>
              <w:rPr>
                <w:rFonts w:asciiTheme="majorBidi" w:hAnsiTheme="majorBidi" w:cstheme="majorBidi"/>
              </w:rPr>
            </w:pPr>
          </w:p>
        </w:tc>
        <w:tc>
          <w:tcPr>
            <w:tcW w:w="0" w:type="auto"/>
            <w:shd w:val="clear" w:color="auto" w:fill="D9D9D9" w:themeFill="background1" w:themeFillShade="D9"/>
          </w:tcPr>
          <w:p w14:paraId="76CCDAA8"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2BED46F5" w14:textId="77777777" w:rsidR="00885DFB" w:rsidRPr="006732B3" w:rsidRDefault="00885DFB" w:rsidP="00885DFB">
            <w:pPr>
              <w:spacing w:after="60"/>
              <w:rPr>
                <w:rFonts w:asciiTheme="majorBidi" w:hAnsiTheme="majorBidi" w:cstheme="majorBidi"/>
                <w:b/>
              </w:rPr>
            </w:pPr>
          </w:p>
        </w:tc>
      </w:tr>
      <w:tr w:rsidR="00885DFB" w:rsidRPr="006732B3" w14:paraId="2C071F96" w14:textId="77777777" w:rsidTr="00885DFB">
        <w:tc>
          <w:tcPr>
            <w:tcW w:w="0" w:type="auto"/>
          </w:tcPr>
          <w:p w14:paraId="3B2C7A48"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Patients</w:t>
            </w:r>
          </w:p>
        </w:tc>
        <w:tc>
          <w:tcPr>
            <w:tcW w:w="0" w:type="auto"/>
          </w:tcPr>
          <w:p w14:paraId="345BDFF8"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Adults or children</w:t>
            </w:r>
          </w:p>
        </w:tc>
        <w:tc>
          <w:tcPr>
            <w:tcW w:w="0" w:type="auto"/>
          </w:tcPr>
          <w:p w14:paraId="43ABEF55"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Adults</w:t>
            </w:r>
          </w:p>
        </w:tc>
        <w:tc>
          <w:tcPr>
            <w:tcW w:w="0" w:type="auto"/>
          </w:tcPr>
          <w:p w14:paraId="3609593C"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 xml:space="preserve">Isolates from adults or children recruited consecutively, </w:t>
            </w:r>
            <w:r w:rsidRPr="006732B3">
              <w:rPr>
                <w:rFonts w:asciiTheme="majorBidi" w:hAnsiTheme="majorBidi" w:cstheme="majorBidi"/>
              </w:rPr>
              <w:lastRenderedPageBreak/>
              <w:t xml:space="preserve">purposively, by convenience or as part of another study, </w:t>
            </w:r>
            <w:proofErr w:type="gramStart"/>
            <w:r w:rsidRPr="006732B3">
              <w:rPr>
                <w:rFonts w:asciiTheme="majorBidi" w:hAnsiTheme="majorBidi" w:cstheme="majorBidi"/>
              </w:rPr>
              <w:t>e.g.</w:t>
            </w:r>
            <w:proofErr w:type="gramEnd"/>
            <w:r w:rsidRPr="006732B3">
              <w:rPr>
                <w:rFonts w:asciiTheme="majorBidi" w:hAnsiTheme="majorBidi" w:cstheme="majorBidi"/>
              </w:rPr>
              <w:t xml:space="preserve"> RCT</w:t>
            </w:r>
          </w:p>
          <w:p w14:paraId="1FB125F8" w14:textId="77777777" w:rsidR="00885DFB" w:rsidRPr="006732B3" w:rsidRDefault="00885DFB" w:rsidP="00885DFB">
            <w:pPr>
              <w:spacing w:after="60"/>
              <w:rPr>
                <w:rFonts w:asciiTheme="majorBidi" w:hAnsiTheme="majorBidi" w:cstheme="majorBidi"/>
              </w:rPr>
            </w:pPr>
          </w:p>
          <w:p w14:paraId="6A0A6665"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 xml:space="preserve">Screened or invasive samples </w:t>
            </w:r>
          </w:p>
        </w:tc>
      </w:tr>
      <w:tr w:rsidR="00885DFB" w:rsidRPr="006732B3" w14:paraId="1272E5E0" w14:textId="77777777" w:rsidTr="00885DFB">
        <w:tc>
          <w:tcPr>
            <w:tcW w:w="0" w:type="auto"/>
          </w:tcPr>
          <w:p w14:paraId="285390BD" w14:textId="2CA89482" w:rsidR="00885DFB" w:rsidRPr="006732B3" w:rsidRDefault="00AE639B" w:rsidP="00885DFB">
            <w:pPr>
              <w:spacing w:after="60"/>
              <w:rPr>
                <w:rFonts w:asciiTheme="majorBidi" w:hAnsiTheme="majorBidi" w:cstheme="majorBidi"/>
                <w:b/>
              </w:rPr>
            </w:pPr>
            <w:r>
              <w:rPr>
                <w:rFonts w:asciiTheme="majorBidi" w:hAnsiTheme="majorBidi" w:cstheme="majorBidi"/>
                <w:b/>
              </w:rPr>
              <w:lastRenderedPageBreak/>
              <w:t>Pathogen-mechanism</w:t>
            </w:r>
          </w:p>
        </w:tc>
        <w:tc>
          <w:tcPr>
            <w:tcW w:w="0" w:type="auto"/>
          </w:tcPr>
          <w:p w14:paraId="28E474EF" w14:textId="28805665" w:rsidR="00885DFB" w:rsidRPr="006732B3" w:rsidRDefault="00885DFB" w:rsidP="00885DFB">
            <w:pPr>
              <w:spacing w:after="60"/>
              <w:rPr>
                <w:rFonts w:asciiTheme="majorBidi" w:hAnsiTheme="majorBidi" w:cstheme="majorBidi"/>
              </w:rPr>
            </w:pPr>
            <w:r w:rsidRPr="006732B3">
              <w:rPr>
                <w:rFonts w:asciiTheme="majorBidi" w:hAnsiTheme="majorBidi" w:cstheme="majorBidi"/>
              </w:rPr>
              <w:t>MDS: CPE with OXA-48 or OXA-48-like; CPE with KPC</w:t>
            </w:r>
            <w:r w:rsidR="0058054F" w:rsidRPr="006732B3">
              <w:rPr>
                <w:rFonts w:asciiTheme="majorBidi" w:hAnsiTheme="majorBidi" w:cstheme="majorBidi"/>
              </w:rPr>
              <w:t>**</w:t>
            </w:r>
          </w:p>
          <w:p w14:paraId="5F66B93B" w14:textId="77777777" w:rsidR="00885DFB" w:rsidRPr="006732B3" w:rsidRDefault="00885DFB" w:rsidP="00885DFB">
            <w:pPr>
              <w:spacing w:after="60"/>
              <w:rPr>
                <w:rFonts w:asciiTheme="majorBidi" w:hAnsiTheme="majorBidi" w:cstheme="majorBidi"/>
              </w:rPr>
            </w:pPr>
          </w:p>
          <w:p w14:paraId="02DD066C"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ES: suspected CRE treated empirically</w:t>
            </w:r>
          </w:p>
        </w:tc>
        <w:tc>
          <w:tcPr>
            <w:tcW w:w="0" w:type="auto"/>
          </w:tcPr>
          <w:p w14:paraId="744C059E"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MDS: CPE with OXA-48 or OXA-48-like</w:t>
            </w:r>
          </w:p>
          <w:p w14:paraId="23807AEF" w14:textId="77777777" w:rsidR="00885DFB" w:rsidRPr="006732B3" w:rsidRDefault="00885DFB" w:rsidP="00885DFB">
            <w:pPr>
              <w:spacing w:after="60"/>
              <w:rPr>
                <w:rFonts w:asciiTheme="majorBidi" w:hAnsiTheme="majorBidi" w:cstheme="majorBidi"/>
              </w:rPr>
            </w:pPr>
          </w:p>
          <w:p w14:paraId="12F8E909"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ES: suspected CRE treated empirically</w:t>
            </w:r>
          </w:p>
        </w:tc>
        <w:tc>
          <w:tcPr>
            <w:tcW w:w="0" w:type="auto"/>
          </w:tcPr>
          <w:p w14:paraId="7210B94F"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CPE with OXA-48 or OXA-48-like</w:t>
            </w:r>
          </w:p>
          <w:p w14:paraId="06A21100" w14:textId="77777777" w:rsidR="00885DFB" w:rsidRPr="006732B3" w:rsidRDefault="00885DFB" w:rsidP="00885DFB">
            <w:pPr>
              <w:spacing w:after="60"/>
              <w:rPr>
                <w:rFonts w:asciiTheme="majorBidi" w:hAnsiTheme="majorBidi" w:cstheme="majorBidi"/>
                <w:b/>
              </w:rPr>
            </w:pPr>
          </w:p>
        </w:tc>
      </w:tr>
      <w:tr w:rsidR="00885DFB" w:rsidRPr="006732B3" w14:paraId="49312AD7" w14:textId="77777777" w:rsidTr="00885DFB">
        <w:tc>
          <w:tcPr>
            <w:tcW w:w="0" w:type="auto"/>
          </w:tcPr>
          <w:p w14:paraId="5CE970AE"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Site of infection</w:t>
            </w:r>
          </w:p>
        </w:tc>
        <w:tc>
          <w:tcPr>
            <w:tcW w:w="0" w:type="auto"/>
          </w:tcPr>
          <w:p w14:paraId="0294A6CB"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RCTs: any site</w:t>
            </w:r>
          </w:p>
          <w:p w14:paraId="1BCF7C96" w14:textId="77777777" w:rsidR="00885DFB" w:rsidRPr="006732B3" w:rsidRDefault="00885DFB" w:rsidP="00885DFB">
            <w:pPr>
              <w:spacing w:after="60"/>
              <w:rPr>
                <w:rFonts w:asciiTheme="majorBidi" w:hAnsiTheme="majorBidi" w:cstheme="majorBidi"/>
              </w:rPr>
            </w:pPr>
          </w:p>
          <w:p w14:paraId="01EB3AE0"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Observational studies and case-series:</w:t>
            </w:r>
          </w:p>
          <w:p w14:paraId="383E4638" w14:textId="6C1AE963" w:rsidR="00885DFB" w:rsidRPr="006732B3" w:rsidRDefault="00885DFB" w:rsidP="00885DFB">
            <w:pPr>
              <w:spacing w:after="60"/>
              <w:rPr>
                <w:rFonts w:asciiTheme="majorBidi" w:hAnsiTheme="majorBidi" w:cstheme="majorBidi"/>
              </w:rPr>
            </w:pPr>
            <w:proofErr w:type="spellStart"/>
            <w:r w:rsidRPr="006732B3">
              <w:rPr>
                <w:rFonts w:asciiTheme="majorBidi" w:hAnsiTheme="majorBidi" w:cstheme="majorBidi"/>
              </w:rPr>
              <w:t>cUTI</w:t>
            </w:r>
            <w:proofErr w:type="spellEnd"/>
            <w:r w:rsidRPr="006732B3">
              <w:rPr>
                <w:rFonts w:asciiTheme="majorBidi" w:hAnsiTheme="majorBidi" w:cstheme="majorBidi"/>
              </w:rPr>
              <w:t>, HAP/VAP or BSI</w:t>
            </w:r>
            <w:r w:rsidR="0058054F" w:rsidRPr="006732B3">
              <w:rPr>
                <w:rFonts w:asciiTheme="majorBidi" w:hAnsiTheme="majorBidi" w:cstheme="majorBidi"/>
              </w:rPr>
              <w:t>**</w:t>
            </w:r>
          </w:p>
          <w:p w14:paraId="48189794" w14:textId="77777777" w:rsidR="00885DFB" w:rsidRPr="006732B3" w:rsidRDefault="00885DFB" w:rsidP="00885DFB">
            <w:pPr>
              <w:spacing w:after="60"/>
              <w:rPr>
                <w:rFonts w:asciiTheme="majorBidi" w:hAnsiTheme="majorBidi" w:cstheme="majorBidi"/>
              </w:rPr>
            </w:pPr>
          </w:p>
          <w:p w14:paraId="727BF350"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Susceptibility studies: any site</w:t>
            </w:r>
          </w:p>
        </w:tc>
        <w:tc>
          <w:tcPr>
            <w:tcW w:w="0" w:type="auto"/>
          </w:tcPr>
          <w:p w14:paraId="18322925"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 xml:space="preserve">RCTs, observational studies and case-series: </w:t>
            </w:r>
            <w:proofErr w:type="spellStart"/>
            <w:r w:rsidRPr="006732B3">
              <w:rPr>
                <w:rFonts w:asciiTheme="majorBidi" w:hAnsiTheme="majorBidi" w:cstheme="majorBidi"/>
              </w:rPr>
              <w:t>cUTI</w:t>
            </w:r>
            <w:proofErr w:type="spellEnd"/>
            <w:r w:rsidRPr="006732B3">
              <w:rPr>
                <w:rFonts w:asciiTheme="majorBidi" w:hAnsiTheme="majorBidi" w:cstheme="majorBidi"/>
              </w:rPr>
              <w:t xml:space="preserve">, HAP/VAP. </w:t>
            </w:r>
          </w:p>
          <w:p w14:paraId="57612544" w14:textId="77777777" w:rsidR="00885DFB" w:rsidRPr="006732B3" w:rsidRDefault="00885DFB" w:rsidP="00885DFB">
            <w:pPr>
              <w:spacing w:after="60"/>
              <w:rPr>
                <w:rFonts w:asciiTheme="majorBidi" w:hAnsiTheme="majorBidi" w:cstheme="majorBidi"/>
                <w:b/>
              </w:rPr>
            </w:pPr>
          </w:p>
          <w:p w14:paraId="44DF7DB7"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Susceptibility studies: any site</w:t>
            </w:r>
          </w:p>
        </w:tc>
        <w:tc>
          <w:tcPr>
            <w:tcW w:w="0" w:type="auto"/>
          </w:tcPr>
          <w:p w14:paraId="4CE6B16B"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Susceptibility studies: any site</w:t>
            </w:r>
          </w:p>
        </w:tc>
      </w:tr>
      <w:tr w:rsidR="00885DFB" w:rsidRPr="006732B3" w14:paraId="00ABCB95" w14:textId="77777777" w:rsidTr="00885DFB">
        <w:tc>
          <w:tcPr>
            <w:tcW w:w="0" w:type="auto"/>
          </w:tcPr>
          <w:p w14:paraId="7E455331"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Setting</w:t>
            </w:r>
          </w:p>
        </w:tc>
        <w:tc>
          <w:tcPr>
            <w:tcW w:w="0" w:type="auto"/>
          </w:tcPr>
          <w:p w14:paraId="44957DE1"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MDS or ES</w:t>
            </w:r>
          </w:p>
        </w:tc>
        <w:tc>
          <w:tcPr>
            <w:tcW w:w="0" w:type="auto"/>
          </w:tcPr>
          <w:p w14:paraId="360AFCFA"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MDS or ES</w:t>
            </w:r>
          </w:p>
        </w:tc>
        <w:tc>
          <w:tcPr>
            <w:tcW w:w="0" w:type="auto"/>
          </w:tcPr>
          <w:p w14:paraId="5E97CD4C" w14:textId="3399BE56" w:rsidR="00885DFB" w:rsidRPr="006732B3" w:rsidRDefault="00885DFB" w:rsidP="00885DFB">
            <w:pPr>
              <w:spacing w:after="60"/>
              <w:rPr>
                <w:rFonts w:asciiTheme="majorBidi" w:hAnsiTheme="majorBidi" w:cstheme="majorBidi"/>
              </w:rPr>
            </w:pPr>
            <w:r w:rsidRPr="006732B3">
              <w:rPr>
                <w:rFonts w:asciiTheme="majorBidi" w:hAnsiTheme="majorBidi" w:cstheme="majorBidi"/>
              </w:rPr>
              <w:t xml:space="preserve">Any </w:t>
            </w:r>
            <w:proofErr w:type="gramStart"/>
            <w:r w:rsidRPr="006732B3">
              <w:rPr>
                <w:rFonts w:asciiTheme="majorBidi" w:hAnsiTheme="majorBidi" w:cstheme="majorBidi"/>
              </w:rPr>
              <w:t>country;</w:t>
            </w:r>
            <w:proofErr w:type="gramEnd"/>
            <w:r w:rsidRPr="006732B3">
              <w:rPr>
                <w:rFonts w:asciiTheme="majorBidi" w:hAnsiTheme="majorBidi" w:cstheme="majorBidi"/>
              </w:rPr>
              <w:t xml:space="preserve"> UK, Europe, USA, Canada, Australia, Asia and Middle East</w:t>
            </w:r>
            <w:r w:rsidR="008E0424">
              <w:rPr>
                <w:rFonts w:asciiTheme="majorBidi" w:hAnsiTheme="majorBidi" w:cstheme="majorBidi"/>
              </w:rPr>
              <w:t xml:space="preserve"> have highest relevance</w:t>
            </w:r>
          </w:p>
        </w:tc>
      </w:tr>
      <w:tr w:rsidR="00885DFB" w:rsidRPr="006732B3" w14:paraId="74382E3A" w14:textId="77777777" w:rsidTr="00885DFB">
        <w:tc>
          <w:tcPr>
            <w:tcW w:w="0" w:type="auto"/>
            <w:shd w:val="clear" w:color="auto" w:fill="D9D9D9" w:themeFill="background1" w:themeFillShade="D9"/>
          </w:tcPr>
          <w:p w14:paraId="59ADC6FA"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Intervention</w:t>
            </w:r>
          </w:p>
        </w:tc>
        <w:tc>
          <w:tcPr>
            <w:tcW w:w="0" w:type="auto"/>
            <w:shd w:val="clear" w:color="auto" w:fill="D9D9D9" w:themeFill="background1" w:themeFillShade="D9"/>
          </w:tcPr>
          <w:p w14:paraId="7AB75955"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66EB087D"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61B191ED" w14:textId="77777777" w:rsidR="00885DFB" w:rsidRPr="006732B3" w:rsidRDefault="00885DFB" w:rsidP="00885DFB">
            <w:pPr>
              <w:spacing w:after="60"/>
              <w:rPr>
                <w:rFonts w:asciiTheme="majorBidi" w:hAnsiTheme="majorBidi" w:cstheme="majorBidi"/>
                <w:b/>
              </w:rPr>
            </w:pPr>
          </w:p>
        </w:tc>
      </w:tr>
      <w:tr w:rsidR="00885DFB" w:rsidRPr="006732B3" w14:paraId="33D7BE54" w14:textId="77777777" w:rsidTr="00885DFB">
        <w:tc>
          <w:tcPr>
            <w:tcW w:w="0" w:type="auto"/>
          </w:tcPr>
          <w:p w14:paraId="2A524DF3" w14:textId="77777777" w:rsidR="00885DFB" w:rsidRPr="006732B3" w:rsidRDefault="00885DFB" w:rsidP="00885DFB">
            <w:pPr>
              <w:spacing w:after="60"/>
              <w:rPr>
                <w:rFonts w:asciiTheme="majorBidi" w:hAnsiTheme="majorBidi" w:cstheme="majorBidi"/>
                <w:b/>
              </w:rPr>
            </w:pPr>
          </w:p>
        </w:tc>
        <w:tc>
          <w:tcPr>
            <w:tcW w:w="0" w:type="auto"/>
          </w:tcPr>
          <w:p w14:paraId="328525E4"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CAZ-AVI</w:t>
            </w:r>
          </w:p>
        </w:tc>
        <w:tc>
          <w:tcPr>
            <w:tcW w:w="0" w:type="auto"/>
          </w:tcPr>
          <w:p w14:paraId="390B61A9"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CAZ-AVI</w:t>
            </w:r>
          </w:p>
        </w:tc>
        <w:tc>
          <w:tcPr>
            <w:tcW w:w="0" w:type="auto"/>
          </w:tcPr>
          <w:p w14:paraId="04AE7554"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CAZ-AVI</w:t>
            </w:r>
          </w:p>
        </w:tc>
      </w:tr>
      <w:tr w:rsidR="00885DFB" w:rsidRPr="006732B3" w14:paraId="005A1EEA" w14:textId="77777777" w:rsidTr="00885DFB">
        <w:tc>
          <w:tcPr>
            <w:tcW w:w="0" w:type="auto"/>
            <w:shd w:val="clear" w:color="auto" w:fill="D9D9D9" w:themeFill="background1" w:themeFillShade="D9"/>
          </w:tcPr>
          <w:p w14:paraId="76AD79CC"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Comparators</w:t>
            </w:r>
          </w:p>
        </w:tc>
        <w:tc>
          <w:tcPr>
            <w:tcW w:w="0" w:type="auto"/>
            <w:shd w:val="clear" w:color="auto" w:fill="D9D9D9" w:themeFill="background1" w:themeFillShade="D9"/>
          </w:tcPr>
          <w:p w14:paraId="78268CC7"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79F3B04A"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14BF0CC8" w14:textId="77777777" w:rsidR="00885DFB" w:rsidRPr="006732B3" w:rsidRDefault="00885DFB" w:rsidP="00885DFB">
            <w:pPr>
              <w:spacing w:after="60"/>
              <w:rPr>
                <w:rFonts w:asciiTheme="majorBidi" w:hAnsiTheme="majorBidi" w:cstheme="majorBidi"/>
                <w:b/>
              </w:rPr>
            </w:pPr>
          </w:p>
        </w:tc>
      </w:tr>
      <w:tr w:rsidR="00885DFB" w:rsidRPr="006732B3" w14:paraId="2609530C" w14:textId="77777777" w:rsidTr="00885DFB">
        <w:tc>
          <w:tcPr>
            <w:tcW w:w="0" w:type="auto"/>
          </w:tcPr>
          <w:p w14:paraId="1C60AAB6" w14:textId="77777777" w:rsidR="00885DFB" w:rsidRPr="006732B3" w:rsidRDefault="00885DFB" w:rsidP="00885DFB">
            <w:pPr>
              <w:spacing w:after="60"/>
              <w:rPr>
                <w:rFonts w:asciiTheme="majorBidi" w:hAnsiTheme="majorBidi" w:cstheme="majorBidi"/>
                <w:b/>
              </w:rPr>
            </w:pPr>
          </w:p>
        </w:tc>
        <w:tc>
          <w:tcPr>
            <w:tcW w:w="0" w:type="auto"/>
          </w:tcPr>
          <w:p w14:paraId="4381C855"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Any</w:t>
            </w:r>
          </w:p>
        </w:tc>
        <w:tc>
          <w:tcPr>
            <w:tcW w:w="0" w:type="auto"/>
          </w:tcPr>
          <w:p w14:paraId="64EF404A"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Any</w:t>
            </w:r>
          </w:p>
        </w:tc>
        <w:tc>
          <w:tcPr>
            <w:tcW w:w="0" w:type="auto"/>
          </w:tcPr>
          <w:p w14:paraId="498247CD" w14:textId="77777777" w:rsidR="00885DFB" w:rsidRPr="00470819" w:rsidRDefault="00885DFB" w:rsidP="00885DFB">
            <w:pPr>
              <w:spacing w:after="60"/>
              <w:rPr>
                <w:rFonts w:asciiTheme="majorBidi" w:hAnsiTheme="majorBidi" w:cstheme="majorBidi"/>
              </w:rPr>
            </w:pPr>
            <w:r w:rsidRPr="00470819">
              <w:rPr>
                <w:rFonts w:asciiTheme="majorBidi" w:hAnsiTheme="majorBidi" w:cstheme="majorBidi"/>
              </w:rPr>
              <w:t xml:space="preserve">At least one of: colistin, meropenem, tigecycline, aztreonam, </w:t>
            </w:r>
            <w:proofErr w:type="spellStart"/>
            <w:r w:rsidRPr="00470819">
              <w:rPr>
                <w:rFonts w:asciiTheme="majorBidi" w:hAnsiTheme="majorBidi" w:cstheme="majorBidi"/>
              </w:rPr>
              <w:t>fosfomycin</w:t>
            </w:r>
            <w:proofErr w:type="spellEnd"/>
            <w:r w:rsidRPr="00470819">
              <w:rPr>
                <w:rFonts w:asciiTheme="majorBidi" w:hAnsiTheme="majorBidi" w:cstheme="majorBidi"/>
              </w:rPr>
              <w:t>, levofloxacin, ciprofloxacin, gentamicin, amikacin, tobramycin, ceftriaxone, cefepime, ceftazidime</w:t>
            </w:r>
          </w:p>
        </w:tc>
      </w:tr>
      <w:tr w:rsidR="00885DFB" w:rsidRPr="006732B3" w14:paraId="723449E2" w14:textId="77777777" w:rsidTr="00885DFB">
        <w:tc>
          <w:tcPr>
            <w:tcW w:w="0" w:type="auto"/>
            <w:shd w:val="clear" w:color="auto" w:fill="D9D9D9" w:themeFill="background1" w:themeFillShade="D9"/>
          </w:tcPr>
          <w:p w14:paraId="4EC3C974"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Outcomes</w:t>
            </w:r>
          </w:p>
        </w:tc>
        <w:tc>
          <w:tcPr>
            <w:tcW w:w="0" w:type="auto"/>
            <w:shd w:val="clear" w:color="auto" w:fill="D9D9D9" w:themeFill="background1" w:themeFillShade="D9"/>
          </w:tcPr>
          <w:p w14:paraId="481435AA"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4A5BA262"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38716B75" w14:textId="77777777" w:rsidR="00885DFB" w:rsidRPr="006732B3" w:rsidRDefault="00885DFB" w:rsidP="00885DFB">
            <w:pPr>
              <w:spacing w:after="60"/>
              <w:rPr>
                <w:rFonts w:asciiTheme="majorBidi" w:hAnsiTheme="majorBidi" w:cstheme="majorBidi"/>
                <w:b/>
              </w:rPr>
            </w:pPr>
          </w:p>
        </w:tc>
      </w:tr>
      <w:tr w:rsidR="00885DFB" w:rsidRPr="006732B3" w14:paraId="29FA7B73" w14:textId="77777777" w:rsidTr="00885DFB">
        <w:tc>
          <w:tcPr>
            <w:tcW w:w="0" w:type="auto"/>
          </w:tcPr>
          <w:p w14:paraId="5B034FE5" w14:textId="77777777" w:rsidR="00885DFB" w:rsidRPr="006732B3" w:rsidRDefault="00885DFB" w:rsidP="00885DFB">
            <w:pPr>
              <w:spacing w:after="60"/>
              <w:rPr>
                <w:rFonts w:asciiTheme="majorBidi" w:hAnsiTheme="majorBidi" w:cstheme="majorBidi"/>
                <w:b/>
              </w:rPr>
            </w:pPr>
          </w:p>
        </w:tc>
        <w:tc>
          <w:tcPr>
            <w:tcW w:w="0" w:type="auto"/>
          </w:tcPr>
          <w:p w14:paraId="291CFA81" w14:textId="18CA8941" w:rsidR="00885DFB" w:rsidRPr="006732B3" w:rsidRDefault="00885DFB" w:rsidP="00885DFB">
            <w:pPr>
              <w:spacing w:after="60"/>
              <w:rPr>
                <w:rFonts w:asciiTheme="majorBidi" w:hAnsiTheme="majorBidi" w:cstheme="majorBidi"/>
              </w:rPr>
            </w:pPr>
            <w:r w:rsidRPr="006732B3">
              <w:rPr>
                <w:rFonts w:asciiTheme="majorBidi" w:hAnsiTheme="majorBidi" w:cstheme="majorBidi"/>
              </w:rPr>
              <w:t xml:space="preserve">As listed in </w:t>
            </w:r>
            <w:r w:rsidR="00AD709F" w:rsidRPr="00AD709F">
              <w:rPr>
                <w:rFonts w:asciiTheme="majorBidi" w:hAnsiTheme="majorBidi" w:cstheme="majorBidi"/>
              </w:rPr>
              <w:t>Table 1</w:t>
            </w:r>
          </w:p>
        </w:tc>
        <w:tc>
          <w:tcPr>
            <w:tcW w:w="0" w:type="auto"/>
          </w:tcPr>
          <w:p w14:paraId="57C2F96F" w14:textId="2AC7A829" w:rsidR="00885DFB" w:rsidRPr="006732B3" w:rsidRDefault="00AD709F" w:rsidP="00885DFB">
            <w:pPr>
              <w:spacing w:after="60"/>
              <w:rPr>
                <w:rFonts w:asciiTheme="majorBidi" w:hAnsiTheme="majorBidi" w:cstheme="majorBidi"/>
                <w:b/>
              </w:rPr>
            </w:pPr>
            <w:r w:rsidRPr="006732B3">
              <w:rPr>
                <w:rFonts w:asciiTheme="majorBidi" w:hAnsiTheme="majorBidi" w:cstheme="majorBidi"/>
              </w:rPr>
              <w:t xml:space="preserve">As listed in </w:t>
            </w:r>
            <w:r w:rsidRPr="00AD709F">
              <w:rPr>
                <w:rFonts w:asciiTheme="majorBidi" w:hAnsiTheme="majorBidi" w:cstheme="majorBidi"/>
              </w:rPr>
              <w:t>Table 1</w:t>
            </w:r>
          </w:p>
        </w:tc>
        <w:tc>
          <w:tcPr>
            <w:tcW w:w="0" w:type="auto"/>
          </w:tcPr>
          <w:p w14:paraId="6DE7F79B" w14:textId="2656FDB4" w:rsidR="00885DFB" w:rsidRPr="006732B3" w:rsidRDefault="00D86E3D" w:rsidP="00885DFB">
            <w:pPr>
              <w:spacing w:after="60"/>
              <w:rPr>
                <w:rFonts w:asciiTheme="majorBidi" w:hAnsiTheme="majorBidi" w:cstheme="majorBidi"/>
              </w:rPr>
            </w:pPr>
            <w:r w:rsidRPr="006732B3">
              <w:rPr>
                <w:rFonts w:asciiTheme="majorBidi" w:hAnsiTheme="majorBidi" w:cstheme="majorBidi"/>
                <w:i/>
                <w:iCs/>
              </w:rPr>
              <w:t>In vitro</w:t>
            </w:r>
            <w:r w:rsidR="00885DFB" w:rsidRPr="006732B3">
              <w:rPr>
                <w:rFonts w:asciiTheme="majorBidi" w:hAnsiTheme="majorBidi" w:cstheme="majorBidi"/>
              </w:rPr>
              <w:t xml:space="preserve"> susceptibility reported as proportion susceptible (not including intermediate) according to EUCAST or CLSI criteria</w:t>
            </w:r>
          </w:p>
          <w:p w14:paraId="7712DECE"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Studies only reporting MIC50 and/or MIC90 with range were excluded</w:t>
            </w:r>
          </w:p>
        </w:tc>
      </w:tr>
      <w:tr w:rsidR="00885DFB" w:rsidRPr="006732B3" w14:paraId="7E47DA9B" w14:textId="77777777" w:rsidTr="00885DFB">
        <w:tc>
          <w:tcPr>
            <w:tcW w:w="0" w:type="auto"/>
            <w:shd w:val="clear" w:color="auto" w:fill="D9D9D9" w:themeFill="background1" w:themeFillShade="D9"/>
          </w:tcPr>
          <w:p w14:paraId="095EB2F0"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b/>
              </w:rPr>
              <w:t>Study designs</w:t>
            </w:r>
          </w:p>
        </w:tc>
        <w:tc>
          <w:tcPr>
            <w:tcW w:w="0" w:type="auto"/>
            <w:shd w:val="clear" w:color="auto" w:fill="D9D9D9" w:themeFill="background1" w:themeFillShade="D9"/>
          </w:tcPr>
          <w:p w14:paraId="11035198"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475DF4BB" w14:textId="77777777" w:rsidR="00885DFB" w:rsidRPr="006732B3" w:rsidRDefault="00885DFB" w:rsidP="00885DFB">
            <w:pPr>
              <w:spacing w:after="60"/>
              <w:rPr>
                <w:rFonts w:asciiTheme="majorBidi" w:hAnsiTheme="majorBidi" w:cstheme="majorBidi"/>
                <w:b/>
              </w:rPr>
            </w:pPr>
          </w:p>
        </w:tc>
        <w:tc>
          <w:tcPr>
            <w:tcW w:w="0" w:type="auto"/>
            <w:shd w:val="clear" w:color="auto" w:fill="D9D9D9" w:themeFill="background1" w:themeFillShade="D9"/>
          </w:tcPr>
          <w:p w14:paraId="7A8292D4" w14:textId="77777777" w:rsidR="00885DFB" w:rsidRPr="006732B3" w:rsidRDefault="00885DFB" w:rsidP="00885DFB">
            <w:pPr>
              <w:spacing w:after="60"/>
              <w:rPr>
                <w:rFonts w:asciiTheme="majorBidi" w:hAnsiTheme="majorBidi" w:cstheme="majorBidi"/>
                <w:b/>
              </w:rPr>
            </w:pPr>
          </w:p>
        </w:tc>
      </w:tr>
      <w:tr w:rsidR="00885DFB" w:rsidRPr="006732B3" w14:paraId="18B8CD34" w14:textId="77777777" w:rsidTr="00885DFB">
        <w:tc>
          <w:tcPr>
            <w:tcW w:w="0" w:type="auto"/>
          </w:tcPr>
          <w:p w14:paraId="259A556F" w14:textId="77777777" w:rsidR="00885DFB" w:rsidRPr="006732B3" w:rsidRDefault="00885DFB" w:rsidP="00885DFB">
            <w:pPr>
              <w:spacing w:after="60"/>
              <w:rPr>
                <w:rFonts w:asciiTheme="majorBidi" w:hAnsiTheme="majorBidi" w:cstheme="majorBidi"/>
                <w:b/>
              </w:rPr>
            </w:pPr>
          </w:p>
        </w:tc>
        <w:tc>
          <w:tcPr>
            <w:tcW w:w="0" w:type="auto"/>
          </w:tcPr>
          <w:p w14:paraId="2CCC572C" w14:textId="77777777" w:rsidR="00885DFB" w:rsidRPr="006732B3" w:rsidRDefault="00885DFB" w:rsidP="00885DFB">
            <w:pPr>
              <w:spacing w:after="60"/>
              <w:rPr>
                <w:rFonts w:asciiTheme="majorBidi" w:hAnsiTheme="majorBidi" w:cstheme="majorBidi"/>
              </w:rPr>
            </w:pPr>
            <w:r w:rsidRPr="006732B3">
              <w:rPr>
                <w:rFonts w:asciiTheme="majorBidi" w:hAnsiTheme="majorBidi" w:cstheme="majorBidi"/>
              </w:rPr>
              <w:t>RCT, observational studies, case series, susceptibility, PK/PD</w:t>
            </w:r>
          </w:p>
        </w:tc>
        <w:tc>
          <w:tcPr>
            <w:tcW w:w="0" w:type="auto"/>
          </w:tcPr>
          <w:p w14:paraId="3638F047"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RCT, observational studies, case series, susceptibility, PK/PD</w:t>
            </w:r>
          </w:p>
        </w:tc>
        <w:tc>
          <w:tcPr>
            <w:tcW w:w="0" w:type="auto"/>
          </w:tcPr>
          <w:p w14:paraId="41669D99" w14:textId="77777777" w:rsidR="00885DFB" w:rsidRPr="006732B3" w:rsidRDefault="00885DFB" w:rsidP="00885DFB">
            <w:pPr>
              <w:spacing w:after="60"/>
              <w:rPr>
                <w:rFonts w:asciiTheme="majorBidi" w:hAnsiTheme="majorBidi" w:cstheme="majorBidi"/>
                <w:b/>
              </w:rPr>
            </w:pPr>
            <w:r w:rsidRPr="006732B3">
              <w:rPr>
                <w:rFonts w:asciiTheme="majorBidi" w:hAnsiTheme="majorBidi" w:cstheme="majorBidi"/>
              </w:rPr>
              <w:t>Susceptibility studies where isolates were collected and tested retrospectively or prospectively</w:t>
            </w:r>
          </w:p>
        </w:tc>
      </w:tr>
    </w:tbl>
    <w:p w14:paraId="04A4F679" w14:textId="122DDEDB" w:rsidR="00885DFB" w:rsidRPr="003C01A5" w:rsidRDefault="00885DFB" w:rsidP="00696B65">
      <w:pPr>
        <w:spacing w:after="0" w:line="240" w:lineRule="auto"/>
        <w:jc w:val="both"/>
        <w:rPr>
          <w:rFonts w:asciiTheme="majorBidi" w:hAnsiTheme="majorBidi"/>
          <w:iCs/>
          <w:sz w:val="20"/>
          <w:szCs w:val="20"/>
        </w:rPr>
      </w:pPr>
      <w:r w:rsidRPr="003C01A5">
        <w:rPr>
          <w:rFonts w:asciiTheme="majorBidi" w:hAnsiTheme="majorBidi"/>
          <w:iCs/>
          <w:sz w:val="20"/>
          <w:szCs w:val="20"/>
        </w:rPr>
        <w:lastRenderedPageBreak/>
        <w:t xml:space="preserve">Abbreviations: </w:t>
      </w:r>
      <w:r w:rsidR="005B578E" w:rsidRPr="003C01A5">
        <w:rPr>
          <w:rFonts w:asciiTheme="majorBidi" w:hAnsiTheme="majorBidi"/>
          <w:iCs/>
          <w:sz w:val="20"/>
          <w:szCs w:val="20"/>
        </w:rPr>
        <w:t xml:space="preserve">BSI, blood stream infection; </w:t>
      </w:r>
      <w:r w:rsidR="0058054F" w:rsidRPr="003C01A5">
        <w:rPr>
          <w:rFonts w:asciiTheme="majorBidi" w:hAnsiTheme="majorBidi"/>
          <w:iCs/>
          <w:sz w:val="20"/>
          <w:szCs w:val="20"/>
        </w:rPr>
        <w:t xml:space="preserve">CAZ-AVI, ceftazidime-avibactam; </w:t>
      </w:r>
      <w:r w:rsidR="005B578E" w:rsidRPr="003C01A5">
        <w:rPr>
          <w:rFonts w:asciiTheme="majorBidi" w:hAnsiTheme="majorBidi"/>
          <w:iCs/>
          <w:sz w:val="20"/>
          <w:szCs w:val="20"/>
        </w:rPr>
        <w:t xml:space="preserve">CLSI, Clinical Laboratory Standards Institute; CPE, </w:t>
      </w:r>
      <w:proofErr w:type="spellStart"/>
      <w:r w:rsidR="005B578E" w:rsidRPr="003C01A5">
        <w:rPr>
          <w:rFonts w:asciiTheme="majorBidi" w:hAnsiTheme="majorBidi"/>
          <w:iCs/>
          <w:sz w:val="20"/>
          <w:szCs w:val="20"/>
        </w:rPr>
        <w:t>carbanemase</w:t>
      </w:r>
      <w:proofErr w:type="spellEnd"/>
      <w:r w:rsidR="005B578E" w:rsidRPr="003C01A5">
        <w:rPr>
          <w:rFonts w:asciiTheme="majorBidi" w:hAnsiTheme="majorBidi"/>
          <w:iCs/>
          <w:sz w:val="20"/>
          <w:szCs w:val="20"/>
        </w:rPr>
        <w:t xml:space="preserve">-producing </w:t>
      </w:r>
      <w:proofErr w:type="spellStart"/>
      <w:r w:rsidR="00FE2007" w:rsidRPr="003C01A5">
        <w:rPr>
          <w:rFonts w:asciiTheme="majorBidi" w:hAnsiTheme="majorBidi"/>
          <w:iCs/>
          <w:sz w:val="20"/>
          <w:szCs w:val="20"/>
        </w:rPr>
        <w:t>Enterobacterales</w:t>
      </w:r>
      <w:proofErr w:type="spellEnd"/>
      <w:r w:rsidR="005B578E" w:rsidRPr="003C01A5">
        <w:rPr>
          <w:rFonts w:asciiTheme="majorBidi" w:hAnsiTheme="majorBidi"/>
          <w:iCs/>
          <w:sz w:val="20"/>
          <w:szCs w:val="20"/>
        </w:rPr>
        <w:t xml:space="preserve">; </w:t>
      </w:r>
      <w:proofErr w:type="spellStart"/>
      <w:r w:rsidR="0058054F" w:rsidRPr="003C01A5">
        <w:rPr>
          <w:rFonts w:asciiTheme="majorBidi" w:hAnsiTheme="majorBidi"/>
          <w:iCs/>
          <w:sz w:val="20"/>
          <w:szCs w:val="20"/>
        </w:rPr>
        <w:t>cUTI</w:t>
      </w:r>
      <w:proofErr w:type="spellEnd"/>
      <w:r w:rsidR="0058054F" w:rsidRPr="003C01A5">
        <w:rPr>
          <w:rFonts w:asciiTheme="majorBidi" w:hAnsiTheme="majorBidi"/>
          <w:iCs/>
          <w:sz w:val="20"/>
          <w:szCs w:val="20"/>
        </w:rPr>
        <w:t xml:space="preserve">, complicated urinary tract infection; ES, empiric setting; EUCAST, European Committee on Antimicrobial Susceptibility Testing; HAP, hospital-acquired pneumonia; </w:t>
      </w:r>
      <w:r w:rsidR="005B578E" w:rsidRPr="003C01A5">
        <w:rPr>
          <w:rFonts w:asciiTheme="majorBidi" w:hAnsiTheme="majorBidi"/>
          <w:iCs/>
          <w:sz w:val="20"/>
          <w:szCs w:val="20"/>
        </w:rPr>
        <w:t xml:space="preserve">KPC, klebsiella pneumoniae </w:t>
      </w:r>
      <w:proofErr w:type="spellStart"/>
      <w:r w:rsidR="005B578E" w:rsidRPr="003C01A5">
        <w:rPr>
          <w:rFonts w:asciiTheme="majorBidi" w:hAnsiTheme="majorBidi"/>
          <w:iCs/>
          <w:sz w:val="20"/>
          <w:szCs w:val="20"/>
        </w:rPr>
        <w:t>carbapenemase</w:t>
      </w:r>
      <w:proofErr w:type="spellEnd"/>
      <w:r w:rsidR="005B578E" w:rsidRPr="003C01A5">
        <w:rPr>
          <w:rFonts w:asciiTheme="majorBidi" w:hAnsiTheme="majorBidi"/>
          <w:iCs/>
          <w:sz w:val="20"/>
          <w:szCs w:val="20"/>
        </w:rPr>
        <w:t xml:space="preserve">; OXA-48, oxacillinase-48; </w:t>
      </w:r>
      <w:r w:rsidR="0058054F" w:rsidRPr="003C01A5">
        <w:rPr>
          <w:rFonts w:asciiTheme="majorBidi" w:hAnsiTheme="majorBidi"/>
          <w:iCs/>
          <w:sz w:val="20"/>
          <w:szCs w:val="20"/>
        </w:rPr>
        <w:t xml:space="preserve">PK, pharmacokinetic; PD, pharmacodynamic; MDS, microbiology-directed setting; </w:t>
      </w:r>
      <w:r w:rsidR="005B578E" w:rsidRPr="003C01A5">
        <w:rPr>
          <w:rFonts w:asciiTheme="majorBidi" w:hAnsiTheme="majorBidi"/>
          <w:iCs/>
          <w:sz w:val="20"/>
          <w:szCs w:val="20"/>
        </w:rPr>
        <w:t xml:space="preserve">MIC50, minimum inhibitory concentration 50%; MIC90, minimum inhibitory concentration 90%; </w:t>
      </w:r>
      <w:r w:rsidR="0058054F" w:rsidRPr="003C01A5">
        <w:rPr>
          <w:rFonts w:asciiTheme="majorBidi" w:hAnsiTheme="majorBidi"/>
          <w:iCs/>
          <w:sz w:val="20"/>
          <w:szCs w:val="20"/>
        </w:rPr>
        <w:t>RCT, randomised controlled trial; VAP, ventilator-associated pneumonia</w:t>
      </w:r>
    </w:p>
    <w:p w14:paraId="30C4EDB9" w14:textId="77777777" w:rsidR="00696B65" w:rsidRPr="00696B65" w:rsidRDefault="00696B65" w:rsidP="00696B65">
      <w:pPr>
        <w:spacing w:after="0" w:line="240" w:lineRule="auto"/>
        <w:jc w:val="both"/>
        <w:rPr>
          <w:rFonts w:asciiTheme="majorBidi" w:hAnsiTheme="majorBidi" w:cstheme="majorBidi"/>
          <w:i/>
          <w:iCs/>
          <w:sz w:val="20"/>
          <w:szCs w:val="20"/>
        </w:rPr>
      </w:pPr>
    </w:p>
    <w:p w14:paraId="4790245F" w14:textId="1B3ADD25" w:rsidR="00885DFB" w:rsidRPr="00696B65" w:rsidRDefault="00885DFB" w:rsidP="00885DFB">
      <w:pPr>
        <w:spacing w:after="0" w:line="360" w:lineRule="auto"/>
        <w:jc w:val="both"/>
        <w:rPr>
          <w:rFonts w:asciiTheme="majorBidi" w:hAnsiTheme="majorBidi" w:cstheme="majorBidi"/>
          <w:sz w:val="20"/>
          <w:szCs w:val="20"/>
        </w:rPr>
      </w:pPr>
      <w:bookmarkStart w:id="118" w:name="_Hlk77810578"/>
      <w:r w:rsidRPr="00696B65">
        <w:rPr>
          <w:rFonts w:asciiTheme="majorBidi" w:hAnsiTheme="majorBidi" w:cstheme="majorBidi"/>
          <w:sz w:val="20"/>
          <w:szCs w:val="20"/>
        </w:rPr>
        <w:t xml:space="preserve">* </w:t>
      </w:r>
      <w:proofErr w:type="gramStart"/>
      <w:r w:rsidRPr="00696B65">
        <w:rPr>
          <w:rFonts w:asciiTheme="majorBidi" w:hAnsiTheme="majorBidi" w:cstheme="majorBidi"/>
          <w:sz w:val="20"/>
          <w:szCs w:val="20"/>
        </w:rPr>
        <w:t>where</w:t>
      </w:r>
      <w:proofErr w:type="gramEnd"/>
      <w:r w:rsidRPr="00696B65">
        <w:rPr>
          <w:rFonts w:asciiTheme="majorBidi" w:hAnsiTheme="majorBidi" w:cstheme="majorBidi"/>
          <w:sz w:val="20"/>
          <w:szCs w:val="20"/>
        </w:rPr>
        <w:t xml:space="preserve"> it was not possible to tell if a study met the inclusion criteria from the title or abstract, the study remained included at this stage.</w:t>
      </w:r>
    </w:p>
    <w:p w14:paraId="3C429CE6" w14:textId="25522F5A" w:rsidR="0058054F" w:rsidRPr="00696B65" w:rsidRDefault="0058054F" w:rsidP="00885DFB">
      <w:pPr>
        <w:spacing w:after="0" w:line="360" w:lineRule="auto"/>
        <w:jc w:val="both"/>
        <w:rPr>
          <w:rFonts w:asciiTheme="majorBidi" w:hAnsiTheme="majorBidi" w:cstheme="majorBidi"/>
          <w:sz w:val="20"/>
          <w:szCs w:val="20"/>
        </w:rPr>
      </w:pPr>
      <w:r w:rsidRPr="00696B65">
        <w:rPr>
          <w:rFonts w:asciiTheme="majorBidi" w:hAnsiTheme="majorBidi" w:cstheme="majorBidi"/>
          <w:sz w:val="20"/>
          <w:szCs w:val="20"/>
        </w:rPr>
        <w:t xml:space="preserve">**included in mapping </w:t>
      </w:r>
      <w:proofErr w:type="gramStart"/>
      <w:r w:rsidRPr="00696B65">
        <w:rPr>
          <w:rFonts w:asciiTheme="majorBidi" w:hAnsiTheme="majorBidi" w:cstheme="majorBidi"/>
          <w:sz w:val="20"/>
          <w:szCs w:val="20"/>
        </w:rPr>
        <w:t>review, when</w:t>
      </w:r>
      <w:proofErr w:type="gramEnd"/>
      <w:r w:rsidRPr="00696B65">
        <w:rPr>
          <w:rFonts w:asciiTheme="majorBidi" w:hAnsiTheme="majorBidi" w:cstheme="majorBidi"/>
          <w:sz w:val="20"/>
          <w:szCs w:val="20"/>
        </w:rPr>
        <w:t xml:space="preserve"> scope was kept intentionally wide</w:t>
      </w:r>
      <w:r w:rsidR="005B578E" w:rsidRPr="00696B65">
        <w:rPr>
          <w:rFonts w:asciiTheme="majorBidi" w:hAnsiTheme="majorBidi" w:cstheme="majorBidi"/>
          <w:sz w:val="20"/>
          <w:szCs w:val="20"/>
        </w:rPr>
        <w:t>. Ultimately, the scope was narrowed to exclude studies only relating to these criteria</w:t>
      </w:r>
    </w:p>
    <w:p w14:paraId="718DBE00" w14:textId="0CEA72CB" w:rsidR="00885DFB" w:rsidRPr="00885DFB" w:rsidRDefault="00885DFB" w:rsidP="00885DFB">
      <w:pPr>
        <w:keepNext/>
        <w:spacing w:before="360" w:after="200" w:line="240" w:lineRule="auto"/>
        <w:rPr>
          <w:rFonts w:ascii="Times New Roman" w:hAnsi="Times New Roman" w:cs="Times New Roman"/>
          <w:b/>
          <w:iCs/>
          <w:sz w:val="20"/>
          <w:szCs w:val="18"/>
        </w:rPr>
      </w:pPr>
      <w:bookmarkStart w:id="119" w:name="_Ref78195135"/>
      <w:bookmarkStart w:id="120" w:name="_Toc77848055"/>
      <w:bookmarkStart w:id="121" w:name="_Toc83300845"/>
      <w:bookmarkStart w:id="122" w:name="_Toc83821904"/>
      <w:bookmarkStart w:id="123" w:name="_Toc86418982"/>
      <w:bookmarkEnd w:id="118"/>
      <w:r w:rsidRPr="006732B3">
        <w:rPr>
          <w:rFonts w:ascii="Times New Roman" w:hAnsi="Times New Roman" w:cs="Times New Roman"/>
          <w:b/>
          <w:iCs/>
          <w:sz w:val="20"/>
          <w:szCs w:val="18"/>
        </w:rPr>
        <w:t xml:space="preserve">Table </w:t>
      </w:r>
      <w:r w:rsidR="00F10F0A">
        <w:rPr>
          <w:rFonts w:ascii="Times New Roman" w:hAnsi="Times New Roman" w:cs="Times New Roman"/>
          <w:b/>
          <w:iCs/>
          <w:noProof/>
          <w:sz w:val="20"/>
          <w:szCs w:val="18"/>
        </w:rPr>
        <w:t>5</w:t>
      </w:r>
      <w:bookmarkEnd w:id="119"/>
      <w:r w:rsidRPr="006732B3">
        <w:rPr>
          <w:rFonts w:ascii="Times New Roman" w:hAnsi="Times New Roman" w:cs="Times New Roman"/>
          <w:b/>
          <w:iCs/>
          <w:sz w:val="20"/>
          <w:szCs w:val="18"/>
        </w:rPr>
        <w:t xml:space="preserve">: </w:t>
      </w:r>
      <w:r w:rsidRPr="00885DFB">
        <w:rPr>
          <w:rFonts w:ascii="Times New Roman" w:hAnsi="Times New Roman" w:cs="Times New Roman"/>
          <w:b/>
          <w:iCs/>
          <w:sz w:val="20"/>
          <w:szCs w:val="18"/>
        </w:rPr>
        <w:t>Additional study selection and prioritisation criteria for the review of susceptibility, developed through clinical advice</w:t>
      </w:r>
      <w:bookmarkEnd w:id="120"/>
      <w:bookmarkEnd w:id="121"/>
      <w:bookmarkEnd w:id="122"/>
      <w:bookmarkEnd w:id="123"/>
    </w:p>
    <w:tbl>
      <w:tblPr>
        <w:tblStyle w:val="TableGrid1"/>
        <w:tblW w:w="0" w:type="auto"/>
        <w:tblInd w:w="0" w:type="dxa"/>
        <w:tblLook w:val="04A0" w:firstRow="1" w:lastRow="0" w:firstColumn="1" w:lastColumn="0" w:noHBand="0" w:noVBand="1"/>
      </w:tblPr>
      <w:tblGrid>
        <w:gridCol w:w="2689"/>
        <w:gridCol w:w="6327"/>
      </w:tblGrid>
      <w:tr w:rsidR="00885DFB" w:rsidRPr="006732B3" w14:paraId="4FCB6E71"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65BEFC03" w14:textId="77777777" w:rsidR="00885DFB" w:rsidRPr="006732B3" w:rsidRDefault="00885DFB" w:rsidP="00885DFB">
            <w:pPr>
              <w:spacing w:line="360" w:lineRule="auto"/>
              <w:jc w:val="both"/>
              <w:rPr>
                <w:rFonts w:asciiTheme="majorBidi" w:hAnsiTheme="majorBidi" w:cstheme="majorBidi"/>
                <w:b/>
              </w:rPr>
            </w:pPr>
            <w:r w:rsidRPr="006732B3">
              <w:rPr>
                <w:rFonts w:asciiTheme="majorBidi" w:hAnsiTheme="majorBidi" w:cstheme="majorBidi"/>
                <w:b/>
              </w:rPr>
              <w:t xml:space="preserve"> Topic</w:t>
            </w:r>
          </w:p>
        </w:tc>
        <w:tc>
          <w:tcPr>
            <w:tcW w:w="6327" w:type="dxa"/>
            <w:tcBorders>
              <w:top w:val="single" w:sz="4" w:space="0" w:color="auto"/>
              <w:left w:val="single" w:sz="4" w:space="0" w:color="auto"/>
              <w:bottom w:val="single" w:sz="4" w:space="0" w:color="auto"/>
              <w:right w:val="single" w:sz="4" w:space="0" w:color="auto"/>
            </w:tcBorders>
            <w:hideMark/>
          </w:tcPr>
          <w:p w14:paraId="6AD6DC39" w14:textId="77777777" w:rsidR="00885DFB" w:rsidRPr="006732B3" w:rsidRDefault="00885DFB" w:rsidP="00885DFB">
            <w:pPr>
              <w:spacing w:line="360" w:lineRule="auto"/>
              <w:jc w:val="both"/>
              <w:rPr>
                <w:rFonts w:asciiTheme="majorBidi" w:hAnsiTheme="majorBidi" w:cstheme="majorBidi"/>
                <w:b/>
              </w:rPr>
            </w:pPr>
            <w:r w:rsidRPr="006732B3">
              <w:rPr>
                <w:rFonts w:asciiTheme="majorBidi" w:hAnsiTheme="majorBidi" w:cstheme="majorBidi"/>
                <w:b/>
              </w:rPr>
              <w:t>Summary of clinical response</w:t>
            </w:r>
          </w:p>
        </w:tc>
      </w:tr>
      <w:tr w:rsidR="00885DFB" w:rsidRPr="006732B3" w14:paraId="2FF50305"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4A58C914"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Location</w:t>
            </w:r>
          </w:p>
        </w:tc>
        <w:tc>
          <w:tcPr>
            <w:tcW w:w="6327" w:type="dxa"/>
            <w:tcBorders>
              <w:top w:val="single" w:sz="4" w:space="0" w:color="auto"/>
              <w:left w:val="single" w:sz="4" w:space="0" w:color="auto"/>
              <w:bottom w:val="single" w:sz="4" w:space="0" w:color="auto"/>
              <w:right w:val="single" w:sz="4" w:space="0" w:color="auto"/>
            </w:tcBorders>
            <w:hideMark/>
          </w:tcPr>
          <w:p w14:paraId="4B26F0E9"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 xml:space="preserve">Europe, USA, Canada, Australia, the Middle </w:t>
            </w:r>
            <w:proofErr w:type="gramStart"/>
            <w:r w:rsidRPr="006732B3">
              <w:rPr>
                <w:rFonts w:asciiTheme="majorBidi" w:hAnsiTheme="majorBidi" w:cstheme="majorBidi"/>
              </w:rPr>
              <w:t>East</w:t>
            </w:r>
            <w:proofErr w:type="gramEnd"/>
            <w:r w:rsidRPr="006732B3">
              <w:rPr>
                <w:rFonts w:asciiTheme="majorBidi" w:hAnsiTheme="majorBidi" w:cstheme="majorBidi"/>
              </w:rPr>
              <w:t xml:space="preserve"> and Asia have the most relevance since pathogens tend to arrive in the UK from these countries. South America to a lesser extent.</w:t>
            </w:r>
          </w:p>
        </w:tc>
      </w:tr>
      <w:tr w:rsidR="00885DFB" w:rsidRPr="006732B3" w14:paraId="76FFA95B"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6581B1A1"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Date of recruitment</w:t>
            </w:r>
          </w:p>
        </w:tc>
        <w:tc>
          <w:tcPr>
            <w:tcW w:w="6327" w:type="dxa"/>
            <w:tcBorders>
              <w:top w:val="single" w:sz="4" w:space="0" w:color="auto"/>
              <w:left w:val="single" w:sz="4" w:space="0" w:color="auto"/>
              <w:bottom w:val="single" w:sz="4" w:space="0" w:color="auto"/>
              <w:right w:val="single" w:sz="4" w:space="0" w:color="auto"/>
            </w:tcBorders>
            <w:hideMark/>
          </w:tcPr>
          <w:p w14:paraId="3B884D06" w14:textId="09158FC6"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 xml:space="preserve">Studies from 2012 onwards have highest relevance. </w:t>
            </w:r>
            <w:r w:rsidR="005C483A" w:rsidRPr="006732B3">
              <w:rPr>
                <w:rFonts w:asciiTheme="majorBidi" w:hAnsiTheme="majorBidi" w:cstheme="majorBidi"/>
              </w:rPr>
              <w:t>Likely to observe</w:t>
            </w:r>
            <w:r w:rsidRPr="006732B3">
              <w:rPr>
                <w:rFonts w:asciiTheme="majorBidi" w:hAnsiTheme="majorBidi" w:cstheme="majorBidi"/>
              </w:rPr>
              <w:t xml:space="preserve"> increases in resistance over time.</w:t>
            </w:r>
          </w:p>
        </w:tc>
      </w:tr>
      <w:tr w:rsidR="00885DFB" w:rsidRPr="006732B3" w14:paraId="7B8C2630" w14:textId="77777777" w:rsidTr="00885DFB">
        <w:tc>
          <w:tcPr>
            <w:tcW w:w="2689" w:type="dxa"/>
            <w:tcBorders>
              <w:top w:val="single" w:sz="4" w:space="0" w:color="auto"/>
              <w:left w:val="single" w:sz="4" w:space="0" w:color="auto"/>
              <w:bottom w:val="single" w:sz="4" w:space="0" w:color="auto"/>
              <w:right w:val="single" w:sz="4" w:space="0" w:color="auto"/>
            </w:tcBorders>
          </w:tcPr>
          <w:p w14:paraId="49110184" w14:textId="77777777" w:rsidR="00885DFB" w:rsidRPr="006732B3" w:rsidRDefault="00885DFB" w:rsidP="00885DFB">
            <w:pPr>
              <w:spacing w:line="360" w:lineRule="auto"/>
              <w:jc w:val="both"/>
              <w:rPr>
                <w:rFonts w:asciiTheme="majorBidi" w:hAnsiTheme="majorBidi" w:cstheme="majorBidi"/>
              </w:rPr>
            </w:pPr>
            <w:r w:rsidRPr="006732B3">
              <w:rPr>
                <w:rFonts w:asciiTheme="majorBidi" w:eastAsiaTheme="minorHAnsi" w:hAnsiTheme="majorBidi" w:cstheme="majorBidi"/>
              </w:rPr>
              <w:t>OXA-48 versus OXA-48-like</w:t>
            </w:r>
          </w:p>
        </w:tc>
        <w:tc>
          <w:tcPr>
            <w:tcW w:w="6327" w:type="dxa"/>
            <w:tcBorders>
              <w:top w:val="single" w:sz="4" w:space="0" w:color="auto"/>
              <w:left w:val="single" w:sz="4" w:space="0" w:color="auto"/>
              <w:bottom w:val="single" w:sz="4" w:space="0" w:color="auto"/>
              <w:right w:val="single" w:sz="4" w:space="0" w:color="auto"/>
            </w:tcBorders>
          </w:tcPr>
          <w:p w14:paraId="2C740FBA"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Data relating to either OXA-48 or OXA-48-like isolates should be included, since PHE’s categorisation is OXA-48-like, and since only OXA-163 has a different susceptibility profile and should generally be exclude from the OXA-48-like category.</w:t>
            </w:r>
          </w:p>
        </w:tc>
      </w:tr>
      <w:tr w:rsidR="00885DFB" w:rsidRPr="006732B3" w14:paraId="376C00B1"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4AA1F48D"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Sampling strategy and outbreaks</w:t>
            </w:r>
          </w:p>
        </w:tc>
        <w:tc>
          <w:tcPr>
            <w:tcW w:w="6327" w:type="dxa"/>
            <w:tcBorders>
              <w:top w:val="single" w:sz="4" w:space="0" w:color="auto"/>
              <w:left w:val="single" w:sz="4" w:space="0" w:color="auto"/>
              <w:bottom w:val="single" w:sz="4" w:space="0" w:color="auto"/>
              <w:right w:val="single" w:sz="4" w:space="0" w:color="auto"/>
            </w:tcBorders>
            <w:hideMark/>
          </w:tcPr>
          <w:p w14:paraId="422F9B77" w14:textId="7305DEE8"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Consecutive sampling</w:t>
            </w:r>
            <w:r w:rsidR="001E02A9" w:rsidRPr="006732B3">
              <w:rPr>
                <w:rFonts w:asciiTheme="majorBidi" w:hAnsiTheme="majorBidi" w:cstheme="majorBidi"/>
              </w:rPr>
              <w:t xml:space="preserve"> (which is often associated with studies of outbreaks)</w:t>
            </w:r>
            <w:r w:rsidRPr="006732B3">
              <w:rPr>
                <w:rFonts w:asciiTheme="majorBidi" w:hAnsiTheme="majorBidi" w:cstheme="majorBidi"/>
              </w:rPr>
              <w:t xml:space="preserve"> not necessarily more generalisable, since outbreaks will reflect a narrow spectrum of pathogens</w:t>
            </w:r>
            <w:r w:rsidR="001E02A9" w:rsidRPr="006732B3">
              <w:rPr>
                <w:rFonts w:asciiTheme="majorBidi" w:hAnsiTheme="majorBidi" w:cstheme="majorBidi"/>
              </w:rPr>
              <w:t xml:space="preserve"> and may therefore underestimate diversity of susceptibility</w:t>
            </w:r>
            <w:r w:rsidRPr="006732B3">
              <w:rPr>
                <w:rFonts w:asciiTheme="majorBidi" w:hAnsiTheme="majorBidi" w:cstheme="majorBidi"/>
              </w:rPr>
              <w:t>; multi-centre studies should be more reflective of the diversity of isolates</w:t>
            </w:r>
            <w:r w:rsidR="001E02A9" w:rsidRPr="006732B3">
              <w:rPr>
                <w:rFonts w:asciiTheme="majorBidi" w:hAnsiTheme="majorBidi" w:cstheme="majorBidi"/>
              </w:rPr>
              <w:t xml:space="preserve"> and should include outbreaks proportionate to their occurrence</w:t>
            </w:r>
            <w:r w:rsidRPr="006732B3">
              <w:rPr>
                <w:rFonts w:asciiTheme="majorBidi" w:hAnsiTheme="majorBidi" w:cstheme="majorBidi"/>
              </w:rPr>
              <w:t xml:space="preserve">. </w:t>
            </w:r>
          </w:p>
        </w:tc>
      </w:tr>
      <w:tr w:rsidR="00885DFB" w:rsidRPr="006732B3" w14:paraId="7E0C390C"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456365AF"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Isolates from screening</w:t>
            </w:r>
          </w:p>
        </w:tc>
        <w:tc>
          <w:tcPr>
            <w:tcW w:w="6327" w:type="dxa"/>
            <w:tcBorders>
              <w:top w:val="single" w:sz="4" w:space="0" w:color="auto"/>
              <w:left w:val="single" w:sz="4" w:space="0" w:color="auto"/>
              <w:bottom w:val="single" w:sz="4" w:space="0" w:color="auto"/>
              <w:right w:val="single" w:sz="4" w:space="0" w:color="auto"/>
            </w:tcBorders>
            <w:hideMark/>
          </w:tcPr>
          <w:p w14:paraId="1140CD2F" w14:textId="2EC5604B"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 xml:space="preserve">These are relevant since they will reflect the diversity of susceptibility found. Development of an infection is not dependent on the pathogen or mechanism </w:t>
            </w:r>
            <w:r w:rsidRPr="006732B3">
              <w:rPr>
                <w:rFonts w:asciiTheme="majorBidi" w:hAnsiTheme="majorBidi" w:cstheme="majorBidi"/>
                <w:i/>
              </w:rPr>
              <w:t>per se</w:t>
            </w:r>
            <w:r w:rsidR="001E02A9" w:rsidRPr="006732B3">
              <w:rPr>
                <w:rFonts w:asciiTheme="majorBidi" w:hAnsiTheme="majorBidi" w:cstheme="majorBidi"/>
                <w:i/>
              </w:rPr>
              <w:t xml:space="preserve">, </w:t>
            </w:r>
            <w:r w:rsidR="001E02A9" w:rsidRPr="006732B3">
              <w:rPr>
                <w:rFonts w:asciiTheme="majorBidi" w:hAnsiTheme="majorBidi" w:cstheme="majorBidi"/>
                <w:iCs/>
              </w:rPr>
              <w:t>and so screening samples should be generalizable to infected patients</w:t>
            </w:r>
            <w:r w:rsidRPr="006732B3">
              <w:rPr>
                <w:rFonts w:asciiTheme="majorBidi" w:hAnsiTheme="majorBidi" w:cstheme="majorBidi"/>
              </w:rPr>
              <w:t xml:space="preserve">. </w:t>
            </w:r>
          </w:p>
        </w:tc>
      </w:tr>
      <w:tr w:rsidR="00885DFB" w:rsidRPr="006732B3" w14:paraId="7F037D26"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35F56B4F" w14:textId="08580814" w:rsidR="00885DFB" w:rsidRPr="006732B3" w:rsidRDefault="005C483A" w:rsidP="00885DFB">
            <w:pPr>
              <w:spacing w:line="360" w:lineRule="auto"/>
              <w:jc w:val="both"/>
              <w:rPr>
                <w:rFonts w:asciiTheme="majorBidi" w:hAnsiTheme="majorBidi" w:cstheme="majorBidi"/>
              </w:rPr>
            </w:pPr>
            <w:r w:rsidRPr="006732B3">
              <w:rPr>
                <w:rFonts w:asciiTheme="majorBidi" w:hAnsiTheme="majorBidi" w:cstheme="majorBidi"/>
              </w:rPr>
              <w:t>AST</w:t>
            </w:r>
            <w:r w:rsidR="00885DFB" w:rsidRPr="006732B3">
              <w:rPr>
                <w:rFonts w:asciiTheme="majorBidi" w:hAnsiTheme="majorBidi" w:cstheme="majorBidi"/>
              </w:rPr>
              <w:t xml:space="preserve"> </w:t>
            </w:r>
            <w:r w:rsidRPr="006732B3">
              <w:rPr>
                <w:rFonts w:asciiTheme="majorBidi" w:hAnsiTheme="majorBidi" w:cstheme="majorBidi"/>
              </w:rPr>
              <w:t xml:space="preserve">laboratory </w:t>
            </w:r>
            <w:r w:rsidR="00885DFB" w:rsidRPr="006732B3">
              <w:rPr>
                <w:rFonts w:asciiTheme="majorBidi" w:hAnsiTheme="majorBidi" w:cstheme="majorBidi"/>
              </w:rPr>
              <w:t>methodologies</w:t>
            </w:r>
          </w:p>
        </w:tc>
        <w:tc>
          <w:tcPr>
            <w:tcW w:w="6327" w:type="dxa"/>
            <w:tcBorders>
              <w:top w:val="single" w:sz="4" w:space="0" w:color="auto"/>
              <w:left w:val="single" w:sz="4" w:space="0" w:color="auto"/>
              <w:bottom w:val="single" w:sz="4" w:space="0" w:color="auto"/>
              <w:right w:val="single" w:sz="4" w:space="0" w:color="auto"/>
            </w:tcBorders>
            <w:hideMark/>
          </w:tcPr>
          <w:p w14:paraId="2322898C" w14:textId="16482BE5"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There are differences between EUCAST and CLSI methodologies</w:t>
            </w:r>
            <w:r w:rsidR="00371EC5" w:rsidRPr="006732B3">
              <w:rPr>
                <w:rFonts w:asciiTheme="majorBidi" w:hAnsiTheme="majorBidi" w:cstheme="majorBidi"/>
              </w:rPr>
              <w:t xml:space="preserve"> (see Section 4.1.1.1)</w:t>
            </w:r>
            <w:r w:rsidRPr="006732B3">
              <w:rPr>
                <w:rFonts w:asciiTheme="majorBidi" w:hAnsiTheme="majorBidi" w:cstheme="majorBidi"/>
              </w:rPr>
              <w:t xml:space="preserve">, and it is unclear whether the two methodologies result in the same distribution of MICs at the same values for a given set of isolates. If the distribution or absolute values differ, the </w:t>
            </w:r>
            <w:r w:rsidRPr="006732B3">
              <w:rPr>
                <w:rFonts w:asciiTheme="majorBidi" w:hAnsiTheme="majorBidi" w:cstheme="majorBidi"/>
              </w:rPr>
              <w:lastRenderedPageBreak/>
              <w:t xml:space="preserve">methodologies cannot be considered interchangeable. EEPRU were unable to identify any literature directly comparing the two methodologies for the treatments in the HVCSs and concluded methodologies could not be assumed to be interchangeable.  </w:t>
            </w:r>
          </w:p>
        </w:tc>
      </w:tr>
      <w:tr w:rsidR="00885DFB" w:rsidRPr="006732B3" w14:paraId="2DE1B124" w14:textId="77777777" w:rsidTr="00885DFB">
        <w:tc>
          <w:tcPr>
            <w:tcW w:w="2689" w:type="dxa"/>
            <w:tcBorders>
              <w:top w:val="single" w:sz="4" w:space="0" w:color="auto"/>
              <w:left w:val="single" w:sz="4" w:space="0" w:color="auto"/>
              <w:bottom w:val="single" w:sz="4" w:space="0" w:color="auto"/>
              <w:right w:val="single" w:sz="4" w:space="0" w:color="auto"/>
            </w:tcBorders>
            <w:hideMark/>
          </w:tcPr>
          <w:p w14:paraId="43E50AF9"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lastRenderedPageBreak/>
              <w:t>Breakpoints</w:t>
            </w:r>
          </w:p>
        </w:tc>
        <w:tc>
          <w:tcPr>
            <w:tcW w:w="6327" w:type="dxa"/>
            <w:tcBorders>
              <w:top w:val="single" w:sz="4" w:space="0" w:color="auto"/>
              <w:left w:val="single" w:sz="4" w:space="0" w:color="auto"/>
              <w:bottom w:val="single" w:sz="4" w:space="0" w:color="auto"/>
              <w:right w:val="single" w:sz="4" w:space="0" w:color="auto"/>
            </w:tcBorders>
            <w:hideMark/>
          </w:tcPr>
          <w:p w14:paraId="4B4B96B6" w14:textId="1A779AB5"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Expert advice indicated that CLSI and EUCAST breakpoints differ and cannot be assumed to be interchangeable</w:t>
            </w:r>
            <w:r w:rsidR="00371EC5" w:rsidRPr="006732B3">
              <w:rPr>
                <w:rFonts w:asciiTheme="majorBidi" w:hAnsiTheme="majorBidi" w:cstheme="majorBidi"/>
              </w:rPr>
              <w:t xml:space="preserve"> (see Section 4.1.1.1)</w:t>
            </w:r>
            <w:r w:rsidRPr="006732B3">
              <w:rPr>
                <w:rFonts w:asciiTheme="majorBidi" w:hAnsiTheme="majorBidi" w:cstheme="majorBidi"/>
              </w:rPr>
              <w:t xml:space="preserve">. It is unclear whether studies using EUCAST laboratory methods and breakpoints would return the same % susceptible as studies using CLSI laboratory methods and breakpoints. It cannot be assumed that breakpoints from one guideline can be applied where laboratory methods from the other guideline have been used. </w:t>
            </w:r>
          </w:p>
        </w:tc>
      </w:tr>
      <w:tr w:rsidR="00885DFB" w:rsidRPr="006732B3" w14:paraId="783BED4A" w14:textId="77777777" w:rsidTr="00885DFB">
        <w:tc>
          <w:tcPr>
            <w:tcW w:w="2689" w:type="dxa"/>
            <w:tcBorders>
              <w:top w:val="single" w:sz="4" w:space="0" w:color="auto"/>
              <w:left w:val="single" w:sz="4" w:space="0" w:color="auto"/>
              <w:bottom w:val="single" w:sz="4" w:space="0" w:color="auto"/>
              <w:right w:val="single" w:sz="4" w:space="0" w:color="auto"/>
            </w:tcBorders>
          </w:tcPr>
          <w:p w14:paraId="46557091" w14:textId="77777777" w:rsidR="00885DFB" w:rsidRPr="006732B3" w:rsidRDefault="00885DFB" w:rsidP="00885DFB">
            <w:pPr>
              <w:spacing w:line="360" w:lineRule="auto"/>
              <w:jc w:val="both"/>
              <w:rPr>
                <w:rFonts w:asciiTheme="majorBidi" w:hAnsiTheme="majorBidi" w:cstheme="majorBidi"/>
              </w:rPr>
            </w:pPr>
            <w:r w:rsidRPr="006732B3">
              <w:rPr>
                <w:rFonts w:asciiTheme="majorBidi" w:hAnsiTheme="majorBidi" w:cstheme="majorBidi"/>
              </w:rPr>
              <w:t>PK/PD data</w:t>
            </w:r>
          </w:p>
        </w:tc>
        <w:tc>
          <w:tcPr>
            <w:tcW w:w="6327" w:type="dxa"/>
            <w:tcBorders>
              <w:top w:val="single" w:sz="4" w:space="0" w:color="auto"/>
              <w:left w:val="single" w:sz="4" w:space="0" w:color="auto"/>
              <w:bottom w:val="single" w:sz="4" w:space="0" w:color="auto"/>
              <w:right w:val="single" w:sz="4" w:space="0" w:color="auto"/>
            </w:tcBorders>
          </w:tcPr>
          <w:p w14:paraId="56CC573F" w14:textId="3708F236" w:rsidR="00885DFB" w:rsidRPr="006732B3" w:rsidRDefault="00885DFB" w:rsidP="000056E1">
            <w:pPr>
              <w:spacing w:line="360" w:lineRule="auto"/>
              <w:jc w:val="both"/>
              <w:rPr>
                <w:rFonts w:asciiTheme="majorBidi" w:hAnsiTheme="majorBidi" w:cstheme="majorBidi"/>
              </w:rPr>
            </w:pPr>
            <w:r w:rsidRPr="006732B3">
              <w:rPr>
                <w:rFonts w:asciiTheme="majorBidi" w:hAnsiTheme="majorBidi" w:cstheme="majorBidi"/>
              </w:rPr>
              <w:t xml:space="preserve">Clinical advisors stated that the methodologies for conducting PK/PD data are not standardised and it is difficult to ascertain whether a study has been </w:t>
            </w:r>
            <w:r w:rsidR="00804D75" w:rsidRPr="006732B3">
              <w:rPr>
                <w:rFonts w:asciiTheme="majorBidi" w:hAnsiTheme="majorBidi" w:cstheme="majorBidi"/>
              </w:rPr>
              <w:t>conducted</w:t>
            </w:r>
            <w:r w:rsidRPr="006732B3">
              <w:rPr>
                <w:rFonts w:asciiTheme="majorBidi" w:hAnsiTheme="majorBidi" w:cstheme="majorBidi"/>
              </w:rPr>
              <w:t xml:space="preserve"> well. Since the breakpoints set by EUCAST and CLSI are based on an assessment of the available PK/PD data, and </w:t>
            </w:r>
            <w:proofErr w:type="gramStart"/>
            <w:r w:rsidRPr="006732B3">
              <w:rPr>
                <w:rFonts w:asciiTheme="majorBidi" w:hAnsiTheme="majorBidi" w:cstheme="majorBidi"/>
              </w:rPr>
              <w:t>as long as</w:t>
            </w:r>
            <w:proofErr w:type="gramEnd"/>
            <w:r w:rsidRPr="006732B3">
              <w:rPr>
                <w:rFonts w:asciiTheme="majorBidi" w:hAnsiTheme="majorBidi" w:cstheme="majorBidi"/>
              </w:rPr>
              <w:t xml:space="preserve"> the treatment is known to </w:t>
            </w:r>
            <w:r w:rsidR="00A232EC" w:rsidRPr="006732B3">
              <w:rPr>
                <w:rFonts w:asciiTheme="majorBidi" w:hAnsiTheme="majorBidi" w:cstheme="majorBidi"/>
              </w:rPr>
              <w:t>infiltrate</w:t>
            </w:r>
            <w:r w:rsidRPr="006732B3">
              <w:rPr>
                <w:rFonts w:asciiTheme="majorBidi" w:hAnsiTheme="majorBidi" w:cstheme="majorBidi"/>
              </w:rPr>
              <w:t xml:space="preserve"> the appropriate site, it </w:t>
            </w:r>
            <w:r w:rsidR="00804D75" w:rsidRPr="006732B3">
              <w:rPr>
                <w:rFonts w:asciiTheme="majorBidi" w:hAnsiTheme="majorBidi" w:cstheme="majorBidi"/>
              </w:rPr>
              <w:t>is reasonable to assume</w:t>
            </w:r>
            <w:r w:rsidRPr="006732B3">
              <w:rPr>
                <w:rFonts w:asciiTheme="majorBidi" w:hAnsiTheme="majorBidi" w:cstheme="majorBidi"/>
              </w:rPr>
              <w:t xml:space="preserve"> that </w:t>
            </w:r>
            <w:r w:rsidR="00804D75" w:rsidRPr="006732B3">
              <w:rPr>
                <w:rFonts w:asciiTheme="majorBidi" w:hAnsiTheme="majorBidi" w:cstheme="majorBidi"/>
              </w:rPr>
              <w:t>susceptibility can be linked directly to clinical outcomes without further explicit consideration of PK/PD evidence</w:t>
            </w:r>
            <w:r w:rsidRPr="006732B3">
              <w:rPr>
                <w:rFonts w:asciiTheme="majorBidi" w:hAnsiTheme="majorBidi" w:cstheme="majorBidi"/>
              </w:rPr>
              <w:t xml:space="preserve">. The advisors stated that CAZ-AVI </w:t>
            </w:r>
            <w:r w:rsidR="00804D75" w:rsidRPr="006732B3">
              <w:rPr>
                <w:rFonts w:asciiTheme="majorBidi" w:hAnsiTheme="majorBidi" w:cstheme="majorBidi"/>
              </w:rPr>
              <w:t xml:space="preserve">and the comparators for each site </w:t>
            </w:r>
            <w:r w:rsidRPr="006732B3">
              <w:rPr>
                <w:rFonts w:asciiTheme="majorBidi" w:hAnsiTheme="majorBidi" w:cstheme="majorBidi"/>
              </w:rPr>
              <w:t xml:space="preserve">penetrate to the sites of </w:t>
            </w:r>
            <w:proofErr w:type="gramStart"/>
            <w:r w:rsidRPr="006732B3">
              <w:rPr>
                <w:rFonts w:asciiTheme="majorBidi" w:hAnsiTheme="majorBidi" w:cstheme="majorBidi"/>
              </w:rPr>
              <w:t>interest</w:t>
            </w:r>
            <w:proofErr w:type="gramEnd"/>
            <w:r w:rsidRPr="006732B3">
              <w:rPr>
                <w:rFonts w:asciiTheme="majorBidi" w:hAnsiTheme="majorBidi" w:cstheme="majorBidi"/>
              </w:rPr>
              <w:t xml:space="preserve"> and it was therefore </w:t>
            </w:r>
            <w:r w:rsidR="00470819">
              <w:rPr>
                <w:rFonts w:asciiTheme="majorBidi" w:hAnsiTheme="majorBidi" w:cstheme="majorBidi"/>
              </w:rPr>
              <w:t xml:space="preserve">considered </w:t>
            </w:r>
            <w:r w:rsidRPr="006732B3">
              <w:rPr>
                <w:rFonts w:asciiTheme="majorBidi" w:hAnsiTheme="majorBidi" w:cstheme="majorBidi"/>
              </w:rPr>
              <w:t>unnecessary to review this data.</w:t>
            </w:r>
          </w:p>
        </w:tc>
      </w:tr>
    </w:tbl>
    <w:p w14:paraId="2E0B352F" w14:textId="0002982C" w:rsidR="00885DFB" w:rsidRPr="003C01A5" w:rsidRDefault="00885DFB" w:rsidP="00696B65">
      <w:pPr>
        <w:spacing w:after="0" w:line="240" w:lineRule="auto"/>
        <w:jc w:val="both"/>
        <w:rPr>
          <w:rFonts w:asciiTheme="majorBidi" w:hAnsiTheme="majorBidi"/>
          <w:sz w:val="20"/>
          <w:szCs w:val="20"/>
        </w:rPr>
      </w:pPr>
      <w:r w:rsidRPr="003C01A5">
        <w:rPr>
          <w:rFonts w:ascii="Times New Roman" w:eastAsia="Calibri" w:hAnsi="Times New Roman" w:cs="Times New Roman"/>
          <w:sz w:val="20"/>
          <w:szCs w:val="20"/>
        </w:rPr>
        <w:t xml:space="preserve">Abbreviations: </w:t>
      </w:r>
      <w:r w:rsidR="005C483A" w:rsidRPr="003C01A5">
        <w:rPr>
          <w:rFonts w:ascii="Times New Roman" w:eastAsia="Calibri" w:hAnsi="Times New Roman" w:cs="Times New Roman"/>
          <w:sz w:val="20"/>
          <w:szCs w:val="20"/>
        </w:rPr>
        <w:t xml:space="preserve">AST, antimicrobial susceptibility testing; CAZ-AVI, ceftazidime-avibactam; </w:t>
      </w:r>
      <w:r w:rsidR="005C483A" w:rsidRPr="003C01A5">
        <w:rPr>
          <w:rFonts w:asciiTheme="majorBidi" w:hAnsiTheme="majorBidi"/>
          <w:sz w:val="20"/>
          <w:szCs w:val="20"/>
        </w:rPr>
        <w:t xml:space="preserve">CLSI, Clinical Laboratory Standards Institute; CPE, </w:t>
      </w:r>
      <w:proofErr w:type="spellStart"/>
      <w:r w:rsidR="005C483A" w:rsidRPr="003C01A5">
        <w:rPr>
          <w:rFonts w:asciiTheme="majorBidi" w:hAnsiTheme="majorBidi"/>
          <w:sz w:val="20"/>
          <w:szCs w:val="20"/>
        </w:rPr>
        <w:t>carbanemase</w:t>
      </w:r>
      <w:proofErr w:type="spellEnd"/>
      <w:r w:rsidR="005C483A" w:rsidRPr="003C01A5">
        <w:rPr>
          <w:rFonts w:asciiTheme="majorBidi" w:hAnsiTheme="majorBidi"/>
          <w:sz w:val="20"/>
          <w:szCs w:val="20"/>
        </w:rPr>
        <w:t xml:space="preserve">-producing </w:t>
      </w:r>
      <w:proofErr w:type="spellStart"/>
      <w:r w:rsidR="00FE2007" w:rsidRPr="003C01A5">
        <w:rPr>
          <w:rFonts w:asciiTheme="majorBidi" w:hAnsiTheme="majorBidi"/>
          <w:sz w:val="20"/>
          <w:szCs w:val="20"/>
        </w:rPr>
        <w:t>Enterobacterales</w:t>
      </w:r>
      <w:proofErr w:type="spellEnd"/>
      <w:r w:rsidR="005C483A" w:rsidRPr="003C01A5">
        <w:rPr>
          <w:rFonts w:asciiTheme="majorBidi" w:hAnsiTheme="majorBidi"/>
          <w:sz w:val="20"/>
          <w:szCs w:val="20"/>
        </w:rPr>
        <w:t xml:space="preserve">; EUCAST, European Committee on Antimicrobial Susceptibility Testing; </w:t>
      </w:r>
      <w:r w:rsidR="00804D75" w:rsidRPr="003C01A5">
        <w:rPr>
          <w:rFonts w:asciiTheme="majorBidi" w:hAnsiTheme="majorBidi"/>
          <w:sz w:val="20"/>
          <w:szCs w:val="20"/>
        </w:rPr>
        <w:t xml:space="preserve">MIC, minimum inhibitory concentration; </w:t>
      </w:r>
      <w:r w:rsidR="005C483A" w:rsidRPr="003C01A5">
        <w:rPr>
          <w:rFonts w:asciiTheme="majorBidi" w:hAnsiTheme="majorBidi"/>
          <w:sz w:val="20"/>
          <w:szCs w:val="20"/>
        </w:rPr>
        <w:t>OXA, oxacillinase; PK, pharmacokinetic; PD, pharmacodynamic</w:t>
      </w:r>
    </w:p>
    <w:p w14:paraId="11498B47" w14:textId="7218DF53" w:rsidR="008D0C90" w:rsidRPr="003C01A5" w:rsidRDefault="008D0C90" w:rsidP="00885DFB">
      <w:pPr>
        <w:spacing w:after="0" w:line="360" w:lineRule="auto"/>
        <w:jc w:val="both"/>
        <w:rPr>
          <w:rFonts w:asciiTheme="majorBidi" w:hAnsiTheme="majorBidi"/>
        </w:rPr>
      </w:pPr>
    </w:p>
    <w:p w14:paraId="527CCAD9" w14:textId="204AF4F2" w:rsidR="001A29DC" w:rsidRDefault="008D0C90" w:rsidP="00B674A1">
      <w:pPr>
        <w:pStyle w:val="EEPRUnumberedstylelevel3"/>
        <w:ind w:left="851" w:hanging="567"/>
      </w:pPr>
      <w:bookmarkStart w:id="124" w:name="_Toc83890513"/>
      <w:bookmarkStart w:id="125" w:name="_Toc87462988"/>
      <w:bookmarkStart w:id="126" w:name="_Ref82435573"/>
      <w:bookmarkStart w:id="127" w:name="_Toc83890509"/>
      <w:r w:rsidRPr="00530B34">
        <w:t>4.</w:t>
      </w:r>
      <w:r w:rsidR="00530B34">
        <w:t>4</w:t>
      </w:r>
      <w:r w:rsidRPr="00530B34">
        <w:t xml:space="preserve"> Review results</w:t>
      </w:r>
      <w:bookmarkEnd w:id="124"/>
      <w:bookmarkEnd w:id="125"/>
    </w:p>
    <w:p w14:paraId="1CD5A545" w14:textId="3BD2263F" w:rsidR="00334C85" w:rsidRPr="006E4E83" w:rsidRDefault="00334C85" w:rsidP="00B674A1">
      <w:pPr>
        <w:pStyle w:val="Heading3"/>
        <w:ind w:left="1276" w:hanging="567"/>
        <w:rPr>
          <w:rFonts w:asciiTheme="majorBidi" w:hAnsiTheme="majorBidi"/>
          <w:sz w:val="26"/>
          <w:szCs w:val="26"/>
        </w:rPr>
      </w:pPr>
      <w:bookmarkStart w:id="128" w:name="_Toc87462989"/>
      <w:r w:rsidRPr="006E4E83">
        <w:rPr>
          <w:rFonts w:asciiTheme="majorBidi" w:hAnsiTheme="majorBidi"/>
          <w:sz w:val="26"/>
          <w:szCs w:val="26"/>
        </w:rPr>
        <w:t>4.4.1</w:t>
      </w:r>
      <w:r w:rsidRPr="006E4E83">
        <w:rPr>
          <w:rFonts w:asciiTheme="majorBidi" w:hAnsiTheme="majorBidi"/>
          <w:sz w:val="26"/>
          <w:szCs w:val="26"/>
        </w:rPr>
        <w:tab/>
      </w:r>
      <w:r w:rsidR="00614E28" w:rsidRPr="006E4E83">
        <w:rPr>
          <w:rFonts w:asciiTheme="majorBidi" w:hAnsiTheme="majorBidi"/>
          <w:sz w:val="26"/>
          <w:szCs w:val="26"/>
        </w:rPr>
        <w:t>Study selection results</w:t>
      </w:r>
      <w:r w:rsidRPr="006E4E83">
        <w:rPr>
          <w:rFonts w:asciiTheme="majorBidi" w:hAnsiTheme="majorBidi"/>
          <w:sz w:val="26"/>
          <w:szCs w:val="26"/>
        </w:rPr>
        <w:t xml:space="preserve"> </w:t>
      </w:r>
      <w:r w:rsidR="00614E28" w:rsidRPr="006E4E83">
        <w:rPr>
          <w:rFonts w:asciiTheme="majorBidi" w:hAnsiTheme="majorBidi"/>
          <w:sz w:val="26"/>
          <w:szCs w:val="26"/>
        </w:rPr>
        <w:t>(reviews 1-3)</w:t>
      </w:r>
      <w:bookmarkEnd w:id="128"/>
    </w:p>
    <w:p w14:paraId="4B31F818" w14:textId="512CCB40" w:rsidR="00334C85" w:rsidRPr="00885DFB" w:rsidRDefault="007C32F4" w:rsidP="00A83123">
      <w:pPr>
        <w:spacing w:line="360" w:lineRule="auto"/>
        <w:jc w:val="both"/>
        <w:rPr>
          <w:rFonts w:asciiTheme="majorBidi" w:hAnsiTheme="majorBidi" w:cstheme="majorBidi"/>
        </w:rPr>
      </w:pPr>
      <w:r w:rsidRPr="007C32F4">
        <w:rPr>
          <w:rFonts w:ascii="Times New Roman" w:hAnsi="Times New Roman" w:cs="Times New Roman"/>
        </w:rPr>
        <w:t xml:space="preserve">A </w:t>
      </w:r>
      <w:r w:rsidR="00E11714" w:rsidRPr="00E11714">
        <w:rPr>
          <w:rFonts w:ascii="Times New Roman" w:hAnsi="Times New Roman" w:cs="Times New Roman"/>
        </w:rPr>
        <w:t xml:space="preserve">Preferred Reporting Items for Systematic Reviews and Meta-Analyses </w:t>
      </w:r>
      <w:r w:rsidR="00E11714">
        <w:rPr>
          <w:rFonts w:ascii="Times New Roman" w:hAnsi="Times New Roman" w:cs="Times New Roman"/>
        </w:rPr>
        <w:t>(</w:t>
      </w:r>
      <w:r w:rsidRPr="007C32F4">
        <w:rPr>
          <w:rFonts w:ascii="Times New Roman" w:hAnsi="Times New Roman" w:cs="Times New Roman"/>
        </w:rPr>
        <w:t>PRISMA</w:t>
      </w:r>
      <w:r w:rsidR="00E11714">
        <w:rPr>
          <w:rFonts w:ascii="Times New Roman" w:hAnsi="Times New Roman" w:cs="Times New Roman"/>
        </w:rPr>
        <w:t>)</w:t>
      </w:r>
      <w:r w:rsidRPr="007C32F4">
        <w:rPr>
          <w:rFonts w:ascii="Times New Roman" w:hAnsi="Times New Roman" w:cs="Times New Roman"/>
        </w:rPr>
        <w:t xml:space="preserve"> flow diagram outlining the process of identifying relevant literature is provided in </w:t>
      </w:r>
      <w:r w:rsidRPr="007C32F4">
        <w:rPr>
          <w:rFonts w:ascii="Times New Roman" w:hAnsi="Times New Roman"/>
          <w:color w:val="000000" w:themeColor="text1"/>
        </w:rPr>
        <w:t>Figure 1</w:t>
      </w:r>
      <w:r w:rsidRPr="007C32F4">
        <w:rPr>
          <w:rFonts w:ascii="Times New Roman" w:hAnsi="Times New Roman" w:cs="Times New Roman"/>
        </w:rPr>
        <w:t xml:space="preserve">. </w:t>
      </w:r>
      <w:r w:rsidR="00334C85" w:rsidRPr="007C32F4">
        <w:rPr>
          <w:rFonts w:asciiTheme="majorBidi" w:hAnsiTheme="majorBidi" w:cstheme="majorBidi"/>
        </w:rPr>
        <w:t>The</w:t>
      </w:r>
      <w:r w:rsidR="00334C85" w:rsidRPr="00885DFB">
        <w:rPr>
          <w:rFonts w:asciiTheme="majorBidi" w:hAnsiTheme="majorBidi" w:cstheme="majorBidi"/>
        </w:rPr>
        <w:t xml:space="preserve"> electronic database searches, following the removal of duplicates, identified 612 records relating to CAZ-AVI. Seven additional records were identified from other sources, </w:t>
      </w:r>
      <w:r w:rsidR="00F23F2A">
        <w:rPr>
          <w:rFonts w:asciiTheme="majorBidi" w:hAnsiTheme="majorBidi" w:cstheme="majorBidi"/>
        </w:rPr>
        <w:t>(</w:t>
      </w:r>
      <w:r w:rsidR="00334C85" w:rsidRPr="00885DFB">
        <w:rPr>
          <w:rFonts w:asciiTheme="majorBidi" w:hAnsiTheme="majorBidi" w:cstheme="majorBidi"/>
        </w:rPr>
        <w:t>Pfizer</w:t>
      </w:r>
      <w:r w:rsidR="00A83123" w:rsidRPr="00A83123">
        <w:rPr>
          <w:rFonts w:asciiTheme="majorBidi" w:hAnsiTheme="majorBidi" w:cstheme="majorBidi"/>
          <w:noProof/>
          <w:vertAlign w:val="superscript"/>
        </w:rPr>
        <w:t>31</w:t>
      </w:r>
      <w:r w:rsidR="00334C85" w:rsidRPr="00885DFB">
        <w:rPr>
          <w:rFonts w:asciiTheme="majorBidi" w:hAnsiTheme="majorBidi" w:cstheme="majorBidi"/>
        </w:rPr>
        <w:t xml:space="preserve"> procurement documentation, n=2; searches for the assessment of </w:t>
      </w:r>
      <w:proofErr w:type="spellStart"/>
      <w:r w:rsidR="00334C85" w:rsidRPr="00885DFB">
        <w:rPr>
          <w:rFonts w:asciiTheme="majorBidi" w:hAnsiTheme="majorBidi" w:cstheme="majorBidi"/>
        </w:rPr>
        <w:t>cefiderocol</w:t>
      </w:r>
      <w:proofErr w:type="spellEnd"/>
      <w:r w:rsidR="00334C85" w:rsidRPr="00885DFB">
        <w:rPr>
          <w:rFonts w:asciiTheme="majorBidi" w:hAnsiTheme="majorBidi" w:cstheme="majorBidi"/>
        </w:rPr>
        <w:t xml:space="preserve">, performed by EEPRU, n=3; data request to Pfizer, n=1; data request to PHE n=1), meaning a total of 619 records were assessed. After examination of the titles and abstracts, </w:t>
      </w:r>
      <w:r w:rsidR="00334C85" w:rsidRPr="00F957B9">
        <w:rPr>
          <w:rFonts w:asciiTheme="majorBidi" w:hAnsiTheme="majorBidi"/>
        </w:rPr>
        <w:t>277</w:t>
      </w:r>
      <w:r w:rsidR="00334C85" w:rsidRPr="00885DFB">
        <w:rPr>
          <w:rFonts w:asciiTheme="majorBidi" w:hAnsiTheme="majorBidi" w:cstheme="majorBidi"/>
        </w:rPr>
        <w:t xml:space="preserve"> records met the keyword mapping criteria (</w:t>
      </w:r>
      <w:r w:rsidR="00334C85" w:rsidRPr="00994836">
        <w:rPr>
          <w:rFonts w:asciiTheme="majorBidi" w:hAnsiTheme="majorBidi" w:cstheme="majorBidi"/>
        </w:rPr>
        <w:t>see</w:t>
      </w:r>
      <w:r w:rsidR="00994836" w:rsidRPr="00994836">
        <w:rPr>
          <w:rFonts w:asciiTheme="majorBidi" w:hAnsiTheme="majorBidi" w:cstheme="majorBidi"/>
        </w:rPr>
        <w:t xml:space="preserve"> </w:t>
      </w:r>
      <w:r w:rsidR="00994836" w:rsidRPr="00994836">
        <w:rPr>
          <w:rFonts w:asciiTheme="majorBidi" w:hAnsiTheme="majorBidi"/>
        </w:rPr>
        <w:t xml:space="preserve">Table </w:t>
      </w:r>
      <w:r w:rsidR="00994836" w:rsidRPr="00994836">
        <w:rPr>
          <w:rFonts w:asciiTheme="majorBidi" w:hAnsiTheme="majorBidi"/>
          <w:noProof/>
        </w:rPr>
        <w:t>4</w:t>
      </w:r>
      <w:r w:rsidR="00334C85" w:rsidRPr="00994836">
        <w:rPr>
          <w:rFonts w:asciiTheme="majorBidi" w:hAnsiTheme="majorBidi" w:cstheme="majorBidi"/>
        </w:rPr>
        <w:t>)</w:t>
      </w:r>
      <w:r w:rsidR="00334C85" w:rsidRPr="00885DFB">
        <w:rPr>
          <w:rFonts w:asciiTheme="majorBidi" w:hAnsiTheme="majorBidi" w:cstheme="majorBidi"/>
        </w:rPr>
        <w:t xml:space="preserve"> including </w:t>
      </w:r>
      <w:r w:rsidR="00334C85" w:rsidRPr="00F957B9">
        <w:rPr>
          <w:rFonts w:asciiTheme="majorBidi" w:hAnsiTheme="majorBidi"/>
        </w:rPr>
        <w:t>101</w:t>
      </w:r>
      <w:r w:rsidR="00334C85" w:rsidRPr="00885DFB">
        <w:rPr>
          <w:rFonts w:asciiTheme="majorBidi" w:hAnsiTheme="majorBidi" w:cstheme="majorBidi"/>
        </w:rPr>
        <w:t xml:space="preserve"> observational and case-control studies, </w:t>
      </w:r>
      <w:r w:rsidR="00334C85" w:rsidRPr="00F957B9">
        <w:rPr>
          <w:rFonts w:asciiTheme="majorBidi" w:hAnsiTheme="majorBidi"/>
        </w:rPr>
        <w:t>26 reports of RCTs (some reanalyses of the same study) and 179</w:t>
      </w:r>
      <w:r w:rsidR="00334C85" w:rsidRPr="00885DFB">
        <w:rPr>
          <w:rFonts w:asciiTheme="majorBidi" w:hAnsiTheme="majorBidi" w:cstheme="majorBidi"/>
          <w:color w:val="FF0000"/>
        </w:rPr>
        <w:t xml:space="preserve"> </w:t>
      </w:r>
      <w:r w:rsidR="00334C85" w:rsidRPr="00885DFB">
        <w:rPr>
          <w:rFonts w:asciiTheme="majorBidi" w:hAnsiTheme="majorBidi" w:cstheme="majorBidi"/>
        </w:rPr>
        <w:t xml:space="preserve">susceptibility </w:t>
      </w:r>
      <w:r w:rsidR="00334C85" w:rsidRPr="00885DFB">
        <w:rPr>
          <w:rFonts w:asciiTheme="majorBidi" w:hAnsiTheme="majorBidi" w:cstheme="majorBidi"/>
        </w:rPr>
        <w:lastRenderedPageBreak/>
        <w:t xml:space="preserve">studies (NB, some citations could count in multiple categories, </w:t>
      </w:r>
      <w:proofErr w:type="gramStart"/>
      <w:r w:rsidR="00334C85" w:rsidRPr="00885DFB">
        <w:rPr>
          <w:rFonts w:asciiTheme="majorBidi" w:hAnsiTheme="majorBidi" w:cstheme="majorBidi"/>
        </w:rPr>
        <w:t>e.g.</w:t>
      </w:r>
      <w:proofErr w:type="gramEnd"/>
      <w:r w:rsidR="00334C85" w:rsidRPr="00885DFB">
        <w:rPr>
          <w:rFonts w:asciiTheme="majorBidi" w:hAnsiTheme="majorBidi" w:cstheme="majorBidi"/>
        </w:rPr>
        <w:t xml:space="preserve"> an observational study that also reported susceptibility), whilst </w:t>
      </w:r>
      <w:r w:rsidR="00334C85" w:rsidRPr="00F957B9">
        <w:rPr>
          <w:rFonts w:asciiTheme="majorBidi" w:hAnsiTheme="majorBidi"/>
        </w:rPr>
        <w:t>342</w:t>
      </w:r>
      <w:r w:rsidR="00334C85" w:rsidRPr="00885DFB">
        <w:rPr>
          <w:rFonts w:asciiTheme="majorBidi" w:hAnsiTheme="majorBidi" w:cstheme="majorBidi"/>
        </w:rPr>
        <w:t xml:space="preserve"> records were excluded on the basis of their title and abstract. At this point, the decision was made to focus on OXA-48 infections in </w:t>
      </w:r>
      <w:proofErr w:type="spellStart"/>
      <w:r w:rsidR="00334C85" w:rsidRPr="00885DFB">
        <w:rPr>
          <w:rFonts w:asciiTheme="majorBidi" w:hAnsiTheme="majorBidi" w:cstheme="majorBidi"/>
        </w:rPr>
        <w:t>cUTI</w:t>
      </w:r>
      <w:proofErr w:type="spellEnd"/>
      <w:r w:rsidR="00334C85" w:rsidRPr="00885DFB">
        <w:rPr>
          <w:rFonts w:asciiTheme="majorBidi" w:hAnsiTheme="majorBidi" w:cstheme="majorBidi"/>
        </w:rPr>
        <w:t xml:space="preserve"> and HAP/VAP</w:t>
      </w:r>
      <w:r w:rsidR="00371EC5">
        <w:rPr>
          <w:rFonts w:asciiTheme="majorBidi" w:hAnsiTheme="majorBidi" w:cstheme="majorBidi"/>
        </w:rPr>
        <w:t xml:space="preserve"> (</w:t>
      </w:r>
      <w:proofErr w:type="gramStart"/>
      <w:r w:rsidR="00371EC5">
        <w:rPr>
          <w:rFonts w:asciiTheme="majorBidi" w:hAnsiTheme="majorBidi" w:cstheme="majorBidi"/>
        </w:rPr>
        <w:t>i.e.</w:t>
      </w:r>
      <w:proofErr w:type="gramEnd"/>
      <w:r w:rsidR="00371EC5">
        <w:rPr>
          <w:rFonts w:asciiTheme="majorBidi" w:hAnsiTheme="majorBidi" w:cstheme="majorBidi"/>
        </w:rPr>
        <w:t xml:space="preserve"> exclude KPC and BSI studies)</w:t>
      </w:r>
      <w:r w:rsidR="00334C85" w:rsidRPr="00885DFB">
        <w:rPr>
          <w:rFonts w:asciiTheme="majorBidi" w:hAnsiTheme="majorBidi" w:cstheme="majorBidi"/>
        </w:rPr>
        <w:t xml:space="preserve">, and not to review PK/PD data (see </w:t>
      </w:r>
      <w:r w:rsidR="00F769FB">
        <w:rPr>
          <w:rFonts w:asciiTheme="majorBidi" w:hAnsiTheme="majorBidi" w:cstheme="majorBidi"/>
        </w:rPr>
        <w:t>Table X</w:t>
      </w:r>
      <w:r w:rsidR="00334C85" w:rsidRPr="00885DFB">
        <w:rPr>
          <w:rFonts w:asciiTheme="majorBidi" w:hAnsiTheme="majorBidi" w:cstheme="majorBidi"/>
        </w:rPr>
        <w:t xml:space="preserve">). Consequently, 7 RCTs (across multiple reports), </w:t>
      </w:r>
      <w:r w:rsidR="00334C85" w:rsidRPr="00F957B9">
        <w:rPr>
          <w:rFonts w:asciiTheme="majorBidi" w:hAnsiTheme="majorBidi"/>
        </w:rPr>
        <w:t>92</w:t>
      </w:r>
      <w:r w:rsidR="00334C85" w:rsidRPr="00885DFB">
        <w:rPr>
          <w:rFonts w:asciiTheme="majorBidi" w:hAnsiTheme="majorBidi" w:cstheme="majorBidi"/>
        </w:rPr>
        <w:t xml:space="preserve"> observational or case-control studies, and </w:t>
      </w:r>
      <w:r w:rsidR="00334C85" w:rsidRPr="00F957B9">
        <w:rPr>
          <w:rFonts w:asciiTheme="majorBidi" w:hAnsiTheme="majorBidi"/>
        </w:rPr>
        <w:t>119</w:t>
      </w:r>
      <w:r w:rsidR="00334C85" w:rsidRPr="00885DFB">
        <w:rPr>
          <w:rFonts w:asciiTheme="majorBidi" w:hAnsiTheme="majorBidi" w:cstheme="majorBidi"/>
        </w:rPr>
        <w:t xml:space="preserve"> susceptibility studies were excluded because their title or abstract indicated that they did not meet the inclusion criteria for the key characteristics mapping stage. The full texts of </w:t>
      </w:r>
      <w:bookmarkStart w:id="129" w:name="_Hlk77712584"/>
      <w:r w:rsidR="00334C85" w:rsidRPr="00885DFB">
        <w:rPr>
          <w:rFonts w:asciiTheme="majorBidi" w:hAnsiTheme="majorBidi" w:cstheme="majorBidi"/>
        </w:rPr>
        <w:t xml:space="preserve">the remaining studies were obtained, </w:t>
      </w:r>
      <w:bookmarkEnd w:id="129"/>
      <w:r w:rsidR="00334C85" w:rsidRPr="00885DFB">
        <w:rPr>
          <w:rFonts w:asciiTheme="majorBidi" w:hAnsiTheme="majorBidi" w:cstheme="majorBidi"/>
        </w:rPr>
        <w:t>and these were tabulated in the key characteristics map. The map included 4 RCTs, 9 observational and case-control studies and 60 susceptibility studies. The RCTs and observational case-control studies were assessed for relevance to the model</w:t>
      </w:r>
      <w:r>
        <w:rPr>
          <w:rFonts w:asciiTheme="majorBidi" w:hAnsiTheme="majorBidi" w:cstheme="majorBidi"/>
        </w:rPr>
        <w:t xml:space="preserve"> (see Section 4.4.</w:t>
      </w:r>
      <w:r w:rsidR="002B12D8">
        <w:rPr>
          <w:rFonts w:asciiTheme="majorBidi" w:hAnsiTheme="majorBidi" w:cstheme="majorBidi"/>
        </w:rPr>
        <w:t>2</w:t>
      </w:r>
      <w:r>
        <w:rPr>
          <w:rFonts w:asciiTheme="majorBidi" w:hAnsiTheme="majorBidi" w:cstheme="majorBidi"/>
        </w:rPr>
        <w:t>)</w:t>
      </w:r>
      <w:r w:rsidR="00334C85" w:rsidRPr="00885DFB">
        <w:rPr>
          <w:rFonts w:asciiTheme="majorBidi" w:hAnsiTheme="majorBidi" w:cstheme="majorBidi"/>
        </w:rPr>
        <w:t xml:space="preserve">. Ultimately, it was not possible to use these studies in the modelling </w:t>
      </w:r>
      <w:r>
        <w:rPr>
          <w:rFonts w:asciiTheme="majorBidi" w:hAnsiTheme="majorBidi" w:cstheme="majorBidi"/>
        </w:rPr>
        <w:t>and t</w:t>
      </w:r>
      <w:r w:rsidR="00334C85" w:rsidRPr="00885DFB">
        <w:rPr>
          <w:rFonts w:asciiTheme="majorBidi" w:hAnsiTheme="majorBidi" w:cstheme="majorBidi"/>
        </w:rPr>
        <w:t>he focus of the review became susceptibility studies</w:t>
      </w:r>
      <w:r>
        <w:rPr>
          <w:rFonts w:asciiTheme="majorBidi" w:hAnsiTheme="majorBidi" w:cstheme="majorBidi"/>
        </w:rPr>
        <w:t>. I</w:t>
      </w:r>
      <w:r w:rsidR="00334C85" w:rsidRPr="00885DFB">
        <w:rPr>
          <w:rFonts w:asciiTheme="majorBidi" w:hAnsiTheme="majorBidi" w:cstheme="majorBidi"/>
        </w:rPr>
        <w:t>n the final susceptibility synthesis, 1</w:t>
      </w:r>
      <w:r>
        <w:rPr>
          <w:rFonts w:asciiTheme="majorBidi" w:hAnsiTheme="majorBidi" w:cstheme="majorBidi"/>
        </w:rPr>
        <w:t>6</w:t>
      </w:r>
      <w:r w:rsidR="00334C85" w:rsidRPr="00885DFB">
        <w:rPr>
          <w:rFonts w:asciiTheme="majorBidi" w:hAnsiTheme="majorBidi" w:cstheme="majorBidi"/>
        </w:rPr>
        <w:t xml:space="preserve"> studies were retained </w:t>
      </w:r>
      <w:r w:rsidR="00994836">
        <w:rPr>
          <w:rFonts w:asciiTheme="majorBidi" w:hAnsiTheme="majorBidi" w:cstheme="majorBidi"/>
        </w:rPr>
        <w:t>(</w:t>
      </w:r>
      <w:r w:rsidR="00994836" w:rsidRPr="00994836">
        <w:rPr>
          <w:rFonts w:asciiTheme="majorBidi" w:hAnsiTheme="majorBidi" w:cstheme="majorBidi"/>
        </w:rPr>
        <w:t>Table 6</w:t>
      </w:r>
      <w:r w:rsidR="00334C85" w:rsidRPr="00885DFB">
        <w:rPr>
          <w:rFonts w:asciiTheme="majorBidi" w:hAnsiTheme="majorBidi" w:cstheme="majorBidi"/>
        </w:rPr>
        <w:t xml:space="preserve">). The reasons for exclusion of the </w:t>
      </w:r>
      <w:r>
        <w:rPr>
          <w:rFonts w:asciiTheme="majorBidi" w:hAnsiTheme="majorBidi" w:cstheme="majorBidi"/>
        </w:rPr>
        <w:t>44</w:t>
      </w:r>
      <w:r w:rsidR="00334C85" w:rsidRPr="00885DFB">
        <w:rPr>
          <w:rFonts w:asciiTheme="majorBidi" w:hAnsiTheme="majorBidi" w:cstheme="majorBidi"/>
        </w:rPr>
        <w:t xml:space="preserve"> other susceptibility studies are provided in </w:t>
      </w:r>
      <w:r>
        <w:rPr>
          <w:rFonts w:asciiTheme="majorBidi" w:hAnsiTheme="majorBidi" w:cstheme="majorBidi"/>
        </w:rPr>
        <w:t xml:space="preserve">Appendix </w:t>
      </w:r>
      <w:r w:rsidR="00C27ADC">
        <w:rPr>
          <w:rFonts w:asciiTheme="majorBidi" w:hAnsiTheme="majorBidi" w:cstheme="majorBidi"/>
        </w:rPr>
        <w:t>5</w:t>
      </w:r>
      <w:r w:rsidR="00334C85" w:rsidRPr="00885DFB">
        <w:rPr>
          <w:rFonts w:asciiTheme="majorBidi" w:hAnsiTheme="majorBidi" w:cstheme="majorBidi"/>
        </w:rPr>
        <w:t xml:space="preserve">. </w:t>
      </w:r>
    </w:p>
    <w:bookmarkStart w:id="130" w:name="_Toc86419046"/>
    <w:p w14:paraId="01FB5924" w14:textId="17F7FA63" w:rsidR="003C7A63" w:rsidRDefault="0097511E" w:rsidP="003C7A63">
      <w:pPr>
        <w:keepNext/>
        <w:spacing w:before="360" w:after="200" w:line="240" w:lineRule="auto"/>
        <w:rPr>
          <w:rFonts w:asciiTheme="majorBidi" w:hAnsiTheme="majorBidi" w:cstheme="majorBidi"/>
          <w:b/>
          <w:iCs/>
          <w:sz w:val="20"/>
          <w:szCs w:val="20"/>
        </w:rPr>
      </w:pPr>
      <w:r>
        <w:rPr>
          <w:noProof/>
        </w:rPr>
        <w:lastRenderedPageBreak/>
        <mc:AlternateContent>
          <mc:Choice Requires="wps">
            <w:drawing>
              <wp:anchor distT="0" distB="0" distL="114300" distR="114300" simplePos="0" relativeHeight="251688960" behindDoc="0" locked="0" layoutInCell="1" allowOverlap="1" wp14:anchorId="7CC762F3" wp14:editId="747FF774">
                <wp:simplePos x="0" y="0"/>
                <wp:positionH relativeFrom="column">
                  <wp:posOffset>2793365</wp:posOffset>
                </wp:positionH>
                <wp:positionV relativeFrom="paragraph">
                  <wp:posOffset>2270496</wp:posOffset>
                </wp:positionV>
                <wp:extent cx="0" cy="173972"/>
                <wp:effectExtent l="76200" t="0" r="57150" b="55245"/>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397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101140A7" id="_x0000_t32" coordsize="21600,21600" o:spt="32" o:oned="t" path="m,l21600,21600e" filled="f">
                <v:path arrowok="t" fillok="f" o:connecttype="none"/>
                <o:lock v:ext="edit" shapetype="t"/>
              </v:shapetype>
              <v:shape id="Straight Arrow Connector 3" o:spid="_x0000_s1026" type="#_x0000_t32" alt="&quot;&quot;" style="position:absolute;margin-left:219.95pt;margin-top:178.8pt;width:0;height:13.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" strokecolor="#5b9bd5" strokeweight=".5pt">
                <v:stroke endarrow="block" joinstyle="miter"/>
              </v:shape>
            </w:pict>
          </mc:Fallback>
        </mc:AlternateContent>
      </w:r>
      <w:r w:rsidR="00334C85" w:rsidRPr="006732B3">
        <w:rPr>
          <w:rFonts w:ascii="Times New Roman" w:hAnsi="Times New Roman" w:cs="Times New Roman"/>
          <w:b/>
          <w:iCs/>
          <w:noProof/>
          <w:sz w:val="20"/>
          <w:szCs w:val="18"/>
          <w:lang w:eastAsia="en-GB"/>
        </w:rPr>
        <mc:AlternateContent>
          <mc:Choice Requires="wpg">
            <w:drawing>
              <wp:inline distT="0" distB="0" distL="0" distR="0" wp14:anchorId="1A8653FE" wp14:editId="2ACFD714">
                <wp:extent cx="6072505" cy="7727950"/>
                <wp:effectExtent l="0" t="0" r="23495" b="25400"/>
                <wp:docPr id="29" name="Group 29" descr="Figure 1 is a PRISMA Flow diagram for the CAZ-AVI Clinical Effectiveness Review. The content of this diagram has been summarised in chapter 4.4.1. "/>
                <wp:cNvGraphicFramePr/>
                <a:graphic xmlns:a="http://schemas.openxmlformats.org/drawingml/2006/main">
                  <a:graphicData uri="http://schemas.microsoft.com/office/word/2010/wordprocessingGroup">
                    <wpg:wgp>
                      <wpg:cNvGrpSpPr/>
                      <wpg:grpSpPr>
                        <a:xfrm>
                          <a:off x="0" y="0"/>
                          <a:ext cx="6072505" cy="7727950"/>
                          <a:chOff x="0" y="0"/>
                          <a:chExt cx="6702824" cy="8020845"/>
                        </a:xfrm>
                      </wpg:grpSpPr>
                      <wps:wsp>
                        <wps:cNvPr id="53" name="Rectangle 53"/>
                        <wps:cNvSpPr>
                          <a:spLocks noChangeArrowheads="1"/>
                        </wps:cNvSpPr>
                        <wps:spPr bwMode="auto">
                          <a:xfrm>
                            <a:off x="911569" y="2424"/>
                            <a:ext cx="1695439" cy="1247776"/>
                          </a:xfrm>
                          <a:prstGeom prst="rect">
                            <a:avLst/>
                          </a:prstGeom>
                          <a:solidFill>
                            <a:srgbClr val="FFFFFF"/>
                          </a:solidFill>
                          <a:ln w="9525">
                            <a:solidFill>
                              <a:srgbClr val="000000"/>
                            </a:solidFill>
                            <a:miter lim="800000"/>
                            <a:headEnd/>
                            <a:tailEnd/>
                          </a:ln>
                        </wps:spPr>
                        <wps:txbx>
                          <w:txbxContent>
                            <w:p w14:paraId="45E95AE3" w14:textId="77777777" w:rsidR="008E01D0" w:rsidRPr="002B1106" w:rsidRDefault="008E01D0" w:rsidP="00334C85">
                              <w:pPr>
                                <w:spacing w:after="0"/>
                                <w:jc w:val="center"/>
                                <w:rPr>
                                  <w:b/>
                                  <w:bCs/>
                                  <w:sz w:val="20"/>
                                  <w:szCs w:val="20"/>
                                </w:rPr>
                              </w:pPr>
                              <w:r w:rsidRPr="002B1106">
                                <w:rPr>
                                  <w:b/>
                                  <w:bCs/>
                                  <w:sz w:val="20"/>
                                  <w:szCs w:val="20"/>
                                </w:rPr>
                                <w:t>Main search</w:t>
                              </w:r>
                            </w:p>
                            <w:p w14:paraId="245090FB" w14:textId="77777777" w:rsidR="008E01D0" w:rsidRPr="002B1106" w:rsidRDefault="008E01D0" w:rsidP="00334C85">
                              <w:pPr>
                                <w:spacing w:after="0"/>
                                <w:jc w:val="center"/>
                                <w:rPr>
                                  <w:sz w:val="20"/>
                                  <w:szCs w:val="20"/>
                                </w:rPr>
                              </w:pPr>
                              <w:r w:rsidRPr="002B1106">
                                <w:rPr>
                                  <w:sz w:val="20"/>
                                  <w:szCs w:val="20"/>
                                </w:rPr>
                                <w:t xml:space="preserve">Records identified through database searching </w:t>
                              </w:r>
                              <w:r w:rsidRPr="002B1106">
                                <w:rPr>
                                  <w:sz w:val="20"/>
                                  <w:szCs w:val="20"/>
                                </w:rPr>
                                <w:br/>
                                <w:t>(Medline n=279</w:t>
                              </w:r>
                            </w:p>
                            <w:p w14:paraId="41D6B0D8" w14:textId="77777777" w:rsidR="008E01D0" w:rsidRPr="002B1106" w:rsidRDefault="008E01D0" w:rsidP="00334C85">
                              <w:pPr>
                                <w:spacing w:after="0"/>
                                <w:jc w:val="center"/>
                                <w:rPr>
                                  <w:sz w:val="20"/>
                                  <w:szCs w:val="20"/>
                                </w:rPr>
                              </w:pPr>
                              <w:r w:rsidRPr="002B1106">
                                <w:rPr>
                                  <w:sz w:val="20"/>
                                  <w:szCs w:val="20"/>
                                </w:rPr>
                                <w:t>Embase n=448)</w:t>
                              </w:r>
                            </w:p>
                          </w:txbxContent>
                        </wps:txbx>
                        <wps:bodyPr rot="0" vert="horz" wrap="square" lIns="91440" tIns="91440" rIns="91440" bIns="91440" anchor="t" anchorCtr="0" upright="1">
                          <a:noAutofit/>
                        </wps:bodyPr>
                      </wps:wsp>
                      <wps:wsp>
                        <wps:cNvPr id="54" name="Rounded Rectangle 2"/>
                        <wps:cNvSpPr>
                          <a:spLocks noChangeArrowheads="1"/>
                        </wps:cNvSpPr>
                        <wps:spPr bwMode="auto">
                          <a:xfrm rot="16200000">
                            <a:off x="-852407" y="2229369"/>
                            <a:ext cx="2215968" cy="474977"/>
                          </a:xfrm>
                          <a:prstGeom prst="roundRect">
                            <a:avLst>
                              <a:gd name="adj" fmla="val 16667"/>
                            </a:avLst>
                          </a:prstGeom>
                          <a:solidFill>
                            <a:srgbClr val="CCECFF"/>
                          </a:solidFill>
                          <a:ln w="9525">
                            <a:solidFill>
                              <a:srgbClr val="000000"/>
                            </a:solidFill>
                            <a:round/>
                            <a:headEnd/>
                            <a:tailEnd/>
                          </a:ln>
                        </wps:spPr>
                        <wps:txbx>
                          <w:txbxContent>
                            <w:p w14:paraId="644B2921" w14:textId="77777777" w:rsidR="008E01D0" w:rsidRPr="00AF2FBE" w:rsidRDefault="008E01D0" w:rsidP="00334C85">
                              <w:pPr>
                                <w:jc w:val="center"/>
                                <w:rPr>
                                  <w:bCs/>
                                  <w:sz w:val="28"/>
                                  <w:szCs w:val="28"/>
                                  <w:lang w:val="en"/>
                                </w:rPr>
                              </w:pPr>
                              <w:r w:rsidRPr="00AF2FBE">
                                <w:rPr>
                                  <w:bCs/>
                                  <w:sz w:val="28"/>
                                  <w:szCs w:val="28"/>
                                  <w:lang w:val="en"/>
                                </w:rPr>
                                <w:t>Screening</w:t>
                              </w:r>
                            </w:p>
                          </w:txbxContent>
                        </wps:txbx>
                        <wps:bodyPr rot="0" vert="vert270" wrap="square" lIns="45720" tIns="45720" rIns="45720" bIns="45720" anchor="t" anchorCtr="0" upright="1">
                          <a:noAutofit/>
                        </wps:bodyPr>
                      </wps:wsp>
                      <wps:wsp>
                        <wps:cNvPr id="55" name="Rounded Rectangle 4"/>
                        <wps:cNvSpPr>
                          <a:spLocks noChangeArrowheads="1"/>
                        </wps:cNvSpPr>
                        <wps:spPr bwMode="auto">
                          <a:xfrm rot="16200000">
                            <a:off x="-576499" y="4276926"/>
                            <a:ext cx="1641945" cy="488947"/>
                          </a:xfrm>
                          <a:prstGeom prst="roundRect">
                            <a:avLst>
                              <a:gd name="adj" fmla="val 16667"/>
                            </a:avLst>
                          </a:prstGeom>
                          <a:solidFill>
                            <a:srgbClr val="CCECFF"/>
                          </a:solidFill>
                          <a:ln w="9525">
                            <a:solidFill>
                              <a:srgbClr val="000000"/>
                            </a:solidFill>
                            <a:round/>
                            <a:headEnd/>
                            <a:tailEnd/>
                          </a:ln>
                        </wps:spPr>
                        <wps:txbx>
                          <w:txbxContent>
                            <w:p w14:paraId="3275CEF3" w14:textId="77777777" w:rsidR="008E01D0" w:rsidRPr="00AF2FBE" w:rsidRDefault="008E01D0" w:rsidP="00334C85">
                              <w:pPr>
                                <w:jc w:val="center"/>
                                <w:rPr>
                                  <w:bCs/>
                                  <w:sz w:val="28"/>
                                  <w:szCs w:val="28"/>
                                  <w:lang w:val="en"/>
                                </w:rPr>
                              </w:pPr>
                              <w:r w:rsidRPr="00AF2FBE">
                                <w:rPr>
                                  <w:bCs/>
                                  <w:sz w:val="28"/>
                                  <w:szCs w:val="28"/>
                                  <w:lang w:val="en"/>
                                </w:rPr>
                                <w:t>Eligibility</w:t>
                              </w:r>
                            </w:p>
                          </w:txbxContent>
                        </wps:txbx>
                        <wps:bodyPr rot="0" vert="vert270" wrap="square" lIns="45720" tIns="45720" rIns="45720" bIns="45720" anchor="t" anchorCtr="0" upright="1">
                          <a:noAutofit/>
                        </wps:bodyPr>
                      </wps:wsp>
                      <wps:wsp>
                        <wps:cNvPr id="56" name="Rounded Rectangle 5"/>
                        <wps:cNvSpPr>
                          <a:spLocks noChangeArrowheads="1"/>
                        </wps:cNvSpPr>
                        <wps:spPr bwMode="auto">
                          <a:xfrm rot="16200000">
                            <a:off x="-372030" y="385647"/>
                            <a:ext cx="1247542" cy="476247"/>
                          </a:xfrm>
                          <a:prstGeom prst="roundRect">
                            <a:avLst>
                              <a:gd name="adj" fmla="val 16667"/>
                            </a:avLst>
                          </a:prstGeom>
                          <a:solidFill>
                            <a:srgbClr val="CCECFF"/>
                          </a:solidFill>
                          <a:ln w="9525">
                            <a:solidFill>
                              <a:srgbClr val="000000"/>
                            </a:solidFill>
                            <a:round/>
                            <a:headEnd/>
                            <a:tailEnd/>
                          </a:ln>
                        </wps:spPr>
                        <wps:txbx>
                          <w:txbxContent>
                            <w:p w14:paraId="6C9112B2" w14:textId="77777777" w:rsidR="008E01D0" w:rsidRPr="00AF2FBE" w:rsidRDefault="008E01D0" w:rsidP="00334C85">
                              <w:pPr>
                                <w:jc w:val="center"/>
                                <w:rPr>
                                  <w:bCs/>
                                  <w:sz w:val="28"/>
                                  <w:szCs w:val="28"/>
                                  <w:lang w:val="en"/>
                                </w:rPr>
                              </w:pPr>
                              <w:r w:rsidRPr="00AF2FBE">
                                <w:rPr>
                                  <w:bCs/>
                                  <w:sz w:val="28"/>
                                  <w:szCs w:val="28"/>
                                  <w:lang w:val="en"/>
                                </w:rPr>
                                <w:t>Identification</w:t>
                              </w:r>
                            </w:p>
                          </w:txbxContent>
                        </wps:txbx>
                        <wps:bodyPr rot="0" vert="vert270" wrap="square" lIns="45720" tIns="45720" rIns="45720" bIns="45720" anchor="t" anchorCtr="0" upright="1">
                          <a:noAutofit/>
                        </wps:bodyPr>
                      </wps:wsp>
                      <wps:wsp>
                        <wps:cNvPr id="57" name="Rectangle 6"/>
                        <wps:cNvSpPr>
                          <a:spLocks noChangeArrowheads="1"/>
                        </wps:cNvSpPr>
                        <wps:spPr bwMode="auto">
                          <a:xfrm>
                            <a:off x="4778773" y="2424"/>
                            <a:ext cx="1837690" cy="1409065"/>
                          </a:xfrm>
                          <a:prstGeom prst="rect">
                            <a:avLst/>
                          </a:prstGeom>
                          <a:solidFill>
                            <a:srgbClr val="FFFFFF"/>
                          </a:solidFill>
                          <a:ln w="9525">
                            <a:solidFill>
                              <a:srgbClr val="000000"/>
                            </a:solidFill>
                            <a:miter lim="800000"/>
                            <a:headEnd/>
                            <a:tailEnd/>
                          </a:ln>
                        </wps:spPr>
                        <wps:txbx>
                          <w:txbxContent>
                            <w:p w14:paraId="14872F60" w14:textId="77777777" w:rsidR="008E01D0" w:rsidRPr="002B1106" w:rsidRDefault="008E01D0" w:rsidP="00334C85">
                              <w:pPr>
                                <w:jc w:val="center"/>
                                <w:rPr>
                                  <w:b/>
                                  <w:bCs/>
                                  <w:sz w:val="20"/>
                                  <w:szCs w:val="20"/>
                                </w:rPr>
                              </w:pPr>
                              <w:r w:rsidRPr="002B1106">
                                <w:rPr>
                                  <w:b/>
                                  <w:bCs/>
                                  <w:sz w:val="20"/>
                                  <w:szCs w:val="20"/>
                                </w:rPr>
                                <w:t>Additional records identified through other sources.</w:t>
                              </w:r>
                            </w:p>
                            <w:p w14:paraId="21314154" w14:textId="77777777" w:rsidR="008E01D0" w:rsidRPr="002B1106" w:rsidRDefault="008E01D0" w:rsidP="00334C85">
                              <w:pPr>
                                <w:spacing w:after="0"/>
                                <w:jc w:val="center"/>
                                <w:rPr>
                                  <w:sz w:val="20"/>
                                  <w:szCs w:val="20"/>
                                </w:rPr>
                              </w:pPr>
                              <w:r w:rsidRPr="002B1106">
                                <w:rPr>
                                  <w:sz w:val="20"/>
                                  <w:szCs w:val="20"/>
                                </w:rPr>
                                <w:t xml:space="preserve"> (Company submissions: n=3</w:t>
                              </w:r>
                            </w:p>
                            <w:p w14:paraId="79A409FB" w14:textId="77777777" w:rsidR="008E01D0" w:rsidRPr="002B1106" w:rsidRDefault="008E01D0" w:rsidP="00334C85">
                              <w:pPr>
                                <w:spacing w:after="0"/>
                                <w:jc w:val="center"/>
                                <w:rPr>
                                  <w:sz w:val="20"/>
                                  <w:szCs w:val="20"/>
                                </w:rPr>
                              </w:pPr>
                              <w:proofErr w:type="spellStart"/>
                              <w:r w:rsidRPr="002B1106">
                                <w:rPr>
                                  <w:sz w:val="20"/>
                                  <w:szCs w:val="20"/>
                                </w:rPr>
                                <w:t>Cefiderocol</w:t>
                              </w:r>
                              <w:proofErr w:type="spellEnd"/>
                              <w:r w:rsidRPr="002B1106">
                                <w:rPr>
                                  <w:sz w:val="20"/>
                                  <w:szCs w:val="20"/>
                                </w:rPr>
                                <w:t xml:space="preserve"> searches: n=3</w:t>
                              </w:r>
                            </w:p>
                            <w:p w14:paraId="251FD38D" w14:textId="77777777" w:rsidR="008E01D0" w:rsidRPr="002B1106" w:rsidRDefault="008E01D0" w:rsidP="00334C85">
                              <w:pPr>
                                <w:spacing w:after="0"/>
                                <w:jc w:val="center"/>
                                <w:rPr>
                                  <w:sz w:val="20"/>
                                  <w:szCs w:val="20"/>
                                  <w:lang w:val="en"/>
                                </w:rPr>
                              </w:pPr>
                              <w:r w:rsidRPr="002B1106">
                                <w:rPr>
                                  <w:sz w:val="20"/>
                                  <w:szCs w:val="20"/>
                                </w:rPr>
                                <w:t xml:space="preserve">PHE data: n=1) </w:t>
                              </w:r>
                              <w:r w:rsidRPr="002B1106">
                                <w:rPr>
                                  <w:sz w:val="20"/>
                                  <w:szCs w:val="20"/>
                                </w:rPr>
                                <w:br/>
                              </w:r>
                            </w:p>
                          </w:txbxContent>
                        </wps:txbx>
                        <wps:bodyPr rot="0" vert="horz" wrap="square" lIns="91440" tIns="91440" rIns="91440" bIns="91440" anchor="t" anchorCtr="0" upright="1">
                          <a:noAutofit/>
                        </wps:bodyPr>
                      </wps:wsp>
                      <wps:wsp>
                        <wps:cNvPr id="58" name="Rectangle 58"/>
                        <wps:cNvSpPr>
                          <a:spLocks noChangeArrowheads="1"/>
                        </wps:cNvSpPr>
                        <wps:spPr bwMode="auto">
                          <a:xfrm>
                            <a:off x="1721248" y="1421649"/>
                            <a:ext cx="2691988" cy="628015"/>
                          </a:xfrm>
                          <a:prstGeom prst="rect">
                            <a:avLst/>
                          </a:prstGeom>
                          <a:solidFill>
                            <a:srgbClr val="FFFFFF"/>
                          </a:solidFill>
                          <a:ln w="9525">
                            <a:solidFill>
                              <a:srgbClr val="000000"/>
                            </a:solidFill>
                            <a:miter lim="800000"/>
                            <a:headEnd/>
                            <a:tailEnd/>
                          </a:ln>
                        </wps:spPr>
                        <wps:txbx>
                          <w:txbxContent>
                            <w:p w14:paraId="51039B51" w14:textId="77777777" w:rsidR="008E01D0" w:rsidRPr="002B1106" w:rsidRDefault="008E01D0" w:rsidP="00334C85">
                              <w:pPr>
                                <w:jc w:val="center"/>
                                <w:rPr>
                                  <w:sz w:val="20"/>
                                  <w:szCs w:val="20"/>
                                  <w:lang w:val="en"/>
                                </w:rPr>
                              </w:pPr>
                              <w:r w:rsidRPr="002B1106">
                                <w:rPr>
                                  <w:b/>
                                  <w:bCs/>
                                  <w:sz w:val="20"/>
                                  <w:szCs w:val="20"/>
                                </w:rPr>
                                <w:t>Records after duplicates removed</w:t>
                              </w:r>
                              <w:r w:rsidRPr="002B1106">
                                <w:rPr>
                                  <w:sz w:val="20"/>
                                  <w:szCs w:val="20"/>
                                </w:rPr>
                                <w:br/>
                                <w:t>(n=619)</w:t>
                              </w:r>
                            </w:p>
                          </w:txbxContent>
                        </wps:txbx>
                        <wps:bodyPr rot="0" vert="horz" wrap="square" lIns="91440" tIns="91440" rIns="91440" bIns="91440" anchor="t" anchorCtr="0" upright="1">
                          <a:noAutofit/>
                        </wps:bodyPr>
                      </wps:wsp>
                      <wps:wsp>
                        <wps:cNvPr id="59" name="Rectangle 12"/>
                        <wps:cNvSpPr>
                          <a:spLocks noChangeArrowheads="1"/>
                        </wps:cNvSpPr>
                        <wps:spPr bwMode="auto">
                          <a:xfrm>
                            <a:off x="1721248" y="2174124"/>
                            <a:ext cx="2691988" cy="539350"/>
                          </a:xfrm>
                          <a:prstGeom prst="rect">
                            <a:avLst/>
                          </a:prstGeom>
                          <a:solidFill>
                            <a:srgbClr val="FFFFFF"/>
                          </a:solidFill>
                          <a:ln w="9525">
                            <a:solidFill>
                              <a:srgbClr val="000000"/>
                            </a:solidFill>
                            <a:miter lim="800000"/>
                            <a:headEnd/>
                            <a:tailEnd/>
                          </a:ln>
                        </wps:spPr>
                        <wps:txbx>
                          <w:txbxContent>
                            <w:p w14:paraId="126A5D20" w14:textId="77777777" w:rsidR="008E01D0" w:rsidRPr="002B1106" w:rsidRDefault="008E01D0" w:rsidP="00334C85">
                              <w:pPr>
                                <w:jc w:val="center"/>
                                <w:rPr>
                                  <w:sz w:val="20"/>
                                  <w:szCs w:val="20"/>
                                  <w:lang w:val="en"/>
                                </w:rPr>
                              </w:pPr>
                              <w:r w:rsidRPr="002B1106">
                                <w:rPr>
                                  <w:b/>
                                  <w:bCs/>
                                  <w:sz w:val="20"/>
                                  <w:szCs w:val="20"/>
                                </w:rPr>
                                <w:t>Records screened by title and abstract</w:t>
                              </w:r>
                              <w:r w:rsidRPr="002B1106">
                                <w:rPr>
                                  <w:sz w:val="20"/>
                                  <w:szCs w:val="20"/>
                                </w:rPr>
                                <w:br/>
                                <w:t>(n=619)</w:t>
                              </w:r>
                            </w:p>
                          </w:txbxContent>
                        </wps:txbx>
                        <wps:bodyPr rot="0" vert="horz" wrap="square" lIns="91440" tIns="91440" rIns="91440" bIns="91440" anchor="t" anchorCtr="0" upright="1">
                          <a:noAutofit/>
                        </wps:bodyPr>
                      </wps:wsp>
                      <wps:wsp>
                        <wps:cNvPr id="60" name="Rectangle 13"/>
                        <wps:cNvSpPr>
                          <a:spLocks noChangeArrowheads="1"/>
                        </wps:cNvSpPr>
                        <wps:spPr bwMode="auto">
                          <a:xfrm>
                            <a:off x="4699621" y="2631324"/>
                            <a:ext cx="2003202" cy="1684146"/>
                          </a:xfrm>
                          <a:prstGeom prst="rect">
                            <a:avLst/>
                          </a:prstGeom>
                          <a:solidFill>
                            <a:srgbClr val="FFFFFF"/>
                          </a:solidFill>
                          <a:ln w="9525">
                            <a:solidFill>
                              <a:srgbClr val="000000"/>
                            </a:solidFill>
                            <a:miter lim="800000"/>
                            <a:headEnd/>
                            <a:tailEnd/>
                          </a:ln>
                        </wps:spPr>
                        <wps:txbx>
                          <w:txbxContent>
                            <w:p w14:paraId="15836148" w14:textId="77777777" w:rsidR="008E01D0" w:rsidRPr="002B1106" w:rsidRDefault="008E01D0" w:rsidP="00334C85">
                              <w:pPr>
                                <w:spacing w:after="0"/>
                                <w:jc w:val="center"/>
                                <w:rPr>
                                  <w:rFonts w:asciiTheme="majorBidi" w:hAnsiTheme="majorBidi" w:cstheme="majorBidi"/>
                                  <w:b/>
                                  <w:bCs/>
                                  <w:sz w:val="20"/>
                                  <w:szCs w:val="20"/>
                                </w:rPr>
                              </w:pPr>
                              <w:r w:rsidRPr="002B1106">
                                <w:rPr>
                                  <w:rFonts w:asciiTheme="majorBidi" w:hAnsiTheme="majorBidi" w:cstheme="majorBidi"/>
                                  <w:b/>
                                  <w:bCs/>
                                  <w:sz w:val="20"/>
                                  <w:szCs w:val="20"/>
                                </w:rPr>
                                <w:t xml:space="preserve">Records that did not meet the key characteristics criteria </w:t>
                              </w:r>
                            </w:p>
                            <w:p w14:paraId="6C37B3A9" w14:textId="77777777" w:rsidR="008E01D0" w:rsidRPr="002B1106" w:rsidRDefault="008E01D0" w:rsidP="00334C85">
                              <w:pPr>
                                <w:spacing w:after="0"/>
                                <w:jc w:val="center"/>
                                <w:rPr>
                                  <w:sz w:val="20"/>
                                  <w:szCs w:val="20"/>
                                </w:rPr>
                              </w:pPr>
                            </w:p>
                            <w:p w14:paraId="2FF4568D" w14:textId="6764F992" w:rsidR="008E01D0" w:rsidRPr="002B1106" w:rsidRDefault="008E01D0" w:rsidP="00334C85">
                              <w:pPr>
                                <w:spacing w:after="0"/>
                                <w:jc w:val="center"/>
                                <w:rPr>
                                  <w:sz w:val="20"/>
                                  <w:szCs w:val="20"/>
                                </w:rPr>
                              </w:pPr>
                              <w:r w:rsidRPr="002B1106">
                                <w:rPr>
                                  <w:sz w:val="20"/>
                                  <w:szCs w:val="20"/>
                                </w:rPr>
                                <w:t>RCTs n=7 studies (across multiple reports)</w:t>
                              </w:r>
                            </w:p>
                            <w:p w14:paraId="4BA93850" w14:textId="77777777" w:rsidR="008E01D0" w:rsidRPr="002B1106" w:rsidRDefault="008E01D0" w:rsidP="00334C85">
                              <w:pPr>
                                <w:spacing w:after="0"/>
                                <w:jc w:val="center"/>
                                <w:rPr>
                                  <w:sz w:val="20"/>
                                  <w:szCs w:val="20"/>
                                </w:rPr>
                              </w:pPr>
                              <w:r w:rsidRPr="002B1106">
                                <w:rPr>
                                  <w:sz w:val="20"/>
                                  <w:szCs w:val="20"/>
                                </w:rPr>
                                <w:t>Observational and case-control studies n=92</w:t>
                              </w:r>
                            </w:p>
                            <w:p w14:paraId="35E22DC7" w14:textId="77777777" w:rsidR="008E01D0" w:rsidRPr="002B1106" w:rsidRDefault="008E01D0" w:rsidP="00334C85">
                              <w:pPr>
                                <w:spacing w:after="0"/>
                                <w:jc w:val="center"/>
                                <w:rPr>
                                  <w:sz w:val="20"/>
                                  <w:szCs w:val="20"/>
                                  <w:lang w:val="en"/>
                                </w:rPr>
                              </w:pPr>
                              <w:r w:rsidRPr="002B1106">
                                <w:rPr>
                                  <w:sz w:val="20"/>
                                  <w:szCs w:val="20"/>
                                </w:rPr>
                                <w:t>Susceptibility studies n=119</w:t>
                              </w:r>
                            </w:p>
                            <w:p w14:paraId="41030788" w14:textId="77777777" w:rsidR="008E01D0" w:rsidRPr="002B1106" w:rsidRDefault="008E01D0" w:rsidP="00334C85">
                              <w:pPr>
                                <w:jc w:val="center"/>
                                <w:rPr>
                                  <w:rFonts w:asciiTheme="majorBidi" w:hAnsiTheme="majorBidi" w:cstheme="majorBidi"/>
                                  <w:sz w:val="20"/>
                                  <w:szCs w:val="20"/>
                                  <w:lang w:val="en"/>
                                </w:rPr>
                              </w:pPr>
                            </w:p>
                          </w:txbxContent>
                        </wps:txbx>
                        <wps:bodyPr rot="0" vert="horz" wrap="square" lIns="91440" tIns="91440" rIns="91440" bIns="91440" anchor="t" anchorCtr="0" upright="1">
                          <a:noAutofit/>
                        </wps:bodyPr>
                      </wps:wsp>
                      <wps:wsp>
                        <wps:cNvPr id="61" name="Rectangle 61"/>
                        <wps:cNvSpPr>
                          <a:spLocks noChangeArrowheads="1"/>
                        </wps:cNvSpPr>
                        <wps:spPr bwMode="auto">
                          <a:xfrm>
                            <a:off x="1407465" y="4383924"/>
                            <a:ext cx="3005773" cy="1314450"/>
                          </a:xfrm>
                          <a:prstGeom prst="rect">
                            <a:avLst/>
                          </a:prstGeom>
                          <a:solidFill>
                            <a:srgbClr val="FFFFFF"/>
                          </a:solidFill>
                          <a:ln w="9525">
                            <a:solidFill>
                              <a:srgbClr val="000000"/>
                            </a:solidFill>
                            <a:miter lim="800000"/>
                            <a:headEnd/>
                            <a:tailEnd/>
                          </a:ln>
                        </wps:spPr>
                        <wps:txbx>
                          <w:txbxContent>
                            <w:p w14:paraId="2C44B6E3" w14:textId="77777777" w:rsidR="008E01D0" w:rsidRPr="002B1106" w:rsidRDefault="008E01D0" w:rsidP="00334C85">
                              <w:pPr>
                                <w:jc w:val="center"/>
                                <w:rPr>
                                  <w:sz w:val="20"/>
                                  <w:szCs w:val="20"/>
                                </w:rPr>
                              </w:pPr>
                              <w:r w:rsidRPr="002B1106">
                                <w:rPr>
                                  <w:b/>
                                  <w:bCs/>
                                  <w:sz w:val="20"/>
                                  <w:szCs w:val="20"/>
                                </w:rPr>
                                <w:t>Articles included in the key characteristics mapping</w:t>
                              </w:r>
                              <w:r w:rsidRPr="002B1106">
                                <w:rPr>
                                  <w:sz w:val="20"/>
                                  <w:szCs w:val="20"/>
                                </w:rPr>
                                <w:t xml:space="preserve"> </w:t>
                              </w:r>
                            </w:p>
                            <w:p w14:paraId="6328EB12" w14:textId="77777777" w:rsidR="008E01D0" w:rsidRPr="002B1106" w:rsidRDefault="008E01D0" w:rsidP="00334C85">
                              <w:pPr>
                                <w:spacing w:after="0"/>
                                <w:jc w:val="center"/>
                                <w:rPr>
                                  <w:sz w:val="20"/>
                                  <w:szCs w:val="20"/>
                                </w:rPr>
                              </w:pPr>
                              <w:r w:rsidRPr="002B1106">
                                <w:rPr>
                                  <w:sz w:val="20"/>
                                  <w:szCs w:val="20"/>
                                </w:rPr>
                                <w:t>RCTs: n=4 studies</w:t>
                              </w:r>
                            </w:p>
                            <w:p w14:paraId="33CEEBC1" w14:textId="77777777" w:rsidR="008E01D0" w:rsidRPr="002B1106" w:rsidRDefault="008E01D0" w:rsidP="00334C85">
                              <w:pPr>
                                <w:spacing w:after="0"/>
                                <w:jc w:val="center"/>
                                <w:rPr>
                                  <w:sz w:val="20"/>
                                  <w:szCs w:val="20"/>
                                </w:rPr>
                              </w:pPr>
                              <w:r w:rsidRPr="002B1106">
                                <w:rPr>
                                  <w:sz w:val="20"/>
                                  <w:szCs w:val="20"/>
                                </w:rPr>
                                <w:t>Observational and case-control studies: n=9</w:t>
                              </w:r>
                            </w:p>
                            <w:p w14:paraId="24371944" w14:textId="77777777" w:rsidR="008E01D0" w:rsidRPr="002B1106" w:rsidRDefault="008E01D0" w:rsidP="00334C85">
                              <w:pPr>
                                <w:spacing w:after="0"/>
                                <w:jc w:val="center"/>
                                <w:rPr>
                                  <w:sz w:val="20"/>
                                  <w:szCs w:val="20"/>
                                  <w:lang w:val="en"/>
                                </w:rPr>
                              </w:pPr>
                              <w:r w:rsidRPr="002B1106">
                                <w:rPr>
                                  <w:sz w:val="20"/>
                                  <w:szCs w:val="20"/>
                                </w:rPr>
                                <w:t>Susceptibility studies: n=60</w:t>
                              </w:r>
                            </w:p>
                          </w:txbxContent>
                        </wps:txbx>
                        <wps:bodyPr rot="0" vert="horz" wrap="square" lIns="91440" tIns="91440" rIns="91440" bIns="91440" anchor="t" anchorCtr="0" upright="1">
                          <a:noAutofit/>
                        </wps:bodyPr>
                      </wps:wsp>
                      <wps:wsp>
                        <wps:cNvPr id="62" name="Rectangle 18"/>
                        <wps:cNvSpPr>
                          <a:spLocks noChangeArrowheads="1"/>
                        </wps:cNvSpPr>
                        <wps:spPr bwMode="auto">
                          <a:xfrm>
                            <a:off x="4683524" y="4564899"/>
                            <a:ext cx="2019300" cy="1133475"/>
                          </a:xfrm>
                          <a:prstGeom prst="rect">
                            <a:avLst/>
                          </a:prstGeom>
                          <a:solidFill>
                            <a:srgbClr val="FFFFFF"/>
                          </a:solidFill>
                          <a:ln w="9525">
                            <a:solidFill>
                              <a:srgbClr val="000000"/>
                            </a:solidFill>
                            <a:miter lim="800000"/>
                            <a:headEnd/>
                            <a:tailEnd/>
                          </a:ln>
                        </wps:spPr>
                        <wps:txbx>
                          <w:txbxContent>
                            <w:p w14:paraId="70D10A7C" w14:textId="77777777" w:rsidR="008E01D0" w:rsidRPr="002B1106" w:rsidRDefault="008E01D0" w:rsidP="00334C85">
                              <w:pPr>
                                <w:spacing w:after="0"/>
                                <w:jc w:val="center"/>
                                <w:rPr>
                                  <w:rFonts w:asciiTheme="majorBidi" w:hAnsiTheme="majorBidi" w:cstheme="majorBidi"/>
                                  <w:b/>
                                  <w:bCs/>
                                  <w:sz w:val="20"/>
                                  <w:szCs w:val="20"/>
                                </w:rPr>
                              </w:pPr>
                              <w:r w:rsidRPr="002B1106">
                                <w:rPr>
                                  <w:rFonts w:asciiTheme="majorBidi" w:hAnsiTheme="majorBidi" w:cstheme="majorBidi"/>
                                  <w:b/>
                                  <w:bCs/>
                                  <w:sz w:val="20"/>
                                  <w:szCs w:val="20"/>
                                </w:rPr>
                                <w:t xml:space="preserve">Articles that did not meet the synthesis criteria </w:t>
                              </w:r>
                              <w:r w:rsidRPr="002B1106">
                                <w:rPr>
                                  <w:rFonts w:asciiTheme="majorBidi" w:hAnsiTheme="majorBidi" w:cstheme="majorBidi"/>
                                  <w:b/>
                                  <w:bCs/>
                                  <w:sz w:val="20"/>
                                  <w:szCs w:val="20"/>
                                </w:rPr>
                                <w:br/>
                              </w:r>
                            </w:p>
                            <w:p w14:paraId="1E8C2D83" w14:textId="430D478C" w:rsidR="008E01D0" w:rsidRPr="002B1106" w:rsidRDefault="008E01D0" w:rsidP="00334C85">
                              <w:pPr>
                                <w:spacing w:after="0"/>
                                <w:jc w:val="center"/>
                                <w:rPr>
                                  <w:rFonts w:cstheme="minorHAnsi"/>
                                  <w:sz w:val="20"/>
                                  <w:szCs w:val="20"/>
                                </w:rPr>
                              </w:pPr>
                              <w:r w:rsidRPr="002B1106">
                                <w:rPr>
                                  <w:rFonts w:cstheme="minorHAnsi"/>
                                  <w:sz w:val="20"/>
                                  <w:szCs w:val="20"/>
                                </w:rPr>
                                <w:t>Susceptibility studies: n=44 (see Appendices 5.1 and 5.3)</w:t>
                              </w:r>
                            </w:p>
                          </w:txbxContent>
                        </wps:txbx>
                        <wps:bodyPr rot="0" vert="horz" wrap="square" lIns="91440" tIns="91440" rIns="91440" bIns="91440" anchor="t" anchorCtr="0" upright="1">
                          <a:noAutofit/>
                        </wps:bodyPr>
                      </wps:wsp>
                      <wps:wsp>
                        <wps:cNvPr id="63" name="Rectangle 19"/>
                        <wps:cNvSpPr>
                          <a:spLocks noChangeArrowheads="1"/>
                        </wps:cNvSpPr>
                        <wps:spPr bwMode="auto">
                          <a:xfrm>
                            <a:off x="930673" y="6450849"/>
                            <a:ext cx="1713865" cy="1266825"/>
                          </a:xfrm>
                          <a:prstGeom prst="rect">
                            <a:avLst/>
                          </a:prstGeom>
                          <a:solidFill>
                            <a:srgbClr val="FFFFFF"/>
                          </a:solidFill>
                          <a:ln w="9525">
                            <a:solidFill>
                              <a:srgbClr val="000000"/>
                            </a:solidFill>
                            <a:miter lim="800000"/>
                            <a:headEnd/>
                            <a:tailEnd/>
                          </a:ln>
                        </wps:spPr>
                        <wps:txbx>
                          <w:txbxContent>
                            <w:p w14:paraId="02BAB4D0" w14:textId="3E9CAF05" w:rsidR="008E01D0" w:rsidRPr="002B1106" w:rsidRDefault="008E01D0" w:rsidP="00334C85">
                              <w:pPr>
                                <w:jc w:val="center"/>
                                <w:rPr>
                                  <w:sz w:val="20"/>
                                  <w:szCs w:val="20"/>
                                  <w:lang w:val="en"/>
                                </w:rPr>
                              </w:pPr>
                              <w:r w:rsidRPr="002B1106">
                                <w:rPr>
                                  <w:b/>
                                  <w:bCs/>
                                  <w:sz w:val="20"/>
                                  <w:szCs w:val="20"/>
                                </w:rPr>
                                <w:t>Studies included in the susceptibility synthesis</w:t>
                              </w:r>
                              <w:r w:rsidRPr="002B1106">
                                <w:rPr>
                                  <w:sz w:val="20"/>
                                  <w:szCs w:val="20"/>
                                </w:rPr>
                                <w:t xml:space="preserve"> </w:t>
                              </w:r>
                              <w:r w:rsidRPr="002B1106">
                                <w:rPr>
                                  <w:sz w:val="20"/>
                                  <w:szCs w:val="20"/>
                                </w:rPr>
                                <w:br/>
                              </w:r>
                              <w:r w:rsidRPr="002B1106">
                                <w:rPr>
                                  <w:sz w:val="20"/>
                                  <w:szCs w:val="20"/>
                                  <w:lang w:val="en"/>
                                </w:rPr>
                                <w:t>n=16</w:t>
                              </w:r>
                            </w:p>
                            <w:p w14:paraId="4FB74835" w14:textId="77777777" w:rsidR="008E01D0" w:rsidRPr="002B1106" w:rsidRDefault="008E01D0" w:rsidP="00334C85">
                              <w:pPr>
                                <w:jc w:val="center"/>
                                <w:rPr>
                                  <w:sz w:val="20"/>
                                  <w:szCs w:val="20"/>
                                  <w:lang w:val="en"/>
                                </w:rPr>
                              </w:pPr>
                              <w:r w:rsidRPr="002B1106">
                                <w:rPr>
                                  <w:sz w:val="20"/>
                                  <w:szCs w:val="20"/>
                                  <w:lang w:val="en"/>
                                </w:rPr>
                                <w:t>N=16 in the network meta-analysis</w:t>
                              </w:r>
                            </w:p>
                          </w:txbxContent>
                        </wps:txbx>
                        <wps:bodyPr rot="0" vert="horz" wrap="square" lIns="91440" tIns="91440" rIns="91440" bIns="91440" anchor="t" anchorCtr="0" upright="1">
                          <a:noAutofit/>
                        </wps:bodyPr>
                      </wps:wsp>
                      <wps:wsp>
                        <wps:cNvPr id="68" name="Rectangle 68"/>
                        <wps:cNvSpPr>
                          <a:spLocks noChangeArrowheads="1"/>
                        </wps:cNvSpPr>
                        <wps:spPr bwMode="auto">
                          <a:xfrm>
                            <a:off x="2645173" y="2424"/>
                            <a:ext cx="2038350" cy="1244600"/>
                          </a:xfrm>
                          <a:prstGeom prst="rect">
                            <a:avLst/>
                          </a:prstGeom>
                          <a:solidFill>
                            <a:srgbClr val="FFFFFF"/>
                          </a:solidFill>
                          <a:ln w="9525">
                            <a:solidFill>
                              <a:srgbClr val="000000"/>
                            </a:solidFill>
                            <a:miter lim="800000"/>
                            <a:headEnd/>
                            <a:tailEnd/>
                          </a:ln>
                        </wps:spPr>
                        <wps:txbx>
                          <w:txbxContent>
                            <w:p w14:paraId="4559FF62" w14:textId="77777777" w:rsidR="008E01D0" w:rsidRPr="002B1106" w:rsidRDefault="008E01D0" w:rsidP="00334C85">
                              <w:pPr>
                                <w:spacing w:after="0"/>
                                <w:jc w:val="center"/>
                                <w:rPr>
                                  <w:b/>
                                  <w:bCs/>
                                  <w:sz w:val="20"/>
                                  <w:szCs w:val="20"/>
                                </w:rPr>
                              </w:pPr>
                              <w:r w:rsidRPr="002B1106">
                                <w:rPr>
                                  <w:b/>
                                  <w:bCs/>
                                  <w:sz w:val="20"/>
                                  <w:szCs w:val="20"/>
                                </w:rPr>
                                <w:t xml:space="preserve">Iteration </w:t>
                              </w:r>
                            </w:p>
                            <w:p w14:paraId="28A73330" w14:textId="77777777" w:rsidR="008E01D0" w:rsidRPr="002B1106" w:rsidRDefault="008E01D0" w:rsidP="00334C85">
                              <w:pPr>
                                <w:spacing w:after="0"/>
                                <w:jc w:val="center"/>
                                <w:rPr>
                                  <w:b/>
                                  <w:bCs/>
                                  <w:sz w:val="20"/>
                                  <w:szCs w:val="20"/>
                                </w:rPr>
                              </w:pPr>
                              <w:r w:rsidRPr="002B1106">
                                <w:rPr>
                                  <w:b/>
                                  <w:bCs/>
                                  <w:sz w:val="20"/>
                                  <w:szCs w:val="20"/>
                                </w:rPr>
                                <w:t>(</w:t>
                              </w:r>
                              <w:proofErr w:type="gramStart"/>
                              <w:r w:rsidRPr="002B1106">
                                <w:rPr>
                                  <w:b/>
                                  <w:bCs/>
                                  <w:sz w:val="20"/>
                                  <w:szCs w:val="20"/>
                                </w:rPr>
                                <w:t>susceptibility</w:t>
                              </w:r>
                              <w:proofErr w:type="gramEnd"/>
                              <w:r w:rsidRPr="002B1106">
                                <w:rPr>
                                  <w:b/>
                                  <w:bCs/>
                                  <w:sz w:val="20"/>
                                  <w:szCs w:val="20"/>
                                </w:rPr>
                                <w:t>, UK)</w:t>
                              </w:r>
                            </w:p>
                            <w:p w14:paraId="31637116" w14:textId="77777777" w:rsidR="008E01D0" w:rsidRPr="002B1106" w:rsidRDefault="008E01D0" w:rsidP="00334C85">
                              <w:pPr>
                                <w:spacing w:after="0"/>
                                <w:jc w:val="center"/>
                                <w:rPr>
                                  <w:sz w:val="20"/>
                                  <w:szCs w:val="20"/>
                                </w:rPr>
                              </w:pPr>
                              <w:r w:rsidRPr="002B1106">
                                <w:rPr>
                                  <w:sz w:val="20"/>
                                  <w:szCs w:val="20"/>
                                </w:rPr>
                                <w:t xml:space="preserve">Records identified through database searching </w:t>
                              </w:r>
                              <w:r w:rsidRPr="002B1106">
                                <w:rPr>
                                  <w:sz w:val="20"/>
                                  <w:szCs w:val="20"/>
                                </w:rPr>
                                <w:br/>
                                <w:t>(Medline n=65</w:t>
                              </w:r>
                            </w:p>
                            <w:p w14:paraId="4EF618C1" w14:textId="77777777" w:rsidR="008E01D0" w:rsidRPr="002B1106" w:rsidRDefault="008E01D0" w:rsidP="00334C85">
                              <w:pPr>
                                <w:spacing w:after="0"/>
                                <w:jc w:val="center"/>
                                <w:rPr>
                                  <w:sz w:val="20"/>
                                  <w:szCs w:val="20"/>
                                </w:rPr>
                              </w:pPr>
                              <w:r w:rsidRPr="002B1106">
                                <w:rPr>
                                  <w:sz w:val="20"/>
                                  <w:szCs w:val="20"/>
                                </w:rPr>
                                <w:t>Embase n=177)</w:t>
                              </w:r>
                            </w:p>
                          </w:txbxContent>
                        </wps:txbx>
                        <wps:bodyPr rot="0" vert="horz" wrap="square" lIns="91440" tIns="91440" rIns="91440" bIns="91440" anchor="t" anchorCtr="0" upright="1">
                          <a:noAutofit/>
                        </wps:bodyPr>
                      </wps:wsp>
                      <wps:wsp>
                        <wps:cNvPr id="69" name="Straight Arrow Connector 69"/>
                        <wps:cNvCnPr/>
                        <wps:spPr>
                          <a:xfrm>
                            <a:off x="1932282" y="1250200"/>
                            <a:ext cx="604157" cy="161922"/>
                          </a:xfrm>
                          <a:prstGeom prst="straightConnector1">
                            <a:avLst/>
                          </a:prstGeom>
                          <a:noFill/>
                          <a:ln w="6350" cap="flat" cmpd="sng" algn="ctr">
                            <a:solidFill>
                              <a:srgbClr val="5B9BD5"/>
                            </a:solidFill>
                            <a:prstDash val="solid"/>
                            <a:miter lim="800000"/>
                            <a:tailEnd type="triangle"/>
                          </a:ln>
                          <a:effectLst/>
                        </wps:spPr>
                        <wps:bodyPr/>
                      </wps:wsp>
                      <wps:wsp>
                        <wps:cNvPr id="70" name="Straight Arrow Connector 70"/>
                        <wps:cNvCnPr/>
                        <wps:spPr>
                          <a:xfrm flipH="1">
                            <a:off x="3931048" y="1304102"/>
                            <a:ext cx="847725" cy="108020"/>
                          </a:xfrm>
                          <a:prstGeom prst="straightConnector1">
                            <a:avLst/>
                          </a:prstGeom>
                          <a:noFill/>
                          <a:ln w="6350" cap="flat" cmpd="sng" algn="ctr">
                            <a:solidFill>
                              <a:srgbClr val="5B9BD5"/>
                            </a:solidFill>
                            <a:prstDash val="solid"/>
                            <a:miter lim="800000"/>
                            <a:tailEnd type="triangle"/>
                          </a:ln>
                          <a:effectLst/>
                        </wps:spPr>
                        <wps:bodyPr/>
                      </wps:wsp>
                      <wps:wsp>
                        <wps:cNvPr id="71" name="Straight Arrow Connector 71"/>
                        <wps:cNvCnPr/>
                        <wps:spPr>
                          <a:xfrm>
                            <a:off x="3074025" y="1247024"/>
                            <a:ext cx="0" cy="193040"/>
                          </a:xfrm>
                          <a:prstGeom prst="straightConnector1">
                            <a:avLst/>
                          </a:prstGeom>
                          <a:noFill/>
                          <a:ln w="6350" cap="flat" cmpd="sng" algn="ctr">
                            <a:solidFill>
                              <a:srgbClr val="5B9BD5"/>
                            </a:solidFill>
                            <a:prstDash val="solid"/>
                            <a:miter lim="800000"/>
                            <a:tailEnd type="triangle"/>
                          </a:ln>
                          <a:effectLst/>
                        </wps:spPr>
                        <wps:bodyPr/>
                      </wps:wsp>
                      <wps:wsp>
                        <wps:cNvPr id="73" name="Straight Arrow Connector 73"/>
                        <wps:cNvCnPr/>
                        <wps:spPr>
                          <a:xfrm>
                            <a:off x="3081493" y="4079123"/>
                            <a:ext cx="0" cy="304800"/>
                          </a:xfrm>
                          <a:prstGeom prst="straightConnector1">
                            <a:avLst/>
                          </a:prstGeom>
                          <a:noFill/>
                          <a:ln w="6350" cap="flat" cmpd="sng" algn="ctr">
                            <a:solidFill>
                              <a:srgbClr val="5B9BD5"/>
                            </a:solidFill>
                            <a:prstDash val="solid"/>
                            <a:miter lim="800000"/>
                            <a:tailEnd type="triangle"/>
                          </a:ln>
                          <a:effectLst/>
                        </wps:spPr>
                        <wps:bodyPr/>
                      </wps:wsp>
                      <wps:wsp>
                        <wps:cNvPr id="75" name="Rectangle 12"/>
                        <wps:cNvSpPr>
                          <a:spLocks noChangeArrowheads="1"/>
                        </wps:cNvSpPr>
                        <wps:spPr bwMode="auto">
                          <a:xfrm>
                            <a:off x="1200718" y="2878565"/>
                            <a:ext cx="3212517" cy="1272125"/>
                          </a:xfrm>
                          <a:prstGeom prst="rect">
                            <a:avLst/>
                          </a:prstGeom>
                          <a:solidFill>
                            <a:srgbClr val="FFFFFF"/>
                          </a:solidFill>
                          <a:ln w="9525">
                            <a:solidFill>
                              <a:srgbClr val="000000"/>
                            </a:solidFill>
                            <a:miter lim="800000"/>
                            <a:headEnd/>
                            <a:tailEnd/>
                          </a:ln>
                        </wps:spPr>
                        <wps:txbx>
                          <w:txbxContent>
                            <w:p w14:paraId="5220940E" w14:textId="77777777" w:rsidR="008E01D0" w:rsidRPr="002B1106" w:rsidRDefault="008E01D0" w:rsidP="00334C85">
                              <w:pPr>
                                <w:jc w:val="center"/>
                                <w:rPr>
                                  <w:sz w:val="20"/>
                                  <w:szCs w:val="20"/>
                                </w:rPr>
                              </w:pPr>
                              <w:r w:rsidRPr="002B1106">
                                <w:rPr>
                                  <w:b/>
                                  <w:bCs/>
                                  <w:sz w:val="20"/>
                                  <w:szCs w:val="20"/>
                                </w:rPr>
                                <w:t>Records that met the keyword mapping criteria</w:t>
                              </w:r>
                              <w:r w:rsidRPr="002B1106">
                                <w:rPr>
                                  <w:sz w:val="20"/>
                                  <w:szCs w:val="20"/>
                                </w:rPr>
                                <w:br/>
                                <w:t xml:space="preserve">(n=277, </w:t>
                              </w:r>
                              <w:r w:rsidRPr="002B1106">
                                <w:rPr>
                                  <w:rFonts w:cstheme="minorHAnsi"/>
                                  <w:sz w:val="20"/>
                                  <w:szCs w:val="20"/>
                                </w:rPr>
                                <w:t>some studies in multiple categories</w:t>
                              </w:r>
                              <w:r w:rsidRPr="002B1106">
                                <w:rPr>
                                  <w:sz w:val="20"/>
                                  <w:szCs w:val="20"/>
                                </w:rPr>
                                <w:t>)</w:t>
                              </w:r>
                            </w:p>
                            <w:p w14:paraId="46DCC529" w14:textId="77777777" w:rsidR="008E01D0" w:rsidRPr="002B1106" w:rsidRDefault="008E01D0" w:rsidP="00334C85">
                              <w:pPr>
                                <w:spacing w:after="0"/>
                                <w:jc w:val="center"/>
                                <w:rPr>
                                  <w:sz w:val="20"/>
                                  <w:szCs w:val="20"/>
                                </w:rPr>
                              </w:pPr>
                              <w:r w:rsidRPr="002B1106">
                                <w:rPr>
                                  <w:sz w:val="20"/>
                                  <w:szCs w:val="20"/>
                                </w:rPr>
                                <w:t>RCT reports and secondary analyses n=26 citations</w:t>
                              </w:r>
                            </w:p>
                            <w:p w14:paraId="1E849B33" w14:textId="77777777" w:rsidR="008E01D0" w:rsidRPr="002B1106" w:rsidRDefault="008E01D0" w:rsidP="00334C85">
                              <w:pPr>
                                <w:spacing w:after="0"/>
                                <w:jc w:val="center"/>
                                <w:rPr>
                                  <w:sz w:val="20"/>
                                  <w:szCs w:val="20"/>
                                </w:rPr>
                              </w:pPr>
                              <w:r w:rsidRPr="002B1106">
                                <w:rPr>
                                  <w:sz w:val="20"/>
                                  <w:szCs w:val="20"/>
                                </w:rPr>
                                <w:t>Observational and case-control studies n=101</w:t>
                              </w:r>
                            </w:p>
                            <w:p w14:paraId="6042BD2E" w14:textId="77777777" w:rsidR="008E01D0" w:rsidRPr="002B1106" w:rsidRDefault="008E01D0" w:rsidP="00334C85">
                              <w:pPr>
                                <w:spacing w:after="0"/>
                                <w:jc w:val="center"/>
                                <w:rPr>
                                  <w:sz w:val="20"/>
                                  <w:szCs w:val="20"/>
                                  <w:lang w:val="en"/>
                                </w:rPr>
                              </w:pPr>
                              <w:r w:rsidRPr="002B1106">
                                <w:rPr>
                                  <w:sz w:val="20"/>
                                  <w:szCs w:val="20"/>
                                </w:rPr>
                                <w:t>Susceptibility studies n=179</w:t>
                              </w:r>
                            </w:p>
                          </w:txbxContent>
                        </wps:txbx>
                        <wps:bodyPr rot="0" vert="horz" wrap="square" lIns="91440" tIns="91440" rIns="91440" bIns="91440" anchor="t" anchorCtr="0" upright="1">
                          <a:noAutofit/>
                        </wps:bodyPr>
                      </wps:wsp>
                      <wps:wsp>
                        <wps:cNvPr id="76" name="Straight Arrow Connector 76"/>
                        <wps:cNvCnPr/>
                        <wps:spPr>
                          <a:xfrm>
                            <a:off x="4413236" y="3479999"/>
                            <a:ext cx="286385" cy="0"/>
                          </a:xfrm>
                          <a:prstGeom prst="straightConnector1">
                            <a:avLst/>
                          </a:prstGeom>
                          <a:noFill/>
                          <a:ln w="6350" cap="flat" cmpd="sng" algn="ctr">
                            <a:solidFill>
                              <a:srgbClr val="5B9BD5"/>
                            </a:solidFill>
                            <a:prstDash val="solid"/>
                            <a:miter lim="800000"/>
                            <a:tailEnd type="triangle"/>
                          </a:ln>
                          <a:effectLst/>
                        </wps:spPr>
                        <wps:bodyPr/>
                      </wps:wsp>
                      <wps:wsp>
                        <wps:cNvPr id="79" name="Straight Arrow Connector 79"/>
                        <wps:cNvCnPr/>
                        <wps:spPr>
                          <a:xfrm>
                            <a:off x="3081493" y="2697998"/>
                            <a:ext cx="0" cy="180566"/>
                          </a:xfrm>
                          <a:prstGeom prst="straightConnector1">
                            <a:avLst/>
                          </a:prstGeom>
                          <a:noFill/>
                          <a:ln w="6350" cap="flat" cmpd="sng" algn="ctr">
                            <a:solidFill>
                              <a:srgbClr val="5B9BD5"/>
                            </a:solidFill>
                            <a:prstDash val="solid"/>
                            <a:miter lim="800000"/>
                            <a:tailEnd type="triangle"/>
                          </a:ln>
                          <a:effectLst/>
                        </wps:spPr>
                        <wps:bodyPr/>
                      </wps:wsp>
                      <wps:wsp>
                        <wps:cNvPr id="80" name="Straight Arrow Connector 80"/>
                        <wps:cNvCnPr/>
                        <wps:spPr>
                          <a:xfrm>
                            <a:off x="4413236" y="5164974"/>
                            <a:ext cx="286385" cy="0"/>
                          </a:xfrm>
                          <a:prstGeom prst="straightConnector1">
                            <a:avLst/>
                          </a:prstGeom>
                          <a:noFill/>
                          <a:ln w="6350" cap="flat" cmpd="sng" algn="ctr">
                            <a:solidFill>
                              <a:srgbClr val="5B9BD5"/>
                            </a:solidFill>
                            <a:prstDash val="solid"/>
                            <a:miter lim="800000"/>
                            <a:tailEnd type="triangle"/>
                          </a:ln>
                          <a:effectLst/>
                        </wps:spPr>
                        <wps:bodyPr/>
                      </wps:wsp>
                      <wps:wsp>
                        <wps:cNvPr id="83" name="Straight Arrow Connector 83"/>
                        <wps:cNvCnPr/>
                        <wps:spPr>
                          <a:xfrm>
                            <a:off x="2083198" y="5698374"/>
                            <a:ext cx="0" cy="739140"/>
                          </a:xfrm>
                          <a:prstGeom prst="straightConnector1">
                            <a:avLst/>
                          </a:prstGeom>
                          <a:noFill/>
                          <a:ln w="6350" cap="flat" cmpd="sng" algn="ctr">
                            <a:solidFill>
                              <a:srgbClr val="5B9BD5"/>
                            </a:solidFill>
                            <a:prstDash val="solid"/>
                            <a:miter lim="800000"/>
                            <a:tailEnd type="triangle"/>
                          </a:ln>
                          <a:effectLst/>
                        </wps:spPr>
                        <wps:bodyPr/>
                      </wps:wsp>
                      <wps:wsp>
                        <wps:cNvPr id="84" name="Rectangle 13"/>
                        <wps:cNvSpPr>
                          <a:spLocks noChangeArrowheads="1"/>
                        </wps:cNvSpPr>
                        <wps:spPr bwMode="auto">
                          <a:xfrm>
                            <a:off x="4699621" y="1821699"/>
                            <a:ext cx="2003202" cy="742950"/>
                          </a:xfrm>
                          <a:prstGeom prst="rect">
                            <a:avLst/>
                          </a:prstGeom>
                          <a:solidFill>
                            <a:srgbClr val="FFFFFF"/>
                          </a:solidFill>
                          <a:ln w="9525">
                            <a:solidFill>
                              <a:srgbClr val="000000"/>
                            </a:solidFill>
                            <a:miter lim="800000"/>
                            <a:headEnd/>
                            <a:tailEnd/>
                          </a:ln>
                        </wps:spPr>
                        <wps:txbx>
                          <w:txbxContent>
                            <w:p w14:paraId="7B607CC0" w14:textId="77777777" w:rsidR="008E01D0" w:rsidRPr="002B1106" w:rsidRDefault="008E01D0" w:rsidP="00334C85">
                              <w:pPr>
                                <w:jc w:val="center"/>
                                <w:rPr>
                                  <w:rFonts w:asciiTheme="majorBidi" w:hAnsiTheme="majorBidi" w:cstheme="majorBidi"/>
                                  <w:sz w:val="20"/>
                                  <w:szCs w:val="20"/>
                                </w:rPr>
                              </w:pPr>
                              <w:r w:rsidRPr="002B1106">
                                <w:rPr>
                                  <w:rFonts w:asciiTheme="majorBidi" w:hAnsiTheme="majorBidi" w:cstheme="majorBidi"/>
                                  <w:b/>
                                  <w:bCs/>
                                  <w:sz w:val="20"/>
                                  <w:szCs w:val="20"/>
                                </w:rPr>
                                <w:t>Records that did not meet keyword mapping criteria</w:t>
                              </w:r>
                              <w:r w:rsidRPr="002B1106">
                                <w:rPr>
                                  <w:rFonts w:asciiTheme="majorBidi" w:hAnsiTheme="majorBidi" w:cstheme="majorBidi"/>
                                  <w:sz w:val="20"/>
                                  <w:szCs w:val="20"/>
                                </w:rPr>
                                <w:br/>
                                <w:t>(n=342)</w:t>
                              </w:r>
                            </w:p>
                            <w:p w14:paraId="3F9ED94C" w14:textId="77777777" w:rsidR="008E01D0" w:rsidRPr="002B1106" w:rsidRDefault="008E01D0" w:rsidP="00334C85">
                              <w:pPr>
                                <w:jc w:val="center"/>
                                <w:rPr>
                                  <w:rFonts w:asciiTheme="majorBidi" w:hAnsiTheme="majorBidi" w:cstheme="majorBidi"/>
                                  <w:sz w:val="20"/>
                                  <w:szCs w:val="20"/>
                                  <w:lang w:val="en"/>
                                </w:rPr>
                              </w:pPr>
                            </w:p>
                          </w:txbxContent>
                        </wps:txbx>
                        <wps:bodyPr rot="0" vert="horz" wrap="square" lIns="91440" tIns="91440" rIns="91440" bIns="91440" anchor="t" anchorCtr="0" upright="1">
                          <a:noAutofit/>
                        </wps:bodyPr>
                      </wps:wsp>
                      <wps:wsp>
                        <wps:cNvPr id="85" name="Straight Arrow Connector 85"/>
                        <wps:cNvCnPr/>
                        <wps:spPr>
                          <a:xfrm>
                            <a:off x="4397774" y="2456337"/>
                            <a:ext cx="285750" cy="0"/>
                          </a:xfrm>
                          <a:prstGeom prst="straightConnector1">
                            <a:avLst/>
                          </a:prstGeom>
                          <a:noFill/>
                          <a:ln w="6350" cap="flat" cmpd="sng" algn="ctr">
                            <a:solidFill>
                              <a:srgbClr val="5B9BD5"/>
                            </a:solidFill>
                            <a:prstDash val="solid"/>
                            <a:miter lim="800000"/>
                            <a:tailEnd type="triangle"/>
                          </a:ln>
                          <a:effectLst/>
                        </wps:spPr>
                        <wps:bodyPr/>
                      </wps:wsp>
                      <wps:wsp>
                        <wps:cNvPr id="27" name="Straight Arrow Connector 27"/>
                        <wps:cNvCnPr/>
                        <wps:spPr>
                          <a:xfrm>
                            <a:off x="4016773" y="5698374"/>
                            <a:ext cx="0" cy="739140"/>
                          </a:xfrm>
                          <a:prstGeom prst="straightConnector1">
                            <a:avLst/>
                          </a:prstGeom>
                          <a:noFill/>
                          <a:ln w="6350" cap="flat" cmpd="sng" algn="ctr">
                            <a:solidFill>
                              <a:srgbClr val="5B9BD5"/>
                            </a:solidFill>
                            <a:prstDash val="solid"/>
                            <a:miter lim="800000"/>
                            <a:tailEnd type="triangle"/>
                          </a:ln>
                          <a:effectLst/>
                        </wps:spPr>
                        <wps:bodyPr/>
                      </wps:wsp>
                      <wps:wsp>
                        <wps:cNvPr id="28" name="Rectangle 19"/>
                        <wps:cNvSpPr>
                          <a:spLocks noChangeArrowheads="1"/>
                        </wps:cNvSpPr>
                        <wps:spPr bwMode="auto">
                          <a:xfrm>
                            <a:off x="2969024" y="6450848"/>
                            <a:ext cx="2839291" cy="1569997"/>
                          </a:xfrm>
                          <a:prstGeom prst="rect">
                            <a:avLst/>
                          </a:prstGeom>
                          <a:solidFill>
                            <a:srgbClr val="FFFFFF"/>
                          </a:solidFill>
                          <a:ln w="9525">
                            <a:solidFill>
                              <a:srgbClr val="000000"/>
                            </a:solidFill>
                            <a:miter lim="800000"/>
                            <a:headEnd/>
                            <a:tailEnd/>
                          </a:ln>
                        </wps:spPr>
                        <wps:txbx>
                          <w:txbxContent>
                            <w:p w14:paraId="130EF0AA" w14:textId="725841F0" w:rsidR="006209D3" w:rsidRPr="006209D3" w:rsidRDefault="008E01D0" w:rsidP="009F01D8">
                              <w:pPr>
                                <w:keepNext/>
                                <w:spacing w:before="360" w:after="200" w:line="240" w:lineRule="auto"/>
                                <w:jc w:val="both"/>
                                <w:rPr>
                                  <w:sz w:val="20"/>
                                  <w:szCs w:val="20"/>
                                </w:rPr>
                              </w:pPr>
                              <w:r w:rsidRPr="002B1106">
                                <w:rPr>
                                  <w:rFonts w:cstheme="minorHAnsi"/>
                                  <w:b/>
                                  <w:bCs/>
                                  <w:sz w:val="20"/>
                                  <w:szCs w:val="20"/>
                                </w:rPr>
                                <w:t>RCTs and observational studies discussed narratively, excluded from synthesis</w:t>
                              </w:r>
                              <w:r w:rsidRPr="002B1106">
                                <w:rPr>
                                  <w:rFonts w:cstheme="minorHAnsi"/>
                                  <w:sz w:val="20"/>
                                  <w:szCs w:val="20"/>
                                </w:rPr>
                                <w:br/>
                                <w:t xml:space="preserve">RCTs: n=4 (see </w:t>
                              </w:r>
                              <w:proofErr w:type="gramStart"/>
                              <w:r w:rsidRPr="002B1106">
                                <w:rPr>
                                  <w:rFonts w:cstheme="minorHAnsi"/>
                                  <w:sz w:val="20"/>
                                  <w:szCs w:val="20"/>
                                </w:rPr>
                                <w:t xml:space="preserve">Appendix </w:t>
                              </w:r>
                              <w:r w:rsidR="00095157">
                                <w:rPr>
                                  <w:rFonts w:cstheme="minorHAnsi"/>
                                  <w:sz w:val="20"/>
                                  <w:szCs w:val="20"/>
                                </w:rPr>
                                <w:t xml:space="preserve"> 6</w:t>
                              </w:r>
                              <w:proofErr w:type="gramEnd"/>
                              <w:r w:rsidR="00095157">
                                <w:rPr>
                                  <w:rFonts w:cstheme="minorHAnsi"/>
                                  <w:sz w:val="20"/>
                                  <w:szCs w:val="20"/>
                                </w:rPr>
                                <w:t xml:space="preserve">, </w:t>
                              </w:r>
                              <w:r w:rsidR="00095157" w:rsidRPr="00095157">
                                <w:rPr>
                                  <w:rFonts w:cstheme="minorHAnsi"/>
                                  <w:b/>
                                  <w:bCs/>
                                  <w:sz w:val="20"/>
                                  <w:szCs w:val="20"/>
                                </w:rPr>
                                <w:t>Table 53</w:t>
                              </w:r>
                              <w:r w:rsidR="00095157">
                                <w:rPr>
                                  <w:rFonts w:cstheme="minorHAnsi"/>
                                  <w:sz w:val="20"/>
                                  <w:szCs w:val="20"/>
                                </w:rPr>
                                <w:t>)</w:t>
                              </w:r>
                            </w:p>
                            <w:p w14:paraId="2A8BF29C" w14:textId="0A8F213C" w:rsidR="008E01D0" w:rsidRPr="002B1106" w:rsidRDefault="008E01D0" w:rsidP="00334C85">
                              <w:pPr>
                                <w:spacing w:after="0"/>
                                <w:jc w:val="center"/>
                                <w:rPr>
                                  <w:rFonts w:cstheme="minorHAnsi"/>
                                  <w:sz w:val="20"/>
                                  <w:szCs w:val="20"/>
                                </w:rPr>
                              </w:pPr>
                              <w:r w:rsidRPr="002B1106">
                                <w:rPr>
                                  <w:rFonts w:cstheme="minorHAnsi"/>
                                  <w:sz w:val="20"/>
                                  <w:szCs w:val="20"/>
                                </w:rPr>
                                <w:t>Observational and case-control studies: n=9 (see Appendix 6)</w:t>
                              </w:r>
                            </w:p>
                          </w:txbxContent>
                        </wps:txbx>
                        <wps:bodyPr rot="0" vert="horz" wrap="square" lIns="91440" tIns="91440" rIns="91440" bIns="91440" anchor="t" anchorCtr="0" upright="1">
                          <a:noAutofit/>
                        </wps:bodyPr>
                      </wps:wsp>
                    </wpg:wgp>
                  </a:graphicData>
                </a:graphic>
              </wp:inline>
            </w:drawing>
          </mc:Choice>
          <mc:Fallback>
            <w:pict>
              <v:group w14:anchorId="1A8653FE" id="Group 29" o:spid="_x0000_s1029" alt="Figure 1 is a PRISMA Flow diagram for the CAZ-AVI Clinical Effectiveness Review. The content of this diagram has been summarised in chapter 4.4.1. " style="width:478.15pt;height:608.5pt;mso-position-horizontal-relative:char;mso-position-vertical-relative:line" coordsize="67028,8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">
                <v:rect id="Rectangle 53" o:spid="_x0000_s1030" style="position:absolute;left:9115;top:24;width:16955;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">
                  <v:textbox inset=",7.2pt,,7.2pt">
                    <w:txbxContent>
                      <w:p w14:paraId="45E95AE3" w14:textId="77777777" w:rsidR="008E01D0" w:rsidRPr="002B1106" w:rsidRDefault="008E01D0" w:rsidP="00334C85">
                        <w:pPr>
                          <w:spacing w:after="0"/>
                          <w:jc w:val="center"/>
                          <w:rPr>
                            <w:b/>
                            <w:bCs/>
                            <w:sz w:val="20"/>
                            <w:szCs w:val="20"/>
                          </w:rPr>
                        </w:pPr>
                        <w:r w:rsidRPr="002B1106">
                          <w:rPr>
                            <w:b/>
                            <w:bCs/>
                            <w:sz w:val="20"/>
                            <w:szCs w:val="20"/>
                          </w:rPr>
                          <w:t>Main search</w:t>
                        </w:r>
                      </w:p>
                      <w:p w14:paraId="245090FB" w14:textId="77777777" w:rsidR="008E01D0" w:rsidRPr="002B1106" w:rsidRDefault="008E01D0" w:rsidP="00334C85">
                        <w:pPr>
                          <w:spacing w:after="0"/>
                          <w:jc w:val="center"/>
                          <w:rPr>
                            <w:sz w:val="20"/>
                            <w:szCs w:val="20"/>
                          </w:rPr>
                        </w:pPr>
                        <w:r w:rsidRPr="002B1106">
                          <w:rPr>
                            <w:sz w:val="20"/>
                            <w:szCs w:val="20"/>
                          </w:rPr>
                          <w:t xml:space="preserve">Records identified through database searching </w:t>
                        </w:r>
                        <w:r w:rsidRPr="002B1106">
                          <w:rPr>
                            <w:sz w:val="20"/>
                            <w:szCs w:val="20"/>
                          </w:rPr>
                          <w:br/>
                          <w:t>(Medline n=279</w:t>
                        </w:r>
                      </w:p>
                      <w:p w14:paraId="41D6B0D8" w14:textId="77777777" w:rsidR="008E01D0" w:rsidRPr="002B1106" w:rsidRDefault="008E01D0" w:rsidP="00334C85">
                        <w:pPr>
                          <w:spacing w:after="0"/>
                          <w:jc w:val="center"/>
                          <w:rPr>
                            <w:sz w:val="20"/>
                            <w:szCs w:val="20"/>
                          </w:rPr>
                        </w:pPr>
                        <w:r w:rsidRPr="002B1106">
                          <w:rPr>
                            <w:sz w:val="20"/>
                            <w:szCs w:val="20"/>
                          </w:rPr>
                          <w:t>Embase n=448)</w:t>
                        </w:r>
                      </w:p>
                    </w:txbxContent>
                  </v:textbox>
                </v:rect>
                <v:roundrect id="Rounded Rectangle 2" o:spid="_x0000_s1031" style="position:absolute;left:-8525;top:22293;width:22160;height:475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" fillcolor="#ccecff">
                  <v:textbox style="layout-flow:vertical;mso-layout-flow-alt:bottom-to-top" inset="3.6pt,,3.6pt">
                    <w:txbxContent>
                      <w:p w14:paraId="644B2921" w14:textId="77777777" w:rsidR="008E01D0" w:rsidRPr="00AF2FBE" w:rsidRDefault="008E01D0" w:rsidP="00334C85">
                        <w:pPr>
                          <w:jc w:val="center"/>
                          <w:rPr>
                            <w:bCs/>
                            <w:sz w:val="28"/>
                            <w:szCs w:val="28"/>
                            <w:lang w:val="en"/>
                          </w:rPr>
                        </w:pPr>
                        <w:r w:rsidRPr="00AF2FBE">
                          <w:rPr>
                            <w:bCs/>
                            <w:sz w:val="28"/>
                            <w:szCs w:val="28"/>
                            <w:lang w:val="en"/>
                          </w:rPr>
                          <w:t>Screening</w:t>
                        </w:r>
                      </w:p>
                    </w:txbxContent>
                  </v:textbox>
                </v:roundrect>
                <v:roundrect id="Rounded Rectangle 4" o:spid="_x0000_s1032" style="position:absolute;left:-5765;top:42769;width:16419;height:488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" fillcolor="#ccecff">
                  <v:textbox style="layout-flow:vertical;mso-layout-flow-alt:bottom-to-top" inset="3.6pt,,3.6pt">
                    <w:txbxContent>
                      <w:p w14:paraId="3275CEF3" w14:textId="77777777" w:rsidR="008E01D0" w:rsidRPr="00AF2FBE" w:rsidRDefault="008E01D0" w:rsidP="00334C85">
                        <w:pPr>
                          <w:jc w:val="center"/>
                          <w:rPr>
                            <w:bCs/>
                            <w:sz w:val="28"/>
                            <w:szCs w:val="28"/>
                            <w:lang w:val="en"/>
                          </w:rPr>
                        </w:pPr>
                        <w:r w:rsidRPr="00AF2FBE">
                          <w:rPr>
                            <w:bCs/>
                            <w:sz w:val="28"/>
                            <w:szCs w:val="28"/>
                            <w:lang w:val="en"/>
                          </w:rPr>
                          <w:t>Eligibility</w:t>
                        </w:r>
                      </w:p>
                    </w:txbxContent>
                  </v:textbox>
                </v:roundrect>
                <v:roundrect id="Rounded Rectangle 5" o:spid="_x0000_s1033" style="position:absolute;left:-3721;top:3857;width:12475;height:476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" fillcolor="#ccecff">
                  <v:textbox style="layout-flow:vertical;mso-layout-flow-alt:bottom-to-top" inset="3.6pt,,3.6pt">
                    <w:txbxContent>
                      <w:p w14:paraId="6C9112B2" w14:textId="77777777" w:rsidR="008E01D0" w:rsidRPr="00AF2FBE" w:rsidRDefault="008E01D0" w:rsidP="00334C85">
                        <w:pPr>
                          <w:jc w:val="center"/>
                          <w:rPr>
                            <w:bCs/>
                            <w:sz w:val="28"/>
                            <w:szCs w:val="28"/>
                            <w:lang w:val="en"/>
                          </w:rPr>
                        </w:pPr>
                        <w:r w:rsidRPr="00AF2FBE">
                          <w:rPr>
                            <w:bCs/>
                            <w:sz w:val="28"/>
                            <w:szCs w:val="28"/>
                            <w:lang w:val="en"/>
                          </w:rPr>
                          <w:t>Identification</w:t>
                        </w:r>
                      </w:p>
                    </w:txbxContent>
                  </v:textbox>
                </v:roundrect>
                <v:rect id="Rectangle 6" o:spid="_x0000_s1034" style="position:absolute;left:47787;top:24;width:18377;height:1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">
                  <v:textbox inset=",7.2pt,,7.2pt">
                    <w:txbxContent>
                      <w:p w14:paraId="14872F60" w14:textId="77777777" w:rsidR="008E01D0" w:rsidRPr="002B1106" w:rsidRDefault="008E01D0" w:rsidP="00334C85">
                        <w:pPr>
                          <w:jc w:val="center"/>
                          <w:rPr>
                            <w:b/>
                            <w:bCs/>
                            <w:sz w:val="20"/>
                            <w:szCs w:val="20"/>
                          </w:rPr>
                        </w:pPr>
                        <w:r w:rsidRPr="002B1106">
                          <w:rPr>
                            <w:b/>
                            <w:bCs/>
                            <w:sz w:val="20"/>
                            <w:szCs w:val="20"/>
                          </w:rPr>
                          <w:t>Additional records identified through other sources.</w:t>
                        </w:r>
                      </w:p>
                      <w:p w14:paraId="21314154" w14:textId="77777777" w:rsidR="008E01D0" w:rsidRPr="002B1106" w:rsidRDefault="008E01D0" w:rsidP="00334C85">
                        <w:pPr>
                          <w:spacing w:after="0"/>
                          <w:jc w:val="center"/>
                          <w:rPr>
                            <w:sz w:val="20"/>
                            <w:szCs w:val="20"/>
                          </w:rPr>
                        </w:pPr>
                        <w:r w:rsidRPr="002B1106">
                          <w:rPr>
                            <w:sz w:val="20"/>
                            <w:szCs w:val="20"/>
                          </w:rPr>
                          <w:t xml:space="preserve"> (Company submissions: n=3</w:t>
                        </w:r>
                      </w:p>
                      <w:p w14:paraId="79A409FB" w14:textId="77777777" w:rsidR="008E01D0" w:rsidRPr="002B1106" w:rsidRDefault="008E01D0" w:rsidP="00334C85">
                        <w:pPr>
                          <w:spacing w:after="0"/>
                          <w:jc w:val="center"/>
                          <w:rPr>
                            <w:sz w:val="20"/>
                            <w:szCs w:val="20"/>
                          </w:rPr>
                        </w:pPr>
                        <w:proofErr w:type="spellStart"/>
                        <w:r w:rsidRPr="002B1106">
                          <w:rPr>
                            <w:sz w:val="20"/>
                            <w:szCs w:val="20"/>
                          </w:rPr>
                          <w:t>Cefiderocol</w:t>
                        </w:r>
                        <w:proofErr w:type="spellEnd"/>
                        <w:r w:rsidRPr="002B1106">
                          <w:rPr>
                            <w:sz w:val="20"/>
                            <w:szCs w:val="20"/>
                          </w:rPr>
                          <w:t xml:space="preserve"> searches: n=3</w:t>
                        </w:r>
                      </w:p>
                      <w:p w14:paraId="251FD38D" w14:textId="77777777" w:rsidR="008E01D0" w:rsidRPr="002B1106" w:rsidRDefault="008E01D0" w:rsidP="00334C85">
                        <w:pPr>
                          <w:spacing w:after="0"/>
                          <w:jc w:val="center"/>
                          <w:rPr>
                            <w:sz w:val="20"/>
                            <w:szCs w:val="20"/>
                            <w:lang w:val="en"/>
                          </w:rPr>
                        </w:pPr>
                        <w:r w:rsidRPr="002B1106">
                          <w:rPr>
                            <w:sz w:val="20"/>
                            <w:szCs w:val="20"/>
                          </w:rPr>
                          <w:t xml:space="preserve">PHE data: n=1) </w:t>
                        </w:r>
                        <w:r w:rsidRPr="002B1106">
                          <w:rPr>
                            <w:sz w:val="20"/>
                            <w:szCs w:val="20"/>
                          </w:rPr>
                          <w:br/>
                        </w:r>
                      </w:p>
                    </w:txbxContent>
                  </v:textbox>
                </v:rect>
                <v:rect id="Rectangle 58" o:spid="_x0000_s1035" style="position:absolute;left:17212;top:14216;width:2692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">
                  <v:textbox inset=",7.2pt,,7.2pt">
                    <w:txbxContent>
                      <w:p w14:paraId="51039B51" w14:textId="77777777" w:rsidR="008E01D0" w:rsidRPr="002B1106" w:rsidRDefault="008E01D0" w:rsidP="00334C85">
                        <w:pPr>
                          <w:jc w:val="center"/>
                          <w:rPr>
                            <w:sz w:val="20"/>
                            <w:szCs w:val="20"/>
                            <w:lang w:val="en"/>
                          </w:rPr>
                        </w:pPr>
                        <w:r w:rsidRPr="002B1106">
                          <w:rPr>
                            <w:b/>
                            <w:bCs/>
                            <w:sz w:val="20"/>
                            <w:szCs w:val="20"/>
                          </w:rPr>
                          <w:t>Records after duplicates removed</w:t>
                        </w:r>
                        <w:r w:rsidRPr="002B1106">
                          <w:rPr>
                            <w:sz w:val="20"/>
                            <w:szCs w:val="20"/>
                          </w:rPr>
                          <w:br/>
                          <w:t>(n=619)</w:t>
                        </w:r>
                      </w:p>
                    </w:txbxContent>
                  </v:textbox>
                </v:rect>
                <v:rect id="Rectangle 12" o:spid="_x0000_s1036" style="position:absolute;left:17212;top:21741;width:26920;height:5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">
                  <v:textbox inset=",7.2pt,,7.2pt">
                    <w:txbxContent>
                      <w:p w14:paraId="126A5D20" w14:textId="77777777" w:rsidR="008E01D0" w:rsidRPr="002B1106" w:rsidRDefault="008E01D0" w:rsidP="00334C85">
                        <w:pPr>
                          <w:jc w:val="center"/>
                          <w:rPr>
                            <w:sz w:val="20"/>
                            <w:szCs w:val="20"/>
                            <w:lang w:val="en"/>
                          </w:rPr>
                        </w:pPr>
                        <w:r w:rsidRPr="002B1106">
                          <w:rPr>
                            <w:b/>
                            <w:bCs/>
                            <w:sz w:val="20"/>
                            <w:szCs w:val="20"/>
                          </w:rPr>
                          <w:t>Records screened by title and abstract</w:t>
                        </w:r>
                        <w:r w:rsidRPr="002B1106">
                          <w:rPr>
                            <w:sz w:val="20"/>
                            <w:szCs w:val="20"/>
                          </w:rPr>
                          <w:br/>
                          <w:t>(n=619)</w:t>
                        </w:r>
                      </w:p>
                    </w:txbxContent>
                  </v:textbox>
                </v:rect>
                <v:rect id="Rectangle 13" o:spid="_x0000_s1037" style="position:absolute;left:46996;top:26313;width:20032;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">
                  <v:textbox inset=",7.2pt,,7.2pt">
                    <w:txbxContent>
                      <w:p w14:paraId="15836148" w14:textId="77777777" w:rsidR="008E01D0" w:rsidRPr="002B1106" w:rsidRDefault="008E01D0" w:rsidP="00334C85">
                        <w:pPr>
                          <w:spacing w:after="0"/>
                          <w:jc w:val="center"/>
                          <w:rPr>
                            <w:rFonts w:asciiTheme="majorBidi" w:hAnsiTheme="majorBidi" w:cstheme="majorBidi"/>
                            <w:b/>
                            <w:bCs/>
                            <w:sz w:val="20"/>
                            <w:szCs w:val="20"/>
                          </w:rPr>
                        </w:pPr>
                        <w:r w:rsidRPr="002B1106">
                          <w:rPr>
                            <w:rFonts w:asciiTheme="majorBidi" w:hAnsiTheme="majorBidi" w:cstheme="majorBidi"/>
                            <w:b/>
                            <w:bCs/>
                            <w:sz w:val="20"/>
                            <w:szCs w:val="20"/>
                          </w:rPr>
                          <w:t xml:space="preserve">Records that did not meet the key characteristics criteria </w:t>
                        </w:r>
                      </w:p>
                      <w:p w14:paraId="6C37B3A9" w14:textId="77777777" w:rsidR="008E01D0" w:rsidRPr="002B1106" w:rsidRDefault="008E01D0" w:rsidP="00334C85">
                        <w:pPr>
                          <w:spacing w:after="0"/>
                          <w:jc w:val="center"/>
                          <w:rPr>
                            <w:sz w:val="20"/>
                            <w:szCs w:val="20"/>
                          </w:rPr>
                        </w:pPr>
                      </w:p>
                      <w:p w14:paraId="2FF4568D" w14:textId="6764F992" w:rsidR="008E01D0" w:rsidRPr="002B1106" w:rsidRDefault="008E01D0" w:rsidP="00334C85">
                        <w:pPr>
                          <w:spacing w:after="0"/>
                          <w:jc w:val="center"/>
                          <w:rPr>
                            <w:sz w:val="20"/>
                            <w:szCs w:val="20"/>
                          </w:rPr>
                        </w:pPr>
                        <w:r w:rsidRPr="002B1106">
                          <w:rPr>
                            <w:sz w:val="20"/>
                            <w:szCs w:val="20"/>
                          </w:rPr>
                          <w:t>RCTs n=7 studies (across multiple reports)</w:t>
                        </w:r>
                      </w:p>
                      <w:p w14:paraId="4BA93850" w14:textId="77777777" w:rsidR="008E01D0" w:rsidRPr="002B1106" w:rsidRDefault="008E01D0" w:rsidP="00334C85">
                        <w:pPr>
                          <w:spacing w:after="0"/>
                          <w:jc w:val="center"/>
                          <w:rPr>
                            <w:sz w:val="20"/>
                            <w:szCs w:val="20"/>
                          </w:rPr>
                        </w:pPr>
                        <w:r w:rsidRPr="002B1106">
                          <w:rPr>
                            <w:sz w:val="20"/>
                            <w:szCs w:val="20"/>
                          </w:rPr>
                          <w:t>Observational and case-control studies n=92</w:t>
                        </w:r>
                      </w:p>
                      <w:p w14:paraId="35E22DC7" w14:textId="77777777" w:rsidR="008E01D0" w:rsidRPr="002B1106" w:rsidRDefault="008E01D0" w:rsidP="00334C85">
                        <w:pPr>
                          <w:spacing w:after="0"/>
                          <w:jc w:val="center"/>
                          <w:rPr>
                            <w:sz w:val="20"/>
                            <w:szCs w:val="20"/>
                            <w:lang w:val="en"/>
                          </w:rPr>
                        </w:pPr>
                        <w:r w:rsidRPr="002B1106">
                          <w:rPr>
                            <w:sz w:val="20"/>
                            <w:szCs w:val="20"/>
                          </w:rPr>
                          <w:t>Susceptibility studies n=119</w:t>
                        </w:r>
                      </w:p>
                      <w:p w14:paraId="41030788" w14:textId="77777777" w:rsidR="008E01D0" w:rsidRPr="002B1106" w:rsidRDefault="008E01D0" w:rsidP="00334C85">
                        <w:pPr>
                          <w:jc w:val="center"/>
                          <w:rPr>
                            <w:rFonts w:asciiTheme="majorBidi" w:hAnsiTheme="majorBidi" w:cstheme="majorBidi"/>
                            <w:sz w:val="20"/>
                            <w:szCs w:val="20"/>
                            <w:lang w:val="en"/>
                          </w:rPr>
                        </w:pPr>
                      </w:p>
                    </w:txbxContent>
                  </v:textbox>
                </v:rect>
                <v:rect id="Rectangle 61" o:spid="_x0000_s1038" style="position:absolute;left:14074;top:43839;width:30058;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">
                  <v:textbox inset=",7.2pt,,7.2pt">
                    <w:txbxContent>
                      <w:p w14:paraId="2C44B6E3" w14:textId="77777777" w:rsidR="008E01D0" w:rsidRPr="002B1106" w:rsidRDefault="008E01D0" w:rsidP="00334C85">
                        <w:pPr>
                          <w:jc w:val="center"/>
                          <w:rPr>
                            <w:sz w:val="20"/>
                            <w:szCs w:val="20"/>
                          </w:rPr>
                        </w:pPr>
                        <w:r w:rsidRPr="002B1106">
                          <w:rPr>
                            <w:b/>
                            <w:bCs/>
                            <w:sz w:val="20"/>
                            <w:szCs w:val="20"/>
                          </w:rPr>
                          <w:t>Articles included in the key characteristics mapping</w:t>
                        </w:r>
                        <w:r w:rsidRPr="002B1106">
                          <w:rPr>
                            <w:sz w:val="20"/>
                            <w:szCs w:val="20"/>
                          </w:rPr>
                          <w:t xml:space="preserve"> </w:t>
                        </w:r>
                      </w:p>
                      <w:p w14:paraId="6328EB12" w14:textId="77777777" w:rsidR="008E01D0" w:rsidRPr="002B1106" w:rsidRDefault="008E01D0" w:rsidP="00334C85">
                        <w:pPr>
                          <w:spacing w:after="0"/>
                          <w:jc w:val="center"/>
                          <w:rPr>
                            <w:sz w:val="20"/>
                            <w:szCs w:val="20"/>
                          </w:rPr>
                        </w:pPr>
                        <w:r w:rsidRPr="002B1106">
                          <w:rPr>
                            <w:sz w:val="20"/>
                            <w:szCs w:val="20"/>
                          </w:rPr>
                          <w:t>RCTs: n=4 studies</w:t>
                        </w:r>
                      </w:p>
                      <w:p w14:paraId="33CEEBC1" w14:textId="77777777" w:rsidR="008E01D0" w:rsidRPr="002B1106" w:rsidRDefault="008E01D0" w:rsidP="00334C85">
                        <w:pPr>
                          <w:spacing w:after="0"/>
                          <w:jc w:val="center"/>
                          <w:rPr>
                            <w:sz w:val="20"/>
                            <w:szCs w:val="20"/>
                          </w:rPr>
                        </w:pPr>
                        <w:r w:rsidRPr="002B1106">
                          <w:rPr>
                            <w:sz w:val="20"/>
                            <w:szCs w:val="20"/>
                          </w:rPr>
                          <w:t>Observational and case-control studies: n=9</w:t>
                        </w:r>
                      </w:p>
                      <w:p w14:paraId="24371944" w14:textId="77777777" w:rsidR="008E01D0" w:rsidRPr="002B1106" w:rsidRDefault="008E01D0" w:rsidP="00334C85">
                        <w:pPr>
                          <w:spacing w:after="0"/>
                          <w:jc w:val="center"/>
                          <w:rPr>
                            <w:sz w:val="20"/>
                            <w:szCs w:val="20"/>
                            <w:lang w:val="en"/>
                          </w:rPr>
                        </w:pPr>
                        <w:r w:rsidRPr="002B1106">
                          <w:rPr>
                            <w:sz w:val="20"/>
                            <w:szCs w:val="20"/>
                          </w:rPr>
                          <w:t>Susceptibility studies: n=60</w:t>
                        </w:r>
                      </w:p>
                    </w:txbxContent>
                  </v:textbox>
                </v:rect>
                <v:rect id="Rectangle 18" o:spid="_x0000_s1039" style="position:absolute;left:46835;top:45648;width:20193;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">
                  <v:textbox inset=",7.2pt,,7.2pt">
                    <w:txbxContent>
                      <w:p w14:paraId="70D10A7C" w14:textId="77777777" w:rsidR="008E01D0" w:rsidRPr="002B1106" w:rsidRDefault="008E01D0" w:rsidP="00334C85">
                        <w:pPr>
                          <w:spacing w:after="0"/>
                          <w:jc w:val="center"/>
                          <w:rPr>
                            <w:rFonts w:asciiTheme="majorBidi" w:hAnsiTheme="majorBidi" w:cstheme="majorBidi"/>
                            <w:b/>
                            <w:bCs/>
                            <w:sz w:val="20"/>
                            <w:szCs w:val="20"/>
                          </w:rPr>
                        </w:pPr>
                        <w:r w:rsidRPr="002B1106">
                          <w:rPr>
                            <w:rFonts w:asciiTheme="majorBidi" w:hAnsiTheme="majorBidi" w:cstheme="majorBidi"/>
                            <w:b/>
                            <w:bCs/>
                            <w:sz w:val="20"/>
                            <w:szCs w:val="20"/>
                          </w:rPr>
                          <w:t xml:space="preserve">Articles that did not meet the synthesis criteria </w:t>
                        </w:r>
                        <w:r w:rsidRPr="002B1106">
                          <w:rPr>
                            <w:rFonts w:asciiTheme="majorBidi" w:hAnsiTheme="majorBidi" w:cstheme="majorBidi"/>
                            <w:b/>
                            <w:bCs/>
                            <w:sz w:val="20"/>
                            <w:szCs w:val="20"/>
                          </w:rPr>
                          <w:br/>
                        </w:r>
                      </w:p>
                      <w:p w14:paraId="1E8C2D83" w14:textId="430D478C" w:rsidR="008E01D0" w:rsidRPr="002B1106" w:rsidRDefault="008E01D0" w:rsidP="00334C85">
                        <w:pPr>
                          <w:spacing w:after="0"/>
                          <w:jc w:val="center"/>
                          <w:rPr>
                            <w:rFonts w:cstheme="minorHAnsi"/>
                            <w:sz w:val="20"/>
                            <w:szCs w:val="20"/>
                          </w:rPr>
                        </w:pPr>
                        <w:r w:rsidRPr="002B1106">
                          <w:rPr>
                            <w:rFonts w:cstheme="minorHAnsi"/>
                            <w:sz w:val="20"/>
                            <w:szCs w:val="20"/>
                          </w:rPr>
                          <w:t>Susceptibility studies: n=44 (see Appendices 5.1 and 5.3)</w:t>
                        </w:r>
                      </w:p>
                    </w:txbxContent>
                  </v:textbox>
                </v:rect>
                <v:rect id="Rectangle 19" o:spid="_x0000_s1040" style="position:absolute;left:9306;top:64508;width:17139;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">
                  <v:textbox inset=",7.2pt,,7.2pt">
                    <w:txbxContent>
                      <w:p w14:paraId="02BAB4D0" w14:textId="3E9CAF05" w:rsidR="008E01D0" w:rsidRPr="002B1106" w:rsidRDefault="008E01D0" w:rsidP="00334C85">
                        <w:pPr>
                          <w:jc w:val="center"/>
                          <w:rPr>
                            <w:sz w:val="20"/>
                            <w:szCs w:val="20"/>
                            <w:lang w:val="en"/>
                          </w:rPr>
                        </w:pPr>
                        <w:r w:rsidRPr="002B1106">
                          <w:rPr>
                            <w:b/>
                            <w:bCs/>
                            <w:sz w:val="20"/>
                            <w:szCs w:val="20"/>
                          </w:rPr>
                          <w:t>Studies included in the susceptibility synthesis</w:t>
                        </w:r>
                        <w:r w:rsidRPr="002B1106">
                          <w:rPr>
                            <w:sz w:val="20"/>
                            <w:szCs w:val="20"/>
                          </w:rPr>
                          <w:t xml:space="preserve"> </w:t>
                        </w:r>
                        <w:r w:rsidRPr="002B1106">
                          <w:rPr>
                            <w:sz w:val="20"/>
                            <w:szCs w:val="20"/>
                          </w:rPr>
                          <w:br/>
                        </w:r>
                        <w:r w:rsidRPr="002B1106">
                          <w:rPr>
                            <w:sz w:val="20"/>
                            <w:szCs w:val="20"/>
                            <w:lang w:val="en"/>
                          </w:rPr>
                          <w:t>n=16</w:t>
                        </w:r>
                      </w:p>
                      <w:p w14:paraId="4FB74835" w14:textId="77777777" w:rsidR="008E01D0" w:rsidRPr="002B1106" w:rsidRDefault="008E01D0" w:rsidP="00334C85">
                        <w:pPr>
                          <w:jc w:val="center"/>
                          <w:rPr>
                            <w:sz w:val="20"/>
                            <w:szCs w:val="20"/>
                            <w:lang w:val="en"/>
                          </w:rPr>
                        </w:pPr>
                        <w:r w:rsidRPr="002B1106">
                          <w:rPr>
                            <w:sz w:val="20"/>
                            <w:szCs w:val="20"/>
                            <w:lang w:val="en"/>
                          </w:rPr>
                          <w:t>N=16 in the network meta-analysis</w:t>
                        </w:r>
                      </w:p>
                    </w:txbxContent>
                  </v:textbox>
                </v:rect>
                <v:rect id="Rectangle 68" o:spid="_x0000_s1041" style="position:absolute;left:26451;top:24;width:20384;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">
                  <v:textbox inset=",7.2pt,,7.2pt">
                    <w:txbxContent>
                      <w:p w14:paraId="4559FF62" w14:textId="77777777" w:rsidR="008E01D0" w:rsidRPr="002B1106" w:rsidRDefault="008E01D0" w:rsidP="00334C85">
                        <w:pPr>
                          <w:spacing w:after="0"/>
                          <w:jc w:val="center"/>
                          <w:rPr>
                            <w:b/>
                            <w:bCs/>
                            <w:sz w:val="20"/>
                            <w:szCs w:val="20"/>
                          </w:rPr>
                        </w:pPr>
                        <w:r w:rsidRPr="002B1106">
                          <w:rPr>
                            <w:b/>
                            <w:bCs/>
                            <w:sz w:val="20"/>
                            <w:szCs w:val="20"/>
                          </w:rPr>
                          <w:t xml:space="preserve">Iteration </w:t>
                        </w:r>
                      </w:p>
                      <w:p w14:paraId="28A73330" w14:textId="77777777" w:rsidR="008E01D0" w:rsidRPr="002B1106" w:rsidRDefault="008E01D0" w:rsidP="00334C85">
                        <w:pPr>
                          <w:spacing w:after="0"/>
                          <w:jc w:val="center"/>
                          <w:rPr>
                            <w:b/>
                            <w:bCs/>
                            <w:sz w:val="20"/>
                            <w:szCs w:val="20"/>
                          </w:rPr>
                        </w:pPr>
                        <w:r w:rsidRPr="002B1106">
                          <w:rPr>
                            <w:b/>
                            <w:bCs/>
                            <w:sz w:val="20"/>
                            <w:szCs w:val="20"/>
                          </w:rPr>
                          <w:t>(</w:t>
                        </w:r>
                        <w:proofErr w:type="gramStart"/>
                        <w:r w:rsidRPr="002B1106">
                          <w:rPr>
                            <w:b/>
                            <w:bCs/>
                            <w:sz w:val="20"/>
                            <w:szCs w:val="20"/>
                          </w:rPr>
                          <w:t>susceptibility</w:t>
                        </w:r>
                        <w:proofErr w:type="gramEnd"/>
                        <w:r w:rsidRPr="002B1106">
                          <w:rPr>
                            <w:b/>
                            <w:bCs/>
                            <w:sz w:val="20"/>
                            <w:szCs w:val="20"/>
                          </w:rPr>
                          <w:t>, UK)</w:t>
                        </w:r>
                      </w:p>
                      <w:p w14:paraId="31637116" w14:textId="77777777" w:rsidR="008E01D0" w:rsidRPr="002B1106" w:rsidRDefault="008E01D0" w:rsidP="00334C85">
                        <w:pPr>
                          <w:spacing w:after="0"/>
                          <w:jc w:val="center"/>
                          <w:rPr>
                            <w:sz w:val="20"/>
                            <w:szCs w:val="20"/>
                          </w:rPr>
                        </w:pPr>
                        <w:r w:rsidRPr="002B1106">
                          <w:rPr>
                            <w:sz w:val="20"/>
                            <w:szCs w:val="20"/>
                          </w:rPr>
                          <w:t xml:space="preserve">Records identified through database searching </w:t>
                        </w:r>
                        <w:r w:rsidRPr="002B1106">
                          <w:rPr>
                            <w:sz w:val="20"/>
                            <w:szCs w:val="20"/>
                          </w:rPr>
                          <w:br/>
                          <w:t>(Medline n=65</w:t>
                        </w:r>
                      </w:p>
                      <w:p w14:paraId="4EF618C1" w14:textId="77777777" w:rsidR="008E01D0" w:rsidRPr="002B1106" w:rsidRDefault="008E01D0" w:rsidP="00334C85">
                        <w:pPr>
                          <w:spacing w:after="0"/>
                          <w:jc w:val="center"/>
                          <w:rPr>
                            <w:sz w:val="20"/>
                            <w:szCs w:val="20"/>
                          </w:rPr>
                        </w:pPr>
                        <w:r w:rsidRPr="002B1106">
                          <w:rPr>
                            <w:sz w:val="20"/>
                            <w:szCs w:val="20"/>
                          </w:rPr>
                          <w:t>Embase n=177)</w:t>
                        </w:r>
                      </w:p>
                    </w:txbxContent>
                  </v:textbox>
                </v:rect>
                <v:shapetype id="_x0000_t32" coordsize="21600,21600" o:spt="32" o:oned="t" path="m,l21600,21600e" filled="f">
                  <v:path arrowok="t" fillok="f" o:connecttype="none"/>
                  <o:lock v:ext="edit" shapetype="t"/>
                </v:shapetype>
                <v:shape id="Straight Arrow Connector 69" o:spid="_x0000_s1042" type="#_x0000_t32" style="position:absolute;left:19322;top:12502;width:6042;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" strokecolor="#5b9bd5" strokeweight=".5pt">
                  <v:stroke endarrow="block" joinstyle="miter"/>
                </v:shape>
                <v:shape id="Straight Arrow Connector 70" o:spid="_x0000_s1043" type="#_x0000_t32" style="position:absolute;left:39310;top:13041;width:8477;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" strokecolor="#5b9bd5" strokeweight=".5pt">
                  <v:stroke endarrow="block" joinstyle="miter"/>
                </v:shape>
                <v:shape id="Straight Arrow Connector 71" o:spid="_x0000_s1044" type="#_x0000_t32" style="position:absolute;left:30740;top:12470;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" strokecolor="#5b9bd5" strokeweight=".5pt">
                  <v:stroke endarrow="block" joinstyle="miter"/>
                </v:shape>
                <v:shape id="Straight Arrow Connector 73" o:spid="_x0000_s1045" type="#_x0000_t32" style="position:absolute;left:30814;top:40791;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" strokecolor="#5b9bd5" strokeweight=".5pt">
                  <v:stroke endarrow="block" joinstyle="miter"/>
                </v:shape>
                <v:rect id="Rectangle 12" o:spid="_x0000_s1046" style="position:absolute;left:12007;top:28785;width:32125;height:1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">
                  <v:textbox inset=",7.2pt,,7.2pt">
                    <w:txbxContent>
                      <w:p w14:paraId="5220940E" w14:textId="77777777" w:rsidR="008E01D0" w:rsidRPr="002B1106" w:rsidRDefault="008E01D0" w:rsidP="00334C85">
                        <w:pPr>
                          <w:jc w:val="center"/>
                          <w:rPr>
                            <w:sz w:val="20"/>
                            <w:szCs w:val="20"/>
                          </w:rPr>
                        </w:pPr>
                        <w:r w:rsidRPr="002B1106">
                          <w:rPr>
                            <w:b/>
                            <w:bCs/>
                            <w:sz w:val="20"/>
                            <w:szCs w:val="20"/>
                          </w:rPr>
                          <w:t>Records that met the keyword mapping criteria</w:t>
                        </w:r>
                        <w:r w:rsidRPr="002B1106">
                          <w:rPr>
                            <w:sz w:val="20"/>
                            <w:szCs w:val="20"/>
                          </w:rPr>
                          <w:br/>
                          <w:t xml:space="preserve">(n=277, </w:t>
                        </w:r>
                        <w:r w:rsidRPr="002B1106">
                          <w:rPr>
                            <w:rFonts w:cstheme="minorHAnsi"/>
                            <w:sz w:val="20"/>
                            <w:szCs w:val="20"/>
                          </w:rPr>
                          <w:t>some studies in multiple categories</w:t>
                        </w:r>
                        <w:r w:rsidRPr="002B1106">
                          <w:rPr>
                            <w:sz w:val="20"/>
                            <w:szCs w:val="20"/>
                          </w:rPr>
                          <w:t>)</w:t>
                        </w:r>
                      </w:p>
                      <w:p w14:paraId="46DCC529" w14:textId="77777777" w:rsidR="008E01D0" w:rsidRPr="002B1106" w:rsidRDefault="008E01D0" w:rsidP="00334C85">
                        <w:pPr>
                          <w:spacing w:after="0"/>
                          <w:jc w:val="center"/>
                          <w:rPr>
                            <w:sz w:val="20"/>
                            <w:szCs w:val="20"/>
                          </w:rPr>
                        </w:pPr>
                        <w:r w:rsidRPr="002B1106">
                          <w:rPr>
                            <w:sz w:val="20"/>
                            <w:szCs w:val="20"/>
                          </w:rPr>
                          <w:t>RCT reports and secondary analyses n=26 citations</w:t>
                        </w:r>
                      </w:p>
                      <w:p w14:paraId="1E849B33" w14:textId="77777777" w:rsidR="008E01D0" w:rsidRPr="002B1106" w:rsidRDefault="008E01D0" w:rsidP="00334C85">
                        <w:pPr>
                          <w:spacing w:after="0"/>
                          <w:jc w:val="center"/>
                          <w:rPr>
                            <w:sz w:val="20"/>
                            <w:szCs w:val="20"/>
                          </w:rPr>
                        </w:pPr>
                        <w:r w:rsidRPr="002B1106">
                          <w:rPr>
                            <w:sz w:val="20"/>
                            <w:szCs w:val="20"/>
                          </w:rPr>
                          <w:t>Observational and case-control studies n=101</w:t>
                        </w:r>
                      </w:p>
                      <w:p w14:paraId="6042BD2E" w14:textId="77777777" w:rsidR="008E01D0" w:rsidRPr="002B1106" w:rsidRDefault="008E01D0" w:rsidP="00334C85">
                        <w:pPr>
                          <w:spacing w:after="0"/>
                          <w:jc w:val="center"/>
                          <w:rPr>
                            <w:sz w:val="20"/>
                            <w:szCs w:val="20"/>
                            <w:lang w:val="en"/>
                          </w:rPr>
                        </w:pPr>
                        <w:r w:rsidRPr="002B1106">
                          <w:rPr>
                            <w:sz w:val="20"/>
                            <w:szCs w:val="20"/>
                          </w:rPr>
                          <w:t>Susceptibility studies n=179</w:t>
                        </w:r>
                      </w:p>
                    </w:txbxContent>
                  </v:textbox>
                </v:rect>
                <v:shape id="Straight Arrow Connector 76" o:spid="_x0000_s1047" type="#_x0000_t32" style="position:absolute;left:44132;top:34799;width:2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" strokecolor="#5b9bd5" strokeweight=".5pt">
                  <v:stroke endarrow="block" joinstyle="miter"/>
                </v:shape>
                <v:shape id="Straight Arrow Connector 79" o:spid="_x0000_s1048" type="#_x0000_t32" style="position:absolute;left:30814;top:26979;width:0;height:1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" strokecolor="#5b9bd5" strokeweight=".5pt">
                  <v:stroke endarrow="block" joinstyle="miter"/>
                </v:shape>
                <v:shape id="Straight Arrow Connector 80" o:spid="_x0000_s1049" type="#_x0000_t32" style="position:absolute;left:44132;top:51649;width:2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" strokecolor="#5b9bd5" strokeweight=".5pt">
                  <v:stroke endarrow="block" joinstyle="miter"/>
                </v:shape>
                <v:shape id="Straight Arrow Connector 83" o:spid="_x0000_s1050" type="#_x0000_t32" style="position:absolute;left:20831;top:56983;width:0;height:7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" strokecolor="#5b9bd5" strokeweight=".5pt">
                  <v:stroke endarrow="block" joinstyle="miter"/>
                </v:shape>
                <v:rect id="Rectangle 13" o:spid="_x0000_s1051" style="position:absolute;left:46996;top:18216;width:2003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">
                  <v:textbox inset=",7.2pt,,7.2pt">
                    <w:txbxContent>
                      <w:p w14:paraId="7B607CC0" w14:textId="77777777" w:rsidR="008E01D0" w:rsidRPr="002B1106" w:rsidRDefault="008E01D0" w:rsidP="00334C85">
                        <w:pPr>
                          <w:jc w:val="center"/>
                          <w:rPr>
                            <w:rFonts w:asciiTheme="majorBidi" w:hAnsiTheme="majorBidi" w:cstheme="majorBidi"/>
                            <w:sz w:val="20"/>
                            <w:szCs w:val="20"/>
                          </w:rPr>
                        </w:pPr>
                        <w:r w:rsidRPr="002B1106">
                          <w:rPr>
                            <w:rFonts w:asciiTheme="majorBidi" w:hAnsiTheme="majorBidi" w:cstheme="majorBidi"/>
                            <w:b/>
                            <w:bCs/>
                            <w:sz w:val="20"/>
                            <w:szCs w:val="20"/>
                          </w:rPr>
                          <w:t>Records that did not meet keyword mapping criteria</w:t>
                        </w:r>
                        <w:r w:rsidRPr="002B1106">
                          <w:rPr>
                            <w:rFonts w:asciiTheme="majorBidi" w:hAnsiTheme="majorBidi" w:cstheme="majorBidi"/>
                            <w:sz w:val="20"/>
                            <w:szCs w:val="20"/>
                          </w:rPr>
                          <w:br/>
                          <w:t>(n=342)</w:t>
                        </w:r>
                      </w:p>
                      <w:p w14:paraId="3F9ED94C" w14:textId="77777777" w:rsidR="008E01D0" w:rsidRPr="002B1106" w:rsidRDefault="008E01D0" w:rsidP="00334C85">
                        <w:pPr>
                          <w:jc w:val="center"/>
                          <w:rPr>
                            <w:rFonts w:asciiTheme="majorBidi" w:hAnsiTheme="majorBidi" w:cstheme="majorBidi"/>
                            <w:sz w:val="20"/>
                            <w:szCs w:val="20"/>
                            <w:lang w:val="en"/>
                          </w:rPr>
                        </w:pPr>
                      </w:p>
                    </w:txbxContent>
                  </v:textbox>
                </v:rect>
                <v:shape id="Straight Arrow Connector 85" o:spid="_x0000_s1052" type="#_x0000_t32" style="position:absolute;left:43977;top:24563;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" strokecolor="#5b9bd5" strokeweight=".5pt">
                  <v:stroke endarrow="block" joinstyle="miter"/>
                </v:shape>
                <v:shape id="Straight Arrow Connector 27" o:spid="_x0000_s1053" type="#_x0000_t32" style="position:absolute;left:40167;top:56983;width:0;height:7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" strokecolor="#5b9bd5" strokeweight=".5pt">
                  <v:stroke endarrow="block" joinstyle="miter"/>
                </v:shape>
                <v:rect id="Rectangle 19" o:spid="_x0000_s1054" style="position:absolute;left:29690;top:64508;width:28393;height:1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">
                  <v:textbox inset=",7.2pt,,7.2pt">
                    <w:txbxContent>
                      <w:p w14:paraId="130EF0AA" w14:textId="725841F0" w:rsidR="006209D3" w:rsidRPr="006209D3" w:rsidRDefault="008E01D0" w:rsidP="009F01D8">
                        <w:pPr>
                          <w:keepNext/>
                          <w:spacing w:before="360" w:after="200" w:line="240" w:lineRule="auto"/>
                          <w:jc w:val="both"/>
                          <w:rPr>
                            <w:sz w:val="20"/>
                            <w:szCs w:val="20"/>
                          </w:rPr>
                        </w:pPr>
                        <w:r w:rsidRPr="002B1106">
                          <w:rPr>
                            <w:rFonts w:cstheme="minorHAnsi"/>
                            <w:b/>
                            <w:bCs/>
                            <w:sz w:val="20"/>
                            <w:szCs w:val="20"/>
                          </w:rPr>
                          <w:t>RCTs and observational studies discussed narratively, excluded from synthesis</w:t>
                        </w:r>
                        <w:r w:rsidRPr="002B1106">
                          <w:rPr>
                            <w:rFonts w:cstheme="minorHAnsi"/>
                            <w:sz w:val="20"/>
                            <w:szCs w:val="20"/>
                          </w:rPr>
                          <w:br/>
                          <w:t xml:space="preserve">RCTs: n=4 (see </w:t>
                        </w:r>
                        <w:proofErr w:type="gramStart"/>
                        <w:r w:rsidRPr="002B1106">
                          <w:rPr>
                            <w:rFonts w:cstheme="minorHAnsi"/>
                            <w:sz w:val="20"/>
                            <w:szCs w:val="20"/>
                          </w:rPr>
                          <w:t xml:space="preserve">Appendix </w:t>
                        </w:r>
                        <w:r w:rsidR="00095157">
                          <w:rPr>
                            <w:rFonts w:cstheme="minorHAnsi"/>
                            <w:sz w:val="20"/>
                            <w:szCs w:val="20"/>
                          </w:rPr>
                          <w:t xml:space="preserve"> 6</w:t>
                        </w:r>
                        <w:proofErr w:type="gramEnd"/>
                        <w:r w:rsidR="00095157">
                          <w:rPr>
                            <w:rFonts w:cstheme="minorHAnsi"/>
                            <w:sz w:val="20"/>
                            <w:szCs w:val="20"/>
                          </w:rPr>
                          <w:t xml:space="preserve">, </w:t>
                        </w:r>
                        <w:r w:rsidR="00095157" w:rsidRPr="00095157">
                          <w:rPr>
                            <w:rFonts w:cstheme="minorHAnsi"/>
                            <w:b/>
                            <w:bCs/>
                            <w:sz w:val="20"/>
                            <w:szCs w:val="20"/>
                          </w:rPr>
                          <w:t>Table 53</w:t>
                        </w:r>
                        <w:r w:rsidR="00095157">
                          <w:rPr>
                            <w:rFonts w:cstheme="minorHAnsi"/>
                            <w:sz w:val="20"/>
                            <w:szCs w:val="20"/>
                          </w:rPr>
                          <w:t>)</w:t>
                        </w:r>
                      </w:p>
                      <w:p w14:paraId="2A8BF29C" w14:textId="0A8F213C" w:rsidR="008E01D0" w:rsidRPr="002B1106" w:rsidRDefault="008E01D0" w:rsidP="00334C85">
                        <w:pPr>
                          <w:spacing w:after="0"/>
                          <w:jc w:val="center"/>
                          <w:rPr>
                            <w:rFonts w:cstheme="minorHAnsi"/>
                            <w:sz w:val="20"/>
                            <w:szCs w:val="20"/>
                          </w:rPr>
                        </w:pPr>
                        <w:r w:rsidRPr="002B1106">
                          <w:rPr>
                            <w:rFonts w:cstheme="minorHAnsi"/>
                            <w:sz w:val="20"/>
                            <w:szCs w:val="20"/>
                          </w:rPr>
                          <w:t>Observational and case-control studies: n=9 (see Appendix 6)</w:t>
                        </w:r>
                      </w:p>
                    </w:txbxContent>
                  </v:textbox>
                </v:rect>
                <w10:anchorlock/>
              </v:group>
            </w:pict>
          </mc:Fallback>
        </mc:AlternateContent>
      </w:r>
      <w:r w:rsidR="00334C85" w:rsidRPr="006732B3">
        <w:rPr>
          <w:rFonts w:asciiTheme="majorBidi" w:hAnsiTheme="majorBidi" w:cstheme="majorBidi"/>
          <w:b/>
          <w:iCs/>
          <w:sz w:val="20"/>
          <w:szCs w:val="20"/>
        </w:rPr>
        <w:t xml:space="preserve">Figure </w:t>
      </w:r>
      <w:r w:rsidR="0021430F">
        <w:rPr>
          <w:rFonts w:asciiTheme="majorBidi" w:hAnsiTheme="majorBidi" w:cstheme="majorBidi"/>
          <w:b/>
          <w:iCs/>
          <w:noProof/>
          <w:sz w:val="20"/>
          <w:szCs w:val="20"/>
        </w:rPr>
        <w:t>1</w:t>
      </w:r>
      <w:r w:rsidR="00334C85" w:rsidRPr="006732B3">
        <w:rPr>
          <w:rFonts w:asciiTheme="majorBidi" w:hAnsiTheme="majorBidi" w:cstheme="majorBidi"/>
          <w:b/>
          <w:iCs/>
          <w:sz w:val="20"/>
          <w:szCs w:val="20"/>
        </w:rPr>
        <w:t>:  PRISMA Flow</w:t>
      </w:r>
      <w:r w:rsidR="003C7A63" w:rsidRPr="006732B3">
        <w:rPr>
          <w:rFonts w:asciiTheme="majorBidi" w:hAnsiTheme="majorBidi" w:cstheme="majorBidi"/>
          <w:b/>
          <w:iCs/>
          <w:sz w:val="20"/>
          <w:szCs w:val="20"/>
        </w:rPr>
        <w:t xml:space="preserve"> </w:t>
      </w:r>
      <w:bookmarkStart w:id="131" w:name="_Toc83300883"/>
      <w:bookmarkStart w:id="132" w:name="_Toc83821916"/>
      <w:r w:rsidR="003C7A63" w:rsidRPr="006732B3">
        <w:rPr>
          <w:rFonts w:asciiTheme="majorBidi" w:hAnsiTheme="majorBidi" w:cstheme="majorBidi"/>
          <w:b/>
          <w:iCs/>
          <w:sz w:val="20"/>
          <w:szCs w:val="20"/>
        </w:rPr>
        <w:t>diagram for the CAZ-AVI Clinical Effectiveness Review</w:t>
      </w:r>
      <w:bookmarkEnd w:id="131"/>
      <w:bookmarkEnd w:id="132"/>
      <w:bookmarkEnd w:id="130"/>
    </w:p>
    <w:p w14:paraId="4722C9D0" w14:textId="116FBD0A" w:rsidR="00095157" w:rsidRPr="006732B3" w:rsidRDefault="00095157" w:rsidP="003C7A63">
      <w:pPr>
        <w:keepNext/>
        <w:spacing w:before="360" w:after="200" w:line="240" w:lineRule="auto"/>
        <w:rPr>
          <w:rFonts w:asciiTheme="majorBidi" w:hAnsiTheme="majorBidi" w:cstheme="majorBidi"/>
          <w:b/>
          <w:iCs/>
          <w:sz w:val="20"/>
          <w:szCs w:val="20"/>
        </w:rPr>
        <w:sectPr w:rsidR="00095157" w:rsidRPr="006732B3" w:rsidSect="00885DFB">
          <w:headerReference w:type="default" r:id="rId15"/>
          <w:pgSz w:w="11906" w:h="16838"/>
          <w:pgMar w:top="1440" w:right="1440" w:bottom="1440" w:left="1440" w:header="708" w:footer="708" w:gutter="0"/>
          <w:cols w:space="708"/>
          <w:docGrid w:linePitch="360"/>
        </w:sectPr>
      </w:pPr>
    </w:p>
    <w:p w14:paraId="455D40BA" w14:textId="665B893D" w:rsidR="001A29DC" w:rsidRPr="006E4E83" w:rsidRDefault="001A29DC" w:rsidP="00B674A1">
      <w:pPr>
        <w:pStyle w:val="Heading3"/>
        <w:ind w:left="1276" w:hanging="567"/>
        <w:rPr>
          <w:rFonts w:asciiTheme="majorBidi" w:hAnsiTheme="majorBidi"/>
          <w:sz w:val="26"/>
          <w:szCs w:val="26"/>
        </w:rPr>
      </w:pPr>
      <w:bookmarkStart w:id="133" w:name="_Toc87462990"/>
      <w:r w:rsidRPr="006E4E83">
        <w:rPr>
          <w:rFonts w:asciiTheme="majorBidi" w:hAnsiTheme="majorBidi"/>
          <w:sz w:val="26"/>
          <w:szCs w:val="26"/>
        </w:rPr>
        <w:lastRenderedPageBreak/>
        <w:t>4.</w:t>
      </w:r>
      <w:r w:rsidR="00530B34" w:rsidRPr="006E4E83">
        <w:rPr>
          <w:rFonts w:asciiTheme="majorBidi" w:hAnsiTheme="majorBidi"/>
          <w:sz w:val="26"/>
          <w:szCs w:val="26"/>
        </w:rPr>
        <w:t>4.</w:t>
      </w:r>
      <w:r w:rsidR="002B12D8" w:rsidRPr="006E4E83">
        <w:rPr>
          <w:rFonts w:asciiTheme="majorBidi" w:hAnsiTheme="majorBidi"/>
          <w:sz w:val="26"/>
          <w:szCs w:val="26"/>
        </w:rPr>
        <w:t>2</w:t>
      </w:r>
      <w:r w:rsidR="00F10F0A" w:rsidRPr="006E4E83">
        <w:rPr>
          <w:rFonts w:asciiTheme="majorBidi" w:hAnsiTheme="majorBidi"/>
          <w:sz w:val="26"/>
          <w:szCs w:val="26"/>
        </w:rPr>
        <w:t xml:space="preserve"> </w:t>
      </w:r>
      <w:r w:rsidRPr="006E4E83">
        <w:rPr>
          <w:rFonts w:asciiTheme="majorBidi" w:hAnsiTheme="majorBidi"/>
          <w:sz w:val="26"/>
          <w:szCs w:val="26"/>
        </w:rPr>
        <w:t>Review</w:t>
      </w:r>
      <w:r w:rsidR="00C07A38" w:rsidRPr="006E4E83">
        <w:rPr>
          <w:rFonts w:asciiTheme="majorBidi" w:hAnsiTheme="majorBidi"/>
          <w:sz w:val="26"/>
          <w:szCs w:val="26"/>
        </w:rPr>
        <w:t>s</w:t>
      </w:r>
      <w:r w:rsidRPr="006E4E83">
        <w:rPr>
          <w:rFonts w:asciiTheme="majorBidi" w:hAnsiTheme="majorBidi"/>
          <w:sz w:val="26"/>
          <w:szCs w:val="26"/>
        </w:rPr>
        <w:t xml:space="preserve"> 1 &amp; 2</w:t>
      </w:r>
      <w:bookmarkEnd w:id="133"/>
    </w:p>
    <w:p w14:paraId="1CD5909A" w14:textId="280EAAF9" w:rsidR="002129B3" w:rsidRDefault="00E62673" w:rsidP="002129B3">
      <w:pPr>
        <w:spacing w:line="360" w:lineRule="auto"/>
        <w:jc w:val="both"/>
        <w:rPr>
          <w:rFonts w:asciiTheme="majorBidi" w:hAnsiTheme="majorBidi" w:cstheme="majorBidi"/>
        </w:rPr>
      </w:pPr>
      <w:r>
        <w:rPr>
          <w:rFonts w:asciiTheme="majorBidi" w:hAnsiTheme="majorBidi" w:cstheme="majorBidi"/>
        </w:rPr>
        <w:t xml:space="preserve">The results of review questions 1 &amp; 2 are reported in full in Appendix </w:t>
      </w:r>
      <w:r w:rsidR="00C27ADC">
        <w:rPr>
          <w:rFonts w:asciiTheme="majorBidi" w:hAnsiTheme="majorBidi" w:cstheme="majorBidi"/>
        </w:rPr>
        <w:t>6</w:t>
      </w:r>
      <w:r>
        <w:rPr>
          <w:rFonts w:asciiTheme="majorBidi" w:hAnsiTheme="majorBidi" w:cstheme="majorBidi"/>
        </w:rPr>
        <w:t xml:space="preserve">. </w:t>
      </w:r>
      <w:proofErr w:type="gramStart"/>
      <w:r w:rsidR="002129B3">
        <w:rPr>
          <w:rFonts w:asciiTheme="majorBidi" w:hAnsiTheme="majorBidi" w:cstheme="majorBidi"/>
        </w:rPr>
        <w:t>A brief summary</w:t>
      </w:r>
      <w:proofErr w:type="gramEnd"/>
      <w:r w:rsidR="002129B3">
        <w:rPr>
          <w:rFonts w:asciiTheme="majorBidi" w:hAnsiTheme="majorBidi" w:cstheme="majorBidi"/>
        </w:rPr>
        <w:t xml:space="preserve"> of the </w:t>
      </w:r>
      <w:r w:rsidR="007C32F4">
        <w:rPr>
          <w:rFonts w:asciiTheme="majorBidi" w:hAnsiTheme="majorBidi" w:cstheme="majorBidi"/>
        </w:rPr>
        <w:t>findings</w:t>
      </w:r>
      <w:r w:rsidR="002129B3">
        <w:rPr>
          <w:rFonts w:asciiTheme="majorBidi" w:hAnsiTheme="majorBidi" w:cstheme="majorBidi"/>
        </w:rPr>
        <w:t xml:space="preserve"> for each is provide here. </w:t>
      </w:r>
    </w:p>
    <w:p w14:paraId="5566AB83" w14:textId="2192C35E" w:rsidR="001A29DC" w:rsidRDefault="002129B3" w:rsidP="00A83123">
      <w:pPr>
        <w:spacing w:line="360" w:lineRule="auto"/>
        <w:jc w:val="both"/>
        <w:rPr>
          <w:rFonts w:asciiTheme="majorBidi" w:hAnsiTheme="majorBidi" w:cstheme="majorBidi"/>
        </w:rPr>
      </w:pPr>
      <w:r w:rsidRPr="002129B3">
        <w:rPr>
          <w:rFonts w:asciiTheme="majorBidi" w:hAnsiTheme="majorBidi" w:cstheme="majorBidi"/>
          <w:b/>
          <w:bCs/>
        </w:rPr>
        <w:t>Review 1:</w:t>
      </w:r>
      <w:r>
        <w:rPr>
          <w:rFonts w:asciiTheme="majorBidi" w:hAnsiTheme="majorBidi" w:cstheme="majorBidi"/>
        </w:rPr>
        <w:t xml:space="preserve"> </w:t>
      </w:r>
      <w:r w:rsidR="007111E6">
        <w:rPr>
          <w:rFonts w:asciiTheme="majorBidi" w:hAnsiTheme="majorBidi" w:cstheme="majorBidi"/>
        </w:rPr>
        <w:t>Four</w:t>
      </w:r>
      <w:r w:rsidR="00696B65">
        <w:rPr>
          <w:rFonts w:asciiTheme="majorBidi" w:hAnsiTheme="majorBidi" w:cstheme="majorBidi"/>
        </w:rPr>
        <w:t xml:space="preserve"> </w:t>
      </w:r>
      <w:r w:rsidR="00A83123" w:rsidRPr="00A83123">
        <w:rPr>
          <w:rFonts w:asciiTheme="majorBidi" w:hAnsiTheme="majorBidi" w:cstheme="majorBidi"/>
          <w:noProof/>
          <w:vertAlign w:val="superscript"/>
        </w:rPr>
        <w:t>32-35</w:t>
      </w:r>
      <w:r w:rsidR="00614E28">
        <w:rPr>
          <w:rFonts w:asciiTheme="majorBidi" w:hAnsiTheme="majorBidi" w:cstheme="majorBidi"/>
        </w:rPr>
        <w:t xml:space="preserve"> RCTs </w:t>
      </w:r>
      <w:r w:rsidR="007C32F4">
        <w:rPr>
          <w:rFonts w:asciiTheme="majorBidi" w:hAnsiTheme="majorBidi" w:cstheme="majorBidi"/>
        </w:rPr>
        <w:t xml:space="preserve">in </w:t>
      </w:r>
      <w:proofErr w:type="spellStart"/>
      <w:r w:rsidR="007C32F4">
        <w:rPr>
          <w:rFonts w:asciiTheme="majorBidi" w:hAnsiTheme="majorBidi" w:cstheme="majorBidi"/>
        </w:rPr>
        <w:t>cUTI</w:t>
      </w:r>
      <w:proofErr w:type="spellEnd"/>
      <w:r w:rsidR="007C32F4">
        <w:rPr>
          <w:rFonts w:asciiTheme="majorBidi" w:hAnsiTheme="majorBidi" w:cstheme="majorBidi"/>
        </w:rPr>
        <w:t xml:space="preserve"> and HAP/VAP </w:t>
      </w:r>
      <w:r w:rsidR="00614E28">
        <w:rPr>
          <w:rFonts w:asciiTheme="majorBidi" w:hAnsiTheme="majorBidi" w:cstheme="majorBidi"/>
        </w:rPr>
        <w:t xml:space="preserve">were </w:t>
      </w:r>
      <w:proofErr w:type="gramStart"/>
      <w:r w:rsidR="00614E28">
        <w:rPr>
          <w:rFonts w:asciiTheme="majorBidi" w:hAnsiTheme="majorBidi" w:cstheme="majorBidi"/>
        </w:rPr>
        <w:t xml:space="preserve">identified, </w:t>
      </w:r>
      <w:r>
        <w:rPr>
          <w:rFonts w:asciiTheme="majorBidi" w:hAnsiTheme="majorBidi" w:cstheme="majorBidi"/>
        </w:rPr>
        <w:t>but</w:t>
      </w:r>
      <w:proofErr w:type="gramEnd"/>
      <w:r>
        <w:rPr>
          <w:rFonts w:asciiTheme="majorBidi" w:hAnsiTheme="majorBidi" w:cstheme="majorBidi"/>
        </w:rPr>
        <w:t xml:space="preserve"> recruited largely carbapenem-susceptible infections </w:t>
      </w:r>
      <w:r w:rsidRPr="00885DFB">
        <w:rPr>
          <w:rFonts w:asciiTheme="majorBidi" w:hAnsiTheme="majorBidi" w:cstheme="majorBidi"/>
        </w:rPr>
        <w:t>and therefore had low relevance to the HVCSs. Two trials</w:t>
      </w:r>
      <w:r w:rsidR="00A83123" w:rsidRPr="00A83123">
        <w:rPr>
          <w:rFonts w:asciiTheme="majorBidi" w:hAnsiTheme="majorBidi" w:cstheme="majorBidi"/>
          <w:noProof/>
          <w:vertAlign w:val="superscript"/>
        </w:rPr>
        <w:t>32,35</w:t>
      </w:r>
      <w:r w:rsidRPr="00885DFB">
        <w:rPr>
          <w:rFonts w:asciiTheme="majorBidi" w:hAnsiTheme="majorBidi" w:cstheme="majorBidi"/>
        </w:rPr>
        <w:t xml:space="preserve"> reported a small number of OXA-48 infections (</w:t>
      </w:r>
      <w:r w:rsidR="00994836" w:rsidRPr="00994836">
        <w:rPr>
          <w:rFonts w:asciiTheme="majorBidi" w:hAnsiTheme="majorBidi" w:cstheme="majorBidi"/>
        </w:rPr>
        <w:t>Table 6</w:t>
      </w:r>
      <w:r w:rsidRPr="00885DFB">
        <w:rPr>
          <w:rFonts w:asciiTheme="majorBidi" w:hAnsiTheme="majorBidi" w:cstheme="majorBidi"/>
        </w:rPr>
        <w:t>, n=3 in each study</w:t>
      </w:r>
      <w:r w:rsidR="000C15B2">
        <w:rPr>
          <w:rFonts w:asciiTheme="majorBidi" w:hAnsiTheme="majorBidi" w:cstheme="majorBidi"/>
        </w:rPr>
        <w:t xml:space="preserve">, see </w:t>
      </w:r>
      <w:r w:rsidR="000C15B2" w:rsidRPr="000C15B2">
        <w:rPr>
          <w:rFonts w:asciiTheme="majorBidi" w:hAnsiTheme="majorBidi" w:cstheme="majorBidi"/>
          <w:iCs/>
        </w:rPr>
        <w:t xml:space="preserve">Table </w:t>
      </w:r>
      <w:r w:rsidR="000C15B2" w:rsidRPr="000C15B2">
        <w:rPr>
          <w:rFonts w:asciiTheme="majorBidi" w:hAnsiTheme="majorBidi" w:cstheme="majorBidi"/>
          <w:iCs/>
          <w:noProof/>
        </w:rPr>
        <w:t>53</w:t>
      </w:r>
      <w:r w:rsidR="001E35F5">
        <w:rPr>
          <w:rFonts w:asciiTheme="majorBidi" w:hAnsiTheme="majorBidi" w:cstheme="majorBidi"/>
        </w:rPr>
        <w:t xml:space="preserve"> in the appendices for further detail</w:t>
      </w:r>
      <w:r w:rsidRPr="000C15B2">
        <w:rPr>
          <w:rFonts w:asciiTheme="majorBidi" w:hAnsiTheme="majorBidi" w:cstheme="majorBidi"/>
        </w:rPr>
        <w:t>),</w:t>
      </w:r>
      <w:r w:rsidRPr="00885DFB">
        <w:rPr>
          <w:rFonts w:asciiTheme="majorBidi" w:hAnsiTheme="majorBidi" w:cstheme="majorBidi"/>
        </w:rPr>
        <w:t xml:space="preserve"> but outcome data was not reported for these patients separately. </w:t>
      </w:r>
      <w:r w:rsidR="00614E28">
        <w:rPr>
          <w:rFonts w:asciiTheme="majorBidi" w:hAnsiTheme="majorBidi" w:cstheme="majorBidi"/>
        </w:rPr>
        <w:t xml:space="preserve"> </w:t>
      </w:r>
      <w:r w:rsidR="001648C3">
        <w:rPr>
          <w:rFonts w:asciiTheme="majorBidi" w:hAnsiTheme="majorBidi" w:cstheme="majorBidi"/>
        </w:rPr>
        <w:t>The RCTs indicated CAZ-AVI was an effective treatment in the sites of interest.</w:t>
      </w:r>
    </w:p>
    <w:p w14:paraId="4683E33D" w14:textId="716CAD65" w:rsidR="002129B3" w:rsidRDefault="002129B3" w:rsidP="00A83123">
      <w:pPr>
        <w:spacing w:line="360" w:lineRule="auto"/>
        <w:jc w:val="both"/>
        <w:rPr>
          <w:rFonts w:asciiTheme="majorBidi" w:hAnsiTheme="majorBidi" w:cstheme="majorBidi"/>
        </w:rPr>
      </w:pPr>
      <w:r w:rsidRPr="002129B3">
        <w:rPr>
          <w:rFonts w:asciiTheme="majorBidi" w:hAnsiTheme="majorBidi" w:cstheme="majorBidi"/>
          <w:b/>
          <w:bCs/>
        </w:rPr>
        <w:t>Review 2:</w:t>
      </w:r>
      <w:r>
        <w:rPr>
          <w:rFonts w:asciiTheme="majorBidi" w:hAnsiTheme="majorBidi" w:cstheme="majorBidi"/>
        </w:rPr>
        <w:t xml:space="preserve"> Six</w:t>
      </w:r>
      <w:r w:rsidR="00696B65">
        <w:rPr>
          <w:rFonts w:asciiTheme="majorBidi" w:hAnsiTheme="majorBidi" w:cstheme="majorBidi"/>
        </w:rPr>
        <w:t xml:space="preserve"> </w:t>
      </w:r>
      <w:r w:rsidR="00A83123" w:rsidRPr="00A83123">
        <w:rPr>
          <w:rFonts w:asciiTheme="majorBidi" w:hAnsiTheme="majorBidi" w:cstheme="majorBidi"/>
          <w:noProof/>
          <w:vertAlign w:val="superscript"/>
        </w:rPr>
        <w:t>36-</w:t>
      </w:r>
      <w:proofErr w:type="gramStart"/>
      <w:r w:rsidR="00A83123" w:rsidRPr="00A83123">
        <w:rPr>
          <w:rFonts w:asciiTheme="majorBidi" w:hAnsiTheme="majorBidi" w:cstheme="majorBidi"/>
          <w:noProof/>
          <w:vertAlign w:val="superscript"/>
        </w:rPr>
        <w:t>41</w:t>
      </w:r>
      <w:r w:rsidR="003C7A63" w:rsidRPr="00885DFB">
        <w:rPr>
          <w:rFonts w:asciiTheme="majorBidi" w:hAnsiTheme="majorBidi" w:cstheme="majorBidi"/>
        </w:rPr>
        <w:t xml:space="preserve"> </w:t>
      </w:r>
      <w:r>
        <w:rPr>
          <w:rFonts w:asciiTheme="majorBidi" w:hAnsiTheme="majorBidi" w:cstheme="majorBidi"/>
        </w:rPr>
        <w:t xml:space="preserve"> observational</w:t>
      </w:r>
      <w:proofErr w:type="gramEnd"/>
      <w:r>
        <w:rPr>
          <w:rFonts w:asciiTheme="majorBidi" w:hAnsiTheme="majorBidi" w:cstheme="majorBidi"/>
        </w:rPr>
        <w:t xml:space="preserve"> studies report</w:t>
      </w:r>
      <w:r w:rsidR="007C32F4">
        <w:rPr>
          <w:rFonts w:asciiTheme="majorBidi" w:hAnsiTheme="majorBidi" w:cstheme="majorBidi"/>
        </w:rPr>
        <w:t>ing</w:t>
      </w:r>
      <w:r>
        <w:rPr>
          <w:rFonts w:asciiTheme="majorBidi" w:hAnsiTheme="majorBidi" w:cstheme="majorBidi"/>
        </w:rPr>
        <w:t xml:space="preserve"> outcomes for patients with OXA-48 infections treated with CAZ-AVI</w:t>
      </w:r>
      <w:r w:rsidR="003C7A63">
        <w:rPr>
          <w:rFonts w:asciiTheme="majorBidi" w:hAnsiTheme="majorBidi" w:cstheme="majorBidi"/>
        </w:rPr>
        <w:t xml:space="preserve"> were identified. </w:t>
      </w:r>
      <w:r w:rsidRPr="00885DFB">
        <w:rPr>
          <w:rFonts w:asciiTheme="majorBidi" w:hAnsiTheme="majorBidi" w:cstheme="majorBidi"/>
        </w:rPr>
        <w:t xml:space="preserve">However, all reported infections across a range of sites, and in none of these was it possible to separate out patients with </w:t>
      </w:r>
      <w:proofErr w:type="spellStart"/>
      <w:r w:rsidRPr="00885DFB">
        <w:rPr>
          <w:rFonts w:asciiTheme="majorBidi" w:hAnsiTheme="majorBidi" w:cstheme="majorBidi"/>
        </w:rPr>
        <w:t>cUTI</w:t>
      </w:r>
      <w:proofErr w:type="spellEnd"/>
      <w:r w:rsidRPr="00885DFB">
        <w:rPr>
          <w:rFonts w:asciiTheme="majorBidi" w:hAnsiTheme="majorBidi" w:cstheme="majorBidi"/>
        </w:rPr>
        <w:t xml:space="preserve"> or HAP/VAP.</w:t>
      </w:r>
      <w:r>
        <w:rPr>
          <w:rFonts w:asciiTheme="majorBidi" w:hAnsiTheme="majorBidi" w:cstheme="majorBidi"/>
        </w:rPr>
        <w:t xml:space="preserve"> Three observational studies reported outcomes for patients </w:t>
      </w:r>
      <w:r w:rsidRPr="00885DFB">
        <w:rPr>
          <w:rFonts w:asciiTheme="majorBidi" w:hAnsiTheme="majorBidi" w:cstheme="majorBidi"/>
        </w:rPr>
        <w:t xml:space="preserve">treated on the suspicion of a </w:t>
      </w:r>
      <w:r w:rsidR="007C6FC0">
        <w:rPr>
          <w:rFonts w:asciiTheme="majorBidi" w:hAnsiTheme="majorBidi" w:cstheme="majorBidi"/>
        </w:rPr>
        <w:t>carbapenem-resistant</w:t>
      </w:r>
      <w:r w:rsidRPr="00885DFB">
        <w:rPr>
          <w:rFonts w:asciiTheme="majorBidi" w:hAnsiTheme="majorBidi" w:cstheme="majorBidi"/>
        </w:rPr>
        <w:t xml:space="preserve"> infection</w:t>
      </w:r>
      <w:r w:rsidR="007C32F4">
        <w:rPr>
          <w:rFonts w:asciiTheme="majorBidi" w:hAnsiTheme="majorBidi" w:cstheme="majorBidi"/>
        </w:rPr>
        <w:t>, which may have been relevant to the ES</w:t>
      </w:r>
      <w:r>
        <w:rPr>
          <w:rFonts w:asciiTheme="majorBidi" w:hAnsiTheme="majorBidi" w:cstheme="majorBidi"/>
        </w:rPr>
        <w:t xml:space="preserve">. </w:t>
      </w:r>
      <w:r w:rsidR="003C7A63" w:rsidRPr="00885DFB">
        <w:rPr>
          <w:rFonts w:asciiTheme="majorBidi" w:hAnsiTheme="majorBidi" w:cstheme="majorBidi"/>
        </w:rPr>
        <w:t xml:space="preserve">However, again, no studies reported results for HAP/VAP or </w:t>
      </w:r>
      <w:proofErr w:type="spellStart"/>
      <w:r w:rsidR="003C7A63" w:rsidRPr="00885DFB">
        <w:rPr>
          <w:rFonts w:asciiTheme="majorBidi" w:hAnsiTheme="majorBidi" w:cstheme="majorBidi"/>
        </w:rPr>
        <w:t>cUTI</w:t>
      </w:r>
      <w:proofErr w:type="spellEnd"/>
      <w:r w:rsidR="003C7A63" w:rsidRPr="00885DFB">
        <w:rPr>
          <w:rFonts w:asciiTheme="majorBidi" w:hAnsiTheme="majorBidi" w:cstheme="majorBidi"/>
        </w:rPr>
        <w:t xml:space="preserve"> alone and </w:t>
      </w:r>
      <w:r w:rsidR="003432D7" w:rsidRPr="00885DFB">
        <w:rPr>
          <w:rFonts w:asciiTheme="majorBidi" w:hAnsiTheme="majorBidi" w:cstheme="majorBidi"/>
        </w:rPr>
        <w:t xml:space="preserve">two </w:t>
      </w:r>
      <w:r w:rsidR="00A83123" w:rsidRPr="00A83123">
        <w:rPr>
          <w:rFonts w:asciiTheme="majorBidi" w:hAnsiTheme="majorBidi" w:cstheme="majorBidi"/>
          <w:noProof/>
          <w:vertAlign w:val="superscript"/>
        </w:rPr>
        <w:t>42,43</w:t>
      </w:r>
      <w:r w:rsidR="003C7A63" w:rsidRPr="00885DFB">
        <w:rPr>
          <w:rFonts w:asciiTheme="majorBidi" w:hAnsiTheme="majorBidi" w:cstheme="majorBidi"/>
        </w:rPr>
        <w:t xml:space="preserve"> reported a mixture of patients treated in the MDS and ES</w:t>
      </w:r>
      <w:r w:rsidR="00BE1BC4">
        <w:rPr>
          <w:rFonts w:asciiTheme="majorBidi" w:hAnsiTheme="majorBidi" w:cstheme="majorBidi"/>
        </w:rPr>
        <w:t>; there was insufficient time to obtain IPD</w:t>
      </w:r>
      <w:r w:rsidR="003C7A63" w:rsidRPr="00885DFB">
        <w:rPr>
          <w:rFonts w:asciiTheme="majorBidi" w:hAnsiTheme="majorBidi" w:cstheme="majorBidi"/>
        </w:rPr>
        <w:t>.</w:t>
      </w:r>
      <w:r w:rsidR="001E35F5">
        <w:rPr>
          <w:rFonts w:asciiTheme="majorBidi" w:hAnsiTheme="majorBidi" w:cstheme="majorBidi"/>
        </w:rPr>
        <w:t xml:space="preserve"> The studies </w:t>
      </w:r>
      <w:r w:rsidR="001E35F5" w:rsidRPr="001E35F5">
        <w:rPr>
          <w:rFonts w:asciiTheme="majorBidi" w:hAnsiTheme="majorBidi" w:cstheme="majorBidi"/>
        </w:rPr>
        <w:t>were of a small sample size and were highly heterogeneous in terms of key characteristics that are prognostic and expected to modify treatment response (</w:t>
      </w:r>
      <w:proofErr w:type="gramStart"/>
      <w:r w:rsidR="001E35F5" w:rsidRPr="001E35F5">
        <w:rPr>
          <w:rFonts w:asciiTheme="majorBidi" w:hAnsiTheme="majorBidi" w:cstheme="majorBidi"/>
        </w:rPr>
        <w:t>e.g.</w:t>
      </w:r>
      <w:proofErr w:type="gramEnd"/>
      <w:r w:rsidR="001E35F5" w:rsidRPr="001E35F5">
        <w:rPr>
          <w:rFonts w:asciiTheme="majorBidi" w:hAnsiTheme="majorBidi" w:cstheme="majorBidi"/>
        </w:rPr>
        <w:t xml:space="preserve"> site, pathogen, treatment line), limiting the conclusions that could be drawn from them and increasing the likely uncertainty associated with any synthesis performed.</w:t>
      </w:r>
    </w:p>
    <w:p w14:paraId="22DE5731" w14:textId="2F9708FE" w:rsidR="003C7A63" w:rsidRDefault="003C7A63" w:rsidP="002129B3">
      <w:pPr>
        <w:spacing w:line="360" w:lineRule="auto"/>
        <w:jc w:val="both"/>
        <w:rPr>
          <w:rFonts w:asciiTheme="majorBidi" w:hAnsiTheme="majorBidi" w:cstheme="majorBidi"/>
        </w:rPr>
      </w:pPr>
      <w:r>
        <w:rPr>
          <w:rFonts w:asciiTheme="majorBidi" w:hAnsiTheme="majorBidi" w:cstheme="majorBidi"/>
        </w:rPr>
        <w:t xml:space="preserve">Approaches 1 and 2 </w:t>
      </w:r>
      <w:r w:rsidR="007C32F4">
        <w:rPr>
          <w:rFonts w:asciiTheme="majorBidi" w:hAnsiTheme="majorBidi" w:cstheme="majorBidi"/>
        </w:rPr>
        <w:t>could therefore not be</w:t>
      </w:r>
      <w:r>
        <w:rPr>
          <w:rFonts w:asciiTheme="majorBidi" w:hAnsiTheme="majorBidi" w:cstheme="majorBidi"/>
        </w:rPr>
        <w:t xml:space="preserve"> pursued</w:t>
      </w:r>
      <w:r w:rsidR="007C32F4">
        <w:rPr>
          <w:rFonts w:asciiTheme="majorBidi" w:hAnsiTheme="majorBidi" w:cstheme="majorBidi"/>
        </w:rPr>
        <w:t xml:space="preserve"> since </w:t>
      </w:r>
      <w:r w:rsidR="007B56D0">
        <w:rPr>
          <w:rFonts w:asciiTheme="majorBidi" w:hAnsiTheme="majorBidi" w:cstheme="majorBidi"/>
        </w:rPr>
        <w:t xml:space="preserve">there was a lack of </w:t>
      </w:r>
      <w:r w:rsidR="007C32F4">
        <w:rPr>
          <w:rFonts w:asciiTheme="majorBidi" w:hAnsiTheme="majorBidi" w:cstheme="majorBidi"/>
        </w:rPr>
        <w:t xml:space="preserve">evidence relating to </w:t>
      </w:r>
      <w:proofErr w:type="spellStart"/>
      <w:r w:rsidR="007C32F4">
        <w:rPr>
          <w:rFonts w:asciiTheme="majorBidi" w:hAnsiTheme="majorBidi" w:cstheme="majorBidi"/>
        </w:rPr>
        <w:t>cUTI</w:t>
      </w:r>
      <w:proofErr w:type="spellEnd"/>
      <w:r w:rsidR="007C32F4">
        <w:rPr>
          <w:rFonts w:asciiTheme="majorBidi" w:hAnsiTheme="majorBidi" w:cstheme="majorBidi"/>
        </w:rPr>
        <w:t xml:space="preserve"> and HAP/VAP infections caused by OXA-48s </w:t>
      </w:r>
      <w:r w:rsidR="007B56D0">
        <w:rPr>
          <w:rFonts w:asciiTheme="majorBidi" w:hAnsiTheme="majorBidi" w:cstheme="majorBidi"/>
        </w:rPr>
        <w:t>to inform an assessment of comparative effectiveness</w:t>
      </w:r>
      <w:r>
        <w:rPr>
          <w:rFonts w:asciiTheme="majorBidi" w:hAnsiTheme="majorBidi" w:cstheme="majorBidi"/>
        </w:rPr>
        <w:t xml:space="preserve">. Approach 3 was considered the most viable option, and reviews relating to this approach are described in the remainder of this chapter (Chapter 4).  </w:t>
      </w:r>
    </w:p>
    <w:p w14:paraId="1CD1E0CC" w14:textId="6042D757" w:rsidR="008D0C90" w:rsidRPr="006E4E83" w:rsidRDefault="008B52BD" w:rsidP="00B674A1">
      <w:pPr>
        <w:pStyle w:val="Heading3"/>
        <w:ind w:left="1276" w:hanging="567"/>
        <w:rPr>
          <w:rFonts w:asciiTheme="majorBidi" w:hAnsiTheme="majorBidi"/>
          <w:sz w:val="26"/>
          <w:szCs w:val="26"/>
        </w:rPr>
      </w:pPr>
      <w:bookmarkStart w:id="134" w:name="_Toc87462991"/>
      <w:r w:rsidRPr="006E4E83">
        <w:rPr>
          <w:rFonts w:asciiTheme="majorBidi" w:hAnsiTheme="majorBidi"/>
          <w:sz w:val="26"/>
          <w:szCs w:val="26"/>
        </w:rPr>
        <w:t>4.</w:t>
      </w:r>
      <w:r w:rsidR="00530B34" w:rsidRPr="006E4E83">
        <w:rPr>
          <w:rFonts w:asciiTheme="majorBidi" w:hAnsiTheme="majorBidi"/>
          <w:sz w:val="26"/>
          <w:szCs w:val="26"/>
        </w:rPr>
        <w:t>4.</w:t>
      </w:r>
      <w:r w:rsidR="002B12D8" w:rsidRPr="006E4E83">
        <w:rPr>
          <w:rFonts w:asciiTheme="majorBidi" w:hAnsiTheme="majorBidi"/>
          <w:sz w:val="26"/>
          <w:szCs w:val="26"/>
        </w:rPr>
        <w:t>3</w:t>
      </w:r>
      <w:r w:rsidR="00F10F0A" w:rsidRPr="006E4E83">
        <w:rPr>
          <w:rFonts w:asciiTheme="majorBidi" w:hAnsiTheme="majorBidi"/>
          <w:sz w:val="26"/>
          <w:szCs w:val="26"/>
        </w:rPr>
        <w:t xml:space="preserve"> </w:t>
      </w:r>
      <w:r w:rsidR="00E62673" w:rsidRPr="006E4E83">
        <w:rPr>
          <w:rFonts w:asciiTheme="majorBidi" w:hAnsiTheme="majorBidi"/>
          <w:sz w:val="26"/>
          <w:szCs w:val="26"/>
        </w:rPr>
        <w:t>Revie</w:t>
      </w:r>
      <w:r w:rsidR="00C07A38" w:rsidRPr="006E4E83">
        <w:rPr>
          <w:rFonts w:asciiTheme="majorBidi" w:hAnsiTheme="majorBidi"/>
          <w:sz w:val="26"/>
          <w:szCs w:val="26"/>
        </w:rPr>
        <w:t>w 3</w:t>
      </w:r>
      <w:bookmarkEnd w:id="134"/>
    </w:p>
    <w:p w14:paraId="58878D56" w14:textId="161F3811" w:rsidR="00334C85" w:rsidRPr="00685394" w:rsidRDefault="007F06E1" w:rsidP="00685394">
      <w:pPr>
        <w:keepNext/>
        <w:keepLines/>
        <w:spacing w:before="240" w:after="120" w:line="360" w:lineRule="auto"/>
        <w:outlineLvl w:val="3"/>
        <w:rPr>
          <w:rFonts w:asciiTheme="majorBidi" w:eastAsiaTheme="majorEastAsia" w:hAnsiTheme="majorBidi" w:cs="Times New Roman"/>
          <w:b/>
          <w:sz w:val="26"/>
          <w:szCs w:val="26"/>
        </w:rPr>
      </w:pPr>
      <w:bookmarkStart w:id="135" w:name="_Hlk85194334"/>
      <w:r w:rsidRPr="00685394">
        <w:rPr>
          <w:rFonts w:asciiTheme="majorBidi" w:eastAsiaTheme="majorEastAsia" w:hAnsiTheme="majorBidi" w:cs="Times New Roman"/>
          <w:b/>
          <w:sz w:val="26"/>
          <w:szCs w:val="26"/>
        </w:rPr>
        <w:t>4.4.</w:t>
      </w:r>
      <w:r w:rsidR="006E4E83">
        <w:rPr>
          <w:rFonts w:asciiTheme="majorBidi" w:eastAsiaTheme="majorEastAsia" w:hAnsiTheme="majorBidi" w:cs="Times New Roman"/>
          <w:b/>
          <w:sz w:val="26"/>
          <w:szCs w:val="26"/>
        </w:rPr>
        <w:t>3</w:t>
      </w:r>
      <w:r w:rsidRPr="00685394">
        <w:rPr>
          <w:rFonts w:asciiTheme="majorBidi" w:eastAsiaTheme="majorEastAsia" w:hAnsiTheme="majorBidi" w:cs="Times New Roman"/>
          <w:b/>
          <w:sz w:val="26"/>
          <w:szCs w:val="26"/>
        </w:rPr>
        <w:t>.1</w:t>
      </w:r>
      <w:r w:rsidRPr="00685394">
        <w:rPr>
          <w:rFonts w:asciiTheme="majorBidi" w:eastAsiaTheme="majorEastAsia" w:hAnsiTheme="majorBidi" w:cs="Times New Roman"/>
          <w:b/>
          <w:sz w:val="26"/>
          <w:szCs w:val="26"/>
        </w:rPr>
        <w:tab/>
      </w:r>
      <w:r w:rsidR="00F10F0A" w:rsidRPr="00685394">
        <w:rPr>
          <w:rFonts w:asciiTheme="majorBidi" w:eastAsiaTheme="majorEastAsia" w:hAnsiTheme="majorBidi" w:cs="Times New Roman"/>
          <w:b/>
          <w:sz w:val="26"/>
          <w:szCs w:val="26"/>
        </w:rPr>
        <w:t xml:space="preserve"> </w:t>
      </w:r>
      <w:r w:rsidR="00334C85" w:rsidRPr="00685394">
        <w:rPr>
          <w:rFonts w:asciiTheme="majorBidi" w:eastAsiaTheme="majorEastAsia" w:hAnsiTheme="majorBidi" w:cs="Times New Roman"/>
          <w:b/>
          <w:sz w:val="26"/>
          <w:szCs w:val="26"/>
        </w:rPr>
        <w:t xml:space="preserve">Studies reporting the susceptibility of </w:t>
      </w:r>
      <w:r w:rsidR="00FE2007" w:rsidRPr="00685394">
        <w:rPr>
          <w:rFonts w:asciiTheme="majorBidi" w:eastAsiaTheme="majorEastAsia" w:hAnsiTheme="majorBidi" w:cs="Times New Roman"/>
          <w:b/>
          <w:sz w:val="26"/>
          <w:szCs w:val="26"/>
        </w:rPr>
        <w:t xml:space="preserve">OXA-48 </w:t>
      </w:r>
      <w:proofErr w:type="spellStart"/>
      <w:r w:rsidR="00FE2007" w:rsidRPr="00685394">
        <w:rPr>
          <w:rFonts w:asciiTheme="majorBidi" w:eastAsiaTheme="majorEastAsia" w:hAnsiTheme="majorBidi" w:cs="Times New Roman"/>
          <w:b/>
          <w:sz w:val="26"/>
          <w:szCs w:val="26"/>
        </w:rPr>
        <w:t>Enterobacterales</w:t>
      </w:r>
      <w:proofErr w:type="spellEnd"/>
      <w:r w:rsidR="00334C85" w:rsidRPr="00685394">
        <w:rPr>
          <w:rFonts w:asciiTheme="majorBidi" w:eastAsiaTheme="majorEastAsia" w:hAnsiTheme="majorBidi" w:cs="Times New Roman"/>
          <w:b/>
          <w:sz w:val="26"/>
          <w:szCs w:val="26"/>
        </w:rPr>
        <w:t xml:space="preserve"> isolates to CAZ-AVI and at least one comparator</w:t>
      </w:r>
    </w:p>
    <w:bookmarkEnd w:id="135"/>
    <w:p w14:paraId="12456D7B" w14:textId="03789104" w:rsidR="00CC7CB4" w:rsidRDefault="000A755B" w:rsidP="00A83123">
      <w:pPr>
        <w:spacing w:after="120" w:line="360" w:lineRule="auto"/>
        <w:jc w:val="both"/>
        <w:rPr>
          <w:rFonts w:asciiTheme="majorBidi" w:hAnsiTheme="majorBidi" w:cstheme="majorBidi"/>
        </w:rPr>
      </w:pPr>
      <w:r>
        <w:rPr>
          <w:rFonts w:asciiTheme="majorBidi" w:hAnsiTheme="majorBidi" w:cstheme="majorBidi"/>
        </w:rPr>
        <w:t>Fifty</w:t>
      </w:r>
      <w:r w:rsidR="00B1214A">
        <w:rPr>
          <w:rFonts w:asciiTheme="majorBidi" w:hAnsiTheme="majorBidi" w:cstheme="majorBidi"/>
        </w:rPr>
        <w:t>-eight</w:t>
      </w:r>
      <w:r w:rsidR="00BB6832">
        <w:rPr>
          <w:rFonts w:asciiTheme="majorBidi" w:hAnsiTheme="majorBidi" w:cstheme="majorBidi"/>
        </w:rPr>
        <w:t xml:space="preserve"> studies </w:t>
      </w:r>
      <w:r>
        <w:rPr>
          <w:rFonts w:asciiTheme="majorBidi" w:hAnsiTheme="majorBidi" w:cstheme="majorBidi"/>
        </w:rPr>
        <w:t xml:space="preserve">that met </w:t>
      </w:r>
      <w:r w:rsidR="00A50251">
        <w:rPr>
          <w:rFonts w:asciiTheme="majorBidi" w:hAnsiTheme="majorBidi" w:cstheme="majorBidi"/>
        </w:rPr>
        <w:t xml:space="preserve">or potentially met </w:t>
      </w:r>
      <w:r>
        <w:rPr>
          <w:rFonts w:asciiTheme="majorBidi" w:hAnsiTheme="majorBidi" w:cstheme="majorBidi"/>
        </w:rPr>
        <w:t xml:space="preserve">the inclusion criteria </w:t>
      </w:r>
      <w:proofErr w:type="gramStart"/>
      <w:r>
        <w:rPr>
          <w:rFonts w:asciiTheme="majorBidi" w:hAnsiTheme="majorBidi" w:cstheme="majorBidi"/>
        </w:rPr>
        <w:t>on the basis of</w:t>
      </w:r>
      <w:proofErr w:type="gramEnd"/>
      <w:r>
        <w:rPr>
          <w:rFonts w:asciiTheme="majorBidi" w:hAnsiTheme="majorBidi" w:cstheme="majorBidi"/>
        </w:rPr>
        <w:t xml:space="preserve"> their abstract </w:t>
      </w:r>
      <w:r w:rsidR="00B1214A">
        <w:rPr>
          <w:rFonts w:asciiTheme="majorBidi" w:hAnsiTheme="majorBidi" w:cstheme="majorBidi"/>
        </w:rPr>
        <w:t>were selected from the mapping review</w:t>
      </w:r>
      <w:r w:rsidR="00BB6832">
        <w:rPr>
          <w:rFonts w:asciiTheme="majorBidi" w:hAnsiTheme="majorBidi" w:cstheme="majorBidi"/>
        </w:rPr>
        <w:t xml:space="preserve">. </w:t>
      </w:r>
      <w:r w:rsidR="007C32F4" w:rsidRPr="00885DFB">
        <w:rPr>
          <w:rFonts w:asciiTheme="majorBidi" w:hAnsiTheme="majorBidi" w:cstheme="majorBidi"/>
        </w:rPr>
        <w:t>A further two datasets were obtained, one through a data request to PHE</w:t>
      </w:r>
      <w:r w:rsidR="007C32F4">
        <w:rPr>
          <w:rFonts w:asciiTheme="majorBidi" w:hAnsiTheme="majorBidi" w:cstheme="majorBidi"/>
        </w:rPr>
        <w:t xml:space="preserve"> (see Appendix </w:t>
      </w:r>
      <w:r w:rsidR="00C27ADC">
        <w:rPr>
          <w:rFonts w:asciiTheme="majorBidi" w:hAnsiTheme="majorBidi" w:cstheme="majorBidi"/>
        </w:rPr>
        <w:t>2</w:t>
      </w:r>
      <w:r w:rsidR="007C32F4">
        <w:rPr>
          <w:rFonts w:asciiTheme="majorBidi" w:hAnsiTheme="majorBidi" w:cstheme="majorBidi"/>
        </w:rPr>
        <w:t xml:space="preserve"> for details)</w:t>
      </w:r>
      <w:r w:rsidR="007C32F4" w:rsidRPr="00885DFB">
        <w:rPr>
          <w:rFonts w:asciiTheme="majorBidi" w:hAnsiTheme="majorBidi" w:cstheme="majorBidi"/>
        </w:rPr>
        <w:t>,</w:t>
      </w:r>
      <w:r w:rsidR="00A83123" w:rsidRPr="00A83123">
        <w:rPr>
          <w:rFonts w:asciiTheme="majorBidi" w:hAnsiTheme="majorBidi" w:cstheme="majorBidi"/>
          <w:noProof/>
          <w:vertAlign w:val="superscript"/>
        </w:rPr>
        <w:t>44</w:t>
      </w:r>
      <w:r w:rsidR="007C32F4" w:rsidRPr="00885DFB">
        <w:rPr>
          <w:rFonts w:asciiTheme="majorBidi" w:hAnsiTheme="majorBidi" w:cstheme="majorBidi"/>
        </w:rPr>
        <w:t xml:space="preserve"> and one through a data request to Pfizer</w:t>
      </w:r>
      <w:r w:rsidR="007C32F4">
        <w:rPr>
          <w:rFonts w:asciiTheme="majorBidi" w:hAnsiTheme="majorBidi" w:cstheme="majorBidi"/>
        </w:rPr>
        <w:t>,</w:t>
      </w:r>
      <w:r w:rsidR="00A83123" w:rsidRPr="00A83123">
        <w:rPr>
          <w:rFonts w:asciiTheme="majorBidi" w:hAnsiTheme="majorBidi" w:cstheme="majorBidi"/>
          <w:noProof/>
          <w:vertAlign w:val="superscript"/>
        </w:rPr>
        <w:t>45</w:t>
      </w:r>
      <w:r w:rsidR="007C32F4">
        <w:rPr>
          <w:rFonts w:asciiTheme="majorBidi" w:hAnsiTheme="majorBidi" w:cstheme="majorBidi"/>
        </w:rPr>
        <w:t xml:space="preserve"> meaning a total of 60 sources were appraised for relevance. </w:t>
      </w:r>
      <w:r w:rsidR="00BB6832">
        <w:rPr>
          <w:rFonts w:asciiTheme="majorBidi" w:hAnsiTheme="majorBidi" w:cstheme="majorBidi"/>
        </w:rPr>
        <w:t xml:space="preserve">After consideration of their full text, </w:t>
      </w:r>
      <w:r w:rsidR="007C32F4">
        <w:rPr>
          <w:rFonts w:asciiTheme="majorBidi" w:hAnsiTheme="majorBidi" w:cstheme="majorBidi"/>
        </w:rPr>
        <w:t>28</w:t>
      </w:r>
      <w:r w:rsidR="00A83123" w:rsidRPr="00A83123">
        <w:rPr>
          <w:rFonts w:asciiTheme="majorBidi" w:hAnsiTheme="majorBidi" w:cstheme="majorBidi"/>
          <w:noProof/>
          <w:vertAlign w:val="superscript"/>
        </w:rPr>
        <w:t>1,37,39,40,44-</w:t>
      </w:r>
      <w:proofErr w:type="gramStart"/>
      <w:r w:rsidR="00A83123" w:rsidRPr="00A83123">
        <w:rPr>
          <w:rFonts w:asciiTheme="majorBidi" w:hAnsiTheme="majorBidi" w:cstheme="majorBidi"/>
          <w:noProof/>
          <w:vertAlign w:val="superscript"/>
        </w:rPr>
        <w:t>67</w:t>
      </w:r>
      <w:r w:rsidR="007C32F4">
        <w:rPr>
          <w:rFonts w:asciiTheme="majorBidi" w:hAnsiTheme="majorBidi" w:cstheme="majorBidi"/>
        </w:rPr>
        <w:t xml:space="preserve"> </w:t>
      </w:r>
      <w:r w:rsidR="008D0C90" w:rsidRPr="00885DFB">
        <w:rPr>
          <w:rFonts w:asciiTheme="majorBidi" w:hAnsiTheme="majorBidi" w:cstheme="majorBidi"/>
        </w:rPr>
        <w:t xml:space="preserve"> met</w:t>
      </w:r>
      <w:proofErr w:type="gramEnd"/>
      <w:r w:rsidR="008D0C90" w:rsidRPr="00885DFB">
        <w:rPr>
          <w:rFonts w:asciiTheme="majorBidi" w:hAnsiTheme="majorBidi" w:cstheme="majorBidi"/>
        </w:rPr>
        <w:t xml:space="preserve"> the inclusion criteria for the review </w:t>
      </w:r>
      <w:r w:rsidR="00BB6832">
        <w:rPr>
          <w:rFonts w:asciiTheme="majorBidi" w:hAnsiTheme="majorBidi" w:cstheme="majorBidi"/>
        </w:rPr>
        <w:t>and thirty-two studies were excluded (see</w:t>
      </w:r>
      <w:r w:rsidR="00994836">
        <w:rPr>
          <w:rFonts w:asciiTheme="majorBidi" w:hAnsiTheme="majorBidi" w:cstheme="majorBidi"/>
        </w:rPr>
        <w:t xml:space="preserve"> </w:t>
      </w:r>
      <w:r w:rsidR="00994836" w:rsidRPr="00994836">
        <w:rPr>
          <w:rFonts w:asciiTheme="majorBidi" w:hAnsiTheme="majorBidi" w:cstheme="majorBidi"/>
        </w:rPr>
        <w:t>Table 43</w:t>
      </w:r>
      <w:r w:rsidR="00B16EE6">
        <w:rPr>
          <w:rFonts w:asciiTheme="majorBidi" w:hAnsiTheme="majorBidi" w:cstheme="majorBidi"/>
        </w:rPr>
        <w:t xml:space="preserve">, </w:t>
      </w:r>
      <w:r w:rsidR="00DC41F5">
        <w:rPr>
          <w:rFonts w:asciiTheme="majorBidi" w:hAnsiTheme="majorBidi" w:cstheme="majorBidi"/>
        </w:rPr>
        <w:t>A</w:t>
      </w:r>
      <w:r w:rsidR="00B16EE6">
        <w:rPr>
          <w:rFonts w:asciiTheme="majorBidi" w:hAnsiTheme="majorBidi" w:cstheme="majorBidi"/>
        </w:rPr>
        <w:t xml:space="preserve">ppendix </w:t>
      </w:r>
      <w:r w:rsidR="00B63E09">
        <w:rPr>
          <w:rFonts w:asciiTheme="majorBidi" w:hAnsiTheme="majorBidi" w:cstheme="majorBidi"/>
        </w:rPr>
        <w:t>5</w:t>
      </w:r>
      <w:r w:rsidR="008E6F0E">
        <w:rPr>
          <w:rFonts w:asciiTheme="majorBidi" w:hAnsiTheme="majorBidi" w:cstheme="majorBidi"/>
        </w:rPr>
        <w:t>.1</w:t>
      </w:r>
      <w:r w:rsidR="00BB6832">
        <w:rPr>
          <w:rFonts w:asciiTheme="majorBidi" w:hAnsiTheme="majorBidi" w:cstheme="majorBidi"/>
        </w:rPr>
        <w:t>).</w:t>
      </w:r>
      <w:r w:rsidR="00B1214A">
        <w:rPr>
          <w:rFonts w:asciiTheme="majorBidi" w:hAnsiTheme="majorBidi" w:cstheme="majorBidi"/>
        </w:rPr>
        <w:t xml:space="preserve"> </w:t>
      </w:r>
    </w:p>
    <w:p w14:paraId="3AA9B013" w14:textId="61621EFC" w:rsidR="008D0C90" w:rsidRPr="00885DFB" w:rsidRDefault="008D0C90" w:rsidP="00A83123">
      <w:pPr>
        <w:spacing w:after="120" w:line="360" w:lineRule="auto"/>
        <w:jc w:val="both"/>
        <w:rPr>
          <w:rFonts w:asciiTheme="majorBidi" w:hAnsiTheme="majorBidi" w:cstheme="majorBidi"/>
        </w:rPr>
      </w:pPr>
      <w:r w:rsidRPr="00885DFB">
        <w:rPr>
          <w:rFonts w:asciiTheme="majorBidi" w:hAnsiTheme="majorBidi" w:cstheme="majorBidi"/>
        </w:rPr>
        <w:t>Two surveillance databases were also considered for inclusion in the review (</w:t>
      </w:r>
      <w:r w:rsidR="001E35F5">
        <w:rPr>
          <w:rFonts w:asciiTheme="majorBidi" w:hAnsiTheme="majorBidi" w:cstheme="majorBidi"/>
        </w:rPr>
        <w:t xml:space="preserve">ATLAS </w:t>
      </w:r>
      <w:r w:rsidRPr="00885DFB">
        <w:rPr>
          <w:rFonts w:asciiTheme="majorBidi" w:hAnsiTheme="majorBidi" w:cstheme="majorBidi"/>
        </w:rPr>
        <w:t>and SENTRY)</w:t>
      </w:r>
      <w:r w:rsidR="00A83123" w:rsidRPr="00A83123">
        <w:rPr>
          <w:rFonts w:asciiTheme="majorBidi" w:hAnsiTheme="majorBidi" w:cstheme="majorBidi"/>
          <w:noProof/>
          <w:vertAlign w:val="superscript"/>
        </w:rPr>
        <w:t>24,25</w:t>
      </w:r>
      <w:r w:rsidR="00FF4CC7">
        <w:rPr>
          <w:rFonts w:asciiTheme="majorBidi" w:hAnsiTheme="majorBidi" w:cstheme="majorBidi"/>
        </w:rPr>
        <w:t>. Both</w:t>
      </w:r>
      <w:r w:rsidR="00173EB7">
        <w:rPr>
          <w:rFonts w:asciiTheme="majorBidi" w:hAnsiTheme="majorBidi" w:cstheme="majorBidi"/>
        </w:rPr>
        <w:t xml:space="preserve"> were excluded </w:t>
      </w:r>
      <w:r w:rsidR="00FF4CC7">
        <w:rPr>
          <w:rFonts w:asciiTheme="majorBidi" w:hAnsiTheme="majorBidi" w:cstheme="majorBidi"/>
        </w:rPr>
        <w:t xml:space="preserve">to avoid double counting, </w:t>
      </w:r>
      <w:r w:rsidR="00F2111E">
        <w:rPr>
          <w:rFonts w:asciiTheme="majorBidi" w:hAnsiTheme="majorBidi" w:cstheme="majorBidi"/>
        </w:rPr>
        <w:t xml:space="preserve">and to avoid underestimation of between </w:t>
      </w:r>
      <w:r w:rsidR="00F2111E">
        <w:rPr>
          <w:rFonts w:asciiTheme="majorBidi" w:hAnsiTheme="majorBidi" w:cstheme="majorBidi"/>
        </w:rPr>
        <w:lastRenderedPageBreak/>
        <w:t xml:space="preserve">study heterogeneity </w:t>
      </w:r>
      <w:r w:rsidR="00FF4CC7">
        <w:rPr>
          <w:rFonts w:asciiTheme="majorBidi" w:hAnsiTheme="majorBidi" w:cstheme="majorBidi"/>
        </w:rPr>
        <w:t xml:space="preserve">since </w:t>
      </w:r>
      <w:r w:rsidR="00CC7CB4">
        <w:rPr>
          <w:rFonts w:asciiTheme="majorBidi" w:hAnsiTheme="majorBidi" w:cstheme="majorBidi"/>
        </w:rPr>
        <w:t>published studies (providing more isolates, or more information) drawing from these databases</w:t>
      </w:r>
      <w:r w:rsidR="00FF4CC7">
        <w:rPr>
          <w:rFonts w:asciiTheme="majorBidi" w:hAnsiTheme="majorBidi" w:cstheme="majorBidi"/>
        </w:rPr>
        <w:t xml:space="preserve"> were already included in the review. Full </w:t>
      </w:r>
      <w:r w:rsidR="00173EB7">
        <w:rPr>
          <w:rFonts w:asciiTheme="majorBidi" w:hAnsiTheme="majorBidi" w:cstheme="majorBidi"/>
        </w:rPr>
        <w:t xml:space="preserve">details are provided in Appendix </w:t>
      </w:r>
      <w:r w:rsidR="00B63E09">
        <w:rPr>
          <w:rFonts w:asciiTheme="majorBidi" w:hAnsiTheme="majorBidi" w:cstheme="majorBidi"/>
        </w:rPr>
        <w:t>5.2</w:t>
      </w:r>
      <w:r w:rsidR="00173EB7">
        <w:rPr>
          <w:rFonts w:asciiTheme="majorBidi" w:hAnsiTheme="majorBidi" w:cstheme="majorBidi"/>
        </w:rPr>
        <w:t>.</w:t>
      </w:r>
      <w:r w:rsidRPr="00885DFB">
        <w:rPr>
          <w:rFonts w:asciiTheme="majorBidi" w:hAnsiTheme="majorBidi" w:cstheme="majorBidi"/>
        </w:rPr>
        <w:t xml:space="preserve"> </w:t>
      </w:r>
    </w:p>
    <w:p w14:paraId="524A1BC5" w14:textId="23E40ECB" w:rsidR="008D0C90" w:rsidRDefault="008D0C90" w:rsidP="00A83123">
      <w:pPr>
        <w:spacing w:after="120" w:line="360" w:lineRule="auto"/>
        <w:jc w:val="both"/>
        <w:rPr>
          <w:rFonts w:asciiTheme="majorBidi" w:hAnsiTheme="majorBidi" w:cstheme="majorBidi"/>
        </w:rPr>
      </w:pPr>
      <w:bookmarkStart w:id="136" w:name="_Hlk85144855"/>
      <w:r w:rsidRPr="00885DFB">
        <w:rPr>
          <w:rFonts w:asciiTheme="majorBidi" w:hAnsiTheme="majorBidi" w:cstheme="majorBidi"/>
        </w:rPr>
        <w:t xml:space="preserve">EEPRU first considered whether any one of the studies met all the requirements of the assessment (ideally consecutive English data from a multi-site study reporting outcomes for all relevant comparators, using BSAC/EUCAST breakpoints and laboratory methods), and could fulfil the evidence needs of the project without need of a meta-analysis. </w:t>
      </w:r>
      <w:bookmarkEnd w:id="136"/>
      <w:r w:rsidRPr="00885DFB">
        <w:rPr>
          <w:rFonts w:asciiTheme="majorBidi" w:hAnsiTheme="majorBidi" w:cstheme="majorBidi"/>
        </w:rPr>
        <w:t>The data requested from PHE</w:t>
      </w:r>
      <w:r w:rsidR="00A83123" w:rsidRPr="00A83123">
        <w:rPr>
          <w:rFonts w:asciiTheme="majorBidi" w:hAnsiTheme="majorBidi" w:cstheme="majorBidi"/>
          <w:noProof/>
          <w:vertAlign w:val="superscript"/>
        </w:rPr>
        <w:t>44</w:t>
      </w:r>
      <w:r w:rsidRPr="00885DFB">
        <w:rPr>
          <w:rFonts w:asciiTheme="majorBidi" w:hAnsiTheme="majorBidi" w:cstheme="majorBidi"/>
        </w:rPr>
        <w:t xml:space="preserve"> was the most relevant source of evidence since it is derived from English isolates. However, it also had several limitations: </w:t>
      </w:r>
      <w:r w:rsidR="007B56D0">
        <w:rPr>
          <w:rFonts w:asciiTheme="majorBidi" w:hAnsiTheme="majorBidi" w:cstheme="majorBidi"/>
        </w:rPr>
        <w:t>isolates have not historically been</w:t>
      </w:r>
      <w:r w:rsidRPr="00885DFB">
        <w:rPr>
          <w:rFonts w:asciiTheme="majorBidi" w:hAnsiTheme="majorBidi" w:cstheme="majorBidi"/>
        </w:rPr>
        <w:t xml:space="preserve"> routinely submitted by testing centres </w:t>
      </w:r>
      <w:r w:rsidR="007B56D0">
        <w:rPr>
          <w:rFonts w:asciiTheme="majorBidi" w:hAnsiTheme="majorBidi" w:cstheme="majorBidi"/>
        </w:rPr>
        <w:t>which may limit how representative this data</w:t>
      </w:r>
      <w:r w:rsidRPr="00885DFB">
        <w:rPr>
          <w:rFonts w:asciiTheme="majorBidi" w:hAnsiTheme="majorBidi" w:cstheme="majorBidi"/>
        </w:rPr>
        <w:t xml:space="preserve"> is of the true distribution of OXA-48 susceptibilities in England</w:t>
      </w:r>
      <w:r w:rsidR="00C909F0">
        <w:rPr>
          <w:rFonts w:asciiTheme="majorBidi" w:hAnsiTheme="majorBidi" w:cstheme="majorBidi"/>
        </w:rPr>
        <w:t xml:space="preserve">. In addition, there is inconsistency in the </w:t>
      </w:r>
      <w:r w:rsidRPr="00885DFB">
        <w:rPr>
          <w:rFonts w:asciiTheme="majorBidi" w:hAnsiTheme="majorBidi" w:cstheme="majorBidi"/>
        </w:rPr>
        <w:t>testing methodologies</w:t>
      </w:r>
      <w:r w:rsidR="00C909F0">
        <w:rPr>
          <w:rFonts w:asciiTheme="majorBidi" w:hAnsiTheme="majorBidi" w:cstheme="majorBidi"/>
        </w:rPr>
        <w:t xml:space="preserve"> used by local laboratories (albeit the majority use EUCAST).</w:t>
      </w:r>
      <w:r w:rsidR="00A83123" w:rsidRPr="00A83123">
        <w:rPr>
          <w:rFonts w:asciiTheme="majorBidi" w:hAnsiTheme="majorBidi" w:cstheme="majorBidi"/>
          <w:noProof/>
          <w:vertAlign w:val="superscript"/>
        </w:rPr>
        <w:t>68</w:t>
      </w:r>
      <w:r w:rsidR="00C909F0">
        <w:rPr>
          <w:rFonts w:asciiTheme="majorBidi" w:hAnsiTheme="majorBidi" w:cstheme="majorBidi"/>
        </w:rPr>
        <w:t xml:space="preserve"> This</w:t>
      </w:r>
      <w:r w:rsidRPr="00885DFB">
        <w:rPr>
          <w:rFonts w:asciiTheme="majorBidi" w:hAnsiTheme="majorBidi" w:cstheme="majorBidi"/>
        </w:rPr>
        <w:t xml:space="preserve"> presents problems as outlined in </w:t>
      </w:r>
      <w:r w:rsidR="00994836" w:rsidRPr="009A6BE5">
        <w:rPr>
          <w:rFonts w:asciiTheme="majorBidi" w:hAnsiTheme="majorBidi" w:cstheme="majorBidi"/>
        </w:rPr>
        <w:t>Table 5;</w:t>
      </w:r>
      <w:r w:rsidRPr="009A6BE5">
        <w:rPr>
          <w:rFonts w:asciiTheme="majorBidi" w:hAnsiTheme="majorBidi" w:cstheme="majorBidi"/>
        </w:rPr>
        <w:t xml:space="preserve"> </w:t>
      </w:r>
      <w:r w:rsidR="009A6BE5" w:rsidRPr="009A6BE5">
        <w:rPr>
          <w:rFonts w:asciiTheme="majorBidi" w:hAnsiTheme="majorBidi" w:cstheme="majorBidi"/>
        </w:rPr>
        <w:t xml:space="preserve">Finally, not all isolates were tested for each comparator, and a compromise had to be made in conducting the analysis whereby to preserve internal validity only isolates tested amongst </w:t>
      </w:r>
      <w:r w:rsidR="009A6BE5" w:rsidRPr="009A6BE5">
        <w:rPr>
          <w:rFonts w:asciiTheme="majorBidi" w:hAnsiTheme="majorBidi" w:cstheme="majorBidi"/>
          <w:i/>
        </w:rPr>
        <w:t>all</w:t>
      </w:r>
      <w:r w:rsidR="009A6BE5" w:rsidRPr="009A6BE5">
        <w:rPr>
          <w:rFonts w:asciiTheme="majorBidi" w:hAnsiTheme="majorBidi" w:cstheme="majorBidi"/>
        </w:rPr>
        <w:t xml:space="preserve"> comparators were included (see Appendix 2) which may have introduced selection bias</w:t>
      </w:r>
      <w:r w:rsidRPr="009A6BE5">
        <w:rPr>
          <w:rFonts w:asciiTheme="majorBidi" w:hAnsiTheme="majorBidi" w:cstheme="majorBidi"/>
        </w:rPr>
        <w:t xml:space="preserve">; </w:t>
      </w:r>
      <w:r w:rsidRPr="00885DFB">
        <w:rPr>
          <w:rFonts w:asciiTheme="majorBidi" w:hAnsiTheme="majorBidi" w:cstheme="majorBidi"/>
        </w:rPr>
        <w:t xml:space="preserve">the PHE data did not report susceptibility for levofloxacin or ceftriaxone. Four other </w:t>
      </w:r>
      <w:r w:rsidR="003432D7" w:rsidRPr="00885DFB">
        <w:rPr>
          <w:rFonts w:asciiTheme="majorBidi" w:hAnsiTheme="majorBidi" w:cstheme="majorBidi"/>
        </w:rPr>
        <w:t xml:space="preserve">studies </w:t>
      </w:r>
      <w:r w:rsidR="00A83123" w:rsidRPr="00A83123">
        <w:rPr>
          <w:rFonts w:asciiTheme="majorBidi" w:hAnsiTheme="majorBidi" w:cstheme="majorBidi"/>
          <w:noProof/>
          <w:vertAlign w:val="superscript"/>
        </w:rPr>
        <w:t>58-60,64</w:t>
      </w:r>
      <w:r w:rsidRPr="00885DFB">
        <w:rPr>
          <w:rFonts w:asciiTheme="majorBidi" w:hAnsiTheme="majorBidi" w:cstheme="majorBidi"/>
        </w:rPr>
        <w:t xml:space="preserve"> reported data from the </w:t>
      </w:r>
      <w:r w:rsidRPr="00885DFB">
        <w:rPr>
          <w:rFonts w:asciiTheme="majorBidi" w:hAnsiTheme="majorBidi" w:cstheme="majorBidi"/>
          <w:color w:val="000000"/>
        </w:rPr>
        <w:t xml:space="preserve">PHE </w:t>
      </w:r>
      <w:r w:rsidR="00207496" w:rsidRPr="001009FF">
        <w:rPr>
          <w:rFonts w:asciiTheme="majorBidi" w:eastAsia="Times New Roman" w:hAnsiTheme="majorBidi" w:cstheme="majorBidi"/>
          <w:color w:val="000000"/>
          <w:lang w:eastAsia="zh-CN"/>
        </w:rPr>
        <w:t>Antimicrobial resistance and healthcare associated infections</w:t>
      </w:r>
      <w:r w:rsidR="00207496">
        <w:rPr>
          <w:rFonts w:asciiTheme="majorBidi" w:hAnsiTheme="majorBidi" w:cstheme="majorBidi"/>
          <w:color w:val="000000"/>
        </w:rPr>
        <w:t xml:space="preserve"> (</w:t>
      </w:r>
      <w:r w:rsidRPr="00885DFB">
        <w:rPr>
          <w:rFonts w:asciiTheme="majorBidi" w:hAnsiTheme="majorBidi" w:cstheme="majorBidi"/>
          <w:color w:val="000000"/>
        </w:rPr>
        <w:t>AMRHAI</w:t>
      </w:r>
      <w:r w:rsidR="00207496">
        <w:rPr>
          <w:rFonts w:asciiTheme="majorBidi" w:hAnsiTheme="majorBidi" w:cstheme="majorBidi"/>
          <w:color w:val="000000"/>
        </w:rPr>
        <w:t>)</w:t>
      </w:r>
      <w:r w:rsidRPr="00885DFB">
        <w:rPr>
          <w:rFonts w:asciiTheme="majorBidi" w:hAnsiTheme="majorBidi" w:cstheme="majorBidi"/>
          <w:color w:val="000000"/>
        </w:rPr>
        <w:t xml:space="preserve"> programme, and all were subject to similar limitations. </w:t>
      </w:r>
      <w:r w:rsidR="003A47E9">
        <w:rPr>
          <w:rFonts w:asciiTheme="majorBidi" w:hAnsiTheme="majorBidi" w:cstheme="majorBidi"/>
          <w:color w:val="000000"/>
        </w:rPr>
        <w:t xml:space="preserve">Due to these limitations, </w:t>
      </w:r>
      <w:r w:rsidRPr="00885DFB">
        <w:rPr>
          <w:rFonts w:asciiTheme="majorBidi" w:hAnsiTheme="majorBidi" w:cstheme="majorBidi"/>
        </w:rPr>
        <w:t xml:space="preserve">EEPRU considered it prudent to review and synthesise </w:t>
      </w:r>
      <w:r w:rsidR="001A29DC">
        <w:rPr>
          <w:rFonts w:asciiTheme="majorBidi" w:hAnsiTheme="majorBidi" w:cstheme="majorBidi"/>
        </w:rPr>
        <w:t xml:space="preserve">in a network meta-analysis </w:t>
      </w:r>
      <w:r w:rsidRPr="00885DFB">
        <w:rPr>
          <w:rFonts w:asciiTheme="majorBidi" w:hAnsiTheme="majorBidi" w:cstheme="majorBidi"/>
        </w:rPr>
        <w:t>other available evidence on the susceptibility of OXA-48</w:t>
      </w:r>
      <w:r w:rsidR="00E55E19">
        <w:rPr>
          <w:rFonts w:asciiTheme="majorBidi" w:hAnsiTheme="majorBidi" w:cstheme="majorBidi"/>
        </w:rPr>
        <w:t xml:space="preserve"> </w:t>
      </w:r>
      <w:proofErr w:type="spellStart"/>
      <w:r w:rsidR="00E55E19" w:rsidRPr="00E55E19">
        <w:rPr>
          <w:rFonts w:asciiTheme="majorBidi" w:hAnsiTheme="majorBidi" w:cstheme="majorBidi"/>
          <w:i/>
          <w:iCs/>
        </w:rPr>
        <w:t>Enterobacterales</w:t>
      </w:r>
      <w:proofErr w:type="spellEnd"/>
      <w:r w:rsidRPr="00885DFB">
        <w:rPr>
          <w:rFonts w:asciiTheme="majorBidi" w:hAnsiTheme="majorBidi" w:cstheme="majorBidi"/>
        </w:rPr>
        <w:t xml:space="preserve"> to CAZ-AVI, to supplement the PHE data and to fill evidence gaps for </w:t>
      </w:r>
      <w:proofErr w:type="spellStart"/>
      <w:r w:rsidRPr="00885DFB">
        <w:rPr>
          <w:rFonts w:asciiTheme="majorBidi" w:hAnsiTheme="majorBidi" w:cstheme="majorBidi"/>
        </w:rPr>
        <w:t>fosfomycin</w:t>
      </w:r>
      <w:proofErr w:type="spellEnd"/>
      <w:r w:rsidRPr="00885DFB">
        <w:rPr>
          <w:rFonts w:asciiTheme="majorBidi" w:hAnsiTheme="majorBidi" w:cstheme="majorBidi"/>
        </w:rPr>
        <w:t>, levofloxacin and ceftriaxone</w:t>
      </w:r>
      <w:r w:rsidR="00487C18">
        <w:rPr>
          <w:rFonts w:asciiTheme="majorBidi" w:hAnsiTheme="majorBidi" w:cstheme="majorBidi"/>
        </w:rPr>
        <w:t xml:space="preserve"> (the PHE data included evidence for </w:t>
      </w:r>
      <w:proofErr w:type="spellStart"/>
      <w:r w:rsidR="00487C18">
        <w:rPr>
          <w:rFonts w:asciiTheme="majorBidi" w:hAnsiTheme="majorBidi" w:cstheme="majorBidi"/>
        </w:rPr>
        <w:t>fosfomycin</w:t>
      </w:r>
      <w:proofErr w:type="spellEnd"/>
      <w:r w:rsidR="00487C18">
        <w:rPr>
          <w:rFonts w:asciiTheme="majorBidi" w:hAnsiTheme="majorBidi" w:cstheme="majorBidi"/>
        </w:rPr>
        <w:t>, but the numbers were deemed too small to reliably use, with only eight isolates included)</w:t>
      </w:r>
      <w:r w:rsidRPr="00885DFB">
        <w:rPr>
          <w:rFonts w:asciiTheme="majorBidi" w:hAnsiTheme="majorBidi" w:cstheme="majorBidi"/>
        </w:rPr>
        <w:t>.</w:t>
      </w:r>
    </w:p>
    <w:p w14:paraId="0AF0FCB3" w14:textId="77777777" w:rsidR="00251004" w:rsidRDefault="00251004" w:rsidP="001C1F5D">
      <w:pPr>
        <w:spacing w:after="120" w:line="360" w:lineRule="auto"/>
        <w:jc w:val="both"/>
        <w:rPr>
          <w:rFonts w:asciiTheme="majorBidi" w:hAnsiTheme="majorBidi" w:cstheme="majorBidi"/>
        </w:rPr>
      </w:pPr>
    </w:p>
    <w:p w14:paraId="1475B3C1" w14:textId="6621109F" w:rsidR="00E62673" w:rsidRPr="00BC238A" w:rsidRDefault="00E62673" w:rsidP="00685394">
      <w:pPr>
        <w:keepNext/>
        <w:keepLines/>
        <w:spacing w:before="240" w:after="120" w:line="360" w:lineRule="auto"/>
        <w:outlineLvl w:val="3"/>
        <w:rPr>
          <w:rFonts w:asciiTheme="majorBidi" w:eastAsiaTheme="majorEastAsia" w:hAnsiTheme="majorBidi" w:cs="Times New Roman"/>
          <w:b/>
          <w:sz w:val="26"/>
          <w:szCs w:val="26"/>
        </w:rPr>
      </w:pPr>
      <w:bookmarkStart w:id="137" w:name="_Hlk85194408"/>
      <w:r w:rsidRPr="00BC238A">
        <w:rPr>
          <w:rFonts w:asciiTheme="majorBidi" w:eastAsiaTheme="majorEastAsia" w:hAnsiTheme="majorBidi" w:cs="Times New Roman"/>
          <w:b/>
          <w:sz w:val="26"/>
          <w:szCs w:val="26"/>
        </w:rPr>
        <w:t>4.</w:t>
      </w:r>
      <w:r w:rsidR="00530B34" w:rsidRPr="00BC238A">
        <w:rPr>
          <w:rFonts w:asciiTheme="majorBidi" w:eastAsiaTheme="majorEastAsia" w:hAnsiTheme="majorBidi" w:cs="Times New Roman"/>
          <w:b/>
          <w:sz w:val="26"/>
          <w:szCs w:val="26"/>
        </w:rPr>
        <w:t>4.</w:t>
      </w:r>
      <w:r w:rsidR="006E4E83">
        <w:rPr>
          <w:rFonts w:asciiTheme="majorBidi" w:eastAsiaTheme="majorEastAsia" w:hAnsiTheme="majorBidi" w:cs="Times New Roman"/>
          <w:b/>
          <w:sz w:val="26"/>
          <w:szCs w:val="26"/>
        </w:rPr>
        <w:t>3</w:t>
      </w:r>
      <w:r w:rsidR="00530B34" w:rsidRPr="00BC238A">
        <w:rPr>
          <w:rFonts w:asciiTheme="majorBidi" w:eastAsiaTheme="majorEastAsia" w:hAnsiTheme="majorBidi" w:cs="Times New Roman"/>
          <w:b/>
          <w:sz w:val="26"/>
          <w:szCs w:val="26"/>
        </w:rPr>
        <w:t>.</w:t>
      </w:r>
      <w:r w:rsidR="007F06E1" w:rsidRPr="00BC238A">
        <w:rPr>
          <w:rFonts w:asciiTheme="majorBidi" w:eastAsiaTheme="majorEastAsia" w:hAnsiTheme="majorBidi" w:cs="Times New Roman"/>
          <w:b/>
          <w:sz w:val="26"/>
          <w:szCs w:val="26"/>
        </w:rPr>
        <w:t>2</w:t>
      </w:r>
      <w:r w:rsidRPr="00BC238A">
        <w:rPr>
          <w:rFonts w:asciiTheme="majorBidi" w:eastAsiaTheme="majorEastAsia" w:hAnsiTheme="majorBidi" w:cs="Times New Roman"/>
          <w:b/>
          <w:sz w:val="26"/>
          <w:szCs w:val="26"/>
        </w:rPr>
        <w:t xml:space="preserve"> </w:t>
      </w:r>
      <w:r w:rsidR="003E61AC" w:rsidRPr="00BC238A">
        <w:rPr>
          <w:rFonts w:asciiTheme="majorBidi" w:eastAsiaTheme="majorEastAsia" w:hAnsiTheme="majorBidi" w:cs="Times New Roman"/>
          <w:b/>
          <w:sz w:val="26"/>
          <w:szCs w:val="26"/>
        </w:rPr>
        <w:t>Characteristics of s</w:t>
      </w:r>
      <w:r w:rsidRPr="00BC238A">
        <w:rPr>
          <w:rFonts w:asciiTheme="majorBidi" w:eastAsiaTheme="majorEastAsia" w:hAnsiTheme="majorBidi" w:cs="Times New Roman"/>
          <w:b/>
          <w:sz w:val="26"/>
          <w:szCs w:val="26"/>
        </w:rPr>
        <w:t>tudies entering the network meta-analysis</w:t>
      </w:r>
    </w:p>
    <w:bookmarkEnd w:id="137"/>
    <w:p w14:paraId="027DBEF2" w14:textId="2DE683DC" w:rsidR="00E62673" w:rsidRPr="00885DFB" w:rsidRDefault="00E62673" w:rsidP="00A83123">
      <w:pPr>
        <w:spacing w:after="120" w:line="360" w:lineRule="auto"/>
        <w:jc w:val="both"/>
        <w:rPr>
          <w:rFonts w:asciiTheme="majorBidi" w:hAnsiTheme="majorBidi" w:cstheme="majorBidi"/>
        </w:rPr>
      </w:pPr>
      <w:r w:rsidRPr="00885DFB">
        <w:rPr>
          <w:rFonts w:asciiTheme="majorBidi" w:hAnsiTheme="majorBidi" w:cstheme="majorBidi"/>
        </w:rPr>
        <w:t>Of the 28</w:t>
      </w:r>
      <w:r w:rsidR="00A83123" w:rsidRPr="00A83123">
        <w:rPr>
          <w:rFonts w:asciiTheme="majorBidi" w:hAnsiTheme="majorBidi" w:cstheme="majorBidi"/>
          <w:noProof/>
          <w:vertAlign w:val="superscript"/>
        </w:rPr>
        <w:t>1,37,39,40,44-67</w:t>
      </w:r>
      <w:r w:rsidRPr="00885DFB">
        <w:rPr>
          <w:rFonts w:asciiTheme="majorBidi" w:hAnsiTheme="majorBidi" w:cstheme="majorBidi"/>
        </w:rPr>
        <w:t xml:space="preserve"> data sources identified, </w:t>
      </w:r>
      <w:r w:rsidR="003432D7" w:rsidRPr="00885DFB">
        <w:rPr>
          <w:rFonts w:asciiTheme="majorBidi" w:hAnsiTheme="majorBidi" w:cstheme="majorBidi"/>
        </w:rPr>
        <w:t xml:space="preserve">twelve </w:t>
      </w:r>
      <w:r w:rsidR="00A83123" w:rsidRPr="00A83123">
        <w:rPr>
          <w:rFonts w:asciiTheme="majorBidi" w:hAnsiTheme="majorBidi" w:cstheme="majorBidi"/>
          <w:noProof/>
          <w:vertAlign w:val="superscript"/>
        </w:rPr>
        <w:t>39,40,47-49,54,55,58,59,63,64,67</w:t>
      </w:r>
      <w:r w:rsidRPr="00885DFB">
        <w:rPr>
          <w:rFonts w:asciiTheme="majorBidi" w:hAnsiTheme="majorBidi" w:cstheme="majorBidi"/>
        </w:rPr>
        <w:t xml:space="preserve"> were excluded from </w:t>
      </w:r>
      <w:r>
        <w:rPr>
          <w:rFonts w:asciiTheme="majorBidi" w:hAnsiTheme="majorBidi" w:cstheme="majorBidi"/>
        </w:rPr>
        <w:t>the meta-analysis</w:t>
      </w:r>
      <w:r w:rsidRPr="00885DFB">
        <w:rPr>
          <w:rFonts w:asciiTheme="majorBidi" w:hAnsiTheme="majorBidi" w:cstheme="majorBidi"/>
        </w:rPr>
        <w:t xml:space="preserve">. </w:t>
      </w:r>
      <w:r>
        <w:rPr>
          <w:rFonts w:asciiTheme="majorBidi" w:hAnsiTheme="majorBidi" w:cstheme="majorBidi"/>
        </w:rPr>
        <w:t>The reasons for these exclusions, and</w:t>
      </w:r>
      <w:r w:rsidR="00EE4C38">
        <w:rPr>
          <w:rFonts w:asciiTheme="majorBidi" w:hAnsiTheme="majorBidi" w:cstheme="majorBidi"/>
        </w:rPr>
        <w:t xml:space="preserve"> </w:t>
      </w:r>
      <w:r w:rsidR="00EE4C38" w:rsidRPr="00EE4C38">
        <w:rPr>
          <w:rFonts w:asciiTheme="majorBidi" w:hAnsiTheme="majorBidi" w:cstheme="majorBidi"/>
        </w:rPr>
        <w:t>Table 44</w:t>
      </w:r>
      <w:r>
        <w:rPr>
          <w:rFonts w:asciiTheme="majorBidi" w:hAnsiTheme="majorBidi" w:cstheme="majorBidi"/>
        </w:rPr>
        <w:t xml:space="preserve"> detailing the characteristics of these studies can be found in Appendix </w:t>
      </w:r>
      <w:r w:rsidR="00B63E09">
        <w:rPr>
          <w:rFonts w:asciiTheme="majorBidi" w:hAnsiTheme="majorBidi" w:cstheme="majorBidi"/>
        </w:rPr>
        <w:t>5.3</w:t>
      </w:r>
      <w:r>
        <w:rPr>
          <w:rFonts w:asciiTheme="majorBidi" w:hAnsiTheme="majorBidi" w:cstheme="majorBidi"/>
        </w:rPr>
        <w:t xml:space="preserve">. </w:t>
      </w:r>
      <w:r w:rsidR="003432D7">
        <w:rPr>
          <w:rFonts w:asciiTheme="majorBidi" w:hAnsiTheme="majorBidi" w:cstheme="majorBidi"/>
        </w:rPr>
        <w:t xml:space="preserve">Seven </w:t>
      </w:r>
      <w:r w:rsidR="00A83123" w:rsidRPr="00A83123">
        <w:rPr>
          <w:rFonts w:asciiTheme="majorBidi" w:hAnsiTheme="majorBidi" w:cstheme="majorBidi"/>
          <w:noProof/>
          <w:vertAlign w:val="superscript"/>
        </w:rPr>
        <w:t>47,54-56</w:t>
      </w:r>
      <w:r w:rsidRPr="00070786">
        <w:rPr>
          <w:rFonts w:asciiTheme="majorBidi" w:hAnsiTheme="majorBidi" w:cstheme="majorBidi"/>
        </w:rPr>
        <w:t xml:space="preserve"> </w:t>
      </w:r>
      <w:r w:rsidR="00A83123" w:rsidRPr="00A83123">
        <w:rPr>
          <w:rFonts w:asciiTheme="majorBidi" w:hAnsiTheme="majorBidi" w:cstheme="majorBidi"/>
          <w:noProof/>
          <w:vertAlign w:val="superscript"/>
        </w:rPr>
        <w:t>58,59,64</w:t>
      </w:r>
      <w:r>
        <w:rPr>
          <w:rFonts w:asciiTheme="majorBidi" w:hAnsiTheme="majorBidi" w:cstheme="majorBidi"/>
        </w:rPr>
        <w:t xml:space="preserve"> </w:t>
      </w:r>
      <w:proofErr w:type="gramStart"/>
      <w:r>
        <w:rPr>
          <w:rFonts w:asciiTheme="majorBidi" w:hAnsiTheme="majorBidi" w:cstheme="majorBidi"/>
        </w:rPr>
        <w:t>were</w:t>
      </w:r>
      <w:proofErr w:type="gramEnd"/>
      <w:r>
        <w:rPr>
          <w:rFonts w:asciiTheme="majorBidi" w:hAnsiTheme="majorBidi" w:cstheme="majorBidi"/>
        </w:rPr>
        <w:t xml:space="preserve"> excluded to avoid double counting of isolates, </w:t>
      </w:r>
      <w:r w:rsidR="003432D7">
        <w:rPr>
          <w:rFonts w:asciiTheme="majorBidi" w:hAnsiTheme="majorBidi" w:cstheme="majorBidi"/>
        </w:rPr>
        <w:t xml:space="preserve">three </w:t>
      </w:r>
      <w:r w:rsidR="00A83123" w:rsidRPr="00A83123">
        <w:rPr>
          <w:rFonts w:asciiTheme="majorBidi" w:hAnsiTheme="majorBidi" w:cstheme="majorBidi"/>
          <w:noProof/>
          <w:vertAlign w:val="superscript"/>
        </w:rPr>
        <w:t>39,40,63</w:t>
      </w:r>
      <w:r>
        <w:rPr>
          <w:rFonts w:asciiTheme="majorBidi" w:hAnsiTheme="majorBidi" w:cstheme="majorBidi"/>
        </w:rPr>
        <w:t xml:space="preserve"> were excluded as they related to outbreaks, and </w:t>
      </w:r>
      <w:r w:rsidR="003432D7">
        <w:rPr>
          <w:rFonts w:asciiTheme="majorBidi" w:hAnsiTheme="majorBidi" w:cstheme="majorBidi"/>
        </w:rPr>
        <w:t xml:space="preserve">two </w:t>
      </w:r>
      <w:r w:rsidR="00A83123" w:rsidRPr="00A83123">
        <w:rPr>
          <w:rFonts w:asciiTheme="majorBidi" w:hAnsiTheme="majorBidi" w:cstheme="majorBidi"/>
          <w:noProof/>
          <w:vertAlign w:val="superscript"/>
        </w:rPr>
        <w:t>48,67</w:t>
      </w:r>
      <w:r>
        <w:rPr>
          <w:rFonts w:asciiTheme="majorBidi" w:hAnsiTheme="majorBidi" w:cstheme="majorBidi"/>
        </w:rPr>
        <w:t xml:space="preserve"> were excluded as they reported MIC50 and MIC90, but not percent susceptible.  </w:t>
      </w:r>
      <w:r w:rsidRPr="00885DFB">
        <w:rPr>
          <w:rFonts w:asciiTheme="majorBidi" w:hAnsiTheme="majorBidi" w:cstheme="majorBidi"/>
        </w:rPr>
        <w:t xml:space="preserve">Consequently, between the 28 data sets and the two surveillance databases identified, </w:t>
      </w:r>
      <w:r w:rsidR="003432D7" w:rsidRPr="00885DFB">
        <w:rPr>
          <w:rFonts w:asciiTheme="majorBidi" w:hAnsiTheme="majorBidi" w:cstheme="majorBidi"/>
        </w:rPr>
        <w:t xml:space="preserve">sixteen </w:t>
      </w:r>
      <w:r w:rsidR="00A83123" w:rsidRPr="00A83123">
        <w:rPr>
          <w:rFonts w:asciiTheme="majorBidi" w:hAnsiTheme="majorBidi" w:cstheme="majorBidi"/>
          <w:noProof/>
          <w:vertAlign w:val="superscript"/>
        </w:rPr>
        <w:t>1,37,44-46,50-53,56,57,60-62,65,66</w:t>
      </w:r>
      <w:r w:rsidRPr="00885DFB">
        <w:rPr>
          <w:rFonts w:asciiTheme="majorBidi" w:hAnsiTheme="majorBidi" w:cstheme="majorBidi"/>
        </w:rPr>
        <w:t xml:space="preserve"> </w:t>
      </w:r>
      <w:proofErr w:type="gramStart"/>
      <w:r w:rsidRPr="00885DFB">
        <w:rPr>
          <w:rFonts w:asciiTheme="majorBidi" w:hAnsiTheme="majorBidi" w:cstheme="majorBidi"/>
        </w:rPr>
        <w:t>were</w:t>
      </w:r>
      <w:proofErr w:type="gramEnd"/>
      <w:r w:rsidRPr="00885DFB">
        <w:rPr>
          <w:rFonts w:asciiTheme="majorBidi" w:hAnsiTheme="majorBidi" w:cstheme="majorBidi"/>
        </w:rPr>
        <w:t xml:space="preserve"> eligible for inclusion in the statistical synthesis (</w:t>
      </w:r>
      <w:r w:rsidR="00EE4C38" w:rsidRPr="00EE4C38">
        <w:rPr>
          <w:rFonts w:asciiTheme="majorBidi" w:hAnsiTheme="majorBidi" w:cstheme="majorBidi"/>
        </w:rPr>
        <w:t>Table 6</w:t>
      </w:r>
      <w:r w:rsidRPr="00885DFB">
        <w:rPr>
          <w:rFonts w:asciiTheme="majorBidi" w:hAnsiTheme="majorBidi" w:cstheme="majorBidi"/>
        </w:rPr>
        <w:t>).</w:t>
      </w:r>
    </w:p>
    <w:p w14:paraId="2D12F67F" w14:textId="3CA9A823" w:rsidR="00E62673" w:rsidRPr="00885DFB" w:rsidRDefault="00E62673" w:rsidP="00A83123">
      <w:pPr>
        <w:spacing w:after="120" w:line="360" w:lineRule="auto"/>
        <w:jc w:val="both"/>
        <w:rPr>
          <w:rFonts w:asciiTheme="majorBidi" w:hAnsiTheme="majorBidi" w:cstheme="majorBidi"/>
        </w:rPr>
      </w:pPr>
      <w:r w:rsidRPr="00885DFB">
        <w:rPr>
          <w:rFonts w:asciiTheme="majorBidi" w:hAnsiTheme="majorBidi" w:cstheme="majorBidi"/>
        </w:rPr>
        <w:t>Across the sixteen studies,</w:t>
      </w:r>
      <w:r w:rsidR="00A83123" w:rsidRPr="00A83123">
        <w:rPr>
          <w:rFonts w:asciiTheme="majorBidi" w:hAnsiTheme="majorBidi" w:cstheme="majorBidi"/>
          <w:noProof/>
          <w:vertAlign w:val="superscript"/>
        </w:rPr>
        <w:t>1,37,44-46,50-53,56,57,60-62,65,66</w:t>
      </w:r>
      <w:r w:rsidRPr="00885DFB">
        <w:rPr>
          <w:rFonts w:asciiTheme="majorBidi" w:hAnsiTheme="majorBidi" w:cstheme="majorBidi"/>
        </w:rPr>
        <w:t xml:space="preserve"> sample size ranged from </w:t>
      </w:r>
      <w:r w:rsidRPr="00454CF5">
        <w:rPr>
          <w:rFonts w:asciiTheme="majorBidi" w:hAnsiTheme="majorBidi" w:cstheme="majorBidi"/>
        </w:rPr>
        <w:t>n=319</w:t>
      </w:r>
      <w:r w:rsidRPr="00885DFB">
        <w:rPr>
          <w:rFonts w:asciiTheme="majorBidi" w:hAnsiTheme="majorBidi" w:cstheme="majorBidi"/>
        </w:rPr>
        <w:t xml:space="preserve"> isolates</w:t>
      </w:r>
      <w:r w:rsidR="00A83123" w:rsidRPr="00A83123">
        <w:rPr>
          <w:rFonts w:asciiTheme="majorBidi" w:hAnsiTheme="majorBidi" w:cstheme="majorBidi"/>
          <w:noProof/>
          <w:vertAlign w:val="superscript"/>
        </w:rPr>
        <w:t>45</w:t>
      </w:r>
      <w:r w:rsidRPr="00885DFB">
        <w:rPr>
          <w:rFonts w:asciiTheme="majorBidi" w:hAnsiTheme="majorBidi" w:cstheme="majorBidi"/>
        </w:rPr>
        <w:t xml:space="preserve"> to n=11 isolates</w:t>
      </w:r>
      <w:r w:rsidR="00A83123" w:rsidRPr="00A83123">
        <w:rPr>
          <w:rFonts w:asciiTheme="majorBidi" w:hAnsiTheme="majorBidi" w:cstheme="majorBidi"/>
          <w:noProof/>
          <w:vertAlign w:val="superscript"/>
        </w:rPr>
        <w:t>46</w:t>
      </w:r>
      <w:r w:rsidRPr="00885DFB">
        <w:rPr>
          <w:rFonts w:asciiTheme="majorBidi" w:hAnsiTheme="majorBidi" w:cstheme="majorBidi"/>
        </w:rPr>
        <w:t xml:space="preserve"> (studies with &lt;10 isolates were excluded from the analysis due to time constraints (see Appendix </w:t>
      </w:r>
      <w:r w:rsidR="00B63E09">
        <w:rPr>
          <w:rFonts w:asciiTheme="majorBidi" w:hAnsiTheme="majorBidi" w:cstheme="majorBidi"/>
        </w:rPr>
        <w:t>5.3</w:t>
      </w:r>
      <w:r w:rsidRPr="00885DFB">
        <w:rPr>
          <w:rFonts w:asciiTheme="majorBidi" w:hAnsiTheme="majorBidi" w:cstheme="majorBidi"/>
        </w:rPr>
        <w:t xml:space="preserve"> and one study in</w:t>
      </w:r>
      <w:r w:rsidR="00EE4C38">
        <w:rPr>
          <w:rFonts w:asciiTheme="majorBidi" w:hAnsiTheme="majorBidi" w:cstheme="majorBidi"/>
        </w:rPr>
        <w:t xml:space="preserve"> </w:t>
      </w:r>
      <w:r w:rsidR="00EE4C38" w:rsidRPr="00EE4C38">
        <w:rPr>
          <w:rFonts w:asciiTheme="majorBidi" w:hAnsiTheme="majorBidi" w:cstheme="majorBidi"/>
        </w:rPr>
        <w:t>Table 44</w:t>
      </w:r>
      <w:r w:rsidRPr="00885DFB">
        <w:rPr>
          <w:rFonts w:asciiTheme="majorBidi" w:hAnsiTheme="majorBidi" w:cstheme="majorBidi"/>
        </w:rPr>
        <w:t>), with three studies</w:t>
      </w:r>
      <w:r w:rsidR="00A83123" w:rsidRPr="00A83123">
        <w:rPr>
          <w:rFonts w:asciiTheme="majorBidi" w:hAnsiTheme="majorBidi" w:cstheme="majorBidi"/>
          <w:noProof/>
          <w:vertAlign w:val="superscript"/>
        </w:rPr>
        <w:t>1,45,56</w:t>
      </w:r>
      <w:r w:rsidRPr="00885DFB">
        <w:rPr>
          <w:rFonts w:asciiTheme="majorBidi" w:hAnsiTheme="majorBidi" w:cstheme="majorBidi"/>
        </w:rPr>
        <w:t xml:space="preserve"> reporting &gt;300 isolates. </w:t>
      </w:r>
      <w:r w:rsidR="003432D7" w:rsidRPr="00885DFB">
        <w:rPr>
          <w:rFonts w:asciiTheme="majorBidi" w:hAnsiTheme="majorBidi" w:cstheme="majorBidi"/>
        </w:rPr>
        <w:t xml:space="preserve">Two </w:t>
      </w:r>
      <w:r w:rsidR="00A83123" w:rsidRPr="00A83123">
        <w:rPr>
          <w:rFonts w:asciiTheme="majorBidi" w:hAnsiTheme="majorBidi" w:cstheme="majorBidi"/>
          <w:noProof/>
          <w:vertAlign w:val="superscript"/>
        </w:rPr>
        <w:t>44,60</w:t>
      </w:r>
      <w:r w:rsidRPr="00885DFB">
        <w:rPr>
          <w:rFonts w:asciiTheme="majorBidi" w:hAnsiTheme="majorBidi" w:cstheme="majorBidi"/>
        </w:rPr>
        <w:t xml:space="preserve"> included only isolates submitted to the PHE AMRHAI laboratory because of suspected unusual </w:t>
      </w:r>
      <w:r w:rsidRPr="00885DFB">
        <w:rPr>
          <w:rFonts w:asciiTheme="majorBidi" w:hAnsiTheme="majorBidi" w:cstheme="majorBidi"/>
        </w:rPr>
        <w:lastRenderedPageBreak/>
        <w:t xml:space="preserve">carbapenem </w:t>
      </w:r>
      <w:proofErr w:type="gramStart"/>
      <w:r w:rsidRPr="00885DFB">
        <w:rPr>
          <w:rFonts w:asciiTheme="majorBidi" w:hAnsiTheme="majorBidi" w:cstheme="majorBidi"/>
        </w:rPr>
        <w:t>resistance, and</w:t>
      </w:r>
      <w:proofErr w:type="gramEnd"/>
      <w:r w:rsidRPr="00885DFB">
        <w:rPr>
          <w:rFonts w:asciiTheme="majorBidi" w:hAnsiTheme="majorBidi" w:cstheme="majorBidi"/>
        </w:rPr>
        <w:t xml:space="preserve"> were of high relevance to the HVCS. However, </w:t>
      </w:r>
      <w:r w:rsidR="003432D7" w:rsidRPr="00885DFB">
        <w:rPr>
          <w:rFonts w:asciiTheme="majorBidi" w:hAnsiTheme="majorBidi" w:cstheme="majorBidi"/>
        </w:rPr>
        <w:t xml:space="preserve">one </w:t>
      </w:r>
      <w:r w:rsidR="00A83123" w:rsidRPr="00A83123">
        <w:rPr>
          <w:rFonts w:asciiTheme="majorBidi" w:hAnsiTheme="majorBidi" w:cstheme="majorBidi"/>
          <w:noProof/>
          <w:vertAlign w:val="superscript"/>
        </w:rPr>
        <w:t>60</w:t>
      </w:r>
      <w:r w:rsidRPr="00885DFB">
        <w:rPr>
          <w:rFonts w:asciiTheme="majorBidi" w:hAnsiTheme="majorBidi" w:cstheme="majorBidi"/>
        </w:rPr>
        <w:t xml:space="preserve"> of these </w:t>
      </w:r>
      <w:r w:rsidR="003A47E9">
        <w:rPr>
          <w:rFonts w:asciiTheme="majorBidi" w:hAnsiTheme="majorBidi" w:cstheme="majorBidi"/>
        </w:rPr>
        <w:t xml:space="preserve">studies </w:t>
      </w:r>
      <w:r w:rsidRPr="00885DFB">
        <w:rPr>
          <w:rFonts w:asciiTheme="majorBidi" w:hAnsiTheme="majorBidi" w:cstheme="majorBidi"/>
        </w:rPr>
        <w:t xml:space="preserve">included isolates that were collected at least as long ago as 2008, which is before CAZ-AVI began being investigated, and this diminishes the relevance of this study since resistance in response to use of CAZ-AVI was unlikely to have emerged at this point. Consequently, a modelling scenario was planned </w:t>
      </w:r>
      <w:proofErr w:type="gramStart"/>
      <w:r w:rsidRPr="00885DFB">
        <w:rPr>
          <w:rFonts w:asciiTheme="majorBidi" w:hAnsiTheme="majorBidi" w:cstheme="majorBidi"/>
        </w:rPr>
        <w:t>using</w:t>
      </w:r>
      <w:proofErr w:type="gramEnd"/>
      <w:r w:rsidRPr="00885DFB">
        <w:rPr>
          <w:rFonts w:asciiTheme="majorBidi" w:hAnsiTheme="majorBidi" w:cstheme="majorBidi"/>
        </w:rPr>
        <w:t xml:space="preserve"> just the </w:t>
      </w:r>
      <w:r w:rsidR="00D803E5">
        <w:rPr>
          <w:rFonts w:asciiTheme="majorBidi" w:hAnsiTheme="majorBidi" w:cstheme="majorBidi"/>
        </w:rPr>
        <w:t xml:space="preserve">more recent </w:t>
      </w:r>
      <w:r w:rsidRPr="00885DFB">
        <w:rPr>
          <w:rFonts w:asciiTheme="majorBidi" w:hAnsiTheme="majorBidi" w:cstheme="majorBidi"/>
        </w:rPr>
        <w:t>PHE data</w:t>
      </w:r>
      <w:r w:rsidR="005A03B7">
        <w:rPr>
          <w:rFonts w:asciiTheme="majorBidi" w:hAnsiTheme="majorBidi" w:cstheme="majorBidi"/>
        </w:rPr>
        <w:t xml:space="preserve"> to inform comparator susceptibility</w:t>
      </w:r>
      <w:r w:rsidRPr="00885DFB">
        <w:rPr>
          <w:rFonts w:asciiTheme="majorBidi" w:hAnsiTheme="majorBidi" w:cstheme="majorBidi"/>
        </w:rPr>
        <w:t>, rather than a synthesis of the two English studies</w:t>
      </w:r>
      <w:r w:rsidR="00D803E5">
        <w:rPr>
          <w:rFonts w:asciiTheme="majorBidi" w:hAnsiTheme="majorBidi" w:cstheme="majorBidi"/>
        </w:rPr>
        <w:t xml:space="preserve">, but the older study was retained in the full </w:t>
      </w:r>
      <w:r w:rsidR="00AA2F63">
        <w:rPr>
          <w:rFonts w:asciiTheme="majorBidi" w:hAnsiTheme="majorBidi" w:cstheme="majorBidi"/>
        </w:rPr>
        <w:t>evidence synthesis analysis</w:t>
      </w:r>
      <w:r w:rsidR="00F2111E">
        <w:rPr>
          <w:rFonts w:asciiTheme="majorBidi" w:hAnsiTheme="majorBidi" w:cstheme="majorBidi"/>
        </w:rPr>
        <w:t xml:space="preserve"> (see next paragraph)</w:t>
      </w:r>
      <w:r w:rsidRPr="00885DFB">
        <w:rPr>
          <w:rFonts w:asciiTheme="majorBidi" w:hAnsiTheme="majorBidi" w:cstheme="majorBidi"/>
        </w:rPr>
        <w:t>. The remaining 14 studies collected isolates internationally (n=5),</w:t>
      </w:r>
      <w:r w:rsidR="00A83123" w:rsidRPr="00A83123">
        <w:rPr>
          <w:rFonts w:asciiTheme="majorBidi" w:hAnsiTheme="majorBidi" w:cstheme="majorBidi"/>
          <w:noProof/>
          <w:vertAlign w:val="superscript"/>
        </w:rPr>
        <w:t>45,53,56,57,61</w:t>
      </w:r>
      <w:r w:rsidRPr="00885DFB">
        <w:rPr>
          <w:rFonts w:asciiTheme="majorBidi" w:hAnsiTheme="majorBidi" w:cstheme="majorBidi"/>
        </w:rPr>
        <w:t xml:space="preserve"> from multi-site locations in a single country (two from Spain,</w:t>
      </w:r>
      <w:r w:rsidR="00A83123" w:rsidRPr="00A83123">
        <w:rPr>
          <w:rFonts w:asciiTheme="majorBidi" w:hAnsiTheme="majorBidi" w:cstheme="majorBidi"/>
          <w:noProof/>
          <w:vertAlign w:val="superscript"/>
        </w:rPr>
        <w:t>1,51</w:t>
      </w:r>
      <w:r w:rsidRPr="00885DFB">
        <w:rPr>
          <w:rFonts w:asciiTheme="majorBidi" w:hAnsiTheme="majorBidi" w:cstheme="majorBidi"/>
        </w:rPr>
        <w:t xml:space="preserve"> and one study from each of China,</w:t>
      </w:r>
      <w:r w:rsidR="00A83123" w:rsidRPr="00A83123">
        <w:rPr>
          <w:rFonts w:asciiTheme="majorBidi" w:hAnsiTheme="majorBidi" w:cstheme="majorBidi"/>
          <w:noProof/>
          <w:vertAlign w:val="superscript"/>
        </w:rPr>
        <w:t>52</w:t>
      </w:r>
      <w:r w:rsidRPr="00885DFB">
        <w:rPr>
          <w:rFonts w:asciiTheme="majorBidi" w:hAnsiTheme="majorBidi" w:cstheme="majorBidi"/>
        </w:rPr>
        <w:t>, Greece,</w:t>
      </w:r>
      <w:r w:rsidR="00A83123" w:rsidRPr="00A83123">
        <w:rPr>
          <w:rFonts w:asciiTheme="majorBidi" w:hAnsiTheme="majorBidi" w:cstheme="majorBidi"/>
          <w:noProof/>
          <w:vertAlign w:val="superscript"/>
        </w:rPr>
        <w:t>50</w:t>
      </w:r>
      <w:r w:rsidRPr="00885DFB">
        <w:rPr>
          <w:rFonts w:asciiTheme="majorBidi" w:hAnsiTheme="majorBidi" w:cstheme="majorBidi"/>
        </w:rPr>
        <w:t xml:space="preserve"> and India</w:t>
      </w:r>
      <w:r w:rsidR="00A83123" w:rsidRPr="00A83123">
        <w:rPr>
          <w:rFonts w:asciiTheme="majorBidi" w:hAnsiTheme="majorBidi" w:cstheme="majorBidi"/>
          <w:noProof/>
          <w:vertAlign w:val="superscript"/>
        </w:rPr>
        <w:t>46</w:t>
      </w:r>
      <w:r w:rsidRPr="00885DFB">
        <w:rPr>
          <w:rFonts w:asciiTheme="majorBidi" w:hAnsiTheme="majorBidi" w:cstheme="majorBidi"/>
        </w:rPr>
        <w:t>) from a single site in a single country (one study from each of France,</w:t>
      </w:r>
      <w:r w:rsidR="00A83123" w:rsidRPr="00A83123">
        <w:rPr>
          <w:rFonts w:asciiTheme="majorBidi" w:hAnsiTheme="majorBidi" w:cstheme="majorBidi"/>
          <w:noProof/>
          <w:vertAlign w:val="superscript"/>
        </w:rPr>
        <w:t>66</w:t>
      </w:r>
      <w:r w:rsidRPr="00885DFB">
        <w:rPr>
          <w:rFonts w:asciiTheme="majorBidi" w:hAnsiTheme="majorBidi" w:cstheme="majorBidi"/>
        </w:rPr>
        <w:t xml:space="preserve"> and Spain</w:t>
      </w:r>
      <w:r w:rsidR="00A83123" w:rsidRPr="00A83123">
        <w:rPr>
          <w:rFonts w:asciiTheme="majorBidi" w:hAnsiTheme="majorBidi" w:cstheme="majorBidi"/>
          <w:noProof/>
          <w:vertAlign w:val="superscript"/>
        </w:rPr>
        <w:t>37</w:t>
      </w:r>
      <w:r w:rsidRPr="00885DFB">
        <w:rPr>
          <w:rFonts w:asciiTheme="majorBidi" w:hAnsiTheme="majorBidi" w:cstheme="majorBidi"/>
        </w:rPr>
        <w:t>), or were unclear on the number</w:t>
      </w:r>
      <w:r w:rsidR="00AA2F63">
        <w:rPr>
          <w:rFonts w:asciiTheme="majorBidi" w:hAnsiTheme="majorBidi" w:cstheme="majorBidi"/>
        </w:rPr>
        <w:t xml:space="preserve"> of sites included (one study f</w:t>
      </w:r>
      <w:r w:rsidRPr="00885DFB">
        <w:rPr>
          <w:rFonts w:asciiTheme="majorBidi" w:hAnsiTheme="majorBidi" w:cstheme="majorBidi"/>
        </w:rPr>
        <w:t>r</w:t>
      </w:r>
      <w:r w:rsidR="00AA2F63">
        <w:rPr>
          <w:rFonts w:asciiTheme="majorBidi" w:hAnsiTheme="majorBidi" w:cstheme="majorBidi"/>
        </w:rPr>
        <w:t>o</w:t>
      </w:r>
      <w:r w:rsidRPr="00885DFB">
        <w:rPr>
          <w:rFonts w:asciiTheme="majorBidi" w:hAnsiTheme="majorBidi" w:cstheme="majorBidi"/>
        </w:rPr>
        <w:t>m each of Turkey,</w:t>
      </w:r>
      <w:r w:rsidR="00A83123" w:rsidRPr="00A83123">
        <w:rPr>
          <w:rFonts w:asciiTheme="majorBidi" w:hAnsiTheme="majorBidi" w:cstheme="majorBidi"/>
          <w:noProof/>
          <w:vertAlign w:val="superscript"/>
        </w:rPr>
        <w:t>62</w:t>
      </w:r>
      <w:r w:rsidRPr="00885DFB">
        <w:rPr>
          <w:rFonts w:asciiTheme="majorBidi" w:hAnsiTheme="majorBidi" w:cstheme="majorBidi"/>
        </w:rPr>
        <w:t xml:space="preserve"> and Australia</w:t>
      </w:r>
      <w:r w:rsidR="00A83123" w:rsidRPr="00A83123">
        <w:rPr>
          <w:rFonts w:asciiTheme="majorBidi" w:hAnsiTheme="majorBidi" w:cstheme="majorBidi"/>
          <w:noProof/>
          <w:vertAlign w:val="superscript"/>
        </w:rPr>
        <w:t>65</w:t>
      </w:r>
      <w:r w:rsidRPr="00885DFB">
        <w:rPr>
          <w:rFonts w:asciiTheme="majorBidi" w:hAnsiTheme="majorBidi" w:cstheme="majorBidi"/>
        </w:rPr>
        <w:t xml:space="preserve">). </w:t>
      </w:r>
      <w:bookmarkStart w:id="138" w:name="_Hlk85207250"/>
      <w:r w:rsidRPr="00885DFB">
        <w:rPr>
          <w:rFonts w:asciiTheme="majorBidi" w:hAnsiTheme="majorBidi" w:cstheme="majorBidi"/>
        </w:rPr>
        <w:t>Expert advice indicated that resistant infections tend to arrive in the UK from around the world, and consequently isolates collected from any location were of relevance to the assessment. All studies were therefore retained in the analysis.</w:t>
      </w:r>
    </w:p>
    <w:bookmarkEnd w:id="138"/>
    <w:p w14:paraId="4B8742E6" w14:textId="20F96036" w:rsidR="00E62673" w:rsidRPr="00885DFB" w:rsidRDefault="00E62673" w:rsidP="00A83123">
      <w:pPr>
        <w:spacing w:after="120" w:line="360" w:lineRule="auto"/>
        <w:jc w:val="both"/>
        <w:rPr>
          <w:rFonts w:asciiTheme="majorBidi" w:hAnsiTheme="majorBidi" w:cstheme="majorBidi"/>
        </w:rPr>
      </w:pPr>
      <w:r w:rsidRPr="00885DFB">
        <w:rPr>
          <w:rFonts w:asciiTheme="majorBidi" w:hAnsiTheme="majorBidi" w:cstheme="majorBidi"/>
        </w:rPr>
        <w:t>Isolates were generally collected since 2012, with two exceptions: the UK study already noted above</w:t>
      </w:r>
      <w:r w:rsidR="003432D7" w:rsidRPr="00885DFB">
        <w:rPr>
          <w:rFonts w:asciiTheme="majorBidi" w:hAnsiTheme="majorBidi" w:cstheme="majorBidi"/>
        </w:rPr>
        <w:t xml:space="preserve">, </w:t>
      </w:r>
      <w:r w:rsidR="00A83123" w:rsidRPr="00A83123">
        <w:rPr>
          <w:rFonts w:asciiTheme="majorBidi" w:hAnsiTheme="majorBidi" w:cstheme="majorBidi"/>
          <w:noProof/>
          <w:vertAlign w:val="superscript"/>
        </w:rPr>
        <w:t>60</w:t>
      </w:r>
      <w:r w:rsidRPr="00885DFB">
        <w:rPr>
          <w:rFonts w:asciiTheme="majorBidi" w:hAnsiTheme="majorBidi" w:cstheme="majorBidi"/>
        </w:rPr>
        <w:t xml:space="preserve"> and an international study which used isolates collected between 2002 and 2017. Expert advice indicated that isolates collected since 2012 were of highest (but not exclusive) relevance, and since the numbers of isolates collected before this period were likely to be small (69 isolates collected between 2002-2017,</w:t>
      </w:r>
      <w:r w:rsidR="00A83123" w:rsidRPr="00A83123">
        <w:rPr>
          <w:rFonts w:asciiTheme="majorBidi" w:hAnsiTheme="majorBidi" w:cstheme="majorBidi"/>
          <w:noProof/>
          <w:vertAlign w:val="superscript"/>
        </w:rPr>
        <w:t>53</w:t>
      </w:r>
      <w:r w:rsidRPr="00885DFB">
        <w:rPr>
          <w:rFonts w:asciiTheme="majorBidi" w:hAnsiTheme="majorBidi" w:cstheme="majorBidi"/>
        </w:rPr>
        <w:t xml:space="preserve"> and 19 isolates collected at unknown time points</w:t>
      </w:r>
      <w:r w:rsidR="00A83123" w:rsidRPr="00A83123">
        <w:rPr>
          <w:rFonts w:asciiTheme="majorBidi" w:hAnsiTheme="majorBidi" w:cstheme="majorBidi"/>
          <w:noProof/>
          <w:vertAlign w:val="superscript"/>
        </w:rPr>
        <w:t>60</w:t>
      </w:r>
      <w:r w:rsidRPr="00885DFB">
        <w:rPr>
          <w:rFonts w:asciiTheme="majorBidi" w:hAnsiTheme="majorBidi" w:cstheme="majorBidi"/>
        </w:rPr>
        <w:t xml:space="preserve">), all studies were retained in the analysis. </w:t>
      </w:r>
    </w:p>
    <w:p w14:paraId="700D25D4" w14:textId="14CC26EB" w:rsidR="00E62673" w:rsidRDefault="00E62673" w:rsidP="008D0C90">
      <w:pPr>
        <w:spacing w:after="120" w:line="360" w:lineRule="auto"/>
        <w:jc w:val="both"/>
        <w:rPr>
          <w:rFonts w:asciiTheme="majorBidi" w:hAnsiTheme="majorBidi" w:cstheme="majorBidi"/>
        </w:rPr>
        <w:sectPr w:rsidR="00E62673" w:rsidSect="000A755B">
          <w:pgSz w:w="11906" w:h="16838"/>
          <w:pgMar w:top="1440" w:right="1440" w:bottom="1440" w:left="1440" w:header="709" w:footer="709" w:gutter="0"/>
          <w:cols w:space="708"/>
          <w:docGrid w:linePitch="360"/>
        </w:sectPr>
      </w:pPr>
    </w:p>
    <w:p w14:paraId="4E400786" w14:textId="4610C3E5" w:rsidR="006732B3" w:rsidRPr="00F10F0A" w:rsidRDefault="006732B3" w:rsidP="006732B3">
      <w:pPr>
        <w:pStyle w:val="Caption"/>
        <w:keepNext/>
        <w:rPr>
          <w:rFonts w:asciiTheme="majorBidi" w:hAnsiTheme="majorBidi" w:cstheme="majorBidi"/>
          <w:b/>
          <w:bCs/>
          <w:i w:val="0"/>
          <w:iCs w:val="0"/>
          <w:sz w:val="20"/>
          <w:szCs w:val="20"/>
        </w:rPr>
      </w:pPr>
      <w:bookmarkStart w:id="139" w:name="_Ref85640818"/>
      <w:bookmarkStart w:id="140" w:name="_Toc86418983"/>
      <w:bookmarkStart w:id="141" w:name="_Ref82183488"/>
      <w:bookmarkStart w:id="142" w:name="_Toc83300855"/>
      <w:bookmarkStart w:id="143" w:name="_Toc83821911"/>
      <w:r w:rsidRPr="00F10F0A">
        <w:rPr>
          <w:rFonts w:asciiTheme="majorBidi" w:hAnsiTheme="majorBidi" w:cstheme="majorBidi"/>
          <w:b/>
          <w:bCs/>
          <w:i w:val="0"/>
          <w:iCs w:val="0"/>
          <w:sz w:val="20"/>
          <w:szCs w:val="20"/>
        </w:rPr>
        <w:lastRenderedPageBreak/>
        <w:t xml:space="preserve">Table </w:t>
      </w:r>
      <w:r w:rsidR="00F10F0A" w:rsidRPr="00F10F0A">
        <w:rPr>
          <w:rFonts w:asciiTheme="majorBidi" w:hAnsiTheme="majorBidi" w:cstheme="majorBidi"/>
          <w:b/>
          <w:bCs/>
          <w:i w:val="0"/>
          <w:iCs w:val="0"/>
          <w:noProof/>
          <w:sz w:val="20"/>
          <w:szCs w:val="20"/>
        </w:rPr>
        <w:t>6</w:t>
      </w:r>
      <w:bookmarkEnd w:id="139"/>
      <w:r w:rsidRPr="00F10F0A">
        <w:rPr>
          <w:rFonts w:asciiTheme="majorBidi" w:hAnsiTheme="majorBidi" w:cstheme="majorBidi"/>
          <w:b/>
          <w:bCs/>
          <w:i w:val="0"/>
          <w:iCs w:val="0"/>
          <w:sz w:val="20"/>
          <w:szCs w:val="20"/>
        </w:rPr>
        <w:t xml:space="preserve"> Study characteristics of studies reporting susceptibility of CAZ-AVI in </w:t>
      </w:r>
      <w:r w:rsidR="00FE2007" w:rsidRPr="00F10F0A">
        <w:rPr>
          <w:rFonts w:asciiTheme="majorBidi" w:hAnsiTheme="majorBidi" w:cstheme="majorBidi"/>
          <w:b/>
          <w:bCs/>
          <w:i w:val="0"/>
          <w:iCs w:val="0"/>
          <w:sz w:val="20"/>
          <w:szCs w:val="20"/>
        </w:rPr>
        <w:t xml:space="preserve">OXA-48 </w:t>
      </w:r>
      <w:proofErr w:type="spellStart"/>
      <w:r w:rsidR="00FE2007" w:rsidRPr="00F10F0A">
        <w:rPr>
          <w:rFonts w:asciiTheme="majorBidi" w:hAnsiTheme="majorBidi" w:cstheme="majorBidi"/>
          <w:b/>
          <w:bCs/>
          <w:sz w:val="20"/>
          <w:szCs w:val="20"/>
        </w:rPr>
        <w:t>Enterobacterales</w:t>
      </w:r>
      <w:proofErr w:type="spellEnd"/>
      <w:r w:rsidRPr="00F10F0A">
        <w:rPr>
          <w:rFonts w:asciiTheme="majorBidi" w:hAnsiTheme="majorBidi" w:cstheme="majorBidi"/>
          <w:b/>
          <w:bCs/>
          <w:i w:val="0"/>
          <w:iCs w:val="0"/>
          <w:sz w:val="20"/>
          <w:szCs w:val="20"/>
        </w:rPr>
        <w:t xml:space="preserve"> isolates, eligible for inclusion in the meta-analysis</w:t>
      </w:r>
      <w:bookmarkEnd w:id="140"/>
    </w:p>
    <w:tbl>
      <w:tblPr>
        <w:tblStyle w:val="TableGrid"/>
        <w:tblW w:w="5000" w:type="pct"/>
        <w:tblLayout w:type="fixed"/>
        <w:tblLook w:val="04A0" w:firstRow="1" w:lastRow="0" w:firstColumn="1" w:lastColumn="0" w:noHBand="0" w:noVBand="1"/>
      </w:tblPr>
      <w:tblGrid>
        <w:gridCol w:w="988"/>
        <w:gridCol w:w="1559"/>
        <w:gridCol w:w="1211"/>
        <w:gridCol w:w="1057"/>
        <w:gridCol w:w="1559"/>
        <w:gridCol w:w="1417"/>
        <w:gridCol w:w="1381"/>
        <w:gridCol w:w="1172"/>
        <w:gridCol w:w="1492"/>
        <w:gridCol w:w="907"/>
        <w:gridCol w:w="1205"/>
      </w:tblGrid>
      <w:tr w:rsidR="00AF4752" w:rsidRPr="00BC238A" w14:paraId="070535FB" w14:textId="77777777" w:rsidTr="00AF4752">
        <w:trPr>
          <w:tblHeader/>
        </w:trPr>
        <w:tc>
          <w:tcPr>
            <w:tcW w:w="354" w:type="pct"/>
            <w:shd w:val="clear" w:color="auto" w:fill="D9D9D9" w:themeFill="background1" w:themeFillShade="D9"/>
          </w:tcPr>
          <w:bookmarkEnd w:id="141"/>
          <w:bookmarkEnd w:id="142"/>
          <w:bookmarkEnd w:id="143"/>
          <w:p w14:paraId="33E40F18" w14:textId="77777777" w:rsidR="00D96F92" w:rsidRPr="00BC238A" w:rsidRDefault="00D96F92" w:rsidP="00D96F92">
            <w:pPr>
              <w:spacing w:after="120"/>
              <w:rPr>
                <w:rFonts w:asciiTheme="majorBidi" w:hAnsiTheme="majorBidi" w:cstheme="majorBidi"/>
                <w:b/>
              </w:rPr>
            </w:pPr>
            <w:r w:rsidRPr="00BC238A">
              <w:rPr>
                <w:rFonts w:asciiTheme="majorBidi" w:hAnsiTheme="majorBidi" w:cstheme="majorBidi"/>
                <w:b/>
              </w:rPr>
              <w:t>Study</w:t>
            </w:r>
          </w:p>
          <w:p w14:paraId="3AF15FB4" w14:textId="54DDBCD4" w:rsidR="00D96F92" w:rsidRPr="00BC238A" w:rsidRDefault="00AF4752" w:rsidP="00070786">
            <w:pPr>
              <w:spacing w:after="120"/>
              <w:rPr>
                <w:rFonts w:asciiTheme="majorBidi" w:hAnsiTheme="majorBidi" w:cstheme="majorBidi"/>
                <w:b/>
              </w:rPr>
            </w:pPr>
            <w:r>
              <w:rPr>
                <w:rFonts w:asciiTheme="majorBidi" w:hAnsiTheme="majorBidi" w:cstheme="majorBidi"/>
                <w:b/>
              </w:rPr>
              <w:t>location</w:t>
            </w:r>
          </w:p>
        </w:tc>
        <w:tc>
          <w:tcPr>
            <w:tcW w:w="559" w:type="pct"/>
            <w:shd w:val="clear" w:color="auto" w:fill="D9D9D9" w:themeFill="background1" w:themeFillShade="D9"/>
          </w:tcPr>
          <w:p w14:paraId="040EA8CE" w14:textId="1D40AC07" w:rsidR="00D96F92" w:rsidRPr="00BC238A" w:rsidRDefault="00D96F92" w:rsidP="00D96F92">
            <w:pPr>
              <w:spacing w:after="120"/>
              <w:rPr>
                <w:rFonts w:asciiTheme="majorBidi" w:hAnsiTheme="majorBidi" w:cstheme="majorBidi"/>
                <w:b/>
              </w:rPr>
            </w:pPr>
            <w:r w:rsidRPr="00BC238A">
              <w:rPr>
                <w:rFonts w:asciiTheme="majorBidi" w:hAnsiTheme="majorBidi" w:cstheme="majorBidi"/>
                <w:b/>
              </w:rPr>
              <w:t>Study</w:t>
            </w:r>
          </w:p>
          <w:p w14:paraId="416E88EE" w14:textId="28295E97" w:rsidR="00D96F92" w:rsidRPr="00BC238A" w:rsidRDefault="00D96F92" w:rsidP="00070786">
            <w:pPr>
              <w:spacing w:after="120"/>
              <w:rPr>
                <w:rFonts w:asciiTheme="majorBidi" w:hAnsiTheme="majorBidi" w:cstheme="majorBidi"/>
                <w:b/>
              </w:rPr>
            </w:pPr>
          </w:p>
        </w:tc>
        <w:tc>
          <w:tcPr>
            <w:tcW w:w="434" w:type="pct"/>
            <w:shd w:val="clear" w:color="auto" w:fill="D9D9D9" w:themeFill="background1" w:themeFillShade="D9"/>
          </w:tcPr>
          <w:p w14:paraId="4887DEBD"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Country, multi-site?</w:t>
            </w:r>
          </w:p>
          <w:p w14:paraId="1F78CF0E"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Year(s) of recruitment</w:t>
            </w:r>
          </w:p>
        </w:tc>
        <w:tc>
          <w:tcPr>
            <w:tcW w:w="379" w:type="pct"/>
            <w:shd w:val="clear" w:color="auto" w:fill="D9D9D9" w:themeFill="background1" w:themeFillShade="D9"/>
          </w:tcPr>
          <w:p w14:paraId="78AC101E"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N</w:t>
            </w:r>
          </w:p>
          <w:p w14:paraId="7BF34C66"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Includes OXA-48-like?</w:t>
            </w:r>
          </w:p>
        </w:tc>
        <w:tc>
          <w:tcPr>
            <w:tcW w:w="559" w:type="pct"/>
            <w:shd w:val="clear" w:color="auto" w:fill="D9D9D9" w:themeFill="background1" w:themeFillShade="D9"/>
          </w:tcPr>
          <w:p w14:paraId="3FC6EED9"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Inclusion criteria/ β-lactamase testing selection criteria</w:t>
            </w:r>
          </w:p>
        </w:tc>
        <w:tc>
          <w:tcPr>
            <w:tcW w:w="508" w:type="pct"/>
            <w:shd w:val="clear" w:color="auto" w:fill="D9D9D9" w:themeFill="background1" w:themeFillShade="D9"/>
          </w:tcPr>
          <w:p w14:paraId="4DC5D62B"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Consecutive sample?</w:t>
            </w:r>
          </w:p>
        </w:tc>
        <w:tc>
          <w:tcPr>
            <w:tcW w:w="495" w:type="pct"/>
            <w:shd w:val="clear" w:color="auto" w:fill="D9D9D9" w:themeFill="background1" w:themeFillShade="D9"/>
          </w:tcPr>
          <w:p w14:paraId="39B61992"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 Mero non-susceptible</w:t>
            </w:r>
          </w:p>
        </w:tc>
        <w:tc>
          <w:tcPr>
            <w:tcW w:w="420" w:type="pct"/>
            <w:shd w:val="clear" w:color="auto" w:fill="D9D9D9" w:themeFill="background1" w:themeFillShade="D9"/>
          </w:tcPr>
          <w:p w14:paraId="19FFC9BD"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MBL co-carriage?</w:t>
            </w:r>
          </w:p>
        </w:tc>
        <w:tc>
          <w:tcPr>
            <w:tcW w:w="535" w:type="pct"/>
            <w:shd w:val="clear" w:color="auto" w:fill="D9D9D9" w:themeFill="background1" w:themeFillShade="D9"/>
          </w:tcPr>
          <w:p w14:paraId="04EB0705"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Laboratory methods</w:t>
            </w:r>
          </w:p>
          <w:p w14:paraId="4778F680"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Breakpoints</w:t>
            </w:r>
          </w:p>
        </w:tc>
        <w:tc>
          <w:tcPr>
            <w:tcW w:w="325" w:type="pct"/>
            <w:shd w:val="clear" w:color="auto" w:fill="D9D9D9" w:themeFill="background1" w:themeFillShade="D9"/>
          </w:tcPr>
          <w:p w14:paraId="0695625F"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Source of study</w:t>
            </w:r>
          </w:p>
        </w:tc>
        <w:tc>
          <w:tcPr>
            <w:tcW w:w="432" w:type="pct"/>
            <w:shd w:val="clear" w:color="auto" w:fill="D9D9D9" w:themeFill="background1" w:themeFillShade="D9"/>
          </w:tcPr>
          <w:p w14:paraId="2BEB9022" w14:textId="77777777" w:rsidR="00D96F92" w:rsidRPr="00BC238A" w:rsidRDefault="00D96F92" w:rsidP="00070786">
            <w:pPr>
              <w:spacing w:after="120"/>
              <w:rPr>
                <w:rFonts w:asciiTheme="majorBidi" w:hAnsiTheme="majorBidi" w:cstheme="majorBidi"/>
                <w:b/>
              </w:rPr>
            </w:pPr>
            <w:r w:rsidRPr="00BC238A">
              <w:rPr>
                <w:rFonts w:asciiTheme="majorBidi" w:hAnsiTheme="majorBidi" w:cstheme="majorBidi"/>
                <w:b/>
              </w:rPr>
              <w:t>Included in network meta-analyses?</w:t>
            </w:r>
          </w:p>
        </w:tc>
      </w:tr>
      <w:tr w:rsidR="00AF4752" w:rsidRPr="00BC238A" w14:paraId="2908D41C" w14:textId="77777777" w:rsidTr="00AF4752">
        <w:tc>
          <w:tcPr>
            <w:tcW w:w="354" w:type="pct"/>
          </w:tcPr>
          <w:p w14:paraId="283C5D85" w14:textId="55E8AE68" w:rsidR="00D96F92" w:rsidRPr="00BC238A" w:rsidRDefault="00D96F92" w:rsidP="00A83123">
            <w:pPr>
              <w:spacing w:after="120"/>
              <w:rPr>
                <w:rFonts w:asciiTheme="majorBidi" w:hAnsiTheme="majorBidi" w:cstheme="majorBidi"/>
              </w:rPr>
            </w:pPr>
            <w:r>
              <w:rPr>
                <w:rFonts w:asciiTheme="majorBidi" w:hAnsiTheme="majorBidi" w:cstheme="majorBidi"/>
              </w:rPr>
              <w:t>UK study</w:t>
            </w:r>
          </w:p>
        </w:tc>
        <w:tc>
          <w:tcPr>
            <w:tcW w:w="559" w:type="pct"/>
          </w:tcPr>
          <w:p w14:paraId="55C9BDA8" w14:textId="314E69C4" w:rsidR="00D96F92" w:rsidRPr="00BC238A" w:rsidRDefault="00D96F92" w:rsidP="00A83123">
            <w:pPr>
              <w:spacing w:after="120"/>
              <w:rPr>
                <w:rFonts w:asciiTheme="majorBidi" w:hAnsiTheme="majorBidi" w:cstheme="majorBidi"/>
              </w:rPr>
            </w:pPr>
            <w:r w:rsidRPr="00BC238A">
              <w:rPr>
                <w:rFonts w:asciiTheme="majorBidi" w:hAnsiTheme="majorBidi" w:cstheme="majorBidi"/>
              </w:rPr>
              <w:t>PHE data</w:t>
            </w:r>
            <w:r w:rsidRPr="00A83123">
              <w:rPr>
                <w:rFonts w:asciiTheme="majorBidi" w:hAnsiTheme="majorBidi" w:cstheme="majorBidi"/>
                <w:noProof/>
                <w:vertAlign w:val="superscript"/>
              </w:rPr>
              <w:t>44</w:t>
            </w:r>
            <w:r w:rsidRPr="00BC238A">
              <w:rPr>
                <w:rFonts w:asciiTheme="majorBidi" w:hAnsiTheme="majorBidi" w:cstheme="majorBidi"/>
              </w:rPr>
              <w:t xml:space="preserve"> </w:t>
            </w:r>
          </w:p>
          <w:p w14:paraId="377DAE4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PHE</w:t>
            </w:r>
          </w:p>
        </w:tc>
        <w:tc>
          <w:tcPr>
            <w:tcW w:w="434" w:type="pct"/>
          </w:tcPr>
          <w:p w14:paraId="6B94726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UK, multi-site</w:t>
            </w:r>
          </w:p>
          <w:p w14:paraId="38F5964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2014-2021*</w:t>
            </w:r>
          </w:p>
        </w:tc>
        <w:tc>
          <w:tcPr>
            <w:tcW w:w="379" w:type="pct"/>
          </w:tcPr>
          <w:p w14:paraId="40924EB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85</w:t>
            </w:r>
          </w:p>
          <w:p w14:paraId="47E1F202" w14:textId="77777777" w:rsidR="00D96F92" w:rsidRPr="00BC238A" w:rsidRDefault="00D96F92" w:rsidP="00070786">
            <w:pPr>
              <w:spacing w:after="120"/>
              <w:rPr>
                <w:rFonts w:asciiTheme="majorBidi" w:hAnsiTheme="majorBidi" w:cstheme="majorBidi"/>
              </w:rPr>
            </w:pPr>
          </w:p>
          <w:p w14:paraId="420E0D6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tcPr>
          <w:p w14:paraId="3025A1C8" w14:textId="6271455A"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CPE isolates submitted to </w:t>
            </w:r>
            <w:r w:rsidRPr="00BC238A">
              <w:rPr>
                <w:rFonts w:asciiTheme="majorBidi" w:hAnsiTheme="majorBidi" w:cstheme="majorBidi"/>
                <w:color w:val="000000"/>
              </w:rPr>
              <w:t>PHE AMRHAI with suspected CR tested for CAZ-AVI susceptibility</w:t>
            </w:r>
          </w:p>
        </w:tc>
        <w:tc>
          <w:tcPr>
            <w:tcW w:w="508" w:type="pct"/>
          </w:tcPr>
          <w:p w14:paraId="2EBC3C5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Unclear </w:t>
            </w:r>
          </w:p>
        </w:tc>
        <w:tc>
          <w:tcPr>
            <w:tcW w:w="495" w:type="pct"/>
          </w:tcPr>
          <w:p w14:paraId="0662ADE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46%</w:t>
            </w:r>
          </w:p>
        </w:tc>
        <w:tc>
          <w:tcPr>
            <w:tcW w:w="420" w:type="pct"/>
          </w:tcPr>
          <w:p w14:paraId="12B6D69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0B52CD2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Unclear</w:t>
            </w:r>
          </w:p>
        </w:tc>
        <w:tc>
          <w:tcPr>
            <w:tcW w:w="325" w:type="pct"/>
          </w:tcPr>
          <w:p w14:paraId="0295EFE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PHE data request</w:t>
            </w:r>
          </w:p>
        </w:tc>
        <w:tc>
          <w:tcPr>
            <w:tcW w:w="432" w:type="pct"/>
          </w:tcPr>
          <w:p w14:paraId="4D21E98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EUCAST; full</w:t>
            </w:r>
          </w:p>
        </w:tc>
      </w:tr>
      <w:tr w:rsidR="00AF4752" w:rsidRPr="00BC238A" w14:paraId="7452A91A" w14:textId="77777777" w:rsidTr="00AF4752">
        <w:tc>
          <w:tcPr>
            <w:tcW w:w="354" w:type="pct"/>
          </w:tcPr>
          <w:p w14:paraId="5BF09D46" w14:textId="670A4FC1" w:rsidR="00D96F92" w:rsidRPr="00BC238A" w:rsidRDefault="00D96F92" w:rsidP="00A83123">
            <w:pPr>
              <w:spacing w:after="120"/>
              <w:rPr>
                <w:rFonts w:asciiTheme="majorBidi" w:hAnsiTheme="majorBidi" w:cstheme="majorBidi"/>
                <w:lang w:val="it-IT"/>
              </w:rPr>
            </w:pPr>
            <w:r>
              <w:rPr>
                <w:rFonts w:asciiTheme="majorBidi" w:hAnsiTheme="majorBidi" w:cstheme="majorBidi"/>
              </w:rPr>
              <w:t>UK study</w:t>
            </w:r>
          </w:p>
        </w:tc>
        <w:tc>
          <w:tcPr>
            <w:tcW w:w="559" w:type="pct"/>
          </w:tcPr>
          <w:p w14:paraId="52BE0E83" w14:textId="2EDC7E93" w:rsidR="00D96F92" w:rsidRPr="00BC238A" w:rsidRDefault="00D96F92" w:rsidP="00A83123">
            <w:pPr>
              <w:spacing w:after="120"/>
              <w:rPr>
                <w:rFonts w:asciiTheme="majorBidi" w:hAnsiTheme="majorBidi" w:cstheme="majorBidi"/>
                <w:lang w:val="it-IT"/>
              </w:rPr>
            </w:pPr>
            <w:r w:rsidRPr="00BC238A">
              <w:rPr>
                <w:rFonts w:asciiTheme="majorBidi" w:hAnsiTheme="majorBidi" w:cstheme="majorBidi"/>
                <w:lang w:val="it-IT"/>
              </w:rPr>
              <w:t>Livermore 2011</w:t>
            </w:r>
            <w:r w:rsidRPr="00A83123">
              <w:rPr>
                <w:rFonts w:asciiTheme="majorBidi" w:hAnsiTheme="majorBidi" w:cstheme="majorBidi"/>
                <w:noProof/>
                <w:vertAlign w:val="superscript"/>
              </w:rPr>
              <w:t>60</w:t>
            </w:r>
          </w:p>
          <w:p w14:paraId="603F9759" w14:textId="77777777" w:rsidR="00D96F92" w:rsidRPr="00BC238A" w:rsidRDefault="00D96F92" w:rsidP="00070786">
            <w:pPr>
              <w:spacing w:after="120"/>
              <w:rPr>
                <w:rFonts w:asciiTheme="majorBidi" w:hAnsiTheme="majorBidi" w:cstheme="majorBidi"/>
                <w:lang w:val="it-IT"/>
              </w:rPr>
            </w:pPr>
            <w:r w:rsidRPr="00BC238A">
              <w:rPr>
                <w:rFonts w:asciiTheme="majorBidi" w:hAnsiTheme="majorBidi" w:cstheme="majorBidi"/>
                <w:lang w:val="it-IT"/>
              </w:rPr>
              <w:t>NR</w:t>
            </w:r>
          </w:p>
        </w:tc>
        <w:tc>
          <w:tcPr>
            <w:tcW w:w="434" w:type="pct"/>
          </w:tcPr>
          <w:p w14:paraId="029E106C"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UK, multi-site</w:t>
            </w:r>
          </w:p>
          <w:p w14:paraId="04E89F9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Unclear, at least 2008</w:t>
            </w:r>
          </w:p>
        </w:tc>
        <w:tc>
          <w:tcPr>
            <w:tcW w:w="379" w:type="pct"/>
          </w:tcPr>
          <w:p w14:paraId="6B3FC2C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19</w:t>
            </w:r>
          </w:p>
          <w:p w14:paraId="081FD8A7" w14:textId="77777777" w:rsidR="00D96F92" w:rsidRPr="00BC238A" w:rsidRDefault="00D96F92" w:rsidP="00070786">
            <w:pPr>
              <w:spacing w:after="120"/>
              <w:rPr>
                <w:rFonts w:asciiTheme="majorBidi" w:hAnsiTheme="majorBidi" w:cstheme="majorBidi"/>
              </w:rPr>
            </w:pPr>
          </w:p>
          <w:p w14:paraId="48C721C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Unclear</w:t>
            </w:r>
          </w:p>
        </w:tc>
        <w:tc>
          <w:tcPr>
            <w:tcW w:w="559" w:type="pct"/>
          </w:tcPr>
          <w:p w14:paraId="1A68E34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CPE isolates (all were KP) submitted to </w:t>
            </w:r>
            <w:r w:rsidRPr="00BC238A">
              <w:rPr>
                <w:rFonts w:asciiTheme="majorBidi" w:hAnsiTheme="majorBidi" w:cstheme="majorBidi"/>
                <w:color w:val="000000"/>
              </w:rPr>
              <w:t>PHE AMRHAI with suspected CR</w:t>
            </w:r>
          </w:p>
        </w:tc>
        <w:tc>
          <w:tcPr>
            <w:tcW w:w="508" w:type="pct"/>
          </w:tcPr>
          <w:p w14:paraId="44E510C3"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 xml:space="preserve">Unclear </w:t>
            </w:r>
          </w:p>
        </w:tc>
        <w:tc>
          <w:tcPr>
            <w:tcW w:w="495" w:type="pct"/>
          </w:tcPr>
          <w:p w14:paraId="22C0D21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 xml:space="preserve">68% </w:t>
            </w:r>
          </w:p>
        </w:tc>
        <w:tc>
          <w:tcPr>
            <w:tcW w:w="420" w:type="pct"/>
          </w:tcPr>
          <w:p w14:paraId="5A49BB7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 NR</w:t>
            </w:r>
          </w:p>
        </w:tc>
        <w:tc>
          <w:tcPr>
            <w:tcW w:w="535" w:type="pct"/>
          </w:tcPr>
          <w:p w14:paraId="59A993A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59925C3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 (reviewer-applied)</w:t>
            </w:r>
          </w:p>
        </w:tc>
        <w:tc>
          <w:tcPr>
            <w:tcW w:w="325" w:type="pct"/>
          </w:tcPr>
          <w:p w14:paraId="5EE7743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7061D5C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69D58856" w14:textId="77777777" w:rsidTr="00AF4752">
        <w:tc>
          <w:tcPr>
            <w:tcW w:w="354" w:type="pct"/>
            <w:shd w:val="clear" w:color="auto" w:fill="FFFFFF" w:themeFill="background1"/>
          </w:tcPr>
          <w:p w14:paraId="6846E63D" w14:textId="5A3FF415" w:rsidR="00D96F92" w:rsidRPr="00454CF5" w:rsidRDefault="00AF4752" w:rsidP="008954C7">
            <w:pPr>
              <w:spacing w:after="120"/>
              <w:rPr>
                <w:rFonts w:ascii="Times New Roman" w:hAnsi="Times New Roman" w:cs="Times New Roman"/>
              </w:rPr>
            </w:pPr>
            <w:r>
              <w:rPr>
                <w:rFonts w:ascii="Times New Roman" w:hAnsi="Times New Roman" w:cs="Times New Roman"/>
              </w:rPr>
              <w:t>Non-UK study</w:t>
            </w:r>
          </w:p>
        </w:tc>
        <w:tc>
          <w:tcPr>
            <w:tcW w:w="559" w:type="pct"/>
            <w:shd w:val="clear" w:color="auto" w:fill="FFFFFF" w:themeFill="background1"/>
          </w:tcPr>
          <w:p w14:paraId="36BF66A7" w14:textId="2DFD44D8"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Deshpande unpublished</w:t>
            </w:r>
            <w:r w:rsidRPr="00454CF5">
              <w:rPr>
                <w:rFonts w:ascii="Times New Roman" w:hAnsi="Times New Roman" w:cs="Times New Roman"/>
                <w:noProof/>
                <w:vertAlign w:val="superscript"/>
              </w:rPr>
              <w:t>45</w:t>
            </w:r>
          </w:p>
          <w:p w14:paraId="51C1C053" w14:textId="67D1EE6E" w:rsidR="00D96F92" w:rsidRPr="00454CF5" w:rsidRDefault="00D96F92" w:rsidP="008954C7">
            <w:pPr>
              <w:spacing w:after="120"/>
              <w:rPr>
                <w:rFonts w:ascii="Times New Roman" w:hAnsi="Times New Roman" w:cs="Times New Roman"/>
                <w:lang w:val="pl-PL"/>
              </w:rPr>
            </w:pPr>
            <w:r w:rsidRPr="00454CF5">
              <w:rPr>
                <w:rFonts w:ascii="Times New Roman" w:hAnsi="Times New Roman" w:cs="Times New Roman"/>
              </w:rPr>
              <w:t>Pfizer</w:t>
            </w:r>
          </w:p>
        </w:tc>
        <w:tc>
          <w:tcPr>
            <w:tcW w:w="434" w:type="pct"/>
            <w:shd w:val="clear" w:color="auto" w:fill="FFFFFF" w:themeFill="background1"/>
          </w:tcPr>
          <w:p w14:paraId="7BB4E306" w14:textId="77777777"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International (mostly Europe), multi-site</w:t>
            </w:r>
          </w:p>
          <w:p w14:paraId="10FC037A" w14:textId="6576610D" w:rsidR="00D96F92" w:rsidRPr="00454CF5" w:rsidRDefault="00D96F92" w:rsidP="008954C7">
            <w:pPr>
              <w:spacing w:after="120"/>
              <w:rPr>
                <w:rFonts w:ascii="Times New Roman" w:hAnsi="Times New Roman" w:cs="Times New Roman"/>
                <w:lang w:val="pl-PL"/>
              </w:rPr>
            </w:pPr>
            <w:r w:rsidRPr="00454CF5">
              <w:rPr>
                <w:rFonts w:ascii="Times New Roman" w:hAnsi="Times New Roman" w:cs="Times New Roman"/>
              </w:rPr>
              <w:t>2016-2018</w:t>
            </w:r>
          </w:p>
        </w:tc>
        <w:tc>
          <w:tcPr>
            <w:tcW w:w="379" w:type="pct"/>
            <w:shd w:val="clear" w:color="auto" w:fill="FFFFFF" w:themeFill="background1"/>
          </w:tcPr>
          <w:p w14:paraId="097623F1" w14:textId="77777777"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319</w:t>
            </w:r>
          </w:p>
          <w:p w14:paraId="144D7D77" w14:textId="77777777" w:rsidR="00D96F92" w:rsidRPr="00454CF5" w:rsidRDefault="00D96F92" w:rsidP="008954C7">
            <w:pPr>
              <w:spacing w:after="120"/>
              <w:rPr>
                <w:rFonts w:ascii="Times New Roman" w:hAnsi="Times New Roman" w:cs="Times New Roman"/>
              </w:rPr>
            </w:pPr>
          </w:p>
          <w:p w14:paraId="2F1E1233" w14:textId="7BD2F872"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Y</w:t>
            </w:r>
          </w:p>
        </w:tc>
        <w:tc>
          <w:tcPr>
            <w:tcW w:w="559" w:type="pct"/>
            <w:shd w:val="clear" w:color="auto" w:fill="FFFFFF" w:themeFill="background1"/>
          </w:tcPr>
          <w:p w14:paraId="2FACEED1" w14:textId="679232C9"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CPE isolates, unclear how selected</w:t>
            </w:r>
          </w:p>
        </w:tc>
        <w:tc>
          <w:tcPr>
            <w:tcW w:w="508" w:type="pct"/>
            <w:shd w:val="clear" w:color="auto" w:fill="FFFFFF" w:themeFill="background1"/>
          </w:tcPr>
          <w:p w14:paraId="18529BEC" w14:textId="6EB32F25"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Unclear</w:t>
            </w:r>
          </w:p>
        </w:tc>
        <w:tc>
          <w:tcPr>
            <w:tcW w:w="495" w:type="pct"/>
            <w:shd w:val="clear" w:color="auto" w:fill="FFFFFF" w:themeFill="background1"/>
          </w:tcPr>
          <w:p w14:paraId="343477F7" w14:textId="6B248E62"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36.1%</w:t>
            </w:r>
          </w:p>
        </w:tc>
        <w:tc>
          <w:tcPr>
            <w:tcW w:w="420" w:type="pct"/>
            <w:shd w:val="clear" w:color="auto" w:fill="FFFFFF" w:themeFill="background1"/>
          </w:tcPr>
          <w:p w14:paraId="5BEB004B" w14:textId="74772DD3"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0%</w:t>
            </w:r>
          </w:p>
        </w:tc>
        <w:tc>
          <w:tcPr>
            <w:tcW w:w="535" w:type="pct"/>
            <w:shd w:val="clear" w:color="auto" w:fill="FFFFFF" w:themeFill="background1"/>
          </w:tcPr>
          <w:p w14:paraId="1B25EAF8" w14:textId="77777777"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CLSI</w:t>
            </w:r>
          </w:p>
          <w:p w14:paraId="6177149C" w14:textId="18B3F48D"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CLSI, EUCAST for colistin</w:t>
            </w:r>
          </w:p>
        </w:tc>
        <w:tc>
          <w:tcPr>
            <w:tcW w:w="325" w:type="pct"/>
            <w:shd w:val="clear" w:color="auto" w:fill="FFFFFF" w:themeFill="background1"/>
          </w:tcPr>
          <w:p w14:paraId="305E9CEF" w14:textId="4C0FB1E4"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CS</w:t>
            </w:r>
          </w:p>
        </w:tc>
        <w:tc>
          <w:tcPr>
            <w:tcW w:w="432" w:type="pct"/>
            <w:shd w:val="clear" w:color="auto" w:fill="FFFFFF" w:themeFill="background1"/>
          </w:tcPr>
          <w:p w14:paraId="38B744C2" w14:textId="554D2236" w:rsidR="00D96F92" w:rsidRPr="00454CF5" w:rsidRDefault="00D96F92" w:rsidP="008954C7">
            <w:pPr>
              <w:spacing w:after="120"/>
              <w:rPr>
                <w:rFonts w:ascii="Times New Roman" w:hAnsi="Times New Roman" w:cs="Times New Roman"/>
              </w:rPr>
            </w:pPr>
            <w:r w:rsidRPr="00454CF5">
              <w:rPr>
                <w:rFonts w:ascii="Times New Roman" w:hAnsi="Times New Roman" w:cs="Times New Roman"/>
              </w:rPr>
              <w:t>Y, full</w:t>
            </w:r>
          </w:p>
        </w:tc>
      </w:tr>
      <w:tr w:rsidR="00AF4752" w:rsidRPr="00BC238A" w14:paraId="36978233" w14:textId="77777777" w:rsidTr="00AF4752">
        <w:tc>
          <w:tcPr>
            <w:tcW w:w="354" w:type="pct"/>
            <w:shd w:val="clear" w:color="auto" w:fill="FFFFFF" w:themeFill="background1"/>
          </w:tcPr>
          <w:p w14:paraId="07A3E8C3" w14:textId="71340378" w:rsidR="00D96F92" w:rsidRPr="00BC238A" w:rsidRDefault="00AF4752" w:rsidP="00A83123">
            <w:pPr>
              <w:spacing w:after="120"/>
              <w:rPr>
                <w:rFonts w:asciiTheme="majorBidi" w:hAnsiTheme="majorBidi" w:cstheme="majorBidi"/>
                <w:lang w:val="pl-PL"/>
              </w:rPr>
            </w:pPr>
            <w:r>
              <w:rPr>
                <w:rFonts w:ascii="Times New Roman" w:hAnsi="Times New Roman" w:cs="Times New Roman"/>
              </w:rPr>
              <w:t>Non-UK study</w:t>
            </w:r>
          </w:p>
        </w:tc>
        <w:tc>
          <w:tcPr>
            <w:tcW w:w="559" w:type="pct"/>
            <w:shd w:val="clear" w:color="auto" w:fill="FFFFFF" w:themeFill="background1"/>
          </w:tcPr>
          <w:p w14:paraId="1FAA93DA" w14:textId="02FB8EDA" w:rsidR="00D96F92" w:rsidRPr="00BC238A" w:rsidRDefault="00D96F92" w:rsidP="00A83123">
            <w:pPr>
              <w:spacing w:after="120"/>
              <w:rPr>
                <w:rFonts w:asciiTheme="majorBidi" w:hAnsiTheme="majorBidi" w:cstheme="majorBidi"/>
                <w:lang w:val="pl-PL"/>
              </w:rPr>
            </w:pPr>
            <w:r w:rsidRPr="00BC238A">
              <w:rPr>
                <w:rFonts w:asciiTheme="majorBidi" w:hAnsiTheme="majorBidi" w:cstheme="majorBidi"/>
                <w:lang w:val="pl-PL"/>
              </w:rPr>
              <w:t>Kazmierczak 2018</w:t>
            </w:r>
            <w:r w:rsidRPr="00A83123">
              <w:rPr>
                <w:rFonts w:asciiTheme="majorBidi" w:hAnsiTheme="majorBidi" w:cstheme="majorBidi"/>
                <w:noProof/>
                <w:vertAlign w:val="superscript"/>
                <w:lang w:val="pl-PL"/>
              </w:rPr>
              <w:t>56</w:t>
            </w:r>
          </w:p>
          <w:p w14:paraId="6DF6DE52" w14:textId="77777777" w:rsidR="00D96F92" w:rsidRPr="00BC238A" w:rsidRDefault="00D96F92" w:rsidP="00070786">
            <w:pPr>
              <w:spacing w:after="120"/>
              <w:rPr>
                <w:rFonts w:asciiTheme="majorBidi" w:hAnsiTheme="majorBidi" w:cstheme="majorBidi"/>
                <w:lang w:val="pl-PL"/>
              </w:rPr>
            </w:pPr>
            <w:r w:rsidRPr="00BC238A">
              <w:rPr>
                <w:rFonts w:asciiTheme="majorBidi" w:hAnsiTheme="majorBidi" w:cstheme="majorBidi"/>
                <w:lang w:val="pl-PL"/>
              </w:rPr>
              <w:t>(INFORM)</w:t>
            </w:r>
          </w:p>
          <w:p w14:paraId="32BBDE9C" w14:textId="77777777" w:rsidR="00D96F92" w:rsidRPr="00BC238A" w:rsidRDefault="00D96F92" w:rsidP="00070786">
            <w:pPr>
              <w:spacing w:after="120"/>
              <w:rPr>
                <w:rFonts w:asciiTheme="majorBidi" w:hAnsiTheme="majorBidi" w:cstheme="majorBidi"/>
                <w:lang w:val="pl-PL"/>
              </w:rPr>
            </w:pPr>
            <w:r w:rsidRPr="00BC238A">
              <w:rPr>
                <w:rFonts w:asciiTheme="majorBidi" w:hAnsiTheme="majorBidi" w:cstheme="majorBidi"/>
                <w:lang w:val="pl-PL"/>
              </w:rPr>
              <w:lastRenderedPageBreak/>
              <w:t>AstraZeneca</w:t>
            </w:r>
          </w:p>
        </w:tc>
        <w:tc>
          <w:tcPr>
            <w:tcW w:w="434" w:type="pct"/>
            <w:shd w:val="clear" w:color="auto" w:fill="FFFFFF" w:themeFill="background1"/>
          </w:tcPr>
          <w:p w14:paraId="6C57D305" w14:textId="77777777" w:rsidR="00D96F92" w:rsidRPr="00BC238A" w:rsidRDefault="00D96F92" w:rsidP="00070786">
            <w:pPr>
              <w:spacing w:after="120"/>
              <w:rPr>
                <w:rFonts w:asciiTheme="majorBidi" w:hAnsiTheme="majorBidi" w:cstheme="majorBidi"/>
                <w:lang w:val="pl-PL"/>
              </w:rPr>
            </w:pPr>
            <w:r w:rsidRPr="00BC238A">
              <w:rPr>
                <w:rFonts w:asciiTheme="majorBidi" w:hAnsiTheme="majorBidi" w:cstheme="majorBidi"/>
                <w:lang w:val="pl-PL"/>
              </w:rPr>
              <w:lastRenderedPageBreak/>
              <w:t>International, multi-site</w:t>
            </w:r>
          </w:p>
          <w:p w14:paraId="00476A8B" w14:textId="77777777" w:rsidR="00D96F92" w:rsidRPr="00BC238A" w:rsidRDefault="00D96F92" w:rsidP="00070786">
            <w:pPr>
              <w:spacing w:after="120"/>
              <w:rPr>
                <w:rFonts w:asciiTheme="majorBidi" w:hAnsiTheme="majorBidi" w:cstheme="majorBidi"/>
                <w:lang w:val="pl-PL"/>
              </w:rPr>
            </w:pPr>
            <w:r w:rsidRPr="00BC238A">
              <w:rPr>
                <w:rFonts w:asciiTheme="majorBidi" w:hAnsiTheme="majorBidi" w:cstheme="majorBidi"/>
                <w:lang w:val="pl-PL"/>
              </w:rPr>
              <w:lastRenderedPageBreak/>
              <w:t>2012-2015</w:t>
            </w:r>
          </w:p>
        </w:tc>
        <w:tc>
          <w:tcPr>
            <w:tcW w:w="379" w:type="pct"/>
            <w:shd w:val="clear" w:color="auto" w:fill="FFFFFF" w:themeFill="background1"/>
          </w:tcPr>
          <w:p w14:paraId="4ECF168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lastRenderedPageBreak/>
              <w:t>265**</w:t>
            </w:r>
          </w:p>
          <w:p w14:paraId="79A1516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303***</w:t>
            </w:r>
          </w:p>
          <w:p w14:paraId="3CBCC265" w14:textId="77777777" w:rsidR="00D96F92" w:rsidRPr="00BC238A" w:rsidRDefault="00D96F92" w:rsidP="00070786">
            <w:pPr>
              <w:spacing w:after="120"/>
              <w:rPr>
                <w:rFonts w:asciiTheme="majorBidi" w:hAnsiTheme="majorBidi" w:cstheme="majorBidi"/>
              </w:rPr>
            </w:pPr>
          </w:p>
          <w:p w14:paraId="307A7EC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lastRenderedPageBreak/>
              <w:t>Y</w:t>
            </w:r>
          </w:p>
        </w:tc>
        <w:tc>
          <w:tcPr>
            <w:tcW w:w="559" w:type="pct"/>
            <w:shd w:val="clear" w:color="auto" w:fill="FFFFFF" w:themeFill="background1"/>
          </w:tcPr>
          <w:p w14:paraId="665E42D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lastRenderedPageBreak/>
              <w:t xml:space="preserve">CPE - CR or ceftazidime-resistant, or positive for </w:t>
            </w:r>
            <w:r w:rsidRPr="00BC238A">
              <w:rPr>
                <w:rFonts w:asciiTheme="majorBidi" w:hAnsiTheme="majorBidi" w:cstheme="majorBidi"/>
              </w:rPr>
              <w:lastRenderedPageBreak/>
              <w:t>ESBL by clavulanic acid testing</w:t>
            </w:r>
          </w:p>
        </w:tc>
        <w:tc>
          <w:tcPr>
            <w:tcW w:w="508" w:type="pct"/>
            <w:shd w:val="clear" w:color="auto" w:fill="FFFFFF" w:themeFill="background1"/>
          </w:tcPr>
          <w:p w14:paraId="493785A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lastRenderedPageBreak/>
              <w:t>No - Selected predefined # per species</w:t>
            </w:r>
          </w:p>
        </w:tc>
        <w:tc>
          <w:tcPr>
            <w:tcW w:w="495" w:type="pct"/>
            <w:shd w:val="clear" w:color="auto" w:fill="FFFFFF" w:themeFill="background1"/>
          </w:tcPr>
          <w:p w14:paraId="720E428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73.6%</w:t>
            </w:r>
          </w:p>
        </w:tc>
        <w:tc>
          <w:tcPr>
            <w:tcW w:w="420" w:type="pct"/>
            <w:shd w:val="clear" w:color="auto" w:fill="FFFFFF" w:themeFill="background1"/>
          </w:tcPr>
          <w:p w14:paraId="281C565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p w14:paraId="622850B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9.01%***</w:t>
            </w:r>
          </w:p>
        </w:tc>
        <w:tc>
          <w:tcPr>
            <w:tcW w:w="535" w:type="pct"/>
            <w:shd w:val="clear" w:color="auto" w:fill="FFFFFF" w:themeFill="background1"/>
          </w:tcPr>
          <w:p w14:paraId="3FAC8C6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599295F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CLSI, EUCAST for colistin, US </w:t>
            </w:r>
            <w:r w:rsidRPr="00BC238A">
              <w:rPr>
                <w:rFonts w:asciiTheme="majorBidi" w:hAnsiTheme="majorBidi" w:cstheme="majorBidi"/>
              </w:rPr>
              <w:lastRenderedPageBreak/>
              <w:t>FDA for TIG and CAZ-AVI (≤8 mg/L)</w:t>
            </w:r>
          </w:p>
        </w:tc>
        <w:tc>
          <w:tcPr>
            <w:tcW w:w="325" w:type="pct"/>
            <w:shd w:val="clear" w:color="auto" w:fill="FFFFFF" w:themeFill="background1"/>
          </w:tcPr>
          <w:p w14:paraId="67911DE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lastRenderedPageBreak/>
              <w:t>EEPRU search</w:t>
            </w:r>
          </w:p>
        </w:tc>
        <w:tc>
          <w:tcPr>
            <w:tcW w:w="432" w:type="pct"/>
            <w:shd w:val="clear" w:color="auto" w:fill="FFFFFF" w:themeFill="background1"/>
          </w:tcPr>
          <w:p w14:paraId="4535A8B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347CB01B" w14:textId="77777777" w:rsidTr="00AF4752">
        <w:tc>
          <w:tcPr>
            <w:tcW w:w="354" w:type="pct"/>
          </w:tcPr>
          <w:p w14:paraId="4BCAF64C" w14:textId="73761245" w:rsidR="00D96F92" w:rsidRPr="00BC238A" w:rsidRDefault="00AF4752" w:rsidP="00A83123">
            <w:pPr>
              <w:spacing w:after="120"/>
              <w:rPr>
                <w:rFonts w:asciiTheme="majorBidi" w:hAnsiTheme="majorBidi" w:cstheme="majorBidi"/>
                <w:color w:val="000000"/>
                <w:lang w:val="es-ES_tradnl"/>
              </w:rPr>
            </w:pPr>
            <w:r>
              <w:rPr>
                <w:rFonts w:ascii="Times New Roman" w:hAnsi="Times New Roman" w:cs="Times New Roman"/>
              </w:rPr>
              <w:t>Non-UK study</w:t>
            </w:r>
          </w:p>
        </w:tc>
        <w:tc>
          <w:tcPr>
            <w:tcW w:w="559" w:type="pct"/>
          </w:tcPr>
          <w:p w14:paraId="6D6ABE0F" w14:textId="362530B9" w:rsidR="00D96F92" w:rsidRPr="00BC238A" w:rsidRDefault="00D96F92" w:rsidP="00A83123">
            <w:pPr>
              <w:spacing w:after="120"/>
              <w:rPr>
                <w:rFonts w:asciiTheme="majorBidi" w:hAnsiTheme="majorBidi" w:cstheme="majorBidi"/>
                <w:color w:val="000000"/>
                <w:lang w:val="es-ES_tradnl"/>
              </w:rPr>
            </w:pPr>
            <w:proofErr w:type="spellStart"/>
            <w:r w:rsidRPr="00BC238A">
              <w:rPr>
                <w:rFonts w:asciiTheme="majorBidi" w:hAnsiTheme="majorBidi" w:cstheme="majorBidi"/>
                <w:color w:val="000000"/>
                <w:lang w:val="es-ES_tradnl"/>
              </w:rPr>
              <w:t>Vazquez</w:t>
            </w:r>
            <w:proofErr w:type="spellEnd"/>
            <w:r w:rsidRPr="00BC238A">
              <w:rPr>
                <w:rFonts w:asciiTheme="majorBidi" w:hAnsiTheme="majorBidi" w:cstheme="majorBidi"/>
                <w:color w:val="000000"/>
                <w:lang w:val="es-ES_tradnl"/>
              </w:rPr>
              <w:t>-Ucha 2021</w:t>
            </w:r>
            <w:r w:rsidRPr="00A83123">
              <w:rPr>
                <w:rFonts w:asciiTheme="majorBidi" w:hAnsiTheme="majorBidi" w:cstheme="majorBidi"/>
                <w:noProof/>
                <w:color w:val="000000"/>
                <w:vertAlign w:val="superscript"/>
              </w:rPr>
              <w:t>1</w:t>
            </w:r>
          </w:p>
          <w:p w14:paraId="330A35F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MSD</w:t>
            </w:r>
          </w:p>
        </w:tc>
        <w:tc>
          <w:tcPr>
            <w:tcW w:w="434" w:type="pct"/>
          </w:tcPr>
          <w:p w14:paraId="29C6248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Spain</w:t>
            </w:r>
            <w:r w:rsidRPr="00BC238A">
              <w:rPr>
                <w:rFonts w:asciiTheme="majorBidi" w:hAnsiTheme="majorBidi" w:cstheme="majorBidi"/>
                <w:lang w:val="pl-PL"/>
              </w:rPr>
              <w:t>, multi-site</w:t>
            </w:r>
            <w:r w:rsidRPr="00BC238A">
              <w:rPr>
                <w:rFonts w:asciiTheme="majorBidi" w:hAnsiTheme="majorBidi" w:cstheme="majorBidi"/>
              </w:rPr>
              <w:t xml:space="preserve"> </w:t>
            </w:r>
          </w:p>
          <w:p w14:paraId="3173D49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2018</w:t>
            </w:r>
          </w:p>
        </w:tc>
        <w:tc>
          <w:tcPr>
            <w:tcW w:w="379" w:type="pct"/>
          </w:tcPr>
          <w:p w14:paraId="43AF694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302**</w:t>
            </w:r>
          </w:p>
          <w:p w14:paraId="3B662953" w14:textId="3D12D918" w:rsidR="00D96F92" w:rsidRPr="00BC238A" w:rsidRDefault="00D96F92" w:rsidP="00070786">
            <w:pPr>
              <w:spacing w:after="120"/>
              <w:rPr>
                <w:rFonts w:asciiTheme="majorBidi" w:hAnsiTheme="majorBidi" w:cstheme="majorBidi"/>
              </w:rPr>
            </w:pPr>
            <w:r w:rsidRPr="00BC238A">
              <w:rPr>
                <w:rFonts w:asciiTheme="majorBidi" w:hAnsiTheme="majorBidi" w:cstheme="majorBidi"/>
              </w:rPr>
              <w:t>305**</w:t>
            </w:r>
            <w:r>
              <w:rPr>
                <w:rFonts w:asciiTheme="majorBidi" w:hAnsiTheme="majorBidi" w:cstheme="majorBidi"/>
              </w:rPr>
              <w:t>*</w:t>
            </w:r>
          </w:p>
          <w:p w14:paraId="594C23E7" w14:textId="77777777" w:rsidR="00D96F92" w:rsidRPr="00BC238A" w:rsidRDefault="00D96F92" w:rsidP="00070786">
            <w:pPr>
              <w:spacing w:after="120"/>
              <w:rPr>
                <w:rFonts w:asciiTheme="majorBidi" w:hAnsiTheme="majorBidi" w:cstheme="majorBidi"/>
              </w:rPr>
            </w:pPr>
          </w:p>
          <w:p w14:paraId="590A2B1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tcPr>
          <w:p w14:paraId="7623C07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CPE above meropenem screening cut-off (NR) tested</w:t>
            </w:r>
          </w:p>
        </w:tc>
        <w:tc>
          <w:tcPr>
            <w:tcW w:w="508" w:type="pct"/>
          </w:tcPr>
          <w:p w14:paraId="549C388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Unclear (states "representative" sample)</w:t>
            </w:r>
          </w:p>
        </w:tc>
        <w:tc>
          <w:tcPr>
            <w:tcW w:w="495" w:type="pct"/>
          </w:tcPr>
          <w:p w14:paraId="08325B7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20.7% </w:t>
            </w:r>
          </w:p>
        </w:tc>
        <w:tc>
          <w:tcPr>
            <w:tcW w:w="420" w:type="pct"/>
          </w:tcPr>
          <w:p w14:paraId="0EEB500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p w14:paraId="7468E83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0.98%</w:t>
            </w:r>
          </w:p>
        </w:tc>
        <w:tc>
          <w:tcPr>
            <w:tcW w:w="535" w:type="pct"/>
          </w:tcPr>
          <w:p w14:paraId="77A0719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p w14:paraId="6133C81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1A8FE06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1CA115F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Y: </w:t>
            </w:r>
            <w:proofErr w:type="gramStart"/>
            <w:r w:rsidRPr="00BC238A">
              <w:rPr>
                <w:rFonts w:asciiTheme="majorBidi" w:hAnsiTheme="majorBidi" w:cstheme="majorBidi"/>
              </w:rPr>
              <w:t>EUCAST;</w:t>
            </w:r>
            <w:proofErr w:type="gramEnd"/>
            <w:r w:rsidRPr="00BC238A">
              <w:rPr>
                <w:rFonts w:asciiTheme="majorBidi" w:hAnsiTheme="majorBidi" w:cstheme="majorBidi"/>
              </w:rPr>
              <w:t xml:space="preserve"> </w:t>
            </w:r>
          </w:p>
          <w:p w14:paraId="6AD4FEFF" w14:textId="77777777" w:rsidR="00D96F92" w:rsidRPr="00BC238A" w:rsidRDefault="00D96F92" w:rsidP="00070786">
            <w:pPr>
              <w:spacing w:after="120"/>
              <w:rPr>
                <w:rFonts w:asciiTheme="majorBidi" w:hAnsiTheme="majorBidi" w:cstheme="majorBidi"/>
              </w:rPr>
            </w:pPr>
            <w:proofErr w:type="gramStart"/>
            <w:r w:rsidRPr="00BC238A">
              <w:rPr>
                <w:rFonts w:asciiTheme="majorBidi" w:hAnsiTheme="majorBidi" w:cstheme="majorBidi"/>
              </w:rPr>
              <w:t>Full;</w:t>
            </w:r>
            <w:proofErr w:type="gramEnd"/>
          </w:p>
          <w:p w14:paraId="08475B0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no-MBL (EUCAST)</w:t>
            </w:r>
          </w:p>
        </w:tc>
      </w:tr>
      <w:tr w:rsidR="00AF4752" w:rsidRPr="00BC238A" w14:paraId="1D0E2389" w14:textId="77777777" w:rsidTr="00AF4752">
        <w:tc>
          <w:tcPr>
            <w:tcW w:w="354" w:type="pct"/>
          </w:tcPr>
          <w:p w14:paraId="72E19AB1" w14:textId="13A7CEB1" w:rsidR="00D96F92" w:rsidRPr="00BC238A" w:rsidRDefault="00AF4752" w:rsidP="00A83123">
            <w:pPr>
              <w:spacing w:after="120"/>
              <w:rPr>
                <w:rFonts w:asciiTheme="majorBidi" w:hAnsiTheme="majorBidi" w:cstheme="majorBidi"/>
                <w:color w:val="000000"/>
              </w:rPr>
            </w:pPr>
            <w:r>
              <w:rPr>
                <w:rFonts w:ascii="Times New Roman" w:hAnsi="Times New Roman" w:cs="Times New Roman"/>
              </w:rPr>
              <w:t>Non-UK study</w:t>
            </w:r>
          </w:p>
        </w:tc>
        <w:tc>
          <w:tcPr>
            <w:tcW w:w="559" w:type="pct"/>
          </w:tcPr>
          <w:p w14:paraId="2E7CBFFF" w14:textId="4457AF01" w:rsidR="00D96F92" w:rsidRPr="00BC238A" w:rsidRDefault="00D96F92" w:rsidP="00A83123">
            <w:pPr>
              <w:spacing w:after="120"/>
              <w:rPr>
                <w:rFonts w:asciiTheme="majorBidi" w:hAnsiTheme="majorBidi" w:cstheme="majorBidi"/>
                <w:color w:val="000000"/>
              </w:rPr>
            </w:pPr>
            <w:r w:rsidRPr="00BC238A">
              <w:rPr>
                <w:rFonts w:asciiTheme="majorBidi" w:hAnsiTheme="majorBidi" w:cstheme="majorBidi"/>
                <w:color w:val="000000"/>
              </w:rPr>
              <w:t>Garcia-Castillo, 2018 (</w:t>
            </w:r>
            <w:proofErr w:type="spellStart"/>
            <w:r w:rsidRPr="00BC238A">
              <w:rPr>
                <w:rFonts w:asciiTheme="majorBidi" w:hAnsiTheme="majorBidi" w:cstheme="majorBidi"/>
                <w:color w:val="000000"/>
              </w:rPr>
              <w:t>iCREST</w:t>
            </w:r>
            <w:proofErr w:type="spellEnd"/>
            <w:r w:rsidRPr="00BC238A">
              <w:rPr>
                <w:rFonts w:asciiTheme="majorBidi" w:hAnsiTheme="majorBidi" w:cstheme="majorBidi"/>
                <w:color w:val="000000"/>
              </w:rPr>
              <w:t xml:space="preserve"> - Spain)</w:t>
            </w:r>
            <w:r w:rsidRPr="00A83123">
              <w:rPr>
                <w:rFonts w:asciiTheme="majorBidi" w:hAnsiTheme="majorBidi" w:cstheme="majorBidi"/>
                <w:noProof/>
                <w:color w:val="000000"/>
                <w:vertAlign w:val="superscript"/>
              </w:rPr>
              <w:t>51</w:t>
            </w:r>
          </w:p>
          <w:p w14:paraId="02DE585B"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AstraZeneca + other research bodies</w:t>
            </w:r>
          </w:p>
        </w:tc>
        <w:tc>
          <w:tcPr>
            <w:tcW w:w="434" w:type="pct"/>
          </w:tcPr>
          <w:p w14:paraId="26F04FC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Spain</w:t>
            </w:r>
            <w:r w:rsidRPr="00BC238A">
              <w:rPr>
                <w:rFonts w:asciiTheme="majorBidi" w:hAnsiTheme="majorBidi" w:cstheme="majorBidi"/>
                <w:lang w:val="pl-PL"/>
              </w:rPr>
              <w:t>, multi-site</w:t>
            </w:r>
            <w:r w:rsidRPr="00BC238A">
              <w:rPr>
                <w:rFonts w:asciiTheme="majorBidi" w:hAnsiTheme="majorBidi" w:cstheme="majorBidi"/>
              </w:rPr>
              <w:t xml:space="preserve"> </w:t>
            </w:r>
          </w:p>
          <w:p w14:paraId="6C328D3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2016</w:t>
            </w:r>
          </w:p>
        </w:tc>
        <w:tc>
          <w:tcPr>
            <w:tcW w:w="379" w:type="pct"/>
          </w:tcPr>
          <w:p w14:paraId="6A617A9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164</w:t>
            </w:r>
          </w:p>
          <w:p w14:paraId="38A89818" w14:textId="77777777" w:rsidR="00D96F92" w:rsidRPr="00BC238A" w:rsidRDefault="00D96F92" w:rsidP="00070786">
            <w:pPr>
              <w:spacing w:after="120"/>
              <w:rPr>
                <w:rFonts w:asciiTheme="majorBidi" w:hAnsiTheme="majorBidi" w:cstheme="majorBidi"/>
              </w:rPr>
            </w:pPr>
          </w:p>
          <w:p w14:paraId="36DFB520"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rPr>
              <w:t>Unclear</w:t>
            </w:r>
          </w:p>
        </w:tc>
        <w:tc>
          <w:tcPr>
            <w:tcW w:w="559" w:type="pct"/>
          </w:tcPr>
          <w:p w14:paraId="3F344F6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CPE – screened for CPE using commercial assay</w:t>
            </w:r>
          </w:p>
        </w:tc>
        <w:tc>
          <w:tcPr>
            <w:tcW w:w="508" w:type="pct"/>
          </w:tcPr>
          <w:p w14:paraId="54D65CBC"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Y</w:t>
            </w:r>
          </w:p>
        </w:tc>
        <w:tc>
          <w:tcPr>
            <w:tcW w:w="495" w:type="pct"/>
          </w:tcPr>
          <w:p w14:paraId="3EB074F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12.2% </w:t>
            </w:r>
          </w:p>
        </w:tc>
        <w:tc>
          <w:tcPr>
            <w:tcW w:w="420" w:type="pct"/>
          </w:tcPr>
          <w:p w14:paraId="1284B57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0832B93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p w14:paraId="1CF7B5F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660D8A4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307F41D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74B73FF3" w14:textId="77777777" w:rsidTr="00AF4752">
        <w:tc>
          <w:tcPr>
            <w:tcW w:w="354" w:type="pct"/>
          </w:tcPr>
          <w:p w14:paraId="7DEBE1EA" w14:textId="27B105E3" w:rsidR="00D96F92" w:rsidRPr="00BC238A" w:rsidRDefault="00AF4752" w:rsidP="00A83123">
            <w:pPr>
              <w:spacing w:after="120"/>
              <w:rPr>
                <w:rFonts w:asciiTheme="majorBidi" w:hAnsiTheme="majorBidi" w:cstheme="majorBidi"/>
                <w:color w:val="000000"/>
                <w:lang w:val="fr-FR"/>
              </w:rPr>
            </w:pPr>
            <w:r>
              <w:rPr>
                <w:rFonts w:ascii="Times New Roman" w:hAnsi="Times New Roman" w:cs="Times New Roman"/>
              </w:rPr>
              <w:t>Non-UK study</w:t>
            </w:r>
          </w:p>
        </w:tc>
        <w:tc>
          <w:tcPr>
            <w:tcW w:w="559" w:type="pct"/>
          </w:tcPr>
          <w:p w14:paraId="4276025B" w14:textId="53F876A1" w:rsidR="00D96F92" w:rsidRPr="00BC238A" w:rsidRDefault="00D96F92" w:rsidP="00A83123">
            <w:pPr>
              <w:spacing w:after="120"/>
              <w:rPr>
                <w:rFonts w:asciiTheme="majorBidi" w:hAnsiTheme="majorBidi" w:cstheme="majorBidi"/>
                <w:color w:val="000000"/>
                <w:lang w:val="fr-FR"/>
              </w:rPr>
            </w:pPr>
            <w:r w:rsidRPr="00BC238A">
              <w:rPr>
                <w:rFonts w:asciiTheme="majorBidi" w:hAnsiTheme="majorBidi" w:cstheme="majorBidi"/>
                <w:color w:val="000000"/>
                <w:lang w:val="fr-FR"/>
              </w:rPr>
              <w:t>Longshaw 2020 (SIDERO-CR 2014-16)</w:t>
            </w:r>
            <w:r w:rsidRPr="00A83123">
              <w:rPr>
                <w:rFonts w:asciiTheme="majorBidi" w:hAnsiTheme="majorBidi" w:cstheme="majorBidi"/>
                <w:noProof/>
                <w:color w:val="000000"/>
                <w:vertAlign w:val="superscript"/>
              </w:rPr>
              <w:t>61</w:t>
            </w:r>
          </w:p>
          <w:p w14:paraId="444530C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Shionogi</w:t>
            </w:r>
          </w:p>
        </w:tc>
        <w:tc>
          <w:tcPr>
            <w:tcW w:w="434" w:type="pct"/>
          </w:tcPr>
          <w:p w14:paraId="2D6C31D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European</w:t>
            </w:r>
            <w:r w:rsidRPr="00BC238A">
              <w:rPr>
                <w:rFonts w:asciiTheme="majorBidi" w:hAnsiTheme="majorBidi" w:cstheme="majorBidi"/>
                <w:lang w:val="pl-PL"/>
              </w:rPr>
              <w:t>, multi-site</w:t>
            </w:r>
            <w:r w:rsidRPr="00BC238A">
              <w:rPr>
                <w:rFonts w:asciiTheme="majorBidi" w:hAnsiTheme="majorBidi" w:cstheme="majorBidi"/>
              </w:rPr>
              <w:t xml:space="preserve"> </w:t>
            </w:r>
          </w:p>
          <w:p w14:paraId="2AC08A6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2014-16</w:t>
            </w:r>
          </w:p>
        </w:tc>
        <w:tc>
          <w:tcPr>
            <w:tcW w:w="379" w:type="pct"/>
          </w:tcPr>
          <w:p w14:paraId="378B4D7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85</w:t>
            </w:r>
          </w:p>
          <w:p w14:paraId="7627AE36" w14:textId="77777777" w:rsidR="00D96F92" w:rsidRPr="00BC238A" w:rsidRDefault="00D96F92" w:rsidP="00070786">
            <w:pPr>
              <w:spacing w:after="120"/>
              <w:rPr>
                <w:rFonts w:asciiTheme="majorBidi" w:hAnsiTheme="majorBidi" w:cstheme="majorBidi"/>
              </w:rPr>
            </w:pPr>
          </w:p>
          <w:p w14:paraId="6B53419B" w14:textId="77777777" w:rsidR="00D96F92" w:rsidRPr="00BC238A" w:rsidRDefault="00D96F92" w:rsidP="00070786">
            <w:pPr>
              <w:spacing w:after="120"/>
              <w:rPr>
                <w:rFonts w:asciiTheme="majorBidi" w:hAnsiTheme="majorBidi" w:cstheme="majorBidi"/>
                <w:lang w:val="pt-PT"/>
              </w:rPr>
            </w:pPr>
            <w:r w:rsidRPr="00BC238A">
              <w:rPr>
                <w:rFonts w:asciiTheme="majorBidi" w:hAnsiTheme="majorBidi" w:cstheme="majorBidi"/>
              </w:rPr>
              <w:t>Y</w:t>
            </w:r>
          </w:p>
        </w:tc>
        <w:tc>
          <w:tcPr>
            <w:tcW w:w="559" w:type="pct"/>
          </w:tcPr>
          <w:p w14:paraId="7408B80A" w14:textId="77777777" w:rsidR="00D96F92" w:rsidRPr="00BC238A" w:rsidRDefault="00D96F92" w:rsidP="00070786">
            <w:pPr>
              <w:spacing w:after="120"/>
              <w:rPr>
                <w:rFonts w:asciiTheme="majorBidi" w:hAnsiTheme="majorBidi" w:cstheme="majorBidi"/>
                <w:lang w:val="pt-PT"/>
              </w:rPr>
            </w:pPr>
            <w:r w:rsidRPr="00BC238A">
              <w:rPr>
                <w:rFonts w:asciiTheme="majorBidi" w:hAnsiTheme="majorBidi" w:cstheme="majorBidi"/>
                <w:lang w:val="pt-PT"/>
              </w:rPr>
              <w:t>CPE, tested meropenem resistant (&gt;2mg/L)</w:t>
            </w:r>
          </w:p>
        </w:tc>
        <w:tc>
          <w:tcPr>
            <w:tcW w:w="508" w:type="pct"/>
          </w:tcPr>
          <w:p w14:paraId="0D8944A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No - Selected on susceptibility phenotype and/or species</w:t>
            </w:r>
          </w:p>
        </w:tc>
        <w:tc>
          <w:tcPr>
            <w:tcW w:w="495" w:type="pct"/>
          </w:tcPr>
          <w:p w14:paraId="661B9F9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87.1% </w:t>
            </w:r>
          </w:p>
        </w:tc>
        <w:tc>
          <w:tcPr>
            <w:tcW w:w="420" w:type="pct"/>
          </w:tcPr>
          <w:p w14:paraId="4CC67DC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9.4%</w:t>
            </w:r>
          </w:p>
        </w:tc>
        <w:tc>
          <w:tcPr>
            <w:tcW w:w="535" w:type="pct"/>
          </w:tcPr>
          <w:p w14:paraId="75D358C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4801102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6BD55D7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736E978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68977862" w14:textId="77777777" w:rsidTr="00AF4752">
        <w:tc>
          <w:tcPr>
            <w:tcW w:w="354" w:type="pct"/>
          </w:tcPr>
          <w:p w14:paraId="00985CFC" w14:textId="4D3BA809" w:rsidR="00D96F92" w:rsidRPr="00454CF5" w:rsidRDefault="00AF4752" w:rsidP="00A83123">
            <w:pPr>
              <w:spacing w:after="120"/>
              <w:rPr>
                <w:rFonts w:asciiTheme="majorBidi" w:hAnsiTheme="majorBidi" w:cstheme="majorBidi"/>
                <w:color w:val="000000"/>
                <w:lang w:val="fr-FR"/>
              </w:rPr>
            </w:pPr>
            <w:r>
              <w:rPr>
                <w:rFonts w:ascii="Times New Roman" w:hAnsi="Times New Roman" w:cs="Times New Roman"/>
              </w:rPr>
              <w:lastRenderedPageBreak/>
              <w:t>Non-UK study</w:t>
            </w:r>
          </w:p>
        </w:tc>
        <w:tc>
          <w:tcPr>
            <w:tcW w:w="559" w:type="pct"/>
          </w:tcPr>
          <w:p w14:paraId="351D3282" w14:textId="5D46CFA2" w:rsidR="00D96F92" w:rsidRPr="00454CF5" w:rsidRDefault="00D96F92" w:rsidP="00A83123">
            <w:pPr>
              <w:spacing w:after="120"/>
              <w:rPr>
                <w:rFonts w:asciiTheme="majorBidi" w:hAnsiTheme="majorBidi" w:cstheme="majorBidi"/>
                <w:color w:val="000000"/>
                <w:lang w:val="fr-FR"/>
              </w:rPr>
            </w:pPr>
            <w:proofErr w:type="spellStart"/>
            <w:r w:rsidRPr="00454CF5">
              <w:rPr>
                <w:rFonts w:asciiTheme="majorBidi" w:hAnsiTheme="majorBidi" w:cstheme="majorBidi"/>
                <w:color w:val="000000"/>
                <w:lang w:val="fr-FR"/>
              </w:rPr>
              <w:t>Mataraci</w:t>
            </w:r>
            <w:proofErr w:type="spellEnd"/>
            <w:r w:rsidRPr="00454CF5">
              <w:rPr>
                <w:rFonts w:asciiTheme="majorBidi" w:hAnsiTheme="majorBidi" w:cstheme="majorBidi"/>
                <w:color w:val="000000"/>
                <w:lang w:val="fr-FR"/>
              </w:rPr>
              <w:t xml:space="preserve"> 2020</w:t>
            </w:r>
            <w:r w:rsidRPr="00454CF5">
              <w:rPr>
                <w:rFonts w:asciiTheme="majorBidi" w:hAnsiTheme="majorBidi" w:cstheme="majorBidi"/>
                <w:noProof/>
                <w:color w:val="000000"/>
                <w:vertAlign w:val="superscript"/>
                <w:lang w:val="fr-FR"/>
              </w:rPr>
              <w:t>62</w:t>
            </w:r>
          </w:p>
          <w:p w14:paraId="3C2767FD" w14:textId="77777777" w:rsidR="00D96F92" w:rsidRPr="00454CF5" w:rsidRDefault="00D96F92" w:rsidP="00070786">
            <w:pPr>
              <w:spacing w:after="120"/>
              <w:rPr>
                <w:rFonts w:asciiTheme="majorBidi" w:hAnsiTheme="majorBidi" w:cstheme="majorBidi"/>
                <w:lang w:val="fr-FR"/>
              </w:rPr>
            </w:pPr>
            <w:proofErr w:type="spellStart"/>
            <w:r w:rsidRPr="00454CF5">
              <w:rPr>
                <w:rFonts w:asciiTheme="majorBidi" w:hAnsiTheme="majorBidi" w:cstheme="majorBidi"/>
                <w:lang w:val="fr-FR"/>
              </w:rPr>
              <w:t>Bilimsel</w:t>
            </w:r>
            <w:proofErr w:type="spellEnd"/>
            <w:r w:rsidRPr="00454CF5">
              <w:rPr>
                <w:rFonts w:asciiTheme="majorBidi" w:hAnsiTheme="majorBidi" w:cstheme="majorBidi"/>
                <w:lang w:val="fr-FR"/>
              </w:rPr>
              <w:t xml:space="preserve"> Aras¸ </w:t>
            </w:r>
            <w:proofErr w:type="spellStart"/>
            <w:r w:rsidRPr="00454CF5">
              <w:rPr>
                <w:rFonts w:asciiTheme="majorBidi" w:hAnsiTheme="majorBidi" w:cstheme="majorBidi"/>
                <w:lang w:val="fr-FR"/>
              </w:rPr>
              <w:t>tirma</w:t>
            </w:r>
            <w:proofErr w:type="spellEnd"/>
            <w:r w:rsidRPr="00454CF5">
              <w:rPr>
                <w:rFonts w:asciiTheme="majorBidi" w:hAnsiTheme="majorBidi" w:cstheme="majorBidi"/>
                <w:lang w:val="fr-FR"/>
              </w:rPr>
              <w:t xml:space="preserve"> </w:t>
            </w:r>
            <w:proofErr w:type="spellStart"/>
            <w:r w:rsidRPr="00454CF5">
              <w:rPr>
                <w:rFonts w:asciiTheme="majorBidi" w:hAnsiTheme="majorBidi" w:cstheme="majorBidi"/>
                <w:lang w:val="fr-FR"/>
              </w:rPr>
              <w:t>Projeleri</w:t>
            </w:r>
            <w:proofErr w:type="spellEnd"/>
            <w:r w:rsidRPr="00454CF5">
              <w:rPr>
                <w:rFonts w:asciiTheme="majorBidi" w:hAnsiTheme="majorBidi" w:cstheme="majorBidi"/>
                <w:lang w:val="fr-FR"/>
              </w:rPr>
              <w:t xml:space="preserve"> </w:t>
            </w:r>
            <w:proofErr w:type="spellStart"/>
            <w:r w:rsidRPr="00454CF5">
              <w:rPr>
                <w:rFonts w:asciiTheme="majorBidi" w:hAnsiTheme="majorBidi" w:cstheme="majorBidi"/>
                <w:lang w:val="fr-FR"/>
              </w:rPr>
              <w:t>Birimi</w:t>
            </w:r>
            <w:proofErr w:type="spellEnd"/>
          </w:p>
        </w:tc>
        <w:tc>
          <w:tcPr>
            <w:tcW w:w="434" w:type="pct"/>
          </w:tcPr>
          <w:p w14:paraId="4ECD28AE"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Turkey, unclear if multi-site</w:t>
            </w:r>
          </w:p>
          <w:p w14:paraId="2F9E77E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2017</w:t>
            </w:r>
          </w:p>
        </w:tc>
        <w:tc>
          <w:tcPr>
            <w:tcW w:w="379" w:type="pct"/>
          </w:tcPr>
          <w:p w14:paraId="6D6A807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74</w:t>
            </w:r>
          </w:p>
          <w:p w14:paraId="29CFC4EE" w14:textId="77777777" w:rsidR="00D96F92" w:rsidRPr="00BC238A" w:rsidRDefault="00D96F92" w:rsidP="00070786">
            <w:pPr>
              <w:spacing w:after="120"/>
              <w:rPr>
                <w:rFonts w:asciiTheme="majorBidi" w:hAnsiTheme="majorBidi" w:cstheme="majorBidi"/>
              </w:rPr>
            </w:pPr>
          </w:p>
          <w:p w14:paraId="22C294A3"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rPr>
              <w:t>Unclear</w:t>
            </w:r>
          </w:p>
        </w:tc>
        <w:tc>
          <w:tcPr>
            <w:tcW w:w="559" w:type="pct"/>
          </w:tcPr>
          <w:p w14:paraId="1DCCF13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 xml:space="preserve">KP, </w:t>
            </w:r>
            <w:proofErr w:type="gramStart"/>
            <w:r w:rsidRPr="00BC238A">
              <w:rPr>
                <w:rFonts w:asciiTheme="majorBidi" w:hAnsiTheme="majorBidi" w:cstheme="majorBidi"/>
                <w:color w:val="000000"/>
              </w:rPr>
              <w:t>E.coli</w:t>
            </w:r>
            <w:proofErr w:type="gramEnd"/>
            <w:r w:rsidRPr="00BC238A">
              <w:rPr>
                <w:rFonts w:asciiTheme="majorBidi" w:hAnsiTheme="majorBidi" w:cstheme="majorBidi"/>
                <w:color w:val="000000"/>
              </w:rPr>
              <w:t xml:space="preserve"> or </w:t>
            </w:r>
            <w:proofErr w:type="spellStart"/>
            <w:r w:rsidRPr="00BC238A">
              <w:rPr>
                <w:rFonts w:asciiTheme="majorBidi" w:hAnsiTheme="majorBidi" w:cstheme="majorBidi"/>
                <w:color w:val="000000"/>
              </w:rPr>
              <w:t>E.cloacae</w:t>
            </w:r>
            <w:proofErr w:type="spellEnd"/>
            <w:r w:rsidRPr="00BC238A">
              <w:rPr>
                <w:rFonts w:asciiTheme="majorBidi" w:hAnsiTheme="majorBidi" w:cstheme="majorBidi"/>
                <w:color w:val="000000"/>
              </w:rPr>
              <w:t xml:space="preserve"> - unclear how selected for testing</w:t>
            </w:r>
          </w:p>
        </w:tc>
        <w:tc>
          <w:tcPr>
            <w:tcW w:w="508" w:type="pct"/>
          </w:tcPr>
          <w:p w14:paraId="5A4E3660"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 xml:space="preserve">Unclear </w:t>
            </w:r>
          </w:p>
        </w:tc>
        <w:tc>
          <w:tcPr>
            <w:tcW w:w="495" w:type="pct"/>
          </w:tcPr>
          <w:p w14:paraId="0588DC9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420" w:type="pct"/>
          </w:tcPr>
          <w:p w14:paraId="6E834CE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3E2AB8D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p w14:paraId="08014E6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3529471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0B9830D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EUCAST; full</w:t>
            </w:r>
          </w:p>
        </w:tc>
      </w:tr>
      <w:tr w:rsidR="00AF4752" w:rsidRPr="00BC238A" w14:paraId="4111E4C4" w14:textId="77777777" w:rsidTr="00AF4752">
        <w:tc>
          <w:tcPr>
            <w:tcW w:w="354" w:type="pct"/>
          </w:tcPr>
          <w:p w14:paraId="13623A4B" w14:textId="04AA418E" w:rsidR="00D96F92" w:rsidRPr="00BC238A" w:rsidRDefault="00AF4752" w:rsidP="00A83123">
            <w:pPr>
              <w:spacing w:after="120"/>
              <w:rPr>
                <w:rFonts w:asciiTheme="majorBidi" w:hAnsiTheme="majorBidi" w:cstheme="majorBidi"/>
                <w:color w:val="000000"/>
                <w:lang w:val="sv-SE"/>
              </w:rPr>
            </w:pPr>
            <w:r>
              <w:rPr>
                <w:rFonts w:ascii="Times New Roman" w:hAnsi="Times New Roman" w:cs="Times New Roman"/>
              </w:rPr>
              <w:t>Non-UK study</w:t>
            </w:r>
          </w:p>
        </w:tc>
        <w:tc>
          <w:tcPr>
            <w:tcW w:w="559" w:type="pct"/>
            <w:shd w:val="clear" w:color="auto" w:fill="auto"/>
          </w:tcPr>
          <w:p w14:paraId="15F2293C" w14:textId="7033EEEF" w:rsidR="00D96F92" w:rsidRPr="00BC238A" w:rsidRDefault="00D96F92" w:rsidP="00A83123">
            <w:pPr>
              <w:spacing w:after="120"/>
              <w:rPr>
                <w:rFonts w:asciiTheme="majorBidi" w:hAnsiTheme="majorBidi" w:cstheme="majorBidi"/>
                <w:color w:val="000000"/>
                <w:lang w:val="sv-SE"/>
              </w:rPr>
            </w:pPr>
            <w:r w:rsidRPr="00BC238A">
              <w:rPr>
                <w:rFonts w:asciiTheme="majorBidi" w:hAnsiTheme="majorBidi" w:cstheme="majorBidi"/>
                <w:color w:val="000000"/>
                <w:lang w:val="sv-SE"/>
              </w:rPr>
              <w:t>Han 2020</w:t>
            </w:r>
            <w:r w:rsidRPr="00A83123">
              <w:rPr>
                <w:rFonts w:asciiTheme="majorBidi" w:hAnsiTheme="majorBidi" w:cstheme="majorBidi"/>
                <w:noProof/>
                <w:color w:val="000000"/>
                <w:vertAlign w:val="superscript"/>
              </w:rPr>
              <w:t>52</w:t>
            </w:r>
          </w:p>
          <w:p w14:paraId="0624B047" w14:textId="77777777" w:rsidR="00D96F92" w:rsidRPr="00BC238A" w:rsidRDefault="00D96F92" w:rsidP="00070786">
            <w:pPr>
              <w:spacing w:after="120"/>
              <w:rPr>
                <w:rFonts w:asciiTheme="majorBidi" w:hAnsiTheme="majorBidi" w:cstheme="majorBidi"/>
                <w:color w:val="000000"/>
                <w:lang w:val="sv-SE"/>
              </w:rPr>
            </w:pPr>
            <w:r w:rsidRPr="00BC238A">
              <w:rPr>
                <w:rFonts w:asciiTheme="majorBidi" w:hAnsiTheme="majorBidi" w:cstheme="majorBidi"/>
                <w:color w:val="000000"/>
                <w:lang w:val="sv-SE"/>
              </w:rPr>
              <w:t>NNSFC</w:t>
            </w:r>
          </w:p>
        </w:tc>
        <w:tc>
          <w:tcPr>
            <w:tcW w:w="434" w:type="pct"/>
            <w:shd w:val="clear" w:color="auto" w:fill="auto"/>
          </w:tcPr>
          <w:p w14:paraId="488B403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China</w:t>
            </w:r>
            <w:r w:rsidRPr="00BC238A">
              <w:rPr>
                <w:rFonts w:asciiTheme="majorBidi" w:hAnsiTheme="majorBidi" w:cstheme="majorBidi"/>
                <w:lang w:val="pl-PL"/>
              </w:rPr>
              <w:t>, multi-site</w:t>
            </w:r>
            <w:r w:rsidRPr="00BC238A">
              <w:rPr>
                <w:rFonts w:asciiTheme="majorBidi" w:hAnsiTheme="majorBidi" w:cstheme="majorBidi"/>
              </w:rPr>
              <w:t xml:space="preserve"> </w:t>
            </w:r>
          </w:p>
          <w:p w14:paraId="212BBFE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2016-2018</w:t>
            </w:r>
          </w:p>
        </w:tc>
        <w:tc>
          <w:tcPr>
            <w:tcW w:w="379" w:type="pct"/>
          </w:tcPr>
          <w:p w14:paraId="266D915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68</w:t>
            </w:r>
          </w:p>
          <w:p w14:paraId="546D14E3" w14:textId="77777777" w:rsidR="00D96F92" w:rsidRPr="00BC238A" w:rsidRDefault="00D96F92" w:rsidP="00070786">
            <w:pPr>
              <w:spacing w:after="120"/>
              <w:rPr>
                <w:rFonts w:asciiTheme="majorBidi" w:hAnsiTheme="majorBidi" w:cstheme="majorBidi"/>
              </w:rPr>
            </w:pPr>
          </w:p>
          <w:p w14:paraId="77C72C5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shd w:val="clear" w:color="auto" w:fill="auto"/>
          </w:tcPr>
          <w:p w14:paraId="2EFD0AA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CPE - resistant to one or more carbapenem, or producing a </w:t>
            </w:r>
            <w:proofErr w:type="spellStart"/>
            <w:r w:rsidRPr="00BC238A">
              <w:rPr>
                <w:rFonts w:asciiTheme="majorBidi" w:hAnsiTheme="majorBidi" w:cstheme="majorBidi"/>
              </w:rPr>
              <w:t>carbapenemase</w:t>
            </w:r>
            <w:proofErr w:type="spellEnd"/>
          </w:p>
        </w:tc>
        <w:tc>
          <w:tcPr>
            <w:tcW w:w="508" w:type="pct"/>
            <w:shd w:val="clear" w:color="auto" w:fill="auto"/>
          </w:tcPr>
          <w:p w14:paraId="3C8F7F77"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Y</w:t>
            </w:r>
          </w:p>
        </w:tc>
        <w:tc>
          <w:tcPr>
            <w:tcW w:w="495" w:type="pct"/>
            <w:shd w:val="clear" w:color="auto" w:fill="auto"/>
          </w:tcPr>
          <w:p w14:paraId="6819D24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95.6%</w:t>
            </w:r>
          </w:p>
        </w:tc>
        <w:tc>
          <w:tcPr>
            <w:tcW w:w="420" w:type="pct"/>
            <w:shd w:val="clear" w:color="auto" w:fill="auto"/>
          </w:tcPr>
          <w:p w14:paraId="41A56DD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tc>
        <w:tc>
          <w:tcPr>
            <w:tcW w:w="535" w:type="pct"/>
            <w:shd w:val="clear" w:color="auto" w:fill="auto"/>
          </w:tcPr>
          <w:p w14:paraId="027304A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1187569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 US FDA for TIG</w:t>
            </w:r>
          </w:p>
        </w:tc>
        <w:tc>
          <w:tcPr>
            <w:tcW w:w="325" w:type="pct"/>
            <w:shd w:val="clear" w:color="auto" w:fill="auto"/>
          </w:tcPr>
          <w:p w14:paraId="1010938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66F7876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48FDC657" w14:textId="77777777" w:rsidTr="00AF4752">
        <w:tc>
          <w:tcPr>
            <w:tcW w:w="354" w:type="pct"/>
          </w:tcPr>
          <w:p w14:paraId="04A2B6EA" w14:textId="12A1A7BA" w:rsidR="00D96F92" w:rsidRPr="00BC238A" w:rsidRDefault="00AF4752" w:rsidP="00A83123">
            <w:pPr>
              <w:spacing w:after="120"/>
              <w:rPr>
                <w:rFonts w:asciiTheme="majorBidi" w:hAnsiTheme="majorBidi" w:cstheme="majorBidi"/>
                <w:color w:val="000000"/>
              </w:rPr>
            </w:pPr>
            <w:r>
              <w:rPr>
                <w:rFonts w:ascii="Times New Roman" w:hAnsi="Times New Roman" w:cs="Times New Roman"/>
              </w:rPr>
              <w:t>Non-UK study</w:t>
            </w:r>
          </w:p>
        </w:tc>
        <w:tc>
          <w:tcPr>
            <w:tcW w:w="559" w:type="pct"/>
          </w:tcPr>
          <w:p w14:paraId="6681FA15" w14:textId="3A630AD1" w:rsidR="00D96F92" w:rsidRPr="00BC238A" w:rsidRDefault="00D96F92" w:rsidP="00A83123">
            <w:pPr>
              <w:spacing w:after="120"/>
              <w:rPr>
                <w:rFonts w:asciiTheme="majorBidi" w:hAnsiTheme="majorBidi" w:cstheme="majorBidi"/>
                <w:color w:val="000000"/>
              </w:rPr>
            </w:pPr>
            <w:r w:rsidRPr="00BC238A">
              <w:rPr>
                <w:rFonts w:asciiTheme="majorBidi" w:hAnsiTheme="majorBidi" w:cstheme="majorBidi"/>
                <w:color w:val="000000"/>
              </w:rPr>
              <w:t>Johnston 2020</w:t>
            </w:r>
            <w:r w:rsidRPr="00A83123">
              <w:rPr>
                <w:rFonts w:asciiTheme="majorBidi" w:hAnsiTheme="majorBidi" w:cstheme="majorBidi"/>
                <w:noProof/>
                <w:color w:val="000000"/>
                <w:vertAlign w:val="superscript"/>
              </w:rPr>
              <w:t>53</w:t>
            </w:r>
          </w:p>
          <w:p w14:paraId="2363F16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Shionogi</w:t>
            </w:r>
          </w:p>
        </w:tc>
        <w:tc>
          <w:tcPr>
            <w:tcW w:w="434" w:type="pct"/>
          </w:tcPr>
          <w:p w14:paraId="4C30432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USA and International</w:t>
            </w:r>
            <w:r w:rsidRPr="00BC238A">
              <w:rPr>
                <w:rFonts w:asciiTheme="majorBidi" w:hAnsiTheme="majorBidi" w:cstheme="majorBidi"/>
                <w:lang w:val="pl-PL"/>
              </w:rPr>
              <w:t>, multi-site</w:t>
            </w:r>
            <w:r w:rsidRPr="00BC238A">
              <w:rPr>
                <w:rFonts w:asciiTheme="majorBidi" w:hAnsiTheme="majorBidi" w:cstheme="majorBidi"/>
              </w:rPr>
              <w:t xml:space="preserve"> </w:t>
            </w:r>
          </w:p>
          <w:p w14:paraId="728DD18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2002-2017</w:t>
            </w:r>
          </w:p>
        </w:tc>
        <w:tc>
          <w:tcPr>
            <w:tcW w:w="379" w:type="pct"/>
          </w:tcPr>
          <w:p w14:paraId="45AB895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64</w:t>
            </w:r>
          </w:p>
          <w:p w14:paraId="60BFFD02" w14:textId="77777777" w:rsidR="00D96F92" w:rsidRPr="00BC238A" w:rsidRDefault="00D96F92" w:rsidP="00070786">
            <w:pPr>
              <w:spacing w:after="120"/>
              <w:rPr>
                <w:rFonts w:asciiTheme="majorBidi" w:hAnsiTheme="majorBidi" w:cstheme="majorBidi"/>
              </w:rPr>
            </w:pPr>
          </w:p>
          <w:p w14:paraId="405A16FC"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rPr>
              <w:t>Unclear</w:t>
            </w:r>
          </w:p>
        </w:tc>
        <w:tc>
          <w:tcPr>
            <w:tcW w:w="559" w:type="pct"/>
          </w:tcPr>
          <w:p w14:paraId="5B30928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 xml:space="preserve">CR </w:t>
            </w:r>
            <w:proofErr w:type="gramStart"/>
            <w:r w:rsidRPr="00BC238A">
              <w:rPr>
                <w:rFonts w:asciiTheme="majorBidi" w:hAnsiTheme="majorBidi" w:cstheme="majorBidi"/>
                <w:color w:val="000000"/>
              </w:rPr>
              <w:t>E.coli</w:t>
            </w:r>
            <w:proofErr w:type="gramEnd"/>
            <w:r w:rsidRPr="00BC238A">
              <w:rPr>
                <w:rFonts w:asciiTheme="majorBidi" w:hAnsiTheme="majorBidi" w:cstheme="majorBidi"/>
                <w:color w:val="000000"/>
              </w:rPr>
              <w:t>, various criteria to select for testing</w:t>
            </w:r>
          </w:p>
        </w:tc>
        <w:tc>
          <w:tcPr>
            <w:tcW w:w="508" w:type="pct"/>
          </w:tcPr>
          <w:p w14:paraId="7172C5E5"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 xml:space="preserve">No, mix of consecutive &amp; unknown (voluntary submissions to Minnesota </w:t>
            </w:r>
            <w:proofErr w:type="spellStart"/>
            <w:r w:rsidRPr="00BC238A">
              <w:rPr>
                <w:rFonts w:asciiTheme="majorBidi" w:hAnsiTheme="majorBidi" w:cstheme="majorBidi"/>
                <w:color w:val="000000"/>
              </w:rPr>
              <w:t>DoH</w:t>
            </w:r>
            <w:proofErr w:type="spellEnd"/>
            <w:r w:rsidRPr="00BC238A">
              <w:rPr>
                <w:rFonts w:asciiTheme="majorBidi" w:hAnsiTheme="majorBidi" w:cstheme="majorBidi"/>
                <w:color w:val="000000"/>
              </w:rPr>
              <w:t>)</w:t>
            </w:r>
          </w:p>
        </w:tc>
        <w:tc>
          <w:tcPr>
            <w:tcW w:w="495" w:type="pct"/>
          </w:tcPr>
          <w:p w14:paraId="5B1ED58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24% </w:t>
            </w:r>
          </w:p>
        </w:tc>
        <w:tc>
          <w:tcPr>
            <w:tcW w:w="420" w:type="pct"/>
          </w:tcPr>
          <w:p w14:paraId="48F1A4A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794799D9"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4AE6169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tc>
        <w:tc>
          <w:tcPr>
            <w:tcW w:w="325" w:type="pct"/>
          </w:tcPr>
          <w:p w14:paraId="77FD62F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4ECA7BD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434FDB6E" w14:textId="77777777" w:rsidTr="00AF4752">
        <w:tc>
          <w:tcPr>
            <w:tcW w:w="354" w:type="pct"/>
          </w:tcPr>
          <w:p w14:paraId="22E9A71D" w14:textId="5EAC3474" w:rsidR="00D96F92" w:rsidRPr="00BC238A" w:rsidRDefault="00AF4752" w:rsidP="00A83123">
            <w:pPr>
              <w:spacing w:after="120"/>
              <w:rPr>
                <w:rFonts w:asciiTheme="majorBidi" w:hAnsiTheme="majorBidi" w:cstheme="majorBidi"/>
                <w:lang w:val="pl-PL"/>
              </w:rPr>
            </w:pPr>
            <w:r>
              <w:rPr>
                <w:rFonts w:ascii="Times New Roman" w:hAnsi="Times New Roman" w:cs="Times New Roman"/>
              </w:rPr>
              <w:t>Non-UK study</w:t>
            </w:r>
          </w:p>
        </w:tc>
        <w:tc>
          <w:tcPr>
            <w:tcW w:w="559" w:type="pct"/>
          </w:tcPr>
          <w:p w14:paraId="4AAECC46" w14:textId="714FF151" w:rsidR="00D96F92" w:rsidRPr="00BC238A" w:rsidRDefault="00D96F92" w:rsidP="00A83123">
            <w:pPr>
              <w:spacing w:after="120"/>
              <w:rPr>
                <w:rFonts w:asciiTheme="majorBidi" w:hAnsiTheme="majorBidi" w:cstheme="majorBidi"/>
                <w:lang w:val="pl-PL"/>
              </w:rPr>
            </w:pPr>
            <w:r w:rsidRPr="00BC238A">
              <w:rPr>
                <w:rFonts w:asciiTheme="majorBidi" w:hAnsiTheme="majorBidi" w:cstheme="majorBidi"/>
                <w:lang w:val="pl-PL"/>
              </w:rPr>
              <w:t>Kazmierczak 2019</w:t>
            </w:r>
            <w:r w:rsidRPr="00A83123">
              <w:rPr>
                <w:rFonts w:asciiTheme="majorBidi" w:hAnsiTheme="majorBidi" w:cstheme="majorBidi"/>
                <w:noProof/>
                <w:vertAlign w:val="superscript"/>
              </w:rPr>
              <w:t>57</w:t>
            </w:r>
            <w:r w:rsidRPr="00BC238A">
              <w:rPr>
                <w:rFonts w:asciiTheme="majorBidi" w:hAnsiTheme="majorBidi" w:cstheme="majorBidi"/>
                <w:lang w:val="pl-PL"/>
              </w:rPr>
              <w:t xml:space="preserve"> (SIDERO-WT)</w:t>
            </w:r>
          </w:p>
          <w:p w14:paraId="2EDF7D0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Shionogi</w:t>
            </w:r>
          </w:p>
        </w:tc>
        <w:tc>
          <w:tcPr>
            <w:tcW w:w="434" w:type="pct"/>
          </w:tcPr>
          <w:p w14:paraId="4ECB9EE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International</w:t>
            </w:r>
            <w:r w:rsidRPr="00BC238A">
              <w:rPr>
                <w:rFonts w:asciiTheme="majorBidi" w:hAnsiTheme="majorBidi" w:cstheme="majorBidi"/>
                <w:lang w:val="pl-PL"/>
              </w:rPr>
              <w:t>, multi-site</w:t>
            </w:r>
            <w:r w:rsidRPr="00BC238A">
              <w:rPr>
                <w:rFonts w:asciiTheme="majorBidi" w:hAnsiTheme="majorBidi" w:cstheme="majorBidi"/>
              </w:rPr>
              <w:t xml:space="preserve"> </w:t>
            </w:r>
          </w:p>
          <w:p w14:paraId="749CC4D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2014</w:t>
            </w:r>
          </w:p>
        </w:tc>
        <w:tc>
          <w:tcPr>
            <w:tcW w:w="379" w:type="pct"/>
          </w:tcPr>
          <w:p w14:paraId="3D381E4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32</w:t>
            </w:r>
          </w:p>
          <w:p w14:paraId="2CEF8B27" w14:textId="77777777" w:rsidR="00D96F92" w:rsidRPr="00BC238A" w:rsidRDefault="00D96F92" w:rsidP="00070786">
            <w:pPr>
              <w:spacing w:after="120"/>
              <w:rPr>
                <w:rFonts w:asciiTheme="majorBidi" w:hAnsiTheme="majorBidi" w:cstheme="majorBidi"/>
              </w:rPr>
            </w:pPr>
          </w:p>
          <w:p w14:paraId="7CBA117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tcPr>
          <w:p w14:paraId="093CC1D9"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CPE, meropenem-resistant or colistin -resistant selected for testing</w:t>
            </w:r>
          </w:p>
        </w:tc>
        <w:tc>
          <w:tcPr>
            <w:tcW w:w="508" w:type="pct"/>
          </w:tcPr>
          <w:p w14:paraId="7AE55D8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No - Selected predefined # per species</w:t>
            </w:r>
          </w:p>
        </w:tc>
        <w:tc>
          <w:tcPr>
            <w:tcW w:w="495" w:type="pct"/>
          </w:tcPr>
          <w:p w14:paraId="4C42BB2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100%</w:t>
            </w:r>
          </w:p>
        </w:tc>
        <w:tc>
          <w:tcPr>
            <w:tcW w:w="420" w:type="pct"/>
          </w:tcPr>
          <w:p w14:paraId="37125AE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15.6%</w:t>
            </w:r>
          </w:p>
        </w:tc>
        <w:tc>
          <w:tcPr>
            <w:tcW w:w="535" w:type="pct"/>
          </w:tcPr>
          <w:p w14:paraId="5635147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4D5E47C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CLSI, EUCAST for colistin </w:t>
            </w:r>
          </w:p>
        </w:tc>
        <w:tc>
          <w:tcPr>
            <w:tcW w:w="325" w:type="pct"/>
          </w:tcPr>
          <w:p w14:paraId="34F4B2D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2A7E1DF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1E9A0EBC" w14:textId="77777777" w:rsidTr="00AF4752">
        <w:tc>
          <w:tcPr>
            <w:tcW w:w="354" w:type="pct"/>
          </w:tcPr>
          <w:p w14:paraId="7EE7902B" w14:textId="0F653497" w:rsidR="00D96F92" w:rsidRPr="00BC238A" w:rsidRDefault="00AF4752" w:rsidP="00A83123">
            <w:pPr>
              <w:spacing w:after="120"/>
              <w:rPr>
                <w:rFonts w:asciiTheme="majorBidi" w:hAnsiTheme="majorBidi" w:cstheme="majorBidi"/>
                <w:color w:val="000000"/>
                <w:lang w:val="it-IT"/>
              </w:rPr>
            </w:pPr>
            <w:r>
              <w:rPr>
                <w:rFonts w:ascii="Times New Roman" w:hAnsi="Times New Roman" w:cs="Times New Roman"/>
              </w:rPr>
              <w:lastRenderedPageBreak/>
              <w:t>Non-UK study</w:t>
            </w:r>
          </w:p>
        </w:tc>
        <w:tc>
          <w:tcPr>
            <w:tcW w:w="559" w:type="pct"/>
          </w:tcPr>
          <w:p w14:paraId="69A1D0DE" w14:textId="78BCD295" w:rsidR="00D96F92" w:rsidRPr="00BC238A" w:rsidRDefault="00D96F92" w:rsidP="00A83123">
            <w:pPr>
              <w:spacing w:after="120"/>
              <w:rPr>
                <w:rFonts w:asciiTheme="majorBidi" w:hAnsiTheme="majorBidi" w:cstheme="majorBidi"/>
                <w:color w:val="000000"/>
                <w:lang w:val="it-IT"/>
              </w:rPr>
            </w:pPr>
            <w:r w:rsidRPr="00BC238A">
              <w:rPr>
                <w:rFonts w:asciiTheme="majorBidi" w:hAnsiTheme="majorBidi" w:cstheme="majorBidi"/>
                <w:color w:val="000000"/>
                <w:lang w:val="it-IT"/>
              </w:rPr>
              <w:t>Viala 2019</w:t>
            </w:r>
            <w:r w:rsidRPr="00A83123">
              <w:rPr>
                <w:rFonts w:asciiTheme="majorBidi" w:hAnsiTheme="majorBidi" w:cstheme="majorBidi"/>
                <w:noProof/>
                <w:color w:val="000000"/>
                <w:vertAlign w:val="superscript"/>
              </w:rPr>
              <w:t>66</w:t>
            </w:r>
          </w:p>
          <w:p w14:paraId="7FD6C08B" w14:textId="77777777" w:rsidR="00D96F92" w:rsidRPr="00BC238A" w:rsidRDefault="00D96F92" w:rsidP="00070786">
            <w:pPr>
              <w:spacing w:after="120"/>
              <w:rPr>
                <w:rFonts w:asciiTheme="majorBidi" w:hAnsiTheme="majorBidi" w:cstheme="majorBidi"/>
                <w:lang w:val="it-IT"/>
              </w:rPr>
            </w:pPr>
            <w:r w:rsidRPr="00BC238A">
              <w:rPr>
                <w:rFonts w:asciiTheme="majorBidi" w:hAnsiTheme="majorBidi" w:cstheme="majorBidi"/>
                <w:color w:val="000000"/>
                <w:lang w:val="it-IT"/>
              </w:rPr>
              <w:t>None</w:t>
            </w:r>
          </w:p>
        </w:tc>
        <w:tc>
          <w:tcPr>
            <w:tcW w:w="434" w:type="pct"/>
          </w:tcPr>
          <w:p w14:paraId="6CA583E9"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France, </w:t>
            </w:r>
            <w:proofErr w:type="gramStart"/>
            <w:r w:rsidRPr="00BC238A">
              <w:rPr>
                <w:rFonts w:asciiTheme="majorBidi" w:hAnsiTheme="majorBidi" w:cstheme="majorBidi"/>
              </w:rPr>
              <w:t>single-site</w:t>
            </w:r>
            <w:proofErr w:type="gramEnd"/>
          </w:p>
          <w:p w14:paraId="24C285BF"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2015-2017</w:t>
            </w:r>
          </w:p>
        </w:tc>
        <w:tc>
          <w:tcPr>
            <w:tcW w:w="379" w:type="pct"/>
          </w:tcPr>
          <w:p w14:paraId="5591ACD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27</w:t>
            </w:r>
          </w:p>
          <w:p w14:paraId="50A11770" w14:textId="77777777" w:rsidR="00D96F92" w:rsidRPr="00BC238A" w:rsidRDefault="00D96F92" w:rsidP="00070786">
            <w:pPr>
              <w:spacing w:after="120"/>
              <w:rPr>
                <w:rFonts w:asciiTheme="majorBidi" w:hAnsiTheme="majorBidi" w:cstheme="majorBidi"/>
              </w:rPr>
            </w:pPr>
          </w:p>
          <w:p w14:paraId="4F0D0146"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rPr>
              <w:t>Unclear</w:t>
            </w:r>
          </w:p>
        </w:tc>
        <w:tc>
          <w:tcPr>
            <w:tcW w:w="559" w:type="pct"/>
          </w:tcPr>
          <w:p w14:paraId="40F6AF4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CPE - OXA-48, unclear how selected for testing</w:t>
            </w:r>
          </w:p>
        </w:tc>
        <w:tc>
          <w:tcPr>
            <w:tcW w:w="508" w:type="pct"/>
          </w:tcPr>
          <w:p w14:paraId="52ADF567"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color w:val="000000"/>
              </w:rPr>
              <w:t>Y</w:t>
            </w:r>
          </w:p>
        </w:tc>
        <w:tc>
          <w:tcPr>
            <w:tcW w:w="495" w:type="pct"/>
          </w:tcPr>
          <w:p w14:paraId="76AC515F" w14:textId="77777777" w:rsidR="00D96F92" w:rsidRPr="00BC238A" w:rsidRDefault="00D96F92" w:rsidP="00070786">
            <w:pPr>
              <w:spacing w:after="120"/>
              <w:rPr>
                <w:rFonts w:asciiTheme="majorBidi" w:hAnsiTheme="majorBidi" w:cstheme="majorBidi"/>
                <w:lang w:val="es-ES_tradnl"/>
              </w:rPr>
            </w:pPr>
            <w:r w:rsidRPr="00BC238A">
              <w:rPr>
                <w:rFonts w:asciiTheme="majorBidi" w:hAnsiTheme="majorBidi" w:cstheme="majorBidi"/>
                <w:lang w:val="es-ES_tradnl"/>
              </w:rPr>
              <w:t xml:space="preserve">40% </w:t>
            </w:r>
          </w:p>
        </w:tc>
        <w:tc>
          <w:tcPr>
            <w:tcW w:w="420" w:type="pct"/>
          </w:tcPr>
          <w:p w14:paraId="4BBAAB5D" w14:textId="77777777" w:rsidR="00D96F92" w:rsidRPr="00BC238A" w:rsidRDefault="00D96F92" w:rsidP="00070786">
            <w:pPr>
              <w:spacing w:after="120"/>
              <w:rPr>
                <w:rFonts w:asciiTheme="majorBidi" w:hAnsiTheme="majorBidi" w:cstheme="majorBidi"/>
                <w:lang w:val="es-ES_tradnl"/>
              </w:rPr>
            </w:pPr>
            <w:r w:rsidRPr="00BC238A">
              <w:rPr>
                <w:rFonts w:asciiTheme="majorBidi" w:hAnsiTheme="majorBidi" w:cstheme="majorBidi"/>
              </w:rPr>
              <w:t>NR</w:t>
            </w:r>
          </w:p>
        </w:tc>
        <w:tc>
          <w:tcPr>
            <w:tcW w:w="535" w:type="pct"/>
          </w:tcPr>
          <w:p w14:paraId="534CE06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p w14:paraId="4748E206" w14:textId="77777777" w:rsidR="00D96F92" w:rsidRPr="00BC238A" w:rsidRDefault="00D96F92" w:rsidP="00070786">
            <w:pPr>
              <w:spacing w:after="120"/>
              <w:rPr>
                <w:rFonts w:asciiTheme="majorBidi" w:hAnsiTheme="majorBidi" w:cstheme="majorBidi"/>
                <w:lang w:val="es-ES_tradnl"/>
              </w:rPr>
            </w:pPr>
            <w:r w:rsidRPr="00BC238A">
              <w:rPr>
                <w:rFonts w:asciiTheme="majorBidi" w:hAnsiTheme="majorBidi" w:cstheme="majorBidi"/>
              </w:rPr>
              <w:t>EUCAST</w:t>
            </w:r>
          </w:p>
        </w:tc>
        <w:tc>
          <w:tcPr>
            <w:tcW w:w="325" w:type="pct"/>
          </w:tcPr>
          <w:p w14:paraId="5213D286" w14:textId="77777777" w:rsidR="00D96F92" w:rsidRPr="00BC238A" w:rsidRDefault="00D96F92" w:rsidP="00070786">
            <w:pPr>
              <w:spacing w:after="120"/>
              <w:rPr>
                <w:rFonts w:asciiTheme="majorBidi" w:hAnsiTheme="majorBidi" w:cstheme="majorBidi"/>
                <w:lang w:val="es-ES_tradnl"/>
              </w:rPr>
            </w:pPr>
            <w:r w:rsidRPr="00BC238A">
              <w:rPr>
                <w:rFonts w:asciiTheme="majorBidi" w:hAnsiTheme="majorBidi" w:cstheme="majorBidi"/>
              </w:rPr>
              <w:t>EEPRU search</w:t>
            </w:r>
          </w:p>
        </w:tc>
        <w:tc>
          <w:tcPr>
            <w:tcW w:w="432" w:type="pct"/>
          </w:tcPr>
          <w:p w14:paraId="5D80506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282F9A11" w14:textId="77777777" w:rsidTr="00AF4752">
        <w:tc>
          <w:tcPr>
            <w:tcW w:w="354" w:type="pct"/>
          </w:tcPr>
          <w:p w14:paraId="5A093117" w14:textId="389F2E4B" w:rsidR="00D96F92" w:rsidRPr="00BC238A" w:rsidRDefault="00AF4752" w:rsidP="00A83123">
            <w:pPr>
              <w:spacing w:after="120"/>
              <w:rPr>
                <w:rFonts w:asciiTheme="majorBidi" w:hAnsiTheme="majorBidi" w:cstheme="majorBidi"/>
                <w:color w:val="000000"/>
                <w:lang w:val="es-ES_tradnl"/>
              </w:rPr>
            </w:pPr>
            <w:r>
              <w:rPr>
                <w:rFonts w:ascii="Times New Roman" w:hAnsi="Times New Roman" w:cs="Times New Roman"/>
              </w:rPr>
              <w:t>Non-UK study</w:t>
            </w:r>
          </w:p>
        </w:tc>
        <w:tc>
          <w:tcPr>
            <w:tcW w:w="559" w:type="pct"/>
          </w:tcPr>
          <w:p w14:paraId="1734116D" w14:textId="1492AD25" w:rsidR="00D96F92" w:rsidRPr="00BC238A" w:rsidRDefault="00D96F92" w:rsidP="00A83123">
            <w:pPr>
              <w:spacing w:after="120"/>
              <w:rPr>
                <w:rFonts w:asciiTheme="majorBidi" w:hAnsiTheme="majorBidi" w:cstheme="majorBidi"/>
                <w:color w:val="000000"/>
                <w:lang w:val="es-ES_tradnl"/>
              </w:rPr>
            </w:pPr>
            <w:r w:rsidRPr="00BC238A">
              <w:rPr>
                <w:rFonts w:asciiTheme="majorBidi" w:hAnsiTheme="majorBidi" w:cstheme="majorBidi"/>
                <w:color w:val="000000"/>
                <w:lang w:val="es-ES_tradnl"/>
              </w:rPr>
              <w:t>De la Calle, 2019</w:t>
            </w:r>
            <w:r w:rsidRPr="00A83123">
              <w:rPr>
                <w:rFonts w:asciiTheme="majorBidi" w:hAnsiTheme="majorBidi" w:cstheme="majorBidi"/>
                <w:noProof/>
                <w:color w:val="000000"/>
                <w:vertAlign w:val="superscript"/>
                <w:lang w:val="es-ES_tradnl"/>
              </w:rPr>
              <w:t>37</w:t>
            </w:r>
          </w:p>
          <w:p w14:paraId="438D2EE1" w14:textId="77777777" w:rsidR="00D96F92" w:rsidRPr="00BC238A" w:rsidRDefault="00D96F92" w:rsidP="00070786">
            <w:pPr>
              <w:spacing w:after="120"/>
              <w:rPr>
                <w:rFonts w:asciiTheme="majorBidi" w:hAnsiTheme="majorBidi" w:cstheme="majorBidi"/>
                <w:color w:val="000000"/>
                <w:lang w:val="es-ES_tradnl"/>
              </w:rPr>
            </w:pPr>
            <w:proofErr w:type="spellStart"/>
            <w:r w:rsidRPr="00BC238A">
              <w:rPr>
                <w:rFonts w:asciiTheme="majorBidi" w:hAnsiTheme="majorBidi" w:cstheme="majorBidi"/>
                <w:color w:val="000000"/>
                <w:lang w:val="es-ES_tradnl"/>
              </w:rPr>
              <w:t>None</w:t>
            </w:r>
            <w:proofErr w:type="spellEnd"/>
          </w:p>
        </w:tc>
        <w:tc>
          <w:tcPr>
            <w:tcW w:w="434" w:type="pct"/>
          </w:tcPr>
          <w:p w14:paraId="1A4C54F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Spain, single site</w:t>
            </w:r>
          </w:p>
          <w:p w14:paraId="7D655349"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2014-16</w:t>
            </w:r>
          </w:p>
        </w:tc>
        <w:tc>
          <w:tcPr>
            <w:tcW w:w="379" w:type="pct"/>
          </w:tcPr>
          <w:p w14:paraId="33390E8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24</w:t>
            </w:r>
          </w:p>
          <w:p w14:paraId="2EEE55CA" w14:textId="77777777" w:rsidR="00D96F92" w:rsidRPr="00BC238A" w:rsidRDefault="00D96F92" w:rsidP="00070786">
            <w:pPr>
              <w:spacing w:after="120"/>
              <w:rPr>
                <w:rFonts w:asciiTheme="majorBidi" w:hAnsiTheme="majorBidi" w:cstheme="majorBidi"/>
              </w:rPr>
            </w:pPr>
          </w:p>
          <w:p w14:paraId="085DE19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tcPr>
          <w:p w14:paraId="14A3B14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CPE –isolates with reduced susceptibility to carbapenems (EUCAST breakpoint) tested, only included those who received CAZ-AVI</w:t>
            </w:r>
          </w:p>
        </w:tc>
        <w:tc>
          <w:tcPr>
            <w:tcW w:w="508" w:type="pct"/>
          </w:tcPr>
          <w:p w14:paraId="66D4A15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Y</w:t>
            </w:r>
          </w:p>
        </w:tc>
        <w:tc>
          <w:tcPr>
            <w:tcW w:w="495" w:type="pct"/>
          </w:tcPr>
          <w:p w14:paraId="063EA1C9"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54.2% </w:t>
            </w:r>
          </w:p>
        </w:tc>
        <w:tc>
          <w:tcPr>
            <w:tcW w:w="420" w:type="pct"/>
          </w:tcPr>
          <w:p w14:paraId="2BD1565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18E9210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p w14:paraId="42A55EA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5D2C8388"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0FBEDCF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3C29175E" w14:textId="77777777" w:rsidTr="00AF4752">
        <w:tc>
          <w:tcPr>
            <w:tcW w:w="354" w:type="pct"/>
          </w:tcPr>
          <w:p w14:paraId="6960CEA5" w14:textId="4DBFB7E1" w:rsidR="00D96F92" w:rsidRPr="00BC238A" w:rsidRDefault="00AF4752" w:rsidP="00C83FB7">
            <w:pPr>
              <w:spacing w:after="120"/>
              <w:rPr>
                <w:rFonts w:asciiTheme="majorBidi" w:hAnsiTheme="majorBidi" w:cstheme="majorBidi"/>
                <w:color w:val="000000"/>
                <w:lang w:val="it-IT"/>
              </w:rPr>
            </w:pPr>
            <w:r>
              <w:rPr>
                <w:rFonts w:ascii="Times New Roman" w:hAnsi="Times New Roman" w:cs="Times New Roman"/>
              </w:rPr>
              <w:t>Non-UK study</w:t>
            </w:r>
          </w:p>
        </w:tc>
        <w:tc>
          <w:tcPr>
            <w:tcW w:w="559" w:type="pct"/>
          </w:tcPr>
          <w:p w14:paraId="453649B4" w14:textId="2DAD3897" w:rsidR="00D96F92" w:rsidRPr="00BC238A" w:rsidRDefault="00D96F92" w:rsidP="00C83FB7">
            <w:pPr>
              <w:spacing w:after="120"/>
              <w:rPr>
                <w:rFonts w:asciiTheme="majorBidi" w:hAnsiTheme="majorBidi" w:cstheme="majorBidi"/>
                <w:lang w:val="it-IT"/>
              </w:rPr>
            </w:pPr>
            <w:r w:rsidRPr="00BC238A">
              <w:rPr>
                <w:rFonts w:asciiTheme="majorBidi" w:hAnsiTheme="majorBidi" w:cstheme="majorBidi"/>
                <w:color w:val="000000"/>
                <w:lang w:val="it-IT"/>
              </w:rPr>
              <w:t>Galani, 2019</w:t>
            </w:r>
            <w:r w:rsidRPr="00A83123">
              <w:rPr>
                <w:rFonts w:asciiTheme="majorBidi" w:hAnsiTheme="majorBidi" w:cstheme="majorBidi"/>
                <w:noProof/>
                <w:color w:val="000000"/>
                <w:vertAlign w:val="superscript"/>
              </w:rPr>
              <w:t>50</w:t>
            </w:r>
            <w:r w:rsidRPr="00BC238A">
              <w:rPr>
                <w:rFonts w:asciiTheme="majorBidi" w:hAnsiTheme="majorBidi" w:cstheme="majorBidi"/>
                <w:color w:val="000000"/>
                <w:lang w:val="it-IT"/>
              </w:rPr>
              <w:br/>
              <w:t>MSD</w:t>
            </w:r>
            <w:r w:rsidRPr="00BC238A">
              <w:rPr>
                <w:rFonts w:asciiTheme="majorBidi" w:hAnsiTheme="majorBidi" w:cstheme="majorBidi"/>
                <w:color w:val="000000"/>
                <w:lang w:val="it-IT"/>
              </w:rPr>
              <w:br/>
            </w:r>
          </w:p>
        </w:tc>
        <w:tc>
          <w:tcPr>
            <w:tcW w:w="434" w:type="pct"/>
          </w:tcPr>
          <w:p w14:paraId="4EB65BD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Greece</w:t>
            </w:r>
            <w:r w:rsidRPr="00BC238A">
              <w:rPr>
                <w:rFonts w:asciiTheme="majorBidi" w:hAnsiTheme="majorBidi" w:cstheme="majorBidi"/>
                <w:lang w:val="pl-PL"/>
              </w:rPr>
              <w:t>, multi-site</w:t>
            </w:r>
            <w:r w:rsidRPr="00BC238A">
              <w:rPr>
                <w:rFonts w:asciiTheme="majorBidi" w:hAnsiTheme="majorBidi" w:cstheme="majorBidi"/>
              </w:rPr>
              <w:t xml:space="preserve"> </w:t>
            </w:r>
          </w:p>
          <w:p w14:paraId="44ED9AE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2014-16</w:t>
            </w:r>
          </w:p>
        </w:tc>
        <w:tc>
          <w:tcPr>
            <w:tcW w:w="379" w:type="pct"/>
          </w:tcPr>
          <w:p w14:paraId="6A5C3CF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19</w:t>
            </w:r>
          </w:p>
          <w:p w14:paraId="6F9B167C" w14:textId="77777777" w:rsidR="00D96F92" w:rsidRPr="00BC238A" w:rsidRDefault="00D96F92" w:rsidP="00070786">
            <w:pPr>
              <w:spacing w:after="120"/>
              <w:rPr>
                <w:rFonts w:asciiTheme="majorBidi" w:hAnsiTheme="majorBidi" w:cstheme="majorBidi"/>
              </w:rPr>
            </w:pPr>
          </w:p>
          <w:p w14:paraId="2BBA7594" w14:textId="77777777" w:rsidR="00D96F92" w:rsidRPr="00BC238A" w:rsidRDefault="00D96F92" w:rsidP="00070786">
            <w:pPr>
              <w:spacing w:after="120"/>
              <w:rPr>
                <w:rFonts w:asciiTheme="majorBidi" w:hAnsiTheme="majorBidi" w:cstheme="majorBidi"/>
                <w:color w:val="000000"/>
              </w:rPr>
            </w:pPr>
            <w:r w:rsidRPr="00BC238A">
              <w:rPr>
                <w:rFonts w:asciiTheme="majorBidi" w:hAnsiTheme="majorBidi" w:cstheme="majorBidi"/>
              </w:rPr>
              <w:t>Y</w:t>
            </w:r>
          </w:p>
        </w:tc>
        <w:tc>
          <w:tcPr>
            <w:tcW w:w="559" w:type="pct"/>
          </w:tcPr>
          <w:p w14:paraId="2B3D833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KP, carbapenem non-susceptible isolates tested</w:t>
            </w:r>
            <w:r w:rsidRPr="00BC238A">
              <w:rPr>
                <w:rFonts w:asciiTheme="majorBidi" w:hAnsiTheme="majorBidi" w:cstheme="majorBidi"/>
              </w:rPr>
              <w:t xml:space="preserve"> </w:t>
            </w:r>
          </w:p>
        </w:tc>
        <w:tc>
          <w:tcPr>
            <w:tcW w:w="508" w:type="pct"/>
          </w:tcPr>
          <w:p w14:paraId="71DF7D4A" w14:textId="77777777" w:rsidR="00D96F92" w:rsidRPr="00BC238A" w:rsidRDefault="00D96F92" w:rsidP="00070786">
            <w:pPr>
              <w:spacing w:after="120"/>
              <w:rPr>
                <w:rFonts w:asciiTheme="majorBidi" w:hAnsiTheme="majorBidi" w:cstheme="majorBidi"/>
                <w:color w:val="000000"/>
                <w:lang w:val="it-IT"/>
              </w:rPr>
            </w:pPr>
            <w:r w:rsidRPr="00BC238A">
              <w:rPr>
                <w:rFonts w:asciiTheme="majorBidi" w:hAnsiTheme="majorBidi" w:cstheme="majorBidi"/>
                <w:color w:val="000000"/>
                <w:lang w:val="it-IT"/>
              </w:rPr>
              <w:t>Y</w:t>
            </w:r>
          </w:p>
        </w:tc>
        <w:tc>
          <w:tcPr>
            <w:tcW w:w="495" w:type="pct"/>
          </w:tcPr>
          <w:p w14:paraId="25D6757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100% </w:t>
            </w:r>
          </w:p>
        </w:tc>
        <w:tc>
          <w:tcPr>
            <w:tcW w:w="420" w:type="pct"/>
          </w:tcPr>
          <w:p w14:paraId="2F64701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tc>
        <w:tc>
          <w:tcPr>
            <w:tcW w:w="535" w:type="pct"/>
          </w:tcPr>
          <w:p w14:paraId="3B2D7F8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5B82D92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w:t>
            </w:r>
          </w:p>
        </w:tc>
        <w:tc>
          <w:tcPr>
            <w:tcW w:w="325" w:type="pct"/>
          </w:tcPr>
          <w:p w14:paraId="45D0947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6DDC6C0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445550E9" w14:textId="77777777" w:rsidTr="00AF4752">
        <w:tc>
          <w:tcPr>
            <w:tcW w:w="354" w:type="pct"/>
          </w:tcPr>
          <w:p w14:paraId="785B0E88" w14:textId="4EFE1B43" w:rsidR="00D96F92" w:rsidRPr="00BC238A" w:rsidRDefault="00AF4752" w:rsidP="00A83123">
            <w:pPr>
              <w:spacing w:after="120"/>
              <w:rPr>
                <w:rFonts w:asciiTheme="majorBidi" w:hAnsiTheme="majorBidi" w:cstheme="majorBidi"/>
              </w:rPr>
            </w:pPr>
            <w:r>
              <w:rPr>
                <w:rFonts w:ascii="Times New Roman" w:hAnsi="Times New Roman" w:cs="Times New Roman"/>
              </w:rPr>
              <w:t>Non-UK study</w:t>
            </w:r>
          </w:p>
        </w:tc>
        <w:tc>
          <w:tcPr>
            <w:tcW w:w="559" w:type="pct"/>
          </w:tcPr>
          <w:p w14:paraId="0F724E4A" w14:textId="41E48F52" w:rsidR="00D96F92" w:rsidRPr="00BC238A" w:rsidRDefault="00D96F92" w:rsidP="00A83123">
            <w:pPr>
              <w:spacing w:after="120"/>
              <w:rPr>
                <w:rFonts w:asciiTheme="majorBidi" w:hAnsiTheme="majorBidi" w:cstheme="majorBidi"/>
              </w:rPr>
            </w:pPr>
            <w:r w:rsidRPr="00BC238A">
              <w:rPr>
                <w:rFonts w:asciiTheme="majorBidi" w:hAnsiTheme="majorBidi" w:cstheme="majorBidi"/>
              </w:rPr>
              <w:t>Sherry 2018</w:t>
            </w:r>
            <w:r w:rsidRPr="00A83123">
              <w:rPr>
                <w:rFonts w:asciiTheme="majorBidi" w:hAnsiTheme="majorBidi" w:cstheme="majorBidi"/>
                <w:noProof/>
                <w:vertAlign w:val="superscript"/>
              </w:rPr>
              <w:t>65</w:t>
            </w:r>
          </w:p>
          <w:p w14:paraId="2F3217E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AstraZeneca</w:t>
            </w:r>
          </w:p>
        </w:tc>
        <w:tc>
          <w:tcPr>
            <w:tcW w:w="434" w:type="pct"/>
          </w:tcPr>
          <w:p w14:paraId="2FCB69B5"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Australia, unclear if multi-site</w:t>
            </w:r>
          </w:p>
          <w:p w14:paraId="29A3237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2012-2015</w:t>
            </w:r>
          </w:p>
        </w:tc>
        <w:tc>
          <w:tcPr>
            <w:tcW w:w="379" w:type="pct"/>
          </w:tcPr>
          <w:p w14:paraId="7294567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14</w:t>
            </w:r>
          </w:p>
          <w:p w14:paraId="3FC6AD1C" w14:textId="77777777" w:rsidR="00D96F92" w:rsidRPr="00BC238A" w:rsidRDefault="00D96F92" w:rsidP="00070786">
            <w:pPr>
              <w:spacing w:after="120"/>
              <w:rPr>
                <w:rFonts w:asciiTheme="majorBidi" w:hAnsiTheme="majorBidi" w:cstheme="majorBidi"/>
              </w:rPr>
            </w:pPr>
          </w:p>
          <w:p w14:paraId="43EBF1E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w:t>
            </w:r>
          </w:p>
        </w:tc>
        <w:tc>
          <w:tcPr>
            <w:tcW w:w="559" w:type="pct"/>
          </w:tcPr>
          <w:p w14:paraId="4DABDF8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CPE (</w:t>
            </w:r>
            <w:proofErr w:type="gramStart"/>
            <w:r w:rsidRPr="00BC238A">
              <w:rPr>
                <w:rFonts w:asciiTheme="majorBidi" w:hAnsiTheme="majorBidi" w:cstheme="majorBidi"/>
              </w:rPr>
              <w:t>E.coli</w:t>
            </w:r>
            <w:proofErr w:type="gramEnd"/>
            <w:r w:rsidRPr="00BC238A">
              <w:rPr>
                <w:rFonts w:asciiTheme="majorBidi" w:hAnsiTheme="majorBidi" w:cstheme="majorBidi"/>
              </w:rPr>
              <w:t xml:space="preserve"> or KP recruited), unclear how selected for testing</w:t>
            </w:r>
          </w:p>
        </w:tc>
        <w:tc>
          <w:tcPr>
            <w:tcW w:w="508" w:type="pct"/>
          </w:tcPr>
          <w:p w14:paraId="55AAB86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color w:val="000000"/>
              </w:rPr>
              <w:t>No, selected diverse “representative” sample</w:t>
            </w:r>
          </w:p>
        </w:tc>
        <w:tc>
          <w:tcPr>
            <w:tcW w:w="495" w:type="pct"/>
          </w:tcPr>
          <w:p w14:paraId="1171EF8A"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420" w:type="pct"/>
          </w:tcPr>
          <w:p w14:paraId="5AFF2E9D"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NR</w:t>
            </w:r>
          </w:p>
        </w:tc>
        <w:tc>
          <w:tcPr>
            <w:tcW w:w="535" w:type="pct"/>
          </w:tcPr>
          <w:p w14:paraId="0AAC20B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086EF01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 FDA/EUCAST for CAZ-AVI</w:t>
            </w:r>
          </w:p>
        </w:tc>
        <w:tc>
          <w:tcPr>
            <w:tcW w:w="325" w:type="pct"/>
          </w:tcPr>
          <w:p w14:paraId="22FE126E"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0815B88B"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r w:rsidR="00AF4752" w:rsidRPr="00BC238A" w14:paraId="4FD882E1" w14:textId="77777777" w:rsidTr="00AF4752">
        <w:tc>
          <w:tcPr>
            <w:tcW w:w="354" w:type="pct"/>
          </w:tcPr>
          <w:p w14:paraId="1678823F" w14:textId="0568C218" w:rsidR="00D96F92" w:rsidRPr="00BC238A" w:rsidRDefault="00AF4752" w:rsidP="00A83123">
            <w:pPr>
              <w:spacing w:after="120"/>
              <w:rPr>
                <w:rFonts w:asciiTheme="majorBidi" w:hAnsiTheme="majorBidi" w:cstheme="majorBidi"/>
                <w:lang w:val="nl-NL"/>
              </w:rPr>
            </w:pPr>
            <w:r>
              <w:rPr>
                <w:rFonts w:ascii="Times New Roman" w:hAnsi="Times New Roman" w:cs="Times New Roman"/>
              </w:rPr>
              <w:lastRenderedPageBreak/>
              <w:t>Non-UK study</w:t>
            </w:r>
          </w:p>
        </w:tc>
        <w:tc>
          <w:tcPr>
            <w:tcW w:w="559" w:type="pct"/>
          </w:tcPr>
          <w:p w14:paraId="180DDF20" w14:textId="58497E20" w:rsidR="00D96F92" w:rsidRPr="00BC238A" w:rsidRDefault="00D96F92" w:rsidP="00A83123">
            <w:pPr>
              <w:spacing w:after="120"/>
              <w:rPr>
                <w:rFonts w:asciiTheme="majorBidi" w:hAnsiTheme="majorBidi" w:cstheme="majorBidi"/>
                <w:lang w:val="nl-NL"/>
              </w:rPr>
            </w:pPr>
            <w:r w:rsidRPr="00BC238A">
              <w:rPr>
                <w:rFonts w:asciiTheme="majorBidi" w:hAnsiTheme="majorBidi" w:cstheme="majorBidi"/>
                <w:lang w:val="nl-NL"/>
              </w:rPr>
              <w:t>Bhagwat 2020</w:t>
            </w:r>
            <w:r w:rsidRPr="00A83123">
              <w:rPr>
                <w:rFonts w:asciiTheme="majorBidi" w:hAnsiTheme="majorBidi" w:cstheme="majorBidi"/>
                <w:noProof/>
                <w:vertAlign w:val="superscript"/>
              </w:rPr>
              <w:t>46</w:t>
            </w:r>
            <w:r w:rsidRPr="00BC238A">
              <w:rPr>
                <w:rFonts w:asciiTheme="majorBidi" w:hAnsiTheme="majorBidi" w:cstheme="majorBidi"/>
                <w:lang w:val="nl-NL"/>
              </w:rPr>
              <w:br/>
              <w:t>Wockhardt Ltd</w:t>
            </w:r>
          </w:p>
          <w:p w14:paraId="6735985A" w14:textId="77777777" w:rsidR="00D96F92" w:rsidRPr="00BC238A" w:rsidRDefault="00D96F92" w:rsidP="00070786">
            <w:pPr>
              <w:spacing w:after="120"/>
              <w:rPr>
                <w:rFonts w:asciiTheme="majorBidi" w:hAnsiTheme="majorBidi" w:cstheme="majorBidi"/>
                <w:lang w:val="nl-NL"/>
              </w:rPr>
            </w:pPr>
          </w:p>
        </w:tc>
        <w:tc>
          <w:tcPr>
            <w:tcW w:w="434" w:type="pct"/>
          </w:tcPr>
          <w:p w14:paraId="0E22AAB6"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India</w:t>
            </w:r>
            <w:r w:rsidRPr="00BC238A">
              <w:rPr>
                <w:rFonts w:asciiTheme="majorBidi" w:hAnsiTheme="majorBidi" w:cstheme="majorBidi"/>
                <w:lang w:val="pl-PL"/>
              </w:rPr>
              <w:t>, multi-site</w:t>
            </w:r>
            <w:r w:rsidRPr="00BC238A">
              <w:rPr>
                <w:rFonts w:asciiTheme="majorBidi" w:hAnsiTheme="majorBidi" w:cstheme="majorBidi"/>
              </w:rPr>
              <w:t xml:space="preserve"> </w:t>
            </w:r>
          </w:p>
          <w:p w14:paraId="62FBBED0"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2016-18</w:t>
            </w:r>
          </w:p>
        </w:tc>
        <w:tc>
          <w:tcPr>
            <w:tcW w:w="379" w:type="pct"/>
          </w:tcPr>
          <w:p w14:paraId="6ED4225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11**</w:t>
            </w:r>
          </w:p>
          <w:p w14:paraId="5B35D884"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26***</w:t>
            </w:r>
          </w:p>
          <w:p w14:paraId="3BC01E4A" w14:textId="77777777" w:rsidR="00D96F92" w:rsidRPr="00BC238A" w:rsidRDefault="00D96F92" w:rsidP="00070786">
            <w:pPr>
              <w:spacing w:after="120"/>
              <w:rPr>
                <w:rFonts w:asciiTheme="majorBidi" w:hAnsiTheme="majorBidi" w:cstheme="majorBidi"/>
              </w:rPr>
            </w:pPr>
          </w:p>
          <w:p w14:paraId="5456CAA8" w14:textId="77777777" w:rsidR="00D96F92" w:rsidRPr="00BC238A" w:rsidRDefault="00D96F92" w:rsidP="00070786">
            <w:pPr>
              <w:spacing w:after="120"/>
              <w:rPr>
                <w:rFonts w:asciiTheme="majorBidi" w:hAnsiTheme="majorBidi" w:cstheme="majorBidi"/>
                <w:lang w:val="pt-PT"/>
              </w:rPr>
            </w:pPr>
            <w:r w:rsidRPr="00BC238A">
              <w:rPr>
                <w:rFonts w:asciiTheme="majorBidi" w:hAnsiTheme="majorBidi" w:cstheme="majorBidi"/>
              </w:rPr>
              <w:t>Y</w:t>
            </w:r>
          </w:p>
        </w:tc>
        <w:tc>
          <w:tcPr>
            <w:tcW w:w="559" w:type="pct"/>
          </w:tcPr>
          <w:p w14:paraId="20A97DB4" w14:textId="77777777" w:rsidR="00D96F92" w:rsidRPr="00BC238A" w:rsidRDefault="00D96F92" w:rsidP="00070786">
            <w:pPr>
              <w:spacing w:after="120"/>
              <w:rPr>
                <w:rFonts w:asciiTheme="majorBidi" w:hAnsiTheme="majorBidi" w:cstheme="majorBidi"/>
                <w:lang w:val="pt-PT"/>
              </w:rPr>
            </w:pPr>
            <w:r w:rsidRPr="00BC238A">
              <w:rPr>
                <w:rFonts w:asciiTheme="majorBidi" w:hAnsiTheme="majorBidi" w:cstheme="majorBidi"/>
                <w:lang w:val="pt-PT"/>
              </w:rPr>
              <w:t>E. coli with aztreonam-avibactam MICs 1 mg/L</w:t>
            </w:r>
          </w:p>
        </w:tc>
        <w:tc>
          <w:tcPr>
            <w:tcW w:w="508" w:type="pct"/>
          </w:tcPr>
          <w:p w14:paraId="214820B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 xml:space="preserve">Unclear </w:t>
            </w:r>
          </w:p>
        </w:tc>
        <w:tc>
          <w:tcPr>
            <w:tcW w:w="495" w:type="pct"/>
          </w:tcPr>
          <w:p w14:paraId="671C8491"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tc>
        <w:tc>
          <w:tcPr>
            <w:tcW w:w="420" w:type="pct"/>
          </w:tcPr>
          <w:p w14:paraId="4C16985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0%**</w:t>
            </w:r>
          </w:p>
          <w:p w14:paraId="19DE865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57.7%***</w:t>
            </w:r>
          </w:p>
        </w:tc>
        <w:tc>
          <w:tcPr>
            <w:tcW w:w="535" w:type="pct"/>
          </w:tcPr>
          <w:p w14:paraId="08D47773"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CLSI</w:t>
            </w:r>
          </w:p>
          <w:p w14:paraId="59F720F6" w14:textId="77777777" w:rsidR="00D96F92" w:rsidRPr="00BC238A" w:rsidRDefault="00D96F92" w:rsidP="00070786">
            <w:pPr>
              <w:spacing w:after="120"/>
              <w:rPr>
                <w:rFonts w:asciiTheme="majorBidi" w:hAnsiTheme="majorBidi" w:cstheme="majorBidi"/>
              </w:rPr>
            </w:pPr>
          </w:p>
          <w:p w14:paraId="78B86152"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EUCAST (reviewer-applied)</w:t>
            </w:r>
          </w:p>
        </w:tc>
        <w:tc>
          <w:tcPr>
            <w:tcW w:w="325" w:type="pct"/>
          </w:tcPr>
          <w:p w14:paraId="547A6C77"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EEPRU search</w:t>
            </w:r>
          </w:p>
        </w:tc>
        <w:tc>
          <w:tcPr>
            <w:tcW w:w="432" w:type="pct"/>
          </w:tcPr>
          <w:p w14:paraId="779FFDCC" w14:textId="77777777" w:rsidR="00D96F92" w:rsidRPr="00BC238A" w:rsidRDefault="00D96F92" w:rsidP="00070786">
            <w:pPr>
              <w:spacing w:after="120"/>
              <w:rPr>
                <w:rFonts w:asciiTheme="majorBidi" w:hAnsiTheme="majorBidi" w:cstheme="majorBidi"/>
              </w:rPr>
            </w:pPr>
            <w:r w:rsidRPr="00BC238A">
              <w:rPr>
                <w:rFonts w:asciiTheme="majorBidi" w:hAnsiTheme="majorBidi" w:cstheme="majorBidi"/>
              </w:rPr>
              <w:t>Y, full</w:t>
            </w:r>
          </w:p>
        </w:tc>
      </w:tr>
    </w:tbl>
    <w:p w14:paraId="275C2A79" w14:textId="77777777" w:rsidR="000A755B" w:rsidRPr="00F957B9" w:rsidRDefault="000A755B" w:rsidP="000A755B">
      <w:pPr>
        <w:spacing w:after="120" w:line="276" w:lineRule="auto"/>
        <w:rPr>
          <w:rFonts w:asciiTheme="majorBidi" w:hAnsiTheme="majorBidi"/>
          <w:sz w:val="20"/>
        </w:rPr>
      </w:pPr>
      <w:r w:rsidRPr="00885DFB">
        <w:rPr>
          <w:rFonts w:asciiTheme="majorBidi" w:hAnsiTheme="majorBidi" w:cstheme="majorBidi"/>
        </w:rPr>
        <w:t xml:space="preserve">* </w:t>
      </w:r>
      <w:r w:rsidRPr="00F957B9">
        <w:rPr>
          <w:rFonts w:asciiTheme="majorBidi" w:hAnsiTheme="majorBidi"/>
          <w:sz w:val="20"/>
        </w:rPr>
        <w:t>Entire dataset is April 2014 to April 2021. Unclear what period the subset analysed covers</w:t>
      </w:r>
    </w:p>
    <w:p w14:paraId="53654844" w14:textId="77777777" w:rsidR="003A47E9" w:rsidRDefault="000A755B" w:rsidP="000A755B">
      <w:pPr>
        <w:spacing w:after="120" w:line="276" w:lineRule="auto"/>
        <w:rPr>
          <w:rFonts w:asciiTheme="majorBidi" w:hAnsiTheme="majorBidi"/>
          <w:sz w:val="20"/>
        </w:rPr>
      </w:pPr>
      <w:r w:rsidRPr="00F957B9">
        <w:rPr>
          <w:rFonts w:asciiTheme="majorBidi" w:hAnsiTheme="majorBidi"/>
          <w:sz w:val="20"/>
        </w:rPr>
        <w:t xml:space="preserve">** excluded data for isolates with MBL co-carriage </w:t>
      </w:r>
    </w:p>
    <w:p w14:paraId="15D63568" w14:textId="2E176AB4" w:rsidR="000A755B" w:rsidRPr="00F957B9" w:rsidRDefault="000A755B" w:rsidP="000A755B">
      <w:pPr>
        <w:spacing w:after="120" w:line="276" w:lineRule="auto"/>
        <w:rPr>
          <w:rFonts w:asciiTheme="majorBidi" w:hAnsiTheme="majorBidi"/>
          <w:sz w:val="20"/>
        </w:rPr>
      </w:pPr>
      <w:r w:rsidRPr="00F957B9">
        <w:rPr>
          <w:rFonts w:asciiTheme="majorBidi" w:hAnsiTheme="majorBidi"/>
          <w:sz w:val="20"/>
        </w:rPr>
        <w:t>***include data for isolates with MBL co-</w:t>
      </w:r>
      <w:r w:rsidR="00593E66" w:rsidRPr="00F957B9">
        <w:rPr>
          <w:rFonts w:asciiTheme="majorBidi" w:hAnsiTheme="majorBidi"/>
          <w:sz w:val="20"/>
        </w:rPr>
        <w:t>carriage</w:t>
      </w:r>
    </w:p>
    <w:p w14:paraId="55CB9B44" w14:textId="2A2BB6AB" w:rsidR="000A755B" w:rsidRPr="00F957B9" w:rsidRDefault="000A755B" w:rsidP="000A755B">
      <w:pPr>
        <w:spacing w:after="120" w:line="276" w:lineRule="auto"/>
        <w:rPr>
          <w:rFonts w:asciiTheme="majorBidi" w:hAnsiTheme="majorBidi"/>
          <w:sz w:val="20"/>
        </w:rPr>
        <w:sectPr w:rsidR="000A755B" w:rsidRPr="00F957B9" w:rsidSect="00885DFB">
          <w:pgSz w:w="16838" w:h="11906" w:orient="landscape"/>
          <w:pgMar w:top="1440" w:right="1440" w:bottom="1440" w:left="1440" w:header="709" w:footer="709" w:gutter="0"/>
          <w:cols w:space="708"/>
          <w:docGrid w:linePitch="360"/>
        </w:sectPr>
      </w:pPr>
      <w:r w:rsidRPr="00F957B9">
        <w:rPr>
          <w:rFonts w:asciiTheme="majorBidi" w:hAnsiTheme="majorBidi"/>
          <w:sz w:val="20"/>
        </w:rPr>
        <w:t xml:space="preserve">ARHAI, antimicrobial resistance and healthcare associated infections; BSAC, British Society for Antimicrobial Chemotherapy; CLSI, Clinical Laboratory Standards Institute; CPE, </w:t>
      </w:r>
      <w:proofErr w:type="spellStart"/>
      <w:r w:rsidRPr="00F957B9">
        <w:rPr>
          <w:rFonts w:asciiTheme="majorBidi" w:hAnsiTheme="majorBidi"/>
          <w:sz w:val="20"/>
        </w:rPr>
        <w:t>carbapenemase</w:t>
      </w:r>
      <w:proofErr w:type="spellEnd"/>
      <w:r w:rsidRPr="00F957B9">
        <w:rPr>
          <w:rFonts w:asciiTheme="majorBidi" w:hAnsiTheme="majorBidi"/>
          <w:sz w:val="20"/>
        </w:rPr>
        <w:t xml:space="preserve">-producing </w:t>
      </w:r>
      <w:proofErr w:type="spellStart"/>
      <w:r w:rsidR="00FE2007" w:rsidRPr="00FE2007">
        <w:rPr>
          <w:rFonts w:asciiTheme="majorBidi" w:hAnsiTheme="majorBidi"/>
          <w:i/>
          <w:iCs/>
          <w:sz w:val="20"/>
        </w:rPr>
        <w:t>Enterobacterales</w:t>
      </w:r>
      <w:proofErr w:type="spellEnd"/>
      <w:r w:rsidRPr="00F957B9">
        <w:rPr>
          <w:rFonts w:asciiTheme="majorBidi" w:hAnsiTheme="majorBidi"/>
          <w:sz w:val="20"/>
        </w:rPr>
        <w:t xml:space="preserve">; </w:t>
      </w:r>
      <w:r w:rsidR="008954C7">
        <w:rPr>
          <w:rFonts w:asciiTheme="majorBidi" w:hAnsiTheme="majorBidi"/>
          <w:sz w:val="20"/>
        </w:rPr>
        <w:t xml:space="preserve">CS, company submission; </w:t>
      </w:r>
      <w:proofErr w:type="spellStart"/>
      <w:r w:rsidRPr="00F957B9">
        <w:rPr>
          <w:rFonts w:asciiTheme="majorBidi" w:hAnsiTheme="majorBidi"/>
          <w:sz w:val="20"/>
        </w:rPr>
        <w:t>DoH</w:t>
      </w:r>
      <w:proofErr w:type="spellEnd"/>
      <w:r w:rsidRPr="00F957B9">
        <w:rPr>
          <w:rFonts w:asciiTheme="majorBidi" w:hAnsiTheme="majorBidi"/>
          <w:sz w:val="20"/>
        </w:rPr>
        <w:t xml:space="preserve">, department of health; EUCAST, European Committee on Antimicrobial Susceptibility Testing; KP, Klebsiella </w:t>
      </w:r>
      <w:proofErr w:type="spellStart"/>
      <w:r w:rsidRPr="00F957B9">
        <w:rPr>
          <w:rFonts w:asciiTheme="majorBidi" w:hAnsiTheme="majorBidi"/>
          <w:sz w:val="20"/>
        </w:rPr>
        <w:t>pneumonae</w:t>
      </w:r>
      <w:proofErr w:type="spellEnd"/>
      <w:r w:rsidRPr="00F957B9">
        <w:rPr>
          <w:rFonts w:asciiTheme="majorBidi" w:hAnsiTheme="majorBidi"/>
          <w:sz w:val="20"/>
        </w:rPr>
        <w:t xml:space="preserve">; PHE, Public Health England; MBL, </w:t>
      </w:r>
      <w:proofErr w:type="spellStart"/>
      <w:r w:rsidRPr="00F957B9">
        <w:rPr>
          <w:rFonts w:asciiTheme="majorBidi" w:hAnsiTheme="majorBidi"/>
          <w:sz w:val="20"/>
        </w:rPr>
        <w:t>metallo</w:t>
      </w:r>
      <w:proofErr w:type="spellEnd"/>
      <w:r w:rsidRPr="00F957B9">
        <w:rPr>
          <w:rFonts w:asciiTheme="majorBidi" w:hAnsiTheme="majorBidi"/>
          <w:sz w:val="20"/>
        </w:rPr>
        <w:t>-β-lactamase; Mero, meropenem; MNS, meropenem non-susceptible; MSD, Merck Sharp &amp; Dohme; NNSFC, National Natural Science Foundation of China; NR, not reported; PHE, Public Health England; TIG, tigecycline; US FDA, United State Food and Drug Administration; Y, ye</w:t>
      </w:r>
    </w:p>
    <w:p w14:paraId="66C20AE5" w14:textId="76203E1E" w:rsidR="00530B34" w:rsidRPr="00BC238A" w:rsidRDefault="00530B34" w:rsidP="006E4E83">
      <w:pPr>
        <w:keepNext/>
        <w:keepLines/>
        <w:spacing w:before="240" w:after="120" w:line="360" w:lineRule="auto"/>
        <w:outlineLvl w:val="3"/>
        <w:rPr>
          <w:rFonts w:asciiTheme="majorBidi" w:eastAsiaTheme="majorEastAsia" w:hAnsiTheme="majorBidi" w:cs="Times New Roman"/>
          <w:b/>
          <w:sz w:val="26"/>
          <w:szCs w:val="26"/>
        </w:rPr>
      </w:pPr>
      <w:bookmarkStart w:id="144" w:name="_Hlk85194475"/>
      <w:bookmarkStart w:id="145" w:name="_Ref82690326"/>
      <w:r w:rsidRPr="00BC238A">
        <w:rPr>
          <w:rFonts w:asciiTheme="majorBidi" w:eastAsiaTheme="majorEastAsia" w:hAnsiTheme="majorBidi" w:cs="Times New Roman"/>
          <w:b/>
          <w:sz w:val="26"/>
          <w:szCs w:val="26"/>
        </w:rPr>
        <w:lastRenderedPageBreak/>
        <w:t>4.4.</w:t>
      </w:r>
      <w:r w:rsidR="006E4E83">
        <w:rPr>
          <w:rFonts w:asciiTheme="majorBidi" w:eastAsiaTheme="majorEastAsia" w:hAnsiTheme="majorBidi" w:cs="Times New Roman"/>
          <w:b/>
          <w:sz w:val="26"/>
          <w:szCs w:val="26"/>
        </w:rPr>
        <w:t>3</w:t>
      </w:r>
      <w:r w:rsidRPr="00BC238A">
        <w:rPr>
          <w:rFonts w:asciiTheme="majorBidi" w:eastAsiaTheme="majorEastAsia" w:hAnsiTheme="majorBidi" w:cs="Times New Roman"/>
          <w:b/>
          <w:sz w:val="26"/>
          <w:szCs w:val="26"/>
        </w:rPr>
        <w:t>.</w:t>
      </w:r>
      <w:r w:rsidR="007F06E1" w:rsidRPr="00BC238A">
        <w:rPr>
          <w:rFonts w:asciiTheme="majorBidi" w:eastAsiaTheme="majorEastAsia" w:hAnsiTheme="majorBidi" w:cs="Times New Roman"/>
          <w:b/>
          <w:sz w:val="26"/>
          <w:szCs w:val="26"/>
        </w:rPr>
        <w:t>3</w:t>
      </w:r>
      <w:r w:rsidRPr="00BC238A">
        <w:rPr>
          <w:rFonts w:asciiTheme="majorBidi" w:eastAsiaTheme="majorEastAsia" w:hAnsiTheme="majorBidi" w:cs="Times New Roman"/>
          <w:b/>
          <w:sz w:val="26"/>
          <w:szCs w:val="26"/>
        </w:rPr>
        <w:t xml:space="preserve"> Quality assessment of studies entering the meta-analysis</w:t>
      </w:r>
    </w:p>
    <w:bookmarkEnd w:id="144"/>
    <w:p w14:paraId="3D28DC9E" w14:textId="2756160C" w:rsidR="00530B34" w:rsidRPr="00885DFB" w:rsidRDefault="00530B34" w:rsidP="00A83123">
      <w:pPr>
        <w:spacing w:after="120" w:line="360" w:lineRule="auto"/>
        <w:jc w:val="both"/>
        <w:rPr>
          <w:rFonts w:asciiTheme="majorBidi" w:hAnsiTheme="majorBidi" w:cstheme="majorBidi"/>
        </w:rPr>
      </w:pPr>
      <w:r w:rsidRPr="00885DFB">
        <w:rPr>
          <w:rFonts w:asciiTheme="majorBidi" w:hAnsiTheme="majorBidi" w:cstheme="majorBidi"/>
        </w:rPr>
        <w:t xml:space="preserve">The sixteen </w:t>
      </w:r>
      <w:r w:rsidR="00593E66" w:rsidRPr="00885DFB">
        <w:rPr>
          <w:rFonts w:asciiTheme="majorBidi" w:hAnsiTheme="majorBidi" w:cstheme="majorBidi"/>
        </w:rPr>
        <w:t xml:space="preserve">studies </w:t>
      </w:r>
      <w:r w:rsidR="00A83123" w:rsidRPr="00A83123">
        <w:rPr>
          <w:rFonts w:asciiTheme="majorBidi" w:hAnsiTheme="majorBidi" w:cstheme="majorBidi"/>
          <w:noProof/>
          <w:vertAlign w:val="superscript"/>
        </w:rPr>
        <w:t>1,37,44-46,50-53,56,57,60-62,65,66</w:t>
      </w:r>
      <w:r w:rsidRPr="00885DFB">
        <w:rPr>
          <w:rFonts w:asciiTheme="majorBidi" w:hAnsiTheme="majorBidi" w:cstheme="majorBidi"/>
        </w:rPr>
        <w:t xml:space="preserve"> included in the meta-analysis</w:t>
      </w:r>
      <w:r w:rsidR="00D803E5">
        <w:rPr>
          <w:rFonts w:asciiTheme="majorBidi" w:hAnsiTheme="majorBidi" w:cstheme="majorBidi"/>
        </w:rPr>
        <w:t xml:space="preserve"> were</w:t>
      </w:r>
      <w:r w:rsidRPr="00885DFB">
        <w:rPr>
          <w:rFonts w:asciiTheme="majorBidi" w:hAnsiTheme="majorBidi" w:cstheme="majorBidi"/>
        </w:rPr>
        <w:t xml:space="preserve"> assessed for internal and external risk of bias using a bespoke tool developed for this project (see Section 4</w:t>
      </w:r>
      <w:r w:rsidR="008E6F0E">
        <w:rPr>
          <w:rFonts w:asciiTheme="majorBidi" w:hAnsiTheme="majorBidi" w:cstheme="majorBidi"/>
        </w:rPr>
        <w:t>.3.2</w:t>
      </w:r>
      <w:r w:rsidR="00F2111E">
        <w:rPr>
          <w:rFonts w:asciiTheme="majorBidi" w:hAnsiTheme="majorBidi" w:cstheme="majorBidi"/>
        </w:rPr>
        <w:t xml:space="preserve"> and Appendix </w:t>
      </w:r>
      <w:r w:rsidR="00B63E09">
        <w:rPr>
          <w:rFonts w:asciiTheme="majorBidi" w:hAnsiTheme="majorBidi" w:cstheme="majorBidi"/>
        </w:rPr>
        <w:t>4</w:t>
      </w:r>
      <w:r w:rsidR="008E6F0E">
        <w:rPr>
          <w:rFonts w:asciiTheme="majorBidi" w:hAnsiTheme="majorBidi" w:cstheme="majorBidi"/>
        </w:rPr>
        <w:t>.1</w:t>
      </w:r>
      <w:r w:rsidRPr="00885DFB">
        <w:rPr>
          <w:rFonts w:asciiTheme="majorBidi" w:hAnsiTheme="majorBidi" w:cstheme="majorBidi"/>
        </w:rPr>
        <w:t xml:space="preserve">). </w:t>
      </w:r>
      <w:r w:rsidR="00EE4C38">
        <w:rPr>
          <w:rFonts w:asciiTheme="majorBidi" w:hAnsiTheme="majorBidi" w:cstheme="majorBidi"/>
        </w:rPr>
        <w:t xml:space="preserve">A summary of scores in provided in </w:t>
      </w:r>
      <w:r w:rsidR="00EE4C38" w:rsidRPr="00EE4C38">
        <w:rPr>
          <w:rFonts w:asciiTheme="majorBidi" w:hAnsiTheme="majorBidi" w:cstheme="majorBidi"/>
        </w:rPr>
        <w:t>Table 7</w:t>
      </w:r>
      <w:r w:rsidR="00EE4C38">
        <w:rPr>
          <w:rFonts w:asciiTheme="majorBidi" w:hAnsiTheme="majorBidi" w:cstheme="majorBidi"/>
        </w:rPr>
        <w:t xml:space="preserve">. </w:t>
      </w:r>
      <w:r w:rsidRPr="00885DFB">
        <w:rPr>
          <w:rFonts w:asciiTheme="majorBidi" w:hAnsiTheme="majorBidi" w:cstheme="majorBidi"/>
        </w:rPr>
        <w:t xml:space="preserve">Across these studies, no one study scored well for all risk of bias items. </w:t>
      </w:r>
      <w:r w:rsidR="009572B5">
        <w:rPr>
          <w:rFonts w:asciiTheme="majorBidi" w:hAnsiTheme="majorBidi" w:cstheme="majorBidi"/>
        </w:rPr>
        <w:t>There was a high proportion of categories scored “unclear” across the assessment (</w:t>
      </w:r>
      <w:r w:rsidR="00A6415A">
        <w:rPr>
          <w:rFonts w:asciiTheme="majorBidi" w:hAnsiTheme="majorBidi" w:cstheme="majorBidi"/>
        </w:rPr>
        <w:t xml:space="preserve">35/64, 55%), which </w:t>
      </w:r>
      <w:r w:rsidR="00F2111E">
        <w:rPr>
          <w:rFonts w:asciiTheme="majorBidi" w:hAnsiTheme="majorBidi" w:cstheme="majorBidi"/>
        </w:rPr>
        <w:t>may</w:t>
      </w:r>
      <w:r w:rsidR="00A6415A">
        <w:rPr>
          <w:rFonts w:asciiTheme="majorBidi" w:hAnsiTheme="majorBidi" w:cstheme="majorBidi"/>
        </w:rPr>
        <w:t xml:space="preserve"> reflect the current lack of standardisation around bias assessment and reporting for susceptibility studies. </w:t>
      </w:r>
      <w:r w:rsidR="00462305" w:rsidRPr="00885DFB">
        <w:rPr>
          <w:rFonts w:asciiTheme="majorBidi" w:hAnsiTheme="majorBidi" w:cstheme="majorBidi"/>
        </w:rPr>
        <w:t>The study that had the lowest overall risk of bias was Vazquez-</w:t>
      </w:r>
      <w:proofErr w:type="spellStart"/>
      <w:r w:rsidR="00462305" w:rsidRPr="00885DFB">
        <w:rPr>
          <w:rFonts w:asciiTheme="majorBidi" w:hAnsiTheme="majorBidi" w:cstheme="majorBidi"/>
        </w:rPr>
        <w:t>Ucha</w:t>
      </w:r>
      <w:proofErr w:type="spellEnd"/>
      <w:r w:rsidR="00462305" w:rsidRPr="00885DFB">
        <w:rPr>
          <w:rFonts w:asciiTheme="majorBidi" w:hAnsiTheme="majorBidi" w:cstheme="majorBidi"/>
        </w:rPr>
        <w:t xml:space="preserve"> 2021</w:t>
      </w:r>
      <w:r w:rsidR="00593E66" w:rsidRPr="00885DFB">
        <w:rPr>
          <w:rFonts w:asciiTheme="majorBidi" w:hAnsiTheme="majorBidi" w:cstheme="majorBidi"/>
        </w:rPr>
        <w:t xml:space="preserve">, </w:t>
      </w:r>
      <w:r w:rsidR="00A83123" w:rsidRPr="00A83123">
        <w:rPr>
          <w:rFonts w:asciiTheme="majorBidi" w:hAnsiTheme="majorBidi" w:cstheme="majorBidi"/>
          <w:noProof/>
          <w:vertAlign w:val="superscript"/>
        </w:rPr>
        <w:t>1</w:t>
      </w:r>
      <w:r w:rsidR="00462305" w:rsidRPr="00885DFB">
        <w:rPr>
          <w:rFonts w:asciiTheme="majorBidi" w:hAnsiTheme="majorBidi" w:cstheme="majorBidi"/>
        </w:rPr>
        <w:t xml:space="preserve"> which scored low risk for three of the summary items (target population, outcome measurement and missing data) and unclear risk for one (sampling strategy) because it was not clear if the sample was consecutive or representative, and therefore whether it was an unbiased representation of the distribution of susceptibility. </w:t>
      </w:r>
      <w:proofErr w:type="gramStart"/>
      <w:r w:rsidRPr="00885DFB">
        <w:rPr>
          <w:rFonts w:asciiTheme="majorBidi" w:hAnsiTheme="majorBidi" w:cstheme="majorBidi"/>
        </w:rPr>
        <w:t>The majority of</w:t>
      </w:r>
      <w:proofErr w:type="gramEnd"/>
      <w:r w:rsidRPr="00885DFB">
        <w:rPr>
          <w:rFonts w:asciiTheme="majorBidi" w:hAnsiTheme="majorBidi" w:cstheme="majorBidi"/>
        </w:rPr>
        <w:t xml:space="preserve"> studies scored low risk for two categories overall, but there was no consistency as to which two categories scored well</w:t>
      </w:r>
      <w:r w:rsidR="009572B5">
        <w:rPr>
          <w:rFonts w:asciiTheme="majorBidi" w:hAnsiTheme="majorBidi" w:cstheme="majorBidi"/>
        </w:rPr>
        <w:t xml:space="preserve">. Outcome measurement scored high risk most often, with 5 out of 16 studies scoring high risk, </w:t>
      </w:r>
      <w:r w:rsidR="00A6415A">
        <w:rPr>
          <w:rFonts w:asciiTheme="majorBidi" w:hAnsiTheme="majorBidi" w:cstheme="majorBidi"/>
        </w:rPr>
        <w:t xml:space="preserve">largely due to studies using laboratory methods from a different guideline than the breakpoints used. </w:t>
      </w:r>
      <w:r w:rsidR="00462305">
        <w:rPr>
          <w:rFonts w:asciiTheme="majorBidi" w:hAnsiTheme="majorBidi" w:cstheme="majorBidi"/>
        </w:rPr>
        <w:t xml:space="preserve">Missing data scored low risk most often with 13 out of 16 studies scoring low risk, since usually all isolates were tested for all treatments. Target population was unclear in 12 out of 16 studies, due to studies not being clear if they included isolates with co-carriage of MBLs, or how they selected isolates </w:t>
      </w:r>
      <w:r w:rsidR="0097444D">
        <w:rPr>
          <w:rFonts w:asciiTheme="majorBidi" w:hAnsiTheme="majorBidi" w:cstheme="majorBidi"/>
        </w:rPr>
        <w:t>for mechanism testing</w:t>
      </w:r>
      <w:r w:rsidR="00462305">
        <w:rPr>
          <w:rFonts w:asciiTheme="majorBidi" w:hAnsiTheme="majorBidi" w:cstheme="majorBidi"/>
        </w:rPr>
        <w:t xml:space="preserve">. The </w:t>
      </w:r>
      <w:r w:rsidR="0097444D">
        <w:rPr>
          <w:rFonts w:asciiTheme="majorBidi" w:hAnsiTheme="majorBidi" w:cstheme="majorBidi"/>
        </w:rPr>
        <w:t xml:space="preserve">strategy for sampling isolates from the population was unclear in 11 studies. </w:t>
      </w:r>
      <w:r w:rsidR="00462305">
        <w:rPr>
          <w:rFonts w:asciiTheme="majorBidi" w:hAnsiTheme="majorBidi" w:cstheme="majorBidi"/>
        </w:rPr>
        <w:t xml:space="preserve"> </w:t>
      </w:r>
      <w:r w:rsidR="0097444D">
        <w:rPr>
          <w:rFonts w:asciiTheme="majorBidi" w:hAnsiTheme="majorBidi" w:cstheme="majorBidi"/>
        </w:rPr>
        <w:t xml:space="preserve">Reasons for the scores are provided in </w:t>
      </w:r>
      <w:r w:rsidR="00EE4C38" w:rsidRPr="00EE4C38">
        <w:rPr>
          <w:rFonts w:asciiTheme="majorBidi" w:hAnsiTheme="majorBidi" w:cstheme="majorBidi"/>
        </w:rPr>
        <w:t>Table 42</w:t>
      </w:r>
      <w:r w:rsidR="0097444D">
        <w:rPr>
          <w:rFonts w:asciiTheme="majorBidi" w:hAnsiTheme="majorBidi" w:cstheme="majorBidi"/>
        </w:rPr>
        <w:t xml:space="preserve">, Appendix </w:t>
      </w:r>
      <w:r w:rsidR="00B63E09">
        <w:rPr>
          <w:rFonts w:asciiTheme="majorBidi" w:hAnsiTheme="majorBidi" w:cstheme="majorBidi"/>
        </w:rPr>
        <w:t>4.2.</w:t>
      </w:r>
      <w:r w:rsidR="0097444D">
        <w:rPr>
          <w:rFonts w:asciiTheme="majorBidi" w:hAnsiTheme="majorBidi" w:cstheme="majorBidi"/>
        </w:rPr>
        <w:t xml:space="preserve"> </w:t>
      </w:r>
    </w:p>
    <w:p w14:paraId="63A462AD" w14:textId="77777777" w:rsidR="00530B34" w:rsidRPr="00885DFB" w:rsidRDefault="00530B34" w:rsidP="00530B34">
      <w:pPr>
        <w:spacing w:after="0" w:line="240" w:lineRule="auto"/>
        <w:rPr>
          <w:rFonts w:asciiTheme="majorBidi" w:eastAsia="Times New Roman" w:hAnsiTheme="majorBidi" w:cstheme="majorBidi"/>
          <w:b/>
          <w:bCs/>
        </w:rPr>
      </w:pPr>
    </w:p>
    <w:p w14:paraId="346A796A" w14:textId="77777777" w:rsidR="00530B34" w:rsidRPr="00885DFB" w:rsidRDefault="00530B34" w:rsidP="00530B34">
      <w:pPr>
        <w:keepNext/>
        <w:spacing w:before="360" w:after="200" w:line="240" w:lineRule="auto"/>
        <w:rPr>
          <w:rFonts w:ascii="Times New Roman" w:hAnsi="Times New Roman" w:cs="Times New Roman"/>
          <w:b/>
          <w:iCs/>
          <w:sz w:val="20"/>
          <w:szCs w:val="18"/>
        </w:rPr>
        <w:sectPr w:rsidR="00530B34" w:rsidRPr="00885DFB" w:rsidSect="00885DFB">
          <w:pgSz w:w="11906" w:h="16838"/>
          <w:pgMar w:top="1440" w:right="1440" w:bottom="1440" w:left="1440" w:header="709" w:footer="709" w:gutter="0"/>
          <w:cols w:space="708"/>
          <w:docGrid w:linePitch="360"/>
        </w:sectPr>
      </w:pPr>
    </w:p>
    <w:p w14:paraId="73C0A6EE" w14:textId="084530BC" w:rsidR="00530B34" w:rsidRPr="00885DFB" w:rsidRDefault="00530B34" w:rsidP="00530B34">
      <w:pPr>
        <w:keepNext/>
        <w:spacing w:before="360" w:after="200" w:line="240" w:lineRule="auto"/>
        <w:rPr>
          <w:rFonts w:ascii="Times New Roman" w:hAnsi="Times New Roman" w:cs="Times New Roman"/>
          <w:b/>
          <w:iCs/>
          <w:sz w:val="20"/>
          <w:szCs w:val="18"/>
        </w:rPr>
      </w:pPr>
      <w:bookmarkStart w:id="146" w:name="_Ref85642355"/>
      <w:bookmarkStart w:id="147" w:name="_Toc83300853"/>
      <w:bookmarkStart w:id="148" w:name="_Toc83821909"/>
      <w:bookmarkStart w:id="149" w:name="_Toc86418984"/>
      <w:r w:rsidRPr="00885DFB">
        <w:rPr>
          <w:rFonts w:ascii="Times New Roman" w:hAnsi="Times New Roman" w:cs="Times New Roman"/>
          <w:b/>
          <w:iCs/>
          <w:sz w:val="20"/>
          <w:szCs w:val="18"/>
        </w:rPr>
        <w:lastRenderedPageBreak/>
        <w:t xml:space="preserve">Table </w:t>
      </w:r>
      <w:r w:rsidR="00F10F0A">
        <w:rPr>
          <w:rFonts w:ascii="Times New Roman" w:hAnsi="Times New Roman" w:cs="Times New Roman"/>
          <w:b/>
          <w:iCs/>
          <w:noProof/>
          <w:sz w:val="20"/>
          <w:szCs w:val="18"/>
        </w:rPr>
        <w:t>7</w:t>
      </w:r>
      <w:bookmarkEnd w:id="146"/>
      <w:r w:rsidRPr="00885DFB">
        <w:rPr>
          <w:rFonts w:ascii="Times New Roman" w:hAnsi="Times New Roman" w:cs="Times New Roman"/>
          <w:b/>
          <w:iCs/>
          <w:sz w:val="20"/>
          <w:szCs w:val="18"/>
        </w:rPr>
        <w:tab/>
        <w:t>Reviewer judgement of risk of bias in studies included in the meta-analysis, or reporting outbreaks, according to a bespoke tool</w:t>
      </w:r>
      <w:bookmarkEnd w:id="147"/>
      <w:bookmarkEnd w:id="148"/>
      <w:bookmarkEnd w:id="149"/>
      <w:r w:rsidRPr="00885DFB">
        <w:rPr>
          <w:rFonts w:ascii="Times New Roman" w:hAnsi="Times New Roman" w:cs="Times New Roman"/>
          <w:b/>
          <w:iCs/>
          <w:sz w:val="20"/>
          <w:szCs w:val="18"/>
        </w:rPr>
        <w:t xml:space="preserve"> </w:t>
      </w:r>
    </w:p>
    <w:tbl>
      <w:tblPr>
        <w:tblW w:w="13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4"/>
        <w:gridCol w:w="841"/>
        <w:gridCol w:w="842"/>
        <w:gridCol w:w="842"/>
        <w:gridCol w:w="842"/>
        <w:gridCol w:w="842"/>
        <w:gridCol w:w="842"/>
        <w:gridCol w:w="808"/>
        <w:gridCol w:w="875"/>
        <w:gridCol w:w="833"/>
        <w:gridCol w:w="9"/>
        <w:gridCol w:w="842"/>
        <w:gridCol w:w="842"/>
        <w:gridCol w:w="842"/>
        <w:gridCol w:w="838"/>
        <w:gridCol w:w="846"/>
        <w:gridCol w:w="842"/>
      </w:tblGrid>
      <w:tr w:rsidR="00530B34" w:rsidRPr="00BC238A" w14:paraId="4B562BD6" w14:textId="77777777" w:rsidTr="00360CFE">
        <w:trPr>
          <w:trHeight w:val="315"/>
        </w:trPr>
        <w:tc>
          <w:tcPr>
            <w:tcW w:w="1314" w:type="dxa"/>
            <w:shd w:val="clear" w:color="auto" w:fill="auto"/>
            <w:tcMar>
              <w:top w:w="30" w:type="dxa"/>
              <w:left w:w="45" w:type="dxa"/>
              <w:bottom w:w="30" w:type="dxa"/>
              <w:right w:w="45" w:type="dxa"/>
            </w:tcMar>
            <w:hideMark/>
          </w:tcPr>
          <w:p w14:paraId="40D0E6FB" w14:textId="77777777" w:rsidR="00530B34" w:rsidRPr="00BC238A" w:rsidRDefault="00530B34" w:rsidP="004D764A">
            <w:pPr>
              <w:spacing w:after="0" w:line="240" w:lineRule="auto"/>
              <w:rPr>
                <w:rFonts w:asciiTheme="majorBidi" w:hAnsiTheme="majorBidi" w:cstheme="majorBidi"/>
                <w:b/>
              </w:rPr>
            </w:pPr>
            <w:r w:rsidRPr="00BC238A">
              <w:rPr>
                <w:rFonts w:asciiTheme="majorBidi" w:hAnsiTheme="majorBidi" w:cstheme="majorBidi"/>
                <w:b/>
              </w:rPr>
              <w:t>Study ID</w:t>
            </w:r>
          </w:p>
        </w:tc>
        <w:tc>
          <w:tcPr>
            <w:tcW w:w="5859" w:type="dxa"/>
            <w:gridSpan w:val="7"/>
            <w:shd w:val="clear" w:color="auto" w:fill="auto"/>
            <w:tcMar>
              <w:top w:w="30" w:type="dxa"/>
              <w:left w:w="45" w:type="dxa"/>
              <w:bottom w:w="30" w:type="dxa"/>
              <w:right w:w="45" w:type="dxa"/>
            </w:tcMar>
            <w:hideMark/>
          </w:tcPr>
          <w:p w14:paraId="293A0207" w14:textId="77777777" w:rsidR="00530B34" w:rsidRPr="00BC238A" w:rsidRDefault="00530B34" w:rsidP="004D764A">
            <w:pPr>
              <w:spacing w:after="0" w:line="240" w:lineRule="auto"/>
              <w:rPr>
                <w:rFonts w:asciiTheme="majorBidi" w:hAnsiTheme="majorBidi" w:cstheme="majorBidi"/>
                <w:b/>
              </w:rPr>
            </w:pPr>
            <w:r w:rsidRPr="00BC238A">
              <w:rPr>
                <w:rFonts w:asciiTheme="majorBidi" w:hAnsiTheme="majorBidi" w:cstheme="majorBidi"/>
                <w:b/>
              </w:rPr>
              <w:t>1. Target population</w:t>
            </w:r>
          </w:p>
        </w:tc>
        <w:tc>
          <w:tcPr>
            <w:tcW w:w="1708" w:type="dxa"/>
            <w:gridSpan w:val="2"/>
            <w:shd w:val="clear" w:color="auto" w:fill="auto"/>
            <w:tcMar>
              <w:top w:w="30" w:type="dxa"/>
              <w:left w:w="45" w:type="dxa"/>
              <w:bottom w:w="30" w:type="dxa"/>
              <w:right w:w="45" w:type="dxa"/>
            </w:tcMar>
            <w:hideMark/>
          </w:tcPr>
          <w:p w14:paraId="316C8E07" w14:textId="77777777" w:rsidR="00530B34" w:rsidRPr="00BC238A" w:rsidRDefault="00530B34" w:rsidP="004D764A">
            <w:pPr>
              <w:spacing w:after="0" w:line="240" w:lineRule="auto"/>
              <w:rPr>
                <w:rFonts w:asciiTheme="majorBidi" w:hAnsiTheme="majorBidi" w:cstheme="majorBidi"/>
                <w:b/>
              </w:rPr>
            </w:pPr>
            <w:r w:rsidRPr="00BC238A">
              <w:rPr>
                <w:rFonts w:asciiTheme="majorBidi" w:hAnsiTheme="majorBidi" w:cstheme="majorBidi"/>
                <w:b/>
              </w:rPr>
              <w:t xml:space="preserve">2. Sampling strategy: </w:t>
            </w:r>
          </w:p>
        </w:tc>
        <w:tc>
          <w:tcPr>
            <w:tcW w:w="3373" w:type="dxa"/>
            <w:gridSpan w:val="5"/>
            <w:shd w:val="clear" w:color="auto" w:fill="auto"/>
            <w:tcMar>
              <w:top w:w="30" w:type="dxa"/>
              <w:left w:w="45" w:type="dxa"/>
              <w:bottom w:w="30" w:type="dxa"/>
              <w:right w:w="45" w:type="dxa"/>
            </w:tcMar>
            <w:hideMark/>
          </w:tcPr>
          <w:p w14:paraId="2C9160F6" w14:textId="77777777" w:rsidR="00530B34" w:rsidRPr="00BC238A" w:rsidRDefault="00530B34" w:rsidP="004D764A">
            <w:pPr>
              <w:spacing w:after="0" w:line="240" w:lineRule="auto"/>
              <w:rPr>
                <w:rFonts w:asciiTheme="majorBidi" w:hAnsiTheme="majorBidi" w:cstheme="majorBidi"/>
                <w:b/>
              </w:rPr>
            </w:pPr>
            <w:r w:rsidRPr="00BC238A">
              <w:rPr>
                <w:rFonts w:asciiTheme="majorBidi" w:hAnsiTheme="majorBidi" w:cstheme="majorBidi"/>
                <w:b/>
              </w:rPr>
              <w:t>3. Outcome measurement</w:t>
            </w:r>
          </w:p>
        </w:tc>
        <w:tc>
          <w:tcPr>
            <w:tcW w:w="1688" w:type="dxa"/>
            <w:gridSpan w:val="2"/>
            <w:shd w:val="clear" w:color="auto" w:fill="auto"/>
            <w:tcMar>
              <w:top w:w="30" w:type="dxa"/>
              <w:left w:w="45" w:type="dxa"/>
              <w:bottom w:w="30" w:type="dxa"/>
              <w:right w:w="45" w:type="dxa"/>
            </w:tcMar>
            <w:hideMark/>
          </w:tcPr>
          <w:p w14:paraId="60417C9B" w14:textId="77777777" w:rsidR="00530B34" w:rsidRPr="00BC238A" w:rsidRDefault="00530B34" w:rsidP="004D764A">
            <w:pPr>
              <w:spacing w:after="0" w:line="240" w:lineRule="auto"/>
              <w:rPr>
                <w:rFonts w:asciiTheme="majorBidi" w:hAnsiTheme="majorBidi" w:cstheme="majorBidi"/>
                <w:b/>
              </w:rPr>
            </w:pPr>
            <w:r w:rsidRPr="00BC238A">
              <w:rPr>
                <w:rFonts w:asciiTheme="majorBidi" w:hAnsiTheme="majorBidi" w:cstheme="majorBidi"/>
                <w:b/>
              </w:rPr>
              <w:t>4. Missing data</w:t>
            </w:r>
          </w:p>
        </w:tc>
      </w:tr>
      <w:tr w:rsidR="00530B34" w:rsidRPr="00BC238A" w14:paraId="7DBE2433" w14:textId="77777777" w:rsidTr="00360CFE">
        <w:trPr>
          <w:trHeight w:val="315"/>
        </w:trPr>
        <w:tc>
          <w:tcPr>
            <w:tcW w:w="1314" w:type="dxa"/>
            <w:shd w:val="clear" w:color="auto" w:fill="auto"/>
            <w:tcMar>
              <w:top w:w="30" w:type="dxa"/>
              <w:left w:w="45" w:type="dxa"/>
              <w:bottom w:w="30" w:type="dxa"/>
              <w:right w:w="45" w:type="dxa"/>
            </w:tcMar>
            <w:hideMark/>
          </w:tcPr>
          <w:p w14:paraId="43DC8F4D" w14:textId="77777777" w:rsidR="00530B34" w:rsidRPr="00BC238A" w:rsidRDefault="00530B34" w:rsidP="004D764A">
            <w:pPr>
              <w:spacing w:after="0" w:line="240" w:lineRule="auto"/>
              <w:rPr>
                <w:rFonts w:asciiTheme="majorBidi" w:hAnsiTheme="majorBidi" w:cstheme="majorBidi"/>
                <w:b/>
              </w:rPr>
            </w:pPr>
          </w:p>
        </w:tc>
        <w:tc>
          <w:tcPr>
            <w:tcW w:w="5859" w:type="dxa"/>
            <w:gridSpan w:val="7"/>
            <w:shd w:val="clear" w:color="auto" w:fill="auto"/>
            <w:tcMar>
              <w:top w:w="30" w:type="dxa"/>
              <w:left w:w="45" w:type="dxa"/>
              <w:bottom w:w="30" w:type="dxa"/>
              <w:right w:w="45" w:type="dxa"/>
            </w:tcMar>
            <w:hideMark/>
          </w:tcPr>
          <w:p w14:paraId="7F725FA6" w14:textId="77777777" w:rsidR="00530B34" w:rsidRPr="00BC238A" w:rsidRDefault="00530B34" w:rsidP="004D764A">
            <w:pPr>
              <w:spacing w:after="0" w:line="240" w:lineRule="auto"/>
              <w:rPr>
                <w:rFonts w:asciiTheme="majorBidi" w:hAnsiTheme="majorBidi" w:cstheme="majorBidi"/>
                <w:b/>
              </w:rPr>
            </w:pPr>
          </w:p>
        </w:tc>
        <w:tc>
          <w:tcPr>
            <w:tcW w:w="1708" w:type="dxa"/>
            <w:gridSpan w:val="2"/>
            <w:shd w:val="clear" w:color="auto" w:fill="auto"/>
            <w:tcMar>
              <w:top w:w="30" w:type="dxa"/>
              <w:left w:w="45" w:type="dxa"/>
              <w:bottom w:w="30" w:type="dxa"/>
              <w:right w:w="45" w:type="dxa"/>
            </w:tcMar>
            <w:hideMark/>
          </w:tcPr>
          <w:p w14:paraId="61CC6BF9" w14:textId="77777777" w:rsidR="00530B34" w:rsidRPr="00BC238A" w:rsidRDefault="00530B34" w:rsidP="004D764A">
            <w:pPr>
              <w:spacing w:after="0" w:line="240" w:lineRule="auto"/>
              <w:rPr>
                <w:rFonts w:asciiTheme="majorBidi" w:hAnsiTheme="majorBidi" w:cstheme="majorBidi"/>
                <w:b/>
              </w:rPr>
            </w:pPr>
          </w:p>
        </w:tc>
        <w:tc>
          <w:tcPr>
            <w:tcW w:w="3373" w:type="dxa"/>
            <w:gridSpan w:val="5"/>
            <w:shd w:val="clear" w:color="auto" w:fill="auto"/>
            <w:tcMar>
              <w:top w:w="30" w:type="dxa"/>
              <w:left w:w="45" w:type="dxa"/>
              <w:bottom w:w="30" w:type="dxa"/>
              <w:right w:w="45" w:type="dxa"/>
            </w:tcMar>
            <w:hideMark/>
          </w:tcPr>
          <w:p w14:paraId="7A571548" w14:textId="77777777" w:rsidR="00530B34" w:rsidRPr="00BC238A" w:rsidRDefault="00530B34" w:rsidP="004D764A">
            <w:pPr>
              <w:spacing w:after="0" w:line="240" w:lineRule="auto"/>
              <w:rPr>
                <w:rFonts w:asciiTheme="majorBidi" w:hAnsiTheme="majorBidi" w:cstheme="majorBidi"/>
                <w:b/>
              </w:rPr>
            </w:pPr>
          </w:p>
        </w:tc>
        <w:tc>
          <w:tcPr>
            <w:tcW w:w="1688" w:type="dxa"/>
            <w:gridSpan w:val="2"/>
            <w:shd w:val="clear" w:color="auto" w:fill="auto"/>
            <w:tcMar>
              <w:top w:w="30" w:type="dxa"/>
              <w:left w:w="45" w:type="dxa"/>
              <w:bottom w:w="30" w:type="dxa"/>
              <w:right w:w="45" w:type="dxa"/>
            </w:tcMar>
            <w:hideMark/>
          </w:tcPr>
          <w:p w14:paraId="79D86596" w14:textId="77777777" w:rsidR="00530B34" w:rsidRPr="00BC238A" w:rsidRDefault="00530B34" w:rsidP="004D764A">
            <w:pPr>
              <w:spacing w:after="0" w:line="240" w:lineRule="auto"/>
              <w:rPr>
                <w:rFonts w:asciiTheme="majorBidi" w:hAnsiTheme="majorBidi" w:cstheme="majorBidi"/>
                <w:b/>
              </w:rPr>
            </w:pPr>
          </w:p>
        </w:tc>
      </w:tr>
      <w:tr w:rsidR="00530B34" w:rsidRPr="00BC238A" w14:paraId="57AC56CE" w14:textId="77777777" w:rsidTr="00360CFE">
        <w:trPr>
          <w:cantSplit/>
          <w:trHeight w:val="1815"/>
        </w:trPr>
        <w:tc>
          <w:tcPr>
            <w:tcW w:w="1314" w:type="dxa"/>
            <w:shd w:val="clear" w:color="auto" w:fill="auto"/>
            <w:tcMar>
              <w:top w:w="30" w:type="dxa"/>
              <w:left w:w="45" w:type="dxa"/>
              <w:bottom w:w="30" w:type="dxa"/>
              <w:right w:w="45" w:type="dxa"/>
            </w:tcMar>
            <w:hideMark/>
          </w:tcPr>
          <w:p w14:paraId="027FAA59" w14:textId="77777777" w:rsidR="00530B34" w:rsidRPr="00BC238A" w:rsidRDefault="00530B34" w:rsidP="004D764A">
            <w:pPr>
              <w:spacing w:after="0" w:line="240" w:lineRule="auto"/>
              <w:rPr>
                <w:rFonts w:asciiTheme="majorBidi" w:hAnsiTheme="majorBidi" w:cstheme="majorBidi"/>
                <w:b/>
              </w:rPr>
            </w:pPr>
          </w:p>
        </w:tc>
        <w:tc>
          <w:tcPr>
            <w:tcW w:w="841" w:type="dxa"/>
            <w:shd w:val="clear" w:color="auto" w:fill="auto"/>
            <w:tcMar>
              <w:top w:w="30" w:type="dxa"/>
              <w:left w:w="45" w:type="dxa"/>
              <w:bottom w:w="30" w:type="dxa"/>
              <w:right w:w="45" w:type="dxa"/>
            </w:tcMar>
            <w:hideMark/>
          </w:tcPr>
          <w:p w14:paraId="76B6C88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 xml:space="preserve">Is the target population of the study broadly appropriate to the HVCS? </w:t>
            </w:r>
          </w:p>
        </w:tc>
        <w:tc>
          <w:tcPr>
            <w:tcW w:w="842" w:type="dxa"/>
            <w:shd w:val="clear" w:color="auto" w:fill="auto"/>
            <w:tcMar>
              <w:top w:w="30" w:type="dxa"/>
              <w:left w:w="45" w:type="dxa"/>
              <w:bottom w:w="30" w:type="dxa"/>
              <w:right w:w="45" w:type="dxa"/>
            </w:tcMar>
            <w:hideMark/>
          </w:tcPr>
          <w:p w14:paraId="5D371B90"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Were isolates selected based on resistance to comparators?</w:t>
            </w:r>
          </w:p>
        </w:tc>
        <w:tc>
          <w:tcPr>
            <w:tcW w:w="842" w:type="dxa"/>
            <w:shd w:val="clear" w:color="auto" w:fill="auto"/>
            <w:tcMar>
              <w:top w:w="30" w:type="dxa"/>
              <w:left w:w="45" w:type="dxa"/>
              <w:bottom w:w="30" w:type="dxa"/>
              <w:right w:w="45" w:type="dxa"/>
            </w:tcMar>
            <w:hideMark/>
          </w:tcPr>
          <w:p w14:paraId="2629494B"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Was there appropriate inclusion or exclusion of isolates with co-carriage of other significant mechanisms, as per HVCS?</w:t>
            </w:r>
          </w:p>
        </w:tc>
        <w:tc>
          <w:tcPr>
            <w:tcW w:w="842" w:type="dxa"/>
            <w:shd w:val="clear" w:color="auto" w:fill="auto"/>
            <w:tcMar>
              <w:top w:w="30" w:type="dxa"/>
              <w:left w:w="45" w:type="dxa"/>
              <w:bottom w:w="30" w:type="dxa"/>
              <w:right w:w="45" w:type="dxa"/>
            </w:tcMar>
            <w:hideMark/>
          </w:tcPr>
          <w:p w14:paraId="18ED7DE4"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Were all isolates tested for the pathogen-mechanism of interest in a standard way, and does this match the HVCS?</w:t>
            </w:r>
          </w:p>
        </w:tc>
        <w:tc>
          <w:tcPr>
            <w:tcW w:w="842" w:type="dxa"/>
            <w:shd w:val="clear" w:color="auto" w:fill="auto"/>
            <w:tcMar>
              <w:top w:w="30" w:type="dxa"/>
              <w:left w:w="45" w:type="dxa"/>
              <w:bottom w:w="30" w:type="dxa"/>
              <w:right w:w="45" w:type="dxa"/>
            </w:tcMar>
            <w:hideMark/>
          </w:tcPr>
          <w:p w14:paraId="6A035DC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Was the beta-lactamase test appropriate?</w:t>
            </w:r>
          </w:p>
        </w:tc>
        <w:tc>
          <w:tcPr>
            <w:tcW w:w="842" w:type="dxa"/>
            <w:shd w:val="clear" w:color="auto" w:fill="auto"/>
            <w:tcMar>
              <w:top w:w="30" w:type="dxa"/>
              <w:left w:w="45" w:type="dxa"/>
              <w:bottom w:w="30" w:type="dxa"/>
              <w:right w:w="45" w:type="dxa"/>
            </w:tcMar>
            <w:hideMark/>
          </w:tcPr>
          <w:p w14:paraId="1E31A63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 xml:space="preserve">Were data collected over an appropriate </w:t>
            </w:r>
            <w:proofErr w:type="gramStart"/>
            <w:r w:rsidRPr="00BC238A">
              <w:rPr>
                <w:rFonts w:asciiTheme="majorBidi" w:hAnsiTheme="majorBidi" w:cstheme="majorBidi"/>
              </w:rPr>
              <w:t>time period</w:t>
            </w:r>
            <w:proofErr w:type="gramEnd"/>
            <w:r w:rsidRPr="00BC238A">
              <w:rPr>
                <w:rFonts w:asciiTheme="majorBidi" w:hAnsiTheme="majorBidi" w:cstheme="majorBidi"/>
              </w:rPr>
              <w:t xml:space="preserve">? </w:t>
            </w:r>
          </w:p>
        </w:tc>
        <w:tc>
          <w:tcPr>
            <w:tcW w:w="808" w:type="dxa"/>
            <w:shd w:val="clear" w:color="auto" w:fill="D9D9D9" w:themeFill="background1" w:themeFillShade="D9"/>
            <w:tcMar>
              <w:top w:w="30" w:type="dxa"/>
              <w:left w:w="45" w:type="dxa"/>
              <w:bottom w:w="30" w:type="dxa"/>
              <w:right w:w="45" w:type="dxa"/>
            </w:tcMar>
            <w:textDirection w:val="btLr"/>
            <w:hideMark/>
          </w:tcPr>
          <w:p w14:paraId="71C23650" w14:textId="77777777" w:rsidR="00530B34" w:rsidRPr="00BC238A" w:rsidRDefault="00530B34" w:rsidP="004D764A">
            <w:pPr>
              <w:spacing w:after="240" w:line="240" w:lineRule="auto"/>
              <w:ind w:left="113" w:right="113"/>
              <w:rPr>
                <w:rFonts w:asciiTheme="majorBidi" w:hAnsiTheme="majorBidi" w:cstheme="majorBidi"/>
              </w:rPr>
            </w:pPr>
            <w:r w:rsidRPr="00BC238A">
              <w:rPr>
                <w:rFonts w:asciiTheme="majorBidi" w:hAnsiTheme="majorBidi" w:cstheme="majorBidi"/>
                <w:b/>
              </w:rPr>
              <w:t>Overall judgment</w:t>
            </w:r>
          </w:p>
        </w:tc>
        <w:tc>
          <w:tcPr>
            <w:tcW w:w="875" w:type="dxa"/>
            <w:shd w:val="clear" w:color="auto" w:fill="auto"/>
            <w:tcMar>
              <w:top w:w="30" w:type="dxa"/>
              <w:left w:w="45" w:type="dxa"/>
              <w:bottom w:w="30" w:type="dxa"/>
              <w:right w:w="45" w:type="dxa"/>
            </w:tcMar>
            <w:hideMark/>
          </w:tcPr>
          <w:p w14:paraId="42AA8CF4"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Were isolates sampled from the target population in an appropriate way?</w:t>
            </w:r>
          </w:p>
        </w:tc>
        <w:tc>
          <w:tcPr>
            <w:tcW w:w="842" w:type="dxa"/>
            <w:gridSpan w:val="2"/>
            <w:shd w:val="clear" w:color="auto" w:fill="D9D9D9" w:themeFill="background1" w:themeFillShade="D9"/>
            <w:tcMar>
              <w:top w:w="30" w:type="dxa"/>
              <w:left w:w="45" w:type="dxa"/>
              <w:bottom w:w="30" w:type="dxa"/>
              <w:right w:w="45" w:type="dxa"/>
            </w:tcMar>
            <w:textDirection w:val="btLr"/>
            <w:hideMark/>
          </w:tcPr>
          <w:p w14:paraId="23EE4A14" w14:textId="77777777" w:rsidR="00530B34" w:rsidRPr="00BC238A" w:rsidRDefault="00530B34" w:rsidP="004D764A">
            <w:pPr>
              <w:spacing w:after="0" w:line="240" w:lineRule="auto"/>
              <w:ind w:left="113" w:right="113"/>
              <w:rPr>
                <w:rFonts w:asciiTheme="majorBidi" w:hAnsiTheme="majorBidi" w:cstheme="majorBidi"/>
              </w:rPr>
            </w:pPr>
            <w:r w:rsidRPr="00BC238A">
              <w:rPr>
                <w:rFonts w:asciiTheme="majorBidi" w:hAnsiTheme="majorBidi" w:cstheme="majorBidi"/>
                <w:b/>
              </w:rPr>
              <w:t>Overall judgment</w:t>
            </w:r>
          </w:p>
        </w:tc>
        <w:tc>
          <w:tcPr>
            <w:tcW w:w="842" w:type="dxa"/>
            <w:shd w:val="clear" w:color="auto" w:fill="auto"/>
            <w:tcMar>
              <w:top w:w="30" w:type="dxa"/>
              <w:left w:w="45" w:type="dxa"/>
              <w:bottom w:w="30" w:type="dxa"/>
              <w:right w:w="45" w:type="dxa"/>
            </w:tcMar>
            <w:hideMark/>
          </w:tcPr>
          <w:p w14:paraId="079CA82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 xml:space="preserve">Was susceptibility measured in an appropriate, standard way? </w:t>
            </w:r>
          </w:p>
        </w:tc>
        <w:tc>
          <w:tcPr>
            <w:tcW w:w="842" w:type="dxa"/>
            <w:shd w:val="clear" w:color="auto" w:fill="auto"/>
            <w:tcMar>
              <w:top w:w="30" w:type="dxa"/>
              <w:left w:w="45" w:type="dxa"/>
              <w:bottom w:w="30" w:type="dxa"/>
              <w:right w:w="45" w:type="dxa"/>
            </w:tcMar>
            <w:hideMark/>
          </w:tcPr>
          <w:p w14:paraId="1FEB8D34"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 xml:space="preserve">Does the study demonstrate selective analysis reporting, with respect to S, I and R? </w:t>
            </w:r>
          </w:p>
        </w:tc>
        <w:tc>
          <w:tcPr>
            <w:tcW w:w="842" w:type="dxa"/>
            <w:shd w:val="clear" w:color="auto" w:fill="auto"/>
            <w:tcMar>
              <w:top w:w="30" w:type="dxa"/>
              <w:left w:w="45" w:type="dxa"/>
              <w:bottom w:w="30" w:type="dxa"/>
              <w:right w:w="45" w:type="dxa"/>
            </w:tcMar>
            <w:hideMark/>
          </w:tcPr>
          <w:p w14:paraId="2A94BDBD"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 xml:space="preserve">Were S, I and R reported consistently for all treatments? </w:t>
            </w:r>
          </w:p>
        </w:tc>
        <w:tc>
          <w:tcPr>
            <w:tcW w:w="838" w:type="dxa"/>
            <w:shd w:val="clear" w:color="auto" w:fill="D9D9D9" w:themeFill="background1" w:themeFillShade="D9"/>
            <w:tcMar>
              <w:top w:w="30" w:type="dxa"/>
              <w:left w:w="45" w:type="dxa"/>
              <w:bottom w:w="30" w:type="dxa"/>
              <w:right w:w="45" w:type="dxa"/>
            </w:tcMar>
            <w:textDirection w:val="btLr"/>
            <w:hideMark/>
          </w:tcPr>
          <w:p w14:paraId="273FB7D4" w14:textId="77777777" w:rsidR="00530B34" w:rsidRPr="00BC238A" w:rsidRDefault="00530B34" w:rsidP="004D764A">
            <w:pPr>
              <w:spacing w:after="0" w:line="240" w:lineRule="auto"/>
              <w:ind w:left="113" w:right="113"/>
              <w:rPr>
                <w:rFonts w:asciiTheme="majorBidi" w:hAnsiTheme="majorBidi" w:cstheme="majorBidi"/>
              </w:rPr>
            </w:pPr>
            <w:r w:rsidRPr="00BC238A">
              <w:rPr>
                <w:rFonts w:asciiTheme="majorBidi" w:hAnsiTheme="majorBidi" w:cstheme="majorBidi"/>
                <w:b/>
              </w:rPr>
              <w:t>Overall judgment</w:t>
            </w:r>
          </w:p>
        </w:tc>
        <w:tc>
          <w:tcPr>
            <w:tcW w:w="846" w:type="dxa"/>
            <w:shd w:val="clear" w:color="auto" w:fill="auto"/>
            <w:tcMar>
              <w:top w:w="30" w:type="dxa"/>
              <w:left w:w="45" w:type="dxa"/>
              <w:bottom w:w="30" w:type="dxa"/>
              <w:right w:w="45" w:type="dxa"/>
            </w:tcMar>
            <w:hideMark/>
          </w:tcPr>
          <w:p w14:paraId="527C1462" w14:textId="77777777" w:rsidR="00530B34" w:rsidRPr="00BC238A" w:rsidRDefault="00530B34" w:rsidP="004D764A">
            <w:pPr>
              <w:spacing w:after="240" w:line="240" w:lineRule="auto"/>
              <w:rPr>
                <w:rFonts w:asciiTheme="majorBidi" w:hAnsiTheme="majorBidi" w:cstheme="majorBidi"/>
              </w:rPr>
            </w:pPr>
            <w:r w:rsidRPr="00BC238A">
              <w:rPr>
                <w:rFonts w:asciiTheme="majorBidi" w:hAnsiTheme="majorBidi" w:cstheme="majorBidi"/>
              </w:rPr>
              <w:t>Is there a risk of bias from missing data?</w:t>
            </w:r>
          </w:p>
        </w:tc>
        <w:tc>
          <w:tcPr>
            <w:tcW w:w="842" w:type="dxa"/>
            <w:shd w:val="clear" w:color="auto" w:fill="D9D9D9" w:themeFill="background1" w:themeFillShade="D9"/>
            <w:tcMar>
              <w:top w:w="30" w:type="dxa"/>
              <w:left w:w="45" w:type="dxa"/>
              <w:bottom w:w="30" w:type="dxa"/>
              <w:right w:w="45" w:type="dxa"/>
            </w:tcMar>
            <w:textDirection w:val="btLr"/>
            <w:hideMark/>
          </w:tcPr>
          <w:p w14:paraId="7D26E1AB" w14:textId="77777777" w:rsidR="00530B34" w:rsidRPr="00BC238A" w:rsidRDefault="00530B34" w:rsidP="004D764A">
            <w:pPr>
              <w:spacing w:after="0" w:line="240" w:lineRule="auto"/>
              <w:ind w:left="113" w:right="113"/>
              <w:rPr>
                <w:rFonts w:asciiTheme="majorBidi" w:hAnsiTheme="majorBidi" w:cstheme="majorBidi"/>
              </w:rPr>
            </w:pPr>
            <w:r w:rsidRPr="00BC238A">
              <w:rPr>
                <w:rFonts w:asciiTheme="majorBidi" w:hAnsiTheme="majorBidi" w:cstheme="majorBidi"/>
                <w:b/>
              </w:rPr>
              <w:t>Overall judgment</w:t>
            </w:r>
          </w:p>
        </w:tc>
      </w:tr>
      <w:tr w:rsidR="00530B34" w:rsidRPr="00BC238A" w14:paraId="330F1D8E" w14:textId="77777777" w:rsidTr="00360CFE">
        <w:trPr>
          <w:trHeight w:val="315"/>
        </w:trPr>
        <w:tc>
          <w:tcPr>
            <w:tcW w:w="13942" w:type="dxa"/>
            <w:gridSpan w:val="17"/>
            <w:shd w:val="clear" w:color="auto" w:fill="D9D9D9" w:themeFill="background1" w:themeFillShade="D9"/>
            <w:tcMar>
              <w:top w:w="30" w:type="dxa"/>
              <w:left w:w="45" w:type="dxa"/>
              <w:bottom w:w="30" w:type="dxa"/>
              <w:right w:w="45" w:type="dxa"/>
            </w:tcMar>
            <w:hideMark/>
          </w:tcPr>
          <w:p w14:paraId="098AF61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b/>
              </w:rPr>
              <w:t>UK studies</w:t>
            </w:r>
          </w:p>
        </w:tc>
      </w:tr>
      <w:tr w:rsidR="00530B34" w:rsidRPr="00BC238A" w14:paraId="567E8738" w14:textId="77777777" w:rsidTr="00360CFE">
        <w:trPr>
          <w:trHeight w:val="315"/>
        </w:trPr>
        <w:tc>
          <w:tcPr>
            <w:tcW w:w="1314" w:type="dxa"/>
            <w:tcMar>
              <w:top w:w="30" w:type="dxa"/>
              <w:left w:w="45" w:type="dxa"/>
              <w:bottom w:w="30" w:type="dxa"/>
              <w:right w:w="45" w:type="dxa"/>
            </w:tcMar>
            <w:hideMark/>
          </w:tcPr>
          <w:p w14:paraId="65EDA49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PHE data</w:t>
            </w:r>
          </w:p>
        </w:tc>
        <w:tc>
          <w:tcPr>
            <w:tcW w:w="841" w:type="dxa"/>
            <w:shd w:val="clear" w:color="auto" w:fill="FFFF00"/>
            <w:tcMar>
              <w:top w:w="30" w:type="dxa"/>
              <w:left w:w="45" w:type="dxa"/>
              <w:bottom w:w="30" w:type="dxa"/>
              <w:right w:w="45" w:type="dxa"/>
            </w:tcMar>
          </w:tcPr>
          <w:p w14:paraId="68CFB35B" w14:textId="7A41D24F"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tcPr>
          <w:p w14:paraId="032091FD" w14:textId="4A2E0ADF"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tcPr>
          <w:p w14:paraId="138D47EB" w14:textId="6363F5AF"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tcPr>
          <w:p w14:paraId="2E0CADE8" w14:textId="0CD53144"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tcPr>
          <w:p w14:paraId="37787C37" w14:textId="69CFA663"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tcPr>
          <w:p w14:paraId="24422924" w14:textId="5E2F1601"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tcPr>
          <w:p w14:paraId="193117C8" w14:textId="4F6C0FBC"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FFFF00"/>
            <w:tcMar>
              <w:top w:w="30" w:type="dxa"/>
              <w:left w:w="45" w:type="dxa"/>
              <w:bottom w:w="30" w:type="dxa"/>
              <w:right w:w="45" w:type="dxa"/>
            </w:tcMar>
          </w:tcPr>
          <w:p w14:paraId="0B6A14FF" w14:textId="7FA4844C"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tcPr>
          <w:p w14:paraId="7FB43D18" w14:textId="3A4D7F5E"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tcPr>
          <w:p w14:paraId="4098C658" w14:textId="4A1C0D25"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tcPr>
          <w:p w14:paraId="3FFDE4ED" w14:textId="31310FAC"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tcPr>
          <w:p w14:paraId="0A443277" w14:textId="4232FB0C"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tcPr>
          <w:p w14:paraId="7550B4F3" w14:textId="38D5D2BA" w:rsidR="00530B34" w:rsidRPr="00BC238A" w:rsidRDefault="009572B5"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FFFF00"/>
            <w:tcMar>
              <w:top w:w="30" w:type="dxa"/>
              <w:left w:w="45" w:type="dxa"/>
              <w:bottom w:w="30" w:type="dxa"/>
              <w:right w:w="45" w:type="dxa"/>
            </w:tcMar>
          </w:tcPr>
          <w:p w14:paraId="343AD78C" w14:textId="6DB1BD5C" w:rsidR="00530B34" w:rsidRPr="00BC238A" w:rsidRDefault="00A6415A"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D9D9D9" w:themeFill="background1" w:themeFillShade="D9"/>
            <w:tcMar>
              <w:top w:w="30" w:type="dxa"/>
              <w:left w:w="45" w:type="dxa"/>
              <w:bottom w:w="30" w:type="dxa"/>
              <w:right w:w="45" w:type="dxa"/>
            </w:tcMar>
          </w:tcPr>
          <w:p w14:paraId="506BE6B5" w14:textId="5BEE35EA" w:rsidR="00530B34" w:rsidRPr="00BC238A" w:rsidRDefault="00A6415A" w:rsidP="004D764A">
            <w:pPr>
              <w:spacing w:after="0" w:line="240" w:lineRule="auto"/>
              <w:rPr>
                <w:rFonts w:asciiTheme="majorBidi" w:hAnsiTheme="majorBidi" w:cstheme="majorBidi"/>
              </w:rPr>
            </w:pPr>
            <w:r w:rsidRPr="00BC238A">
              <w:rPr>
                <w:rFonts w:asciiTheme="majorBidi" w:hAnsiTheme="majorBidi" w:cstheme="majorBidi"/>
              </w:rPr>
              <w:t>U</w:t>
            </w:r>
          </w:p>
        </w:tc>
      </w:tr>
      <w:tr w:rsidR="00530B34" w:rsidRPr="00BC238A" w14:paraId="5962D95B" w14:textId="77777777" w:rsidTr="00360CFE">
        <w:trPr>
          <w:trHeight w:val="315"/>
        </w:trPr>
        <w:tc>
          <w:tcPr>
            <w:tcW w:w="1314" w:type="dxa"/>
            <w:tcMar>
              <w:top w:w="30" w:type="dxa"/>
              <w:left w:w="45" w:type="dxa"/>
              <w:bottom w:w="30" w:type="dxa"/>
              <w:right w:w="45" w:type="dxa"/>
            </w:tcMar>
            <w:hideMark/>
          </w:tcPr>
          <w:p w14:paraId="4F16448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Livermore 2011</w:t>
            </w:r>
          </w:p>
        </w:tc>
        <w:tc>
          <w:tcPr>
            <w:tcW w:w="841" w:type="dxa"/>
            <w:shd w:val="clear" w:color="auto" w:fill="FFFF00"/>
            <w:tcMar>
              <w:top w:w="30" w:type="dxa"/>
              <w:left w:w="45" w:type="dxa"/>
              <w:bottom w:w="30" w:type="dxa"/>
              <w:right w:w="45" w:type="dxa"/>
            </w:tcMar>
            <w:hideMark/>
          </w:tcPr>
          <w:p w14:paraId="245029C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25F108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040AF4F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363CE3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16EA055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2ADAD44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08" w:type="dxa"/>
            <w:shd w:val="clear" w:color="auto" w:fill="D9D9D9" w:themeFill="background1" w:themeFillShade="D9"/>
            <w:tcMar>
              <w:top w:w="30" w:type="dxa"/>
              <w:left w:w="45" w:type="dxa"/>
              <w:bottom w:w="30" w:type="dxa"/>
              <w:right w:w="45" w:type="dxa"/>
            </w:tcMar>
            <w:hideMark/>
          </w:tcPr>
          <w:p w14:paraId="280DCE0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FFFF00"/>
            <w:tcMar>
              <w:top w:w="30" w:type="dxa"/>
              <w:left w:w="45" w:type="dxa"/>
              <w:bottom w:w="30" w:type="dxa"/>
              <w:right w:w="45" w:type="dxa"/>
            </w:tcMar>
            <w:hideMark/>
          </w:tcPr>
          <w:p w14:paraId="34A5CB8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577D732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0000"/>
            <w:tcMar>
              <w:top w:w="30" w:type="dxa"/>
              <w:left w:w="45" w:type="dxa"/>
              <w:bottom w:w="30" w:type="dxa"/>
              <w:right w:w="45" w:type="dxa"/>
            </w:tcMar>
            <w:hideMark/>
          </w:tcPr>
          <w:p w14:paraId="02B75DB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4F93C27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298793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5E7035D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6" w:type="dxa"/>
            <w:shd w:val="clear" w:color="auto" w:fill="92D050"/>
            <w:tcMar>
              <w:top w:w="30" w:type="dxa"/>
              <w:left w:w="45" w:type="dxa"/>
              <w:bottom w:w="30" w:type="dxa"/>
              <w:right w:w="45" w:type="dxa"/>
            </w:tcMar>
            <w:hideMark/>
          </w:tcPr>
          <w:p w14:paraId="11CE256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2C7D2E3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7665E3EA" w14:textId="77777777" w:rsidTr="00360CFE">
        <w:trPr>
          <w:trHeight w:val="315"/>
        </w:trPr>
        <w:tc>
          <w:tcPr>
            <w:tcW w:w="13942" w:type="dxa"/>
            <w:gridSpan w:val="17"/>
            <w:shd w:val="clear" w:color="auto" w:fill="D9D9D9" w:themeFill="background1" w:themeFillShade="D9"/>
            <w:tcMar>
              <w:top w:w="30" w:type="dxa"/>
              <w:left w:w="45" w:type="dxa"/>
              <w:bottom w:w="30" w:type="dxa"/>
              <w:right w:w="45" w:type="dxa"/>
            </w:tcMar>
            <w:hideMark/>
          </w:tcPr>
          <w:p w14:paraId="40396F0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b/>
              </w:rPr>
              <w:t>Non-UK studies (in order of size)</w:t>
            </w:r>
          </w:p>
        </w:tc>
      </w:tr>
      <w:tr w:rsidR="004F551F" w:rsidRPr="00BC238A" w14:paraId="68651BCB" w14:textId="77777777" w:rsidTr="004F551F">
        <w:trPr>
          <w:trHeight w:val="315"/>
        </w:trPr>
        <w:tc>
          <w:tcPr>
            <w:tcW w:w="1314" w:type="dxa"/>
            <w:tcMar>
              <w:top w:w="30" w:type="dxa"/>
              <w:left w:w="45" w:type="dxa"/>
              <w:bottom w:w="30" w:type="dxa"/>
              <w:right w:w="45" w:type="dxa"/>
            </w:tcMar>
          </w:tcPr>
          <w:p w14:paraId="459C4B0D" w14:textId="538C6B74" w:rsidR="004F551F" w:rsidRPr="00454CF5" w:rsidRDefault="004F551F" w:rsidP="004F551F">
            <w:pPr>
              <w:spacing w:after="0" w:line="240" w:lineRule="auto"/>
              <w:rPr>
                <w:rFonts w:ascii="Times New Roman" w:hAnsi="Times New Roman" w:cs="Times New Roman"/>
                <w:color w:val="000000"/>
              </w:rPr>
            </w:pPr>
            <w:r w:rsidRPr="00454CF5">
              <w:rPr>
                <w:rFonts w:ascii="Times New Roman" w:hAnsi="Times New Roman" w:cs="Times New Roman"/>
                <w:color w:val="000000"/>
              </w:rPr>
              <w:lastRenderedPageBreak/>
              <w:t>Deshpande unpublished</w:t>
            </w:r>
            <w:r w:rsidRPr="00454CF5">
              <w:rPr>
                <w:rFonts w:ascii="Times New Roman" w:hAnsi="Times New Roman" w:cs="Times New Roman"/>
                <w:color w:val="000000"/>
              </w:rPr>
              <w:br/>
              <w:t>Pfizer</w:t>
            </w:r>
          </w:p>
        </w:tc>
        <w:tc>
          <w:tcPr>
            <w:tcW w:w="841" w:type="dxa"/>
            <w:shd w:val="clear" w:color="auto" w:fill="92D050"/>
            <w:tcMar>
              <w:top w:w="30" w:type="dxa"/>
              <w:left w:w="45" w:type="dxa"/>
              <w:bottom w:w="30" w:type="dxa"/>
              <w:right w:w="45" w:type="dxa"/>
            </w:tcMar>
          </w:tcPr>
          <w:p w14:paraId="17F80186" w14:textId="4D031F53"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c>
          <w:tcPr>
            <w:tcW w:w="842" w:type="dxa"/>
            <w:shd w:val="clear" w:color="auto" w:fill="FFFF00"/>
            <w:tcMar>
              <w:top w:w="30" w:type="dxa"/>
              <w:left w:w="45" w:type="dxa"/>
              <w:bottom w:w="30" w:type="dxa"/>
              <w:right w:w="45" w:type="dxa"/>
            </w:tcMar>
          </w:tcPr>
          <w:p w14:paraId="205F3651" w14:textId="0BD5995C"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92D050"/>
            <w:tcMar>
              <w:top w:w="30" w:type="dxa"/>
              <w:left w:w="45" w:type="dxa"/>
              <w:bottom w:w="30" w:type="dxa"/>
              <w:right w:w="45" w:type="dxa"/>
            </w:tcMar>
          </w:tcPr>
          <w:p w14:paraId="7FB38395" w14:textId="1C69089C"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c>
          <w:tcPr>
            <w:tcW w:w="842" w:type="dxa"/>
            <w:shd w:val="clear" w:color="auto" w:fill="FFFF00"/>
            <w:tcMar>
              <w:top w:w="30" w:type="dxa"/>
              <w:left w:w="45" w:type="dxa"/>
              <w:bottom w:w="30" w:type="dxa"/>
              <w:right w:w="45" w:type="dxa"/>
            </w:tcMar>
          </w:tcPr>
          <w:p w14:paraId="24CBFA3E" w14:textId="047C0644"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FFFF00"/>
            <w:tcMar>
              <w:top w:w="30" w:type="dxa"/>
              <w:left w:w="45" w:type="dxa"/>
              <w:bottom w:w="30" w:type="dxa"/>
              <w:right w:w="45" w:type="dxa"/>
            </w:tcMar>
          </w:tcPr>
          <w:p w14:paraId="404BF3F7" w14:textId="25091E05"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92D050"/>
            <w:tcMar>
              <w:top w:w="30" w:type="dxa"/>
              <w:left w:w="45" w:type="dxa"/>
              <w:bottom w:w="30" w:type="dxa"/>
              <w:right w:w="45" w:type="dxa"/>
            </w:tcMar>
          </w:tcPr>
          <w:p w14:paraId="3CDB2399" w14:textId="69D16BF2"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c>
          <w:tcPr>
            <w:tcW w:w="808" w:type="dxa"/>
            <w:shd w:val="clear" w:color="auto" w:fill="D9D9D9" w:themeFill="background1" w:themeFillShade="D9"/>
            <w:tcMar>
              <w:top w:w="30" w:type="dxa"/>
              <w:left w:w="45" w:type="dxa"/>
              <w:bottom w:w="30" w:type="dxa"/>
              <w:right w:w="45" w:type="dxa"/>
            </w:tcMar>
          </w:tcPr>
          <w:p w14:paraId="3DF16865" w14:textId="222723B8"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75" w:type="dxa"/>
            <w:shd w:val="clear" w:color="auto" w:fill="FFFF00"/>
            <w:tcMar>
              <w:top w:w="30" w:type="dxa"/>
              <w:left w:w="45" w:type="dxa"/>
              <w:bottom w:w="30" w:type="dxa"/>
              <w:right w:w="45" w:type="dxa"/>
            </w:tcMar>
          </w:tcPr>
          <w:p w14:paraId="713EACED" w14:textId="52920689"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gridSpan w:val="2"/>
            <w:shd w:val="clear" w:color="auto" w:fill="D9D9D9" w:themeFill="background1" w:themeFillShade="D9"/>
            <w:tcMar>
              <w:top w:w="30" w:type="dxa"/>
              <w:left w:w="45" w:type="dxa"/>
              <w:bottom w:w="30" w:type="dxa"/>
              <w:right w:w="45" w:type="dxa"/>
            </w:tcMar>
          </w:tcPr>
          <w:p w14:paraId="0C7CEFD2" w14:textId="4711948E"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FFFF00"/>
            <w:tcMar>
              <w:top w:w="30" w:type="dxa"/>
              <w:left w:w="45" w:type="dxa"/>
              <w:bottom w:w="30" w:type="dxa"/>
              <w:right w:w="45" w:type="dxa"/>
            </w:tcMar>
          </w:tcPr>
          <w:p w14:paraId="3008F82C" w14:textId="087CDCD0"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92D050"/>
            <w:tcMar>
              <w:top w:w="30" w:type="dxa"/>
              <w:left w:w="45" w:type="dxa"/>
              <w:bottom w:w="30" w:type="dxa"/>
              <w:right w:w="45" w:type="dxa"/>
            </w:tcMar>
          </w:tcPr>
          <w:p w14:paraId="63258241" w14:textId="392FC725"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c>
          <w:tcPr>
            <w:tcW w:w="842" w:type="dxa"/>
            <w:shd w:val="clear" w:color="auto" w:fill="92D050"/>
            <w:tcMar>
              <w:top w:w="30" w:type="dxa"/>
              <w:left w:w="45" w:type="dxa"/>
              <w:bottom w:w="30" w:type="dxa"/>
              <w:right w:w="45" w:type="dxa"/>
            </w:tcMar>
          </w:tcPr>
          <w:p w14:paraId="3102E263" w14:textId="78F79707"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c>
          <w:tcPr>
            <w:tcW w:w="838" w:type="dxa"/>
            <w:shd w:val="clear" w:color="auto" w:fill="D9D9D9" w:themeFill="background1" w:themeFillShade="D9"/>
            <w:tcMar>
              <w:top w:w="30" w:type="dxa"/>
              <w:left w:w="45" w:type="dxa"/>
              <w:bottom w:w="30" w:type="dxa"/>
              <w:right w:w="45" w:type="dxa"/>
            </w:tcMar>
          </w:tcPr>
          <w:p w14:paraId="56B3C395" w14:textId="4D69D769"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6" w:type="dxa"/>
            <w:shd w:val="clear" w:color="auto" w:fill="FFFF00"/>
            <w:tcMar>
              <w:top w:w="30" w:type="dxa"/>
              <w:left w:w="45" w:type="dxa"/>
              <w:bottom w:w="30" w:type="dxa"/>
              <w:right w:w="45" w:type="dxa"/>
            </w:tcMar>
          </w:tcPr>
          <w:p w14:paraId="4963203E" w14:textId="7079B853"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U</w:t>
            </w:r>
          </w:p>
        </w:tc>
        <w:tc>
          <w:tcPr>
            <w:tcW w:w="842" w:type="dxa"/>
            <w:shd w:val="clear" w:color="auto" w:fill="D9D9D9" w:themeFill="background1" w:themeFillShade="D9"/>
            <w:tcMar>
              <w:top w:w="30" w:type="dxa"/>
              <w:left w:w="45" w:type="dxa"/>
              <w:bottom w:w="30" w:type="dxa"/>
              <w:right w:w="45" w:type="dxa"/>
            </w:tcMar>
          </w:tcPr>
          <w:p w14:paraId="7AD8C0B0" w14:textId="08A1388C" w:rsidR="004F551F" w:rsidRPr="00454CF5" w:rsidRDefault="004F551F" w:rsidP="004F551F">
            <w:pPr>
              <w:spacing w:after="0" w:line="240" w:lineRule="auto"/>
              <w:rPr>
                <w:rFonts w:ascii="Times New Roman" w:hAnsi="Times New Roman" w:cs="Times New Roman"/>
              </w:rPr>
            </w:pPr>
            <w:r w:rsidRPr="00454CF5">
              <w:rPr>
                <w:rFonts w:ascii="Times New Roman" w:hAnsi="Times New Roman" w:cs="Times New Roman"/>
              </w:rPr>
              <w:t>L</w:t>
            </w:r>
          </w:p>
        </w:tc>
      </w:tr>
      <w:tr w:rsidR="00530B34" w:rsidRPr="00BC238A" w14:paraId="0B474146" w14:textId="77777777" w:rsidTr="00360CFE">
        <w:trPr>
          <w:trHeight w:val="315"/>
        </w:trPr>
        <w:tc>
          <w:tcPr>
            <w:tcW w:w="1314" w:type="dxa"/>
            <w:tcMar>
              <w:top w:w="30" w:type="dxa"/>
              <w:left w:w="45" w:type="dxa"/>
              <w:bottom w:w="30" w:type="dxa"/>
              <w:right w:w="45" w:type="dxa"/>
            </w:tcMar>
            <w:hideMark/>
          </w:tcPr>
          <w:p w14:paraId="3C655E24" w14:textId="77777777" w:rsidR="00530B34" w:rsidRPr="00BC238A" w:rsidRDefault="00530B34" w:rsidP="004D764A">
            <w:pPr>
              <w:spacing w:after="0" w:line="240" w:lineRule="auto"/>
              <w:rPr>
                <w:rFonts w:asciiTheme="majorBidi" w:hAnsiTheme="majorBidi" w:cstheme="majorBidi"/>
                <w:color w:val="000000"/>
              </w:rPr>
            </w:pPr>
            <w:proofErr w:type="spellStart"/>
            <w:r w:rsidRPr="00BC238A">
              <w:rPr>
                <w:rFonts w:asciiTheme="majorBidi" w:hAnsiTheme="majorBidi" w:cstheme="majorBidi"/>
                <w:color w:val="000000"/>
              </w:rPr>
              <w:t>Kazmierczak</w:t>
            </w:r>
            <w:proofErr w:type="spellEnd"/>
            <w:r w:rsidRPr="00BC238A">
              <w:rPr>
                <w:rFonts w:asciiTheme="majorBidi" w:hAnsiTheme="majorBidi" w:cstheme="majorBidi"/>
                <w:color w:val="000000"/>
              </w:rPr>
              <w:t xml:space="preserve"> 2018</w:t>
            </w:r>
            <w:r w:rsidRPr="00BC238A">
              <w:rPr>
                <w:rFonts w:asciiTheme="majorBidi" w:hAnsiTheme="majorBidi" w:cstheme="majorBidi"/>
                <w:color w:val="000000"/>
              </w:rPr>
              <w:br/>
              <w:t>(INFORM)</w:t>
            </w:r>
          </w:p>
        </w:tc>
        <w:tc>
          <w:tcPr>
            <w:tcW w:w="841" w:type="dxa"/>
            <w:shd w:val="clear" w:color="auto" w:fill="92D050"/>
            <w:tcMar>
              <w:top w:w="30" w:type="dxa"/>
              <w:left w:w="45" w:type="dxa"/>
              <w:bottom w:w="30" w:type="dxa"/>
              <w:right w:w="45" w:type="dxa"/>
            </w:tcMar>
            <w:hideMark/>
          </w:tcPr>
          <w:p w14:paraId="17D958A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0000"/>
            <w:tcMar>
              <w:top w:w="30" w:type="dxa"/>
              <w:left w:w="45" w:type="dxa"/>
              <w:bottom w:w="30" w:type="dxa"/>
              <w:right w:w="45" w:type="dxa"/>
            </w:tcMar>
            <w:hideMark/>
          </w:tcPr>
          <w:p w14:paraId="0829F24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4C3F725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9116AF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6C40470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8F219E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7AD8BA0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75" w:type="dxa"/>
            <w:shd w:val="clear" w:color="auto" w:fill="FFFF00"/>
            <w:tcMar>
              <w:top w:w="30" w:type="dxa"/>
              <w:left w:w="45" w:type="dxa"/>
              <w:bottom w:w="30" w:type="dxa"/>
              <w:right w:w="45" w:type="dxa"/>
            </w:tcMar>
            <w:hideMark/>
          </w:tcPr>
          <w:p w14:paraId="6764F21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26A9011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3C9C0F9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A10240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6843BFA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0A1CDEC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109A97F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15C3956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0EA238AF" w14:textId="77777777" w:rsidTr="00360CFE">
        <w:trPr>
          <w:trHeight w:val="315"/>
        </w:trPr>
        <w:tc>
          <w:tcPr>
            <w:tcW w:w="1314" w:type="dxa"/>
            <w:tcMar>
              <w:top w:w="30" w:type="dxa"/>
              <w:left w:w="45" w:type="dxa"/>
              <w:bottom w:w="30" w:type="dxa"/>
              <w:right w:w="45" w:type="dxa"/>
            </w:tcMar>
            <w:hideMark/>
          </w:tcPr>
          <w:p w14:paraId="479FDE64"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Vazquez-</w:t>
            </w:r>
            <w:proofErr w:type="spellStart"/>
            <w:r w:rsidRPr="00BC238A">
              <w:rPr>
                <w:rFonts w:asciiTheme="majorBidi" w:hAnsiTheme="majorBidi" w:cstheme="majorBidi"/>
                <w:color w:val="000000"/>
              </w:rPr>
              <w:t>Ucha</w:t>
            </w:r>
            <w:proofErr w:type="spellEnd"/>
            <w:r w:rsidRPr="00BC238A">
              <w:rPr>
                <w:rFonts w:asciiTheme="majorBidi" w:hAnsiTheme="majorBidi" w:cstheme="majorBidi"/>
                <w:color w:val="000000"/>
              </w:rPr>
              <w:t xml:space="preserve"> 2021</w:t>
            </w:r>
          </w:p>
        </w:tc>
        <w:tc>
          <w:tcPr>
            <w:tcW w:w="841" w:type="dxa"/>
            <w:shd w:val="clear" w:color="auto" w:fill="92D050"/>
            <w:tcMar>
              <w:top w:w="30" w:type="dxa"/>
              <w:left w:w="45" w:type="dxa"/>
              <w:bottom w:w="30" w:type="dxa"/>
              <w:right w:w="45" w:type="dxa"/>
            </w:tcMar>
            <w:hideMark/>
          </w:tcPr>
          <w:p w14:paraId="5B23728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9EC7FF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0F66DB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8DCD64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1B15743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117D16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29C880A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75" w:type="dxa"/>
            <w:shd w:val="clear" w:color="auto" w:fill="FFFF00"/>
            <w:tcMar>
              <w:top w:w="30" w:type="dxa"/>
              <w:left w:w="45" w:type="dxa"/>
              <w:bottom w:w="30" w:type="dxa"/>
              <w:right w:w="45" w:type="dxa"/>
            </w:tcMar>
            <w:hideMark/>
          </w:tcPr>
          <w:p w14:paraId="0BFCFD1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03856EA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0F3977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C074DD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F41445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55E7DE5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6" w:type="dxa"/>
            <w:shd w:val="clear" w:color="auto" w:fill="92D050"/>
            <w:tcMar>
              <w:top w:w="30" w:type="dxa"/>
              <w:left w:w="45" w:type="dxa"/>
              <w:bottom w:w="30" w:type="dxa"/>
              <w:right w:w="45" w:type="dxa"/>
            </w:tcMar>
            <w:hideMark/>
          </w:tcPr>
          <w:p w14:paraId="3B4A77A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32DE20E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4EDA69E3" w14:textId="77777777" w:rsidTr="00360CFE">
        <w:trPr>
          <w:trHeight w:val="315"/>
        </w:trPr>
        <w:tc>
          <w:tcPr>
            <w:tcW w:w="1314" w:type="dxa"/>
            <w:tcMar>
              <w:top w:w="30" w:type="dxa"/>
              <w:left w:w="45" w:type="dxa"/>
              <w:bottom w:w="30" w:type="dxa"/>
              <w:right w:w="45" w:type="dxa"/>
            </w:tcMar>
            <w:hideMark/>
          </w:tcPr>
          <w:p w14:paraId="00654C79"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Garcia-Castillo, 2018 (</w:t>
            </w:r>
            <w:proofErr w:type="spellStart"/>
            <w:r w:rsidRPr="00BC238A">
              <w:rPr>
                <w:rFonts w:asciiTheme="majorBidi" w:hAnsiTheme="majorBidi" w:cstheme="majorBidi"/>
                <w:color w:val="000000"/>
              </w:rPr>
              <w:t>iCREST</w:t>
            </w:r>
            <w:proofErr w:type="spellEnd"/>
            <w:r w:rsidRPr="00BC238A">
              <w:rPr>
                <w:rFonts w:asciiTheme="majorBidi" w:hAnsiTheme="majorBidi" w:cstheme="majorBidi"/>
                <w:color w:val="000000"/>
              </w:rPr>
              <w:t xml:space="preserve"> - Spain)</w:t>
            </w:r>
          </w:p>
        </w:tc>
        <w:tc>
          <w:tcPr>
            <w:tcW w:w="841" w:type="dxa"/>
            <w:shd w:val="clear" w:color="auto" w:fill="92D050"/>
            <w:tcMar>
              <w:top w:w="30" w:type="dxa"/>
              <w:left w:w="45" w:type="dxa"/>
              <w:bottom w:w="30" w:type="dxa"/>
              <w:right w:w="45" w:type="dxa"/>
            </w:tcMar>
            <w:hideMark/>
          </w:tcPr>
          <w:p w14:paraId="4933689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5440504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4253CF5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24451A0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A03B8C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BD4CCB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3DBF40B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6D22359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gridSpan w:val="2"/>
            <w:shd w:val="clear" w:color="auto" w:fill="D9D9D9" w:themeFill="background1" w:themeFillShade="D9"/>
            <w:tcMar>
              <w:top w:w="30" w:type="dxa"/>
              <w:left w:w="45" w:type="dxa"/>
              <w:bottom w:w="30" w:type="dxa"/>
              <w:right w:w="45" w:type="dxa"/>
            </w:tcMar>
            <w:hideMark/>
          </w:tcPr>
          <w:p w14:paraId="546FF4B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660D111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1E5560B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C6B4F2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4BC75CE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3A43374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3FAC44D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0DB208A3" w14:textId="77777777" w:rsidTr="00360CFE">
        <w:trPr>
          <w:trHeight w:val="315"/>
        </w:trPr>
        <w:tc>
          <w:tcPr>
            <w:tcW w:w="1314" w:type="dxa"/>
            <w:tcMar>
              <w:top w:w="30" w:type="dxa"/>
              <w:left w:w="45" w:type="dxa"/>
              <w:bottom w:w="30" w:type="dxa"/>
              <w:right w:w="45" w:type="dxa"/>
            </w:tcMar>
            <w:hideMark/>
          </w:tcPr>
          <w:p w14:paraId="2C1D0B9F"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Longshaw 2020 (SIDERO-CR 2014-16)44</w:t>
            </w:r>
          </w:p>
        </w:tc>
        <w:tc>
          <w:tcPr>
            <w:tcW w:w="841" w:type="dxa"/>
            <w:shd w:val="clear" w:color="auto" w:fill="92D050"/>
            <w:tcMar>
              <w:top w:w="30" w:type="dxa"/>
              <w:left w:w="45" w:type="dxa"/>
              <w:bottom w:w="30" w:type="dxa"/>
              <w:right w:w="45" w:type="dxa"/>
            </w:tcMar>
            <w:hideMark/>
          </w:tcPr>
          <w:p w14:paraId="7153AAA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1C6A4F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0000"/>
            <w:tcMar>
              <w:top w:w="30" w:type="dxa"/>
              <w:left w:w="45" w:type="dxa"/>
              <w:bottom w:w="30" w:type="dxa"/>
              <w:right w:w="45" w:type="dxa"/>
            </w:tcMar>
            <w:hideMark/>
          </w:tcPr>
          <w:p w14:paraId="2CB402A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10D5C55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4004ED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ADD0C0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1D227F4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75" w:type="dxa"/>
            <w:shd w:val="clear" w:color="auto" w:fill="FFFF00"/>
            <w:tcMar>
              <w:top w:w="30" w:type="dxa"/>
              <w:left w:w="45" w:type="dxa"/>
              <w:bottom w:w="30" w:type="dxa"/>
              <w:right w:w="45" w:type="dxa"/>
            </w:tcMar>
            <w:hideMark/>
          </w:tcPr>
          <w:p w14:paraId="4F794C0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7B66EA8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0000"/>
            <w:tcMar>
              <w:top w:w="30" w:type="dxa"/>
              <w:left w:w="45" w:type="dxa"/>
              <w:bottom w:w="30" w:type="dxa"/>
              <w:right w:w="45" w:type="dxa"/>
            </w:tcMar>
            <w:hideMark/>
          </w:tcPr>
          <w:p w14:paraId="3640478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5B0439D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C2BD15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480B919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6" w:type="dxa"/>
            <w:shd w:val="clear" w:color="auto" w:fill="92D050"/>
            <w:tcMar>
              <w:top w:w="30" w:type="dxa"/>
              <w:left w:w="45" w:type="dxa"/>
              <w:bottom w:w="30" w:type="dxa"/>
              <w:right w:w="45" w:type="dxa"/>
            </w:tcMar>
            <w:hideMark/>
          </w:tcPr>
          <w:p w14:paraId="7EDDE9A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225ABA8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750BB656" w14:textId="77777777" w:rsidTr="00360CFE">
        <w:trPr>
          <w:trHeight w:val="315"/>
        </w:trPr>
        <w:tc>
          <w:tcPr>
            <w:tcW w:w="1314" w:type="dxa"/>
            <w:tcMar>
              <w:top w:w="30" w:type="dxa"/>
              <w:left w:w="45" w:type="dxa"/>
              <w:bottom w:w="30" w:type="dxa"/>
              <w:right w:w="45" w:type="dxa"/>
            </w:tcMar>
            <w:hideMark/>
          </w:tcPr>
          <w:p w14:paraId="02020EEA" w14:textId="77777777" w:rsidR="00530B34" w:rsidRPr="00BC238A" w:rsidRDefault="00530B34" w:rsidP="004D764A">
            <w:pPr>
              <w:spacing w:after="0" w:line="240" w:lineRule="auto"/>
              <w:rPr>
                <w:rFonts w:asciiTheme="majorBidi" w:hAnsiTheme="majorBidi" w:cstheme="majorBidi"/>
                <w:color w:val="000000"/>
              </w:rPr>
            </w:pPr>
            <w:proofErr w:type="spellStart"/>
            <w:r w:rsidRPr="00BC238A">
              <w:rPr>
                <w:rFonts w:asciiTheme="majorBidi" w:hAnsiTheme="majorBidi" w:cstheme="majorBidi"/>
                <w:color w:val="000000"/>
              </w:rPr>
              <w:t>Mataraci</w:t>
            </w:r>
            <w:proofErr w:type="spellEnd"/>
            <w:r w:rsidRPr="00BC238A">
              <w:rPr>
                <w:rFonts w:asciiTheme="majorBidi" w:hAnsiTheme="majorBidi" w:cstheme="majorBidi"/>
                <w:color w:val="000000"/>
              </w:rPr>
              <w:t xml:space="preserve"> 20204</w:t>
            </w:r>
          </w:p>
        </w:tc>
        <w:tc>
          <w:tcPr>
            <w:tcW w:w="841" w:type="dxa"/>
            <w:shd w:val="clear" w:color="auto" w:fill="92D050"/>
            <w:tcMar>
              <w:top w:w="30" w:type="dxa"/>
              <w:left w:w="45" w:type="dxa"/>
              <w:bottom w:w="30" w:type="dxa"/>
              <w:right w:w="45" w:type="dxa"/>
            </w:tcMar>
            <w:hideMark/>
          </w:tcPr>
          <w:p w14:paraId="2402D53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1BBB61C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7EA2C6E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45B4EA2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886AA9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14C0C7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0D8743B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FFFF00"/>
            <w:tcMar>
              <w:top w:w="30" w:type="dxa"/>
              <w:left w:w="45" w:type="dxa"/>
              <w:bottom w:w="30" w:type="dxa"/>
              <w:right w:w="45" w:type="dxa"/>
            </w:tcMar>
            <w:hideMark/>
          </w:tcPr>
          <w:p w14:paraId="193DA18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6C6A1D3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DEFC62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290E9A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C5FB92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7F4FDE9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6" w:type="dxa"/>
            <w:shd w:val="clear" w:color="auto" w:fill="92D050"/>
            <w:tcMar>
              <w:top w:w="30" w:type="dxa"/>
              <w:left w:w="45" w:type="dxa"/>
              <w:bottom w:w="30" w:type="dxa"/>
              <w:right w:w="45" w:type="dxa"/>
            </w:tcMar>
            <w:hideMark/>
          </w:tcPr>
          <w:p w14:paraId="361A5E2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2C9BEE2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0293B0BA" w14:textId="77777777" w:rsidTr="00360CFE">
        <w:trPr>
          <w:trHeight w:val="315"/>
        </w:trPr>
        <w:tc>
          <w:tcPr>
            <w:tcW w:w="1314" w:type="dxa"/>
            <w:tcMar>
              <w:top w:w="30" w:type="dxa"/>
              <w:left w:w="45" w:type="dxa"/>
              <w:bottom w:w="30" w:type="dxa"/>
              <w:right w:w="45" w:type="dxa"/>
            </w:tcMar>
            <w:hideMark/>
          </w:tcPr>
          <w:p w14:paraId="5D5F0A96"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Han 20203</w:t>
            </w:r>
          </w:p>
        </w:tc>
        <w:tc>
          <w:tcPr>
            <w:tcW w:w="841" w:type="dxa"/>
            <w:shd w:val="clear" w:color="auto" w:fill="92D050"/>
            <w:tcMar>
              <w:top w:w="30" w:type="dxa"/>
              <w:left w:w="45" w:type="dxa"/>
              <w:bottom w:w="30" w:type="dxa"/>
              <w:right w:w="45" w:type="dxa"/>
            </w:tcMar>
            <w:hideMark/>
          </w:tcPr>
          <w:p w14:paraId="2225F46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51D2FE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6BC3F57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57AC4DF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0838BDA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3D061E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6C47764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0C92ADC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gridSpan w:val="2"/>
            <w:shd w:val="clear" w:color="auto" w:fill="D9D9D9" w:themeFill="background1" w:themeFillShade="D9"/>
            <w:tcMar>
              <w:top w:w="30" w:type="dxa"/>
              <w:left w:w="45" w:type="dxa"/>
              <w:bottom w:w="30" w:type="dxa"/>
              <w:right w:w="45" w:type="dxa"/>
            </w:tcMar>
            <w:hideMark/>
          </w:tcPr>
          <w:p w14:paraId="7221BFD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13CAD5A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677278F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D98C3F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FFFF00"/>
            <w:tcMar>
              <w:top w:w="30" w:type="dxa"/>
              <w:left w:w="45" w:type="dxa"/>
              <w:bottom w:w="30" w:type="dxa"/>
              <w:right w:w="45" w:type="dxa"/>
            </w:tcMar>
            <w:hideMark/>
          </w:tcPr>
          <w:p w14:paraId="58A3128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030AB48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4CBCD06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6CC251C5" w14:textId="77777777" w:rsidTr="00360CFE">
        <w:trPr>
          <w:trHeight w:val="315"/>
        </w:trPr>
        <w:tc>
          <w:tcPr>
            <w:tcW w:w="1314" w:type="dxa"/>
            <w:tcMar>
              <w:top w:w="30" w:type="dxa"/>
              <w:left w:w="45" w:type="dxa"/>
              <w:bottom w:w="30" w:type="dxa"/>
              <w:right w:w="45" w:type="dxa"/>
            </w:tcMar>
            <w:hideMark/>
          </w:tcPr>
          <w:p w14:paraId="76EF879D"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Johnston 2020</w:t>
            </w:r>
          </w:p>
        </w:tc>
        <w:tc>
          <w:tcPr>
            <w:tcW w:w="841" w:type="dxa"/>
            <w:shd w:val="clear" w:color="auto" w:fill="92D050"/>
            <w:tcMar>
              <w:top w:w="30" w:type="dxa"/>
              <w:left w:w="45" w:type="dxa"/>
              <w:bottom w:w="30" w:type="dxa"/>
              <w:right w:w="45" w:type="dxa"/>
            </w:tcMar>
            <w:hideMark/>
          </w:tcPr>
          <w:p w14:paraId="5E328D2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545D9FA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26C1BF8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71DC6D6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05F36A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4FC0A44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08" w:type="dxa"/>
            <w:shd w:val="clear" w:color="auto" w:fill="D9D9D9" w:themeFill="background1" w:themeFillShade="D9"/>
            <w:tcMar>
              <w:top w:w="30" w:type="dxa"/>
              <w:left w:w="45" w:type="dxa"/>
              <w:bottom w:w="30" w:type="dxa"/>
              <w:right w:w="45" w:type="dxa"/>
            </w:tcMar>
            <w:hideMark/>
          </w:tcPr>
          <w:p w14:paraId="2C6AD1B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18FC53D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23292A5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0000"/>
            <w:tcMar>
              <w:top w:w="30" w:type="dxa"/>
              <w:left w:w="45" w:type="dxa"/>
              <w:bottom w:w="30" w:type="dxa"/>
              <w:right w:w="45" w:type="dxa"/>
            </w:tcMar>
            <w:hideMark/>
          </w:tcPr>
          <w:p w14:paraId="7D49E6C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1728443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ECD50E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25A6DD0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6" w:type="dxa"/>
            <w:shd w:val="clear" w:color="auto" w:fill="92D050"/>
            <w:tcMar>
              <w:top w:w="30" w:type="dxa"/>
              <w:left w:w="45" w:type="dxa"/>
              <w:bottom w:w="30" w:type="dxa"/>
              <w:right w:w="45" w:type="dxa"/>
            </w:tcMar>
            <w:hideMark/>
          </w:tcPr>
          <w:p w14:paraId="0D7B423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4CA839E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2DEDF1BB" w14:textId="77777777" w:rsidTr="00360CFE">
        <w:trPr>
          <w:trHeight w:val="315"/>
        </w:trPr>
        <w:tc>
          <w:tcPr>
            <w:tcW w:w="1314" w:type="dxa"/>
            <w:tcMar>
              <w:top w:w="30" w:type="dxa"/>
              <w:left w:w="45" w:type="dxa"/>
              <w:bottom w:w="30" w:type="dxa"/>
              <w:right w:w="45" w:type="dxa"/>
            </w:tcMar>
            <w:hideMark/>
          </w:tcPr>
          <w:p w14:paraId="75C7E042" w14:textId="77777777" w:rsidR="00530B34" w:rsidRPr="00BC238A" w:rsidRDefault="00530B34" w:rsidP="004D764A">
            <w:pPr>
              <w:spacing w:after="0" w:line="240" w:lineRule="auto"/>
              <w:rPr>
                <w:rFonts w:asciiTheme="majorBidi" w:hAnsiTheme="majorBidi" w:cstheme="majorBidi"/>
              </w:rPr>
            </w:pPr>
            <w:proofErr w:type="spellStart"/>
            <w:r w:rsidRPr="00BC238A">
              <w:rPr>
                <w:rFonts w:asciiTheme="majorBidi" w:hAnsiTheme="majorBidi" w:cstheme="majorBidi"/>
              </w:rPr>
              <w:t>Kazmierczak</w:t>
            </w:r>
            <w:proofErr w:type="spellEnd"/>
            <w:r w:rsidRPr="00BC238A">
              <w:rPr>
                <w:rFonts w:asciiTheme="majorBidi" w:hAnsiTheme="majorBidi" w:cstheme="majorBidi"/>
              </w:rPr>
              <w:t xml:space="preserve"> 2019 (SIDERO-WT)</w:t>
            </w:r>
          </w:p>
        </w:tc>
        <w:tc>
          <w:tcPr>
            <w:tcW w:w="841" w:type="dxa"/>
            <w:shd w:val="clear" w:color="auto" w:fill="92D050"/>
            <w:tcMar>
              <w:top w:w="30" w:type="dxa"/>
              <w:left w:w="45" w:type="dxa"/>
              <w:bottom w:w="30" w:type="dxa"/>
              <w:right w:w="45" w:type="dxa"/>
            </w:tcMar>
            <w:hideMark/>
          </w:tcPr>
          <w:p w14:paraId="0FF3412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0000"/>
            <w:tcMar>
              <w:top w:w="30" w:type="dxa"/>
              <w:left w:w="45" w:type="dxa"/>
              <w:bottom w:w="30" w:type="dxa"/>
              <w:right w:w="45" w:type="dxa"/>
            </w:tcMar>
            <w:hideMark/>
          </w:tcPr>
          <w:p w14:paraId="02186FA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FF0000"/>
            <w:tcMar>
              <w:top w:w="30" w:type="dxa"/>
              <w:left w:w="45" w:type="dxa"/>
              <w:bottom w:w="30" w:type="dxa"/>
              <w:right w:w="45" w:type="dxa"/>
            </w:tcMar>
            <w:hideMark/>
          </w:tcPr>
          <w:p w14:paraId="7E7F5F3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7775624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6D483AB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0700B71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417C29D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75" w:type="dxa"/>
            <w:shd w:val="clear" w:color="auto" w:fill="FFFF00"/>
            <w:tcMar>
              <w:top w:w="30" w:type="dxa"/>
              <w:left w:w="45" w:type="dxa"/>
              <w:bottom w:w="30" w:type="dxa"/>
              <w:right w:w="45" w:type="dxa"/>
            </w:tcMar>
            <w:hideMark/>
          </w:tcPr>
          <w:p w14:paraId="535E2A6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5E8E3AB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117045C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1B3159A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F483EC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219CD7C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190E6FF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59EB2B6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007246E1" w14:textId="77777777" w:rsidTr="00360CFE">
        <w:trPr>
          <w:trHeight w:val="315"/>
        </w:trPr>
        <w:tc>
          <w:tcPr>
            <w:tcW w:w="1314" w:type="dxa"/>
            <w:tcMar>
              <w:top w:w="30" w:type="dxa"/>
              <w:left w:w="45" w:type="dxa"/>
              <w:bottom w:w="30" w:type="dxa"/>
              <w:right w:w="45" w:type="dxa"/>
            </w:tcMar>
            <w:hideMark/>
          </w:tcPr>
          <w:p w14:paraId="1C5F5373" w14:textId="77777777" w:rsidR="00530B34" w:rsidRPr="00BC238A" w:rsidRDefault="00530B34" w:rsidP="004D764A">
            <w:pPr>
              <w:spacing w:after="0" w:line="240" w:lineRule="auto"/>
              <w:rPr>
                <w:rFonts w:asciiTheme="majorBidi" w:hAnsiTheme="majorBidi" w:cstheme="majorBidi"/>
                <w:color w:val="000000"/>
              </w:rPr>
            </w:pPr>
            <w:proofErr w:type="spellStart"/>
            <w:r w:rsidRPr="00BC238A">
              <w:rPr>
                <w:rFonts w:asciiTheme="majorBidi" w:hAnsiTheme="majorBidi" w:cstheme="majorBidi"/>
                <w:color w:val="000000"/>
              </w:rPr>
              <w:t>Viala</w:t>
            </w:r>
            <w:proofErr w:type="spellEnd"/>
            <w:r w:rsidRPr="00BC238A">
              <w:rPr>
                <w:rFonts w:asciiTheme="majorBidi" w:hAnsiTheme="majorBidi" w:cstheme="majorBidi"/>
                <w:color w:val="000000"/>
              </w:rPr>
              <w:t xml:space="preserve"> 2019</w:t>
            </w:r>
          </w:p>
        </w:tc>
        <w:tc>
          <w:tcPr>
            <w:tcW w:w="841" w:type="dxa"/>
            <w:shd w:val="clear" w:color="auto" w:fill="92D050"/>
            <w:tcMar>
              <w:top w:w="30" w:type="dxa"/>
              <w:left w:w="45" w:type="dxa"/>
              <w:bottom w:w="30" w:type="dxa"/>
              <w:right w:w="45" w:type="dxa"/>
            </w:tcMar>
            <w:hideMark/>
          </w:tcPr>
          <w:p w14:paraId="1011255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7CD1534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057526F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7A636BC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532A79AC"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1F8AA74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254143C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53D257C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gridSpan w:val="2"/>
            <w:shd w:val="clear" w:color="auto" w:fill="D9D9D9" w:themeFill="background1" w:themeFillShade="D9"/>
            <w:tcMar>
              <w:top w:w="30" w:type="dxa"/>
              <w:left w:w="45" w:type="dxa"/>
              <w:bottom w:w="30" w:type="dxa"/>
              <w:right w:w="45" w:type="dxa"/>
            </w:tcMar>
            <w:hideMark/>
          </w:tcPr>
          <w:p w14:paraId="477F2EE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7536850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799E064"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7542329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079AE78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FFFF00"/>
            <w:tcMar>
              <w:top w:w="30" w:type="dxa"/>
              <w:left w:w="45" w:type="dxa"/>
              <w:bottom w:w="30" w:type="dxa"/>
              <w:right w:w="45" w:type="dxa"/>
            </w:tcMar>
            <w:hideMark/>
          </w:tcPr>
          <w:p w14:paraId="5CAFF90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D9D9D9" w:themeFill="background1" w:themeFillShade="D9"/>
            <w:tcMar>
              <w:top w:w="30" w:type="dxa"/>
              <w:left w:w="45" w:type="dxa"/>
              <w:bottom w:w="30" w:type="dxa"/>
              <w:right w:w="45" w:type="dxa"/>
            </w:tcMar>
            <w:hideMark/>
          </w:tcPr>
          <w:p w14:paraId="65F1987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r>
      <w:tr w:rsidR="00530B34" w:rsidRPr="00BC238A" w14:paraId="53BE3D5E" w14:textId="77777777" w:rsidTr="00360CFE">
        <w:trPr>
          <w:trHeight w:val="315"/>
        </w:trPr>
        <w:tc>
          <w:tcPr>
            <w:tcW w:w="1314" w:type="dxa"/>
            <w:tcMar>
              <w:top w:w="30" w:type="dxa"/>
              <w:left w:w="45" w:type="dxa"/>
              <w:bottom w:w="30" w:type="dxa"/>
              <w:right w:w="45" w:type="dxa"/>
            </w:tcMar>
            <w:hideMark/>
          </w:tcPr>
          <w:p w14:paraId="3B15C3B6" w14:textId="77777777" w:rsidR="00530B34" w:rsidRPr="00BC238A" w:rsidRDefault="00530B34" w:rsidP="004D764A">
            <w:pPr>
              <w:spacing w:after="0" w:line="240" w:lineRule="auto"/>
              <w:rPr>
                <w:rFonts w:asciiTheme="majorBidi" w:hAnsiTheme="majorBidi" w:cstheme="majorBidi"/>
                <w:color w:val="000000"/>
              </w:rPr>
            </w:pPr>
            <w:r w:rsidRPr="00BC238A">
              <w:rPr>
                <w:rFonts w:asciiTheme="majorBidi" w:hAnsiTheme="majorBidi" w:cstheme="majorBidi"/>
                <w:color w:val="000000"/>
              </w:rPr>
              <w:t>De la Calle, 2019</w:t>
            </w:r>
          </w:p>
        </w:tc>
        <w:tc>
          <w:tcPr>
            <w:tcW w:w="841" w:type="dxa"/>
            <w:shd w:val="clear" w:color="auto" w:fill="92D050"/>
            <w:tcMar>
              <w:top w:w="30" w:type="dxa"/>
              <w:left w:w="45" w:type="dxa"/>
              <w:bottom w:w="30" w:type="dxa"/>
              <w:right w:w="45" w:type="dxa"/>
            </w:tcMar>
            <w:hideMark/>
          </w:tcPr>
          <w:p w14:paraId="4D01E9C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5D7208E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7ACC53B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0BB39BF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04735DE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58E5199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6814819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75BB4FD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gridSpan w:val="2"/>
            <w:shd w:val="clear" w:color="auto" w:fill="D9D9D9" w:themeFill="background1" w:themeFillShade="D9"/>
            <w:tcMar>
              <w:top w:w="30" w:type="dxa"/>
              <w:left w:w="45" w:type="dxa"/>
              <w:bottom w:w="30" w:type="dxa"/>
              <w:right w:w="45" w:type="dxa"/>
            </w:tcMar>
            <w:hideMark/>
          </w:tcPr>
          <w:p w14:paraId="2DF400B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04CB68B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0A7BC80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49B4C4A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36E9F36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482C302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624031A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41CE30ED" w14:textId="77777777" w:rsidTr="00360CFE">
        <w:trPr>
          <w:trHeight w:val="315"/>
        </w:trPr>
        <w:tc>
          <w:tcPr>
            <w:tcW w:w="1314" w:type="dxa"/>
            <w:tcMar>
              <w:top w:w="30" w:type="dxa"/>
              <w:left w:w="45" w:type="dxa"/>
              <w:bottom w:w="30" w:type="dxa"/>
              <w:right w:w="45" w:type="dxa"/>
            </w:tcMar>
            <w:hideMark/>
          </w:tcPr>
          <w:p w14:paraId="44452D98" w14:textId="77777777" w:rsidR="00530B34" w:rsidRPr="00BC238A" w:rsidRDefault="00530B34" w:rsidP="004D764A">
            <w:pPr>
              <w:spacing w:after="0" w:line="240" w:lineRule="auto"/>
              <w:rPr>
                <w:rFonts w:asciiTheme="majorBidi" w:hAnsiTheme="majorBidi" w:cstheme="majorBidi"/>
                <w:color w:val="000000"/>
              </w:rPr>
            </w:pPr>
            <w:proofErr w:type="spellStart"/>
            <w:r w:rsidRPr="00BC238A">
              <w:rPr>
                <w:rFonts w:asciiTheme="majorBidi" w:hAnsiTheme="majorBidi" w:cstheme="majorBidi"/>
                <w:color w:val="000000"/>
              </w:rPr>
              <w:lastRenderedPageBreak/>
              <w:t>Galani</w:t>
            </w:r>
            <w:proofErr w:type="spellEnd"/>
            <w:r w:rsidRPr="00BC238A">
              <w:rPr>
                <w:rFonts w:asciiTheme="majorBidi" w:hAnsiTheme="majorBidi" w:cstheme="majorBidi"/>
                <w:color w:val="000000"/>
              </w:rPr>
              <w:t>, 2019</w:t>
            </w:r>
          </w:p>
        </w:tc>
        <w:tc>
          <w:tcPr>
            <w:tcW w:w="841" w:type="dxa"/>
            <w:shd w:val="clear" w:color="auto" w:fill="92D050"/>
            <w:tcMar>
              <w:top w:w="30" w:type="dxa"/>
              <w:left w:w="45" w:type="dxa"/>
              <w:bottom w:w="30" w:type="dxa"/>
              <w:right w:w="45" w:type="dxa"/>
            </w:tcMar>
            <w:hideMark/>
          </w:tcPr>
          <w:p w14:paraId="2CF2F00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7EEEB47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268D884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1EB2DAC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E80A25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7E1DD5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6EF45F3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92D050"/>
            <w:tcMar>
              <w:top w:w="30" w:type="dxa"/>
              <w:left w:w="45" w:type="dxa"/>
              <w:bottom w:w="30" w:type="dxa"/>
              <w:right w:w="45" w:type="dxa"/>
            </w:tcMar>
            <w:hideMark/>
          </w:tcPr>
          <w:p w14:paraId="2FF5A55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gridSpan w:val="2"/>
            <w:shd w:val="clear" w:color="auto" w:fill="D9D9D9" w:themeFill="background1" w:themeFillShade="D9"/>
            <w:tcMar>
              <w:top w:w="30" w:type="dxa"/>
              <w:left w:w="45" w:type="dxa"/>
              <w:bottom w:w="30" w:type="dxa"/>
              <w:right w:w="45" w:type="dxa"/>
            </w:tcMar>
            <w:hideMark/>
          </w:tcPr>
          <w:p w14:paraId="7DD3A9E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0000"/>
            <w:tcMar>
              <w:top w:w="30" w:type="dxa"/>
              <w:left w:w="45" w:type="dxa"/>
              <w:bottom w:w="30" w:type="dxa"/>
              <w:right w:w="45" w:type="dxa"/>
            </w:tcMar>
            <w:hideMark/>
          </w:tcPr>
          <w:p w14:paraId="3C2AEE5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5605982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FAA09B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2944C37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6" w:type="dxa"/>
            <w:shd w:val="clear" w:color="auto" w:fill="92D050"/>
            <w:tcMar>
              <w:top w:w="30" w:type="dxa"/>
              <w:left w:w="45" w:type="dxa"/>
              <w:bottom w:w="30" w:type="dxa"/>
              <w:right w:w="45" w:type="dxa"/>
            </w:tcMar>
            <w:hideMark/>
          </w:tcPr>
          <w:p w14:paraId="4E0BBFB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33C5AEC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026E5E6C" w14:textId="77777777" w:rsidTr="00360CFE">
        <w:trPr>
          <w:trHeight w:val="315"/>
        </w:trPr>
        <w:tc>
          <w:tcPr>
            <w:tcW w:w="1314" w:type="dxa"/>
            <w:tcMar>
              <w:top w:w="30" w:type="dxa"/>
              <w:left w:w="45" w:type="dxa"/>
              <w:bottom w:w="30" w:type="dxa"/>
              <w:right w:w="45" w:type="dxa"/>
            </w:tcMar>
            <w:hideMark/>
          </w:tcPr>
          <w:p w14:paraId="1E37D5E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Sherry 2018</w:t>
            </w:r>
          </w:p>
        </w:tc>
        <w:tc>
          <w:tcPr>
            <w:tcW w:w="841" w:type="dxa"/>
            <w:shd w:val="clear" w:color="auto" w:fill="92D050"/>
            <w:tcMar>
              <w:top w:w="30" w:type="dxa"/>
              <w:left w:w="45" w:type="dxa"/>
              <w:bottom w:w="30" w:type="dxa"/>
              <w:right w:w="45" w:type="dxa"/>
            </w:tcMar>
            <w:hideMark/>
          </w:tcPr>
          <w:p w14:paraId="5F14F42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41E746B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6090F6C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34582CC0"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5B99047"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AE0B50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098EBBF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FFFF00"/>
            <w:tcMar>
              <w:top w:w="30" w:type="dxa"/>
              <w:left w:w="45" w:type="dxa"/>
              <w:bottom w:w="30" w:type="dxa"/>
              <w:right w:w="45" w:type="dxa"/>
            </w:tcMar>
            <w:hideMark/>
          </w:tcPr>
          <w:p w14:paraId="43CCEEEF"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27F70D4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FF00"/>
            <w:tcMar>
              <w:top w:w="30" w:type="dxa"/>
              <w:left w:w="45" w:type="dxa"/>
              <w:bottom w:w="30" w:type="dxa"/>
              <w:right w:w="45" w:type="dxa"/>
            </w:tcMar>
            <w:hideMark/>
          </w:tcPr>
          <w:p w14:paraId="4BC46CED"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99392A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3D6E8A6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54C07AEB"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6" w:type="dxa"/>
            <w:shd w:val="clear" w:color="auto" w:fill="92D050"/>
            <w:tcMar>
              <w:top w:w="30" w:type="dxa"/>
              <w:left w:w="45" w:type="dxa"/>
              <w:bottom w:w="30" w:type="dxa"/>
              <w:right w:w="45" w:type="dxa"/>
            </w:tcMar>
            <w:hideMark/>
          </w:tcPr>
          <w:p w14:paraId="7738599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D9D9D9" w:themeFill="background1" w:themeFillShade="D9"/>
            <w:tcMar>
              <w:top w:w="30" w:type="dxa"/>
              <w:left w:w="45" w:type="dxa"/>
              <w:bottom w:w="30" w:type="dxa"/>
              <w:right w:w="45" w:type="dxa"/>
            </w:tcMar>
            <w:hideMark/>
          </w:tcPr>
          <w:p w14:paraId="47D2F0D8"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r>
      <w:tr w:rsidR="00530B34" w:rsidRPr="00BC238A" w14:paraId="6F6FE9F1" w14:textId="77777777" w:rsidTr="00360CFE">
        <w:trPr>
          <w:trHeight w:val="315"/>
        </w:trPr>
        <w:tc>
          <w:tcPr>
            <w:tcW w:w="1314" w:type="dxa"/>
            <w:tcMar>
              <w:top w:w="30" w:type="dxa"/>
              <w:left w:w="45" w:type="dxa"/>
              <w:bottom w:w="30" w:type="dxa"/>
              <w:right w:w="45" w:type="dxa"/>
            </w:tcMar>
            <w:hideMark/>
          </w:tcPr>
          <w:p w14:paraId="5F29017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Bhagwat 2020</w:t>
            </w:r>
          </w:p>
        </w:tc>
        <w:tc>
          <w:tcPr>
            <w:tcW w:w="841" w:type="dxa"/>
            <w:shd w:val="clear" w:color="auto" w:fill="92D050"/>
            <w:tcMar>
              <w:top w:w="30" w:type="dxa"/>
              <w:left w:w="45" w:type="dxa"/>
              <w:bottom w:w="30" w:type="dxa"/>
              <w:right w:w="45" w:type="dxa"/>
            </w:tcMar>
            <w:hideMark/>
          </w:tcPr>
          <w:p w14:paraId="43292C5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1D96B96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3A52ABC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FFFF00"/>
            <w:tcMar>
              <w:top w:w="30" w:type="dxa"/>
              <w:left w:w="45" w:type="dxa"/>
              <w:bottom w:w="30" w:type="dxa"/>
              <w:right w:w="45" w:type="dxa"/>
            </w:tcMar>
            <w:hideMark/>
          </w:tcPr>
          <w:p w14:paraId="109506EE"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92D050"/>
            <w:tcMar>
              <w:top w:w="30" w:type="dxa"/>
              <w:left w:w="45" w:type="dxa"/>
              <w:bottom w:w="30" w:type="dxa"/>
              <w:right w:w="45" w:type="dxa"/>
            </w:tcMar>
            <w:hideMark/>
          </w:tcPr>
          <w:p w14:paraId="403781D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2C7C395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08" w:type="dxa"/>
            <w:shd w:val="clear" w:color="auto" w:fill="D9D9D9" w:themeFill="background1" w:themeFillShade="D9"/>
            <w:tcMar>
              <w:top w:w="30" w:type="dxa"/>
              <w:left w:w="45" w:type="dxa"/>
              <w:bottom w:w="30" w:type="dxa"/>
              <w:right w:w="45" w:type="dxa"/>
            </w:tcMar>
            <w:hideMark/>
          </w:tcPr>
          <w:p w14:paraId="34AFC513"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75" w:type="dxa"/>
            <w:shd w:val="clear" w:color="auto" w:fill="FFFF00"/>
            <w:tcMar>
              <w:top w:w="30" w:type="dxa"/>
              <w:left w:w="45" w:type="dxa"/>
              <w:bottom w:w="30" w:type="dxa"/>
              <w:right w:w="45" w:type="dxa"/>
            </w:tcMar>
            <w:hideMark/>
          </w:tcPr>
          <w:p w14:paraId="56282BEA"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gridSpan w:val="2"/>
            <w:shd w:val="clear" w:color="auto" w:fill="D9D9D9" w:themeFill="background1" w:themeFillShade="D9"/>
            <w:tcMar>
              <w:top w:w="30" w:type="dxa"/>
              <w:left w:w="45" w:type="dxa"/>
              <w:bottom w:w="30" w:type="dxa"/>
              <w:right w:w="45" w:type="dxa"/>
            </w:tcMar>
            <w:hideMark/>
          </w:tcPr>
          <w:p w14:paraId="5E298AD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FF0000"/>
            <w:tcMar>
              <w:top w:w="30" w:type="dxa"/>
              <w:left w:w="45" w:type="dxa"/>
              <w:bottom w:w="30" w:type="dxa"/>
              <w:right w:w="45" w:type="dxa"/>
            </w:tcMar>
            <w:hideMark/>
          </w:tcPr>
          <w:p w14:paraId="7ABF79D2"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2" w:type="dxa"/>
            <w:shd w:val="clear" w:color="auto" w:fill="92D050"/>
            <w:tcMar>
              <w:top w:w="30" w:type="dxa"/>
              <w:left w:w="45" w:type="dxa"/>
              <w:bottom w:w="30" w:type="dxa"/>
              <w:right w:w="45" w:type="dxa"/>
            </w:tcMar>
            <w:hideMark/>
          </w:tcPr>
          <w:p w14:paraId="1EB15DD5"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42" w:type="dxa"/>
            <w:shd w:val="clear" w:color="auto" w:fill="92D050"/>
            <w:tcMar>
              <w:top w:w="30" w:type="dxa"/>
              <w:left w:w="45" w:type="dxa"/>
              <w:bottom w:w="30" w:type="dxa"/>
              <w:right w:w="45" w:type="dxa"/>
            </w:tcMar>
            <w:hideMark/>
          </w:tcPr>
          <w:p w14:paraId="156987A1"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L</w:t>
            </w:r>
          </w:p>
        </w:tc>
        <w:tc>
          <w:tcPr>
            <w:tcW w:w="838" w:type="dxa"/>
            <w:shd w:val="clear" w:color="auto" w:fill="D9D9D9" w:themeFill="background1" w:themeFillShade="D9"/>
            <w:tcMar>
              <w:top w:w="30" w:type="dxa"/>
              <w:left w:w="45" w:type="dxa"/>
              <w:bottom w:w="30" w:type="dxa"/>
              <w:right w:w="45" w:type="dxa"/>
            </w:tcMar>
            <w:hideMark/>
          </w:tcPr>
          <w:p w14:paraId="0C84D76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H</w:t>
            </w:r>
          </w:p>
        </w:tc>
        <w:tc>
          <w:tcPr>
            <w:tcW w:w="846" w:type="dxa"/>
            <w:shd w:val="clear" w:color="auto" w:fill="FFFF00"/>
            <w:tcMar>
              <w:top w:w="30" w:type="dxa"/>
              <w:left w:w="45" w:type="dxa"/>
              <w:bottom w:w="30" w:type="dxa"/>
              <w:right w:w="45" w:type="dxa"/>
            </w:tcMar>
            <w:hideMark/>
          </w:tcPr>
          <w:p w14:paraId="5F482876"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c>
          <w:tcPr>
            <w:tcW w:w="842" w:type="dxa"/>
            <w:shd w:val="clear" w:color="auto" w:fill="D9D9D9" w:themeFill="background1" w:themeFillShade="D9"/>
            <w:tcMar>
              <w:top w:w="30" w:type="dxa"/>
              <w:left w:w="45" w:type="dxa"/>
              <w:bottom w:w="30" w:type="dxa"/>
              <w:right w:w="45" w:type="dxa"/>
            </w:tcMar>
            <w:hideMark/>
          </w:tcPr>
          <w:p w14:paraId="6E4530D9" w14:textId="77777777" w:rsidR="00530B34" w:rsidRPr="00BC238A" w:rsidRDefault="00530B34" w:rsidP="004D764A">
            <w:pPr>
              <w:spacing w:after="0" w:line="240" w:lineRule="auto"/>
              <w:rPr>
                <w:rFonts w:asciiTheme="majorBidi" w:hAnsiTheme="majorBidi" w:cstheme="majorBidi"/>
              </w:rPr>
            </w:pPr>
            <w:r w:rsidRPr="00BC238A">
              <w:rPr>
                <w:rFonts w:asciiTheme="majorBidi" w:hAnsiTheme="majorBidi" w:cstheme="majorBidi"/>
              </w:rPr>
              <w:t>U</w:t>
            </w:r>
          </w:p>
        </w:tc>
      </w:tr>
    </w:tbl>
    <w:p w14:paraId="092DFBFA" w14:textId="77777777" w:rsidR="00530B34" w:rsidRPr="00885DFB" w:rsidRDefault="00530B34" w:rsidP="00530B34">
      <w:pPr>
        <w:spacing w:after="120" w:line="276" w:lineRule="auto"/>
        <w:rPr>
          <w:rFonts w:asciiTheme="majorBidi" w:hAnsiTheme="majorBidi" w:cstheme="majorBidi"/>
        </w:rPr>
      </w:pPr>
    </w:p>
    <w:p w14:paraId="44286882" w14:textId="2F5EB968" w:rsidR="00530B34" w:rsidRDefault="00530B34" w:rsidP="00530B34">
      <w:pPr>
        <w:spacing w:after="120" w:line="276" w:lineRule="auto"/>
        <w:rPr>
          <w:rFonts w:asciiTheme="majorBidi" w:hAnsiTheme="majorBidi"/>
          <w:sz w:val="20"/>
        </w:rPr>
      </w:pPr>
      <w:r w:rsidRPr="00F957B9">
        <w:rPr>
          <w:rFonts w:asciiTheme="majorBidi" w:hAnsiTheme="majorBidi"/>
          <w:sz w:val="20"/>
        </w:rPr>
        <w:t>H, high risk of bias; HVCS, high value clinical scenario; I, intermediate or increased exposure; L, low risk of bias; R, resistant; S, susceptible; U, unclear risk of bias</w:t>
      </w:r>
    </w:p>
    <w:bookmarkEnd w:id="145"/>
    <w:p w14:paraId="2170BDDB" w14:textId="77777777" w:rsidR="00DC3933" w:rsidRDefault="00DC3933" w:rsidP="00FE7A08">
      <w:pPr>
        <w:spacing w:after="120" w:line="276" w:lineRule="auto"/>
        <w:rPr>
          <w:rFonts w:asciiTheme="majorBidi" w:hAnsiTheme="majorBidi"/>
          <w:sz w:val="20"/>
        </w:rPr>
        <w:sectPr w:rsidR="00DC3933" w:rsidSect="00DC3933">
          <w:pgSz w:w="16838" w:h="11906" w:orient="landscape"/>
          <w:pgMar w:top="1440" w:right="1440" w:bottom="1440" w:left="1440" w:header="709" w:footer="709" w:gutter="0"/>
          <w:cols w:space="708"/>
          <w:docGrid w:linePitch="360"/>
        </w:sectPr>
      </w:pPr>
    </w:p>
    <w:p w14:paraId="56DE4E50" w14:textId="68CD277C" w:rsidR="00FE7A08" w:rsidRPr="00F957B9" w:rsidRDefault="00FE7A08" w:rsidP="00FE7A08">
      <w:pPr>
        <w:spacing w:after="120" w:line="276" w:lineRule="auto"/>
        <w:rPr>
          <w:rFonts w:asciiTheme="majorBidi" w:hAnsiTheme="majorBidi"/>
          <w:sz w:val="20"/>
        </w:rPr>
      </w:pPr>
    </w:p>
    <w:p w14:paraId="296F3E23" w14:textId="06556AF1" w:rsidR="00FE7A08" w:rsidRPr="006E1FC9" w:rsidRDefault="00FE7A08" w:rsidP="00B674A1">
      <w:pPr>
        <w:pStyle w:val="EEPRUnumberedstylelevel3"/>
        <w:ind w:left="851" w:hanging="567"/>
      </w:pPr>
      <w:bookmarkStart w:id="150" w:name="_Ref85705381"/>
      <w:bookmarkStart w:id="151" w:name="_Toc87462992"/>
      <w:r w:rsidRPr="006E1FC9">
        <w:t>4.5 Statistical synthesis</w:t>
      </w:r>
      <w:bookmarkEnd w:id="150"/>
      <w:bookmarkEnd w:id="151"/>
      <w:r w:rsidRPr="006E1FC9">
        <w:t xml:space="preserve"> </w:t>
      </w:r>
    </w:p>
    <w:p w14:paraId="2BAF8DD9" w14:textId="77777777" w:rsidR="00FE7A08" w:rsidRPr="006E4E83" w:rsidRDefault="00FE7A08" w:rsidP="006E4E83">
      <w:pPr>
        <w:pStyle w:val="Heading3"/>
        <w:rPr>
          <w:rFonts w:asciiTheme="majorBidi" w:hAnsiTheme="majorBidi"/>
          <w:sz w:val="26"/>
          <w:szCs w:val="26"/>
        </w:rPr>
      </w:pPr>
      <w:bookmarkStart w:id="152" w:name="_Toc87462993"/>
      <w:bookmarkStart w:id="153" w:name="_Ref78195144"/>
      <w:bookmarkStart w:id="154" w:name="_Toc77848054"/>
      <w:r w:rsidRPr="006E4E83">
        <w:rPr>
          <w:rFonts w:asciiTheme="majorBidi" w:hAnsiTheme="majorBidi"/>
          <w:sz w:val="26"/>
          <w:szCs w:val="26"/>
        </w:rPr>
        <w:t>4.5.1 Statistical synthesis plan</w:t>
      </w:r>
      <w:bookmarkEnd w:id="152"/>
    </w:p>
    <w:p w14:paraId="08E17C1A" w14:textId="5225F21C" w:rsidR="00FE7A08" w:rsidRPr="000056E1" w:rsidRDefault="00FE7A08" w:rsidP="00FE7A08">
      <w:pPr>
        <w:spacing w:before="240" w:line="360" w:lineRule="auto"/>
        <w:jc w:val="both"/>
        <w:rPr>
          <w:rFonts w:asciiTheme="majorBidi" w:hAnsiTheme="majorBidi" w:cstheme="majorBidi"/>
        </w:rPr>
      </w:pPr>
      <w:r w:rsidRPr="006E1FC9">
        <w:rPr>
          <w:rFonts w:asciiTheme="majorBidi" w:hAnsiTheme="majorBidi" w:cstheme="majorBidi"/>
          <w:lang w:val="el-GR"/>
        </w:rPr>
        <w:t>Α</w:t>
      </w:r>
      <w:r w:rsidRPr="006E1FC9">
        <w:rPr>
          <w:rFonts w:asciiTheme="majorBidi" w:hAnsiTheme="majorBidi" w:cstheme="majorBidi"/>
        </w:rPr>
        <w:t xml:space="preserve"> network meta-analysis was planned to synthesise all studies identified by the review. Several sources of clinical heterogeneity were identified though the quality assessment and consideration of the study characteristics. As detailed in</w:t>
      </w:r>
      <w:r w:rsidR="00EE4C38">
        <w:rPr>
          <w:rFonts w:asciiTheme="majorBidi" w:hAnsiTheme="majorBidi" w:cstheme="majorBidi"/>
        </w:rPr>
        <w:t xml:space="preserve"> </w:t>
      </w:r>
      <w:r w:rsidR="00EE4C38" w:rsidRPr="00EE4C38">
        <w:rPr>
          <w:rFonts w:asciiTheme="majorBidi" w:hAnsiTheme="majorBidi" w:cstheme="majorBidi"/>
        </w:rPr>
        <w:t>Table 5</w:t>
      </w:r>
      <w:r w:rsidRPr="00EE4C38">
        <w:rPr>
          <w:rFonts w:asciiTheme="majorBidi" w:hAnsiTheme="majorBidi" w:cstheme="majorBidi"/>
        </w:rPr>
        <w:t>,</w:t>
      </w:r>
      <w:r w:rsidRPr="006E1FC9">
        <w:rPr>
          <w:rFonts w:asciiTheme="majorBidi" w:hAnsiTheme="majorBidi" w:cstheme="majorBidi"/>
        </w:rPr>
        <w:t xml:space="preserve"> location, whether the sample included screened isolates, and whether the sample included OXA-48 or OXA-48-like isolates were not considered to be important sources of heterogeneity by clinical advisors. This section details the sources of heterogeneity that were considered potentially important by clinical advisors or EEPRU, the reasons why they were considered important, and the sensitivity analyses planned </w:t>
      </w:r>
      <w:proofErr w:type="gramStart"/>
      <w:r w:rsidRPr="006E1FC9">
        <w:rPr>
          <w:rFonts w:asciiTheme="majorBidi" w:hAnsiTheme="majorBidi" w:cstheme="majorBidi"/>
        </w:rPr>
        <w:t>relating</w:t>
      </w:r>
      <w:proofErr w:type="gramEnd"/>
      <w:r w:rsidRPr="006E1FC9">
        <w:rPr>
          <w:rFonts w:asciiTheme="majorBidi" w:hAnsiTheme="majorBidi" w:cstheme="majorBidi"/>
        </w:rPr>
        <w:t xml:space="preserve"> to these. A summary of the planned analyses is provided in</w:t>
      </w:r>
      <w:r w:rsidR="00EE4C38">
        <w:rPr>
          <w:rFonts w:asciiTheme="majorBidi" w:hAnsiTheme="majorBidi" w:cstheme="majorBidi"/>
        </w:rPr>
        <w:t xml:space="preserve"> </w:t>
      </w:r>
      <w:r w:rsidR="00EE4C38" w:rsidRPr="00EE4C38">
        <w:rPr>
          <w:rFonts w:asciiTheme="majorBidi" w:hAnsiTheme="majorBidi" w:cstheme="majorBidi"/>
        </w:rPr>
        <w:t>Table 8</w:t>
      </w:r>
      <w:r w:rsidRPr="006E1FC9">
        <w:rPr>
          <w:rFonts w:asciiTheme="majorBidi" w:hAnsiTheme="majorBidi" w:cstheme="majorBidi"/>
        </w:rPr>
        <w:t xml:space="preserve">. Section </w:t>
      </w:r>
      <w:r w:rsidR="00AD709F">
        <w:rPr>
          <w:rFonts w:asciiTheme="majorBidi" w:hAnsiTheme="majorBidi" w:cstheme="majorBidi"/>
        </w:rPr>
        <w:t>4.5.1-4.5.2</w:t>
      </w:r>
      <w:r w:rsidRPr="006E1FC9">
        <w:rPr>
          <w:rFonts w:asciiTheme="majorBidi" w:hAnsiTheme="majorBidi" w:cstheme="majorBidi"/>
        </w:rPr>
        <w:t xml:space="preserve"> details the statistical methods used to conduct the network meta-analysis, Section </w:t>
      </w:r>
      <w:r w:rsidR="00AD709F">
        <w:rPr>
          <w:rFonts w:asciiTheme="majorBidi" w:hAnsiTheme="majorBidi" w:cstheme="majorBidi"/>
        </w:rPr>
        <w:t>4.5.3</w:t>
      </w:r>
      <w:r w:rsidRPr="006E1FC9">
        <w:rPr>
          <w:rFonts w:asciiTheme="majorBidi" w:hAnsiTheme="majorBidi" w:cstheme="majorBidi"/>
        </w:rPr>
        <w:t xml:space="preserve"> reports which studies entered each analysis, </w:t>
      </w:r>
      <w:r w:rsidR="00AD709F">
        <w:rPr>
          <w:rFonts w:asciiTheme="majorBidi" w:hAnsiTheme="majorBidi" w:cstheme="majorBidi"/>
        </w:rPr>
        <w:t xml:space="preserve">and Section 4.5.4 details </w:t>
      </w:r>
      <w:r w:rsidRPr="006E1FC9">
        <w:rPr>
          <w:rFonts w:asciiTheme="majorBidi" w:hAnsiTheme="majorBidi" w:cstheme="majorBidi"/>
        </w:rPr>
        <w:t>the results of these analyses, and which were used in the decision analytic model.</w:t>
      </w:r>
    </w:p>
    <w:p w14:paraId="4D62A2BF" w14:textId="0D0F4630" w:rsidR="00FE7A08" w:rsidRPr="000056E1" w:rsidRDefault="00FE7A08" w:rsidP="005A3BE6">
      <w:pPr>
        <w:numPr>
          <w:ilvl w:val="0"/>
          <w:numId w:val="24"/>
        </w:numPr>
        <w:spacing w:before="240" w:after="120" w:line="360" w:lineRule="auto"/>
        <w:contextualSpacing/>
        <w:jc w:val="both"/>
        <w:rPr>
          <w:rFonts w:ascii="Times New Roman" w:eastAsia="Calibri" w:hAnsi="Times New Roman" w:cs="Times New Roman"/>
        </w:rPr>
      </w:pPr>
      <w:r w:rsidRPr="000056E1">
        <w:rPr>
          <w:rFonts w:asciiTheme="majorBidi" w:hAnsiTheme="majorBidi" w:cstheme="majorBidi"/>
          <w:b/>
          <w:bCs/>
        </w:rPr>
        <w:t>Studies with unusual inclusion criteria:</w:t>
      </w:r>
      <w:r w:rsidRPr="000056E1">
        <w:rPr>
          <w:rFonts w:asciiTheme="majorBidi" w:hAnsiTheme="majorBidi" w:cstheme="majorBidi"/>
        </w:rPr>
        <w:t xml:space="preserve">  </w:t>
      </w:r>
      <w:r>
        <w:rPr>
          <w:rFonts w:asciiTheme="majorBidi" w:hAnsiTheme="majorBidi" w:cstheme="majorBidi"/>
        </w:rPr>
        <w:t>S</w:t>
      </w:r>
      <w:r w:rsidRPr="000056E1">
        <w:rPr>
          <w:rFonts w:asciiTheme="majorBidi" w:hAnsiTheme="majorBidi" w:cstheme="majorBidi"/>
        </w:rPr>
        <w:t xml:space="preserve">ome studies selected isolates </w:t>
      </w:r>
      <w:proofErr w:type="gramStart"/>
      <w:r w:rsidRPr="000056E1">
        <w:rPr>
          <w:rFonts w:asciiTheme="majorBidi" w:hAnsiTheme="majorBidi" w:cstheme="majorBidi"/>
        </w:rPr>
        <w:t>on the basis of</w:t>
      </w:r>
      <w:proofErr w:type="gramEnd"/>
      <w:r w:rsidRPr="000056E1">
        <w:rPr>
          <w:rFonts w:asciiTheme="majorBidi" w:hAnsiTheme="majorBidi" w:cstheme="majorBidi"/>
        </w:rPr>
        <w:t xml:space="preserve"> resistance to other treatments. Where this included one of the </w:t>
      </w:r>
      <w:r w:rsidR="003A47E9">
        <w:rPr>
          <w:rFonts w:asciiTheme="majorBidi" w:hAnsiTheme="majorBidi" w:cstheme="majorBidi"/>
        </w:rPr>
        <w:t>HVCS</w:t>
      </w:r>
      <w:r w:rsidRPr="000056E1">
        <w:rPr>
          <w:rFonts w:asciiTheme="majorBidi" w:hAnsiTheme="majorBidi" w:cstheme="majorBidi"/>
        </w:rPr>
        <w:t>-defined comparators, this may have affected the comparative efficacy estimates for those treatments. The affected arms (</w:t>
      </w:r>
      <w:proofErr w:type="gramStart"/>
      <w:r w:rsidRPr="000056E1">
        <w:rPr>
          <w:rFonts w:asciiTheme="majorBidi" w:hAnsiTheme="majorBidi" w:cstheme="majorBidi"/>
        </w:rPr>
        <w:t>i.e.</w:t>
      </w:r>
      <w:proofErr w:type="gramEnd"/>
      <w:r w:rsidRPr="000056E1">
        <w:rPr>
          <w:rFonts w:asciiTheme="majorBidi" w:hAnsiTheme="majorBidi" w:cstheme="majorBidi"/>
        </w:rPr>
        <w:t xml:space="preserve"> the treatment arm for the treatment that was used to select isolates for testing) were consequently excluded from </w:t>
      </w:r>
      <w:r w:rsidR="00F2111E">
        <w:rPr>
          <w:rFonts w:asciiTheme="majorBidi" w:hAnsiTheme="majorBidi" w:cstheme="majorBidi"/>
        </w:rPr>
        <w:t>all analyses</w:t>
      </w:r>
      <w:r w:rsidRPr="000056E1">
        <w:rPr>
          <w:rFonts w:asciiTheme="majorBidi" w:hAnsiTheme="majorBidi" w:cstheme="majorBidi"/>
        </w:rPr>
        <w:t xml:space="preserve">, and an analysis performed to exclude these studies in case the inclusion criteria affected the relative efficacy of the other treatments they tested. </w:t>
      </w:r>
    </w:p>
    <w:p w14:paraId="5C0A6728" w14:textId="77777777" w:rsidR="00FE7A08" w:rsidRPr="000056E1" w:rsidRDefault="00FE7A08" w:rsidP="005A3BE6">
      <w:pPr>
        <w:numPr>
          <w:ilvl w:val="0"/>
          <w:numId w:val="24"/>
        </w:numPr>
        <w:spacing w:before="240" w:after="120" w:line="360" w:lineRule="auto"/>
        <w:contextualSpacing/>
        <w:jc w:val="both"/>
        <w:rPr>
          <w:rFonts w:ascii="Times New Roman" w:eastAsia="Calibri" w:hAnsi="Times New Roman" w:cs="Times New Roman"/>
        </w:rPr>
      </w:pPr>
      <w:r w:rsidRPr="000056E1">
        <w:rPr>
          <w:rFonts w:asciiTheme="majorBidi" w:hAnsiTheme="majorBidi" w:cstheme="majorBidi"/>
          <w:b/>
          <w:bCs/>
        </w:rPr>
        <w:t>MBL co-carriage:</w:t>
      </w:r>
      <w:r w:rsidRPr="000056E1">
        <w:rPr>
          <w:rFonts w:asciiTheme="majorBidi" w:hAnsiTheme="majorBidi" w:cstheme="majorBidi"/>
        </w:rPr>
        <w:t xml:space="preserve"> Isolates can co-carry both MBLs and OXA-48’s, and those co-carrying MB</w:t>
      </w:r>
      <w:r>
        <w:rPr>
          <w:rFonts w:asciiTheme="majorBidi" w:hAnsiTheme="majorBidi" w:cstheme="majorBidi"/>
        </w:rPr>
        <w:t>L</w:t>
      </w:r>
      <w:r w:rsidRPr="000056E1">
        <w:rPr>
          <w:rFonts w:asciiTheme="majorBidi" w:hAnsiTheme="majorBidi" w:cstheme="majorBidi"/>
        </w:rPr>
        <w:t xml:space="preserve">s will generally not </w:t>
      </w:r>
      <w:r>
        <w:rPr>
          <w:rFonts w:asciiTheme="majorBidi" w:hAnsiTheme="majorBidi" w:cstheme="majorBidi"/>
        </w:rPr>
        <w:t xml:space="preserve">be </w:t>
      </w:r>
      <w:r w:rsidRPr="000056E1">
        <w:rPr>
          <w:rFonts w:asciiTheme="majorBidi" w:hAnsiTheme="majorBidi" w:cstheme="majorBidi"/>
        </w:rPr>
        <w:t xml:space="preserve">susceptible to CAZ-AVI. In the MDS, such isolates would not be treated with CAZ-AVI, and in the ES, where the mechanism-pathogen combination is highly suspected, the same would </w:t>
      </w:r>
      <w:r>
        <w:rPr>
          <w:rFonts w:asciiTheme="majorBidi" w:hAnsiTheme="majorBidi" w:cstheme="majorBidi"/>
        </w:rPr>
        <w:t xml:space="preserve">probably </w:t>
      </w:r>
      <w:r w:rsidRPr="000056E1">
        <w:rPr>
          <w:rFonts w:asciiTheme="majorBidi" w:hAnsiTheme="majorBidi" w:cstheme="majorBidi"/>
        </w:rPr>
        <w:t>apply. Therefore, studies including isolates with co-carriage of MBLs may report different absolute and potentially relative treatment effects for CAZ-AVI and comparators. A subgroup analysis of studies which excluded MBL co-carr</w:t>
      </w:r>
      <w:r>
        <w:rPr>
          <w:rFonts w:asciiTheme="majorBidi" w:hAnsiTheme="majorBidi" w:cstheme="majorBidi"/>
        </w:rPr>
        <w:t>ia</w:t>
      </w:r>
      <w:r w:rsidRPr="000056E1">
        <w:rPr>
          <w:rFonts w:asciiTheme="majorBidi" w:hAnsiTheme="majorBidi" w:cstheme="majorBidi"/>
        </w:rPr>
        <w:t xml:space="preserve">ge was therefore planned. </w:t>
      </w:r>
    </w:p>
    <w:p w14:paraId="16244758" w14:textId="417EF386" w:rsidR="00FE7A08" w:rsidRPr="000056E1" w:rsidRDefault="00FE7A08" w:rsidP="005A3BE6">
      <w:pPr>
        <w:numPr>
          <w:ilvl w:val="0"/>
          <w:numId w:val="24"/>
        </w:numPr>
        <w:spacing w:before="240" w:after="120" w:line="360" w:lineRule="auto"/>
        <w:contextualSpacing/>
        <w:jc w:val="both"/>
        <w:rPr>
          <w:rFonts w:ascii="Times New Roman" w:eastAsia="Calibri" w:hAnsi="Times New Roman" w:cs="Times New Roman"/>
        </w:rPr>
      </w:pPr>
      <w:r w:rsidRPr="000056E1">
        <w:rPr>
          <w:rFonts w:asciiTheme="majorBidi" w:hAnsiTheme="majorBidi" w:cstheme="majorBidi"/>
          <w:b/>
          <w:bCs/>
        </w:rPr>
        <w:t>Proportion with carbapenem susceptibility:</w:t>
      </w:r>
      <w:r w:rsidRPr="000056E1">
        <w:rPr>
          <w:rFonts w:asciiTheme="majorBidi" w:hAnsiTheme="majorBidi" w:cstheme="majorBidi"/>
        </w:rPr>
        <w:t xml:space="preserve"> An analysis of </w:t>
      </w:r>
      <w:r w:rsidR="00F61E75">
        <w:rPr>
          <w:rFonts w:asciiTheme="majorBidi" w:hAnsiTheme="majorBidi" w:cstheme="majorBidi"/>
        </w:rPr>
        <w:t xml:space="preserve">both </w:t>
      </w:r>
      <w:r w:rsidRPr="000056E1">
        <w:rPr>
          <w:rFonts w:asciiTheme="majorBidi" w:hAnsiTheme="majorBidi" w:cstheme="majorBidi"/>
        </w:rPr>
        <w:t xml:space="preserve">the PHE IPD </w:t>
      </w:r>
      <w:r w:rsidR="00F61E75">
        <w:rPr>
          <w:rFonts w:asciiTheme="majorBidi" w:hAnsiTheme="majorBidi" w:cstheme="majorBidi"/>
        </w:rPr>
        <w:t xml:space="preserve">and the IPD from </w:t>
      </w:r>
      <w:r w:rsidR="00F61E75" w:rsidRPr="00F61E75">
        <w:rPr>
          <w:rFonts w:asciiTheme="majorBidi" w:hAnsiTheme="majorBidi" w:cstheme="majorBidi"/>
        </w:rPr>
        <w:t>Vazquez-</w:t>
      </w:r>
      <w:proofErr w:type="spellStart"/>
      <w:r w:rsidR="00F61E75" w:rsidRPr="00F61E75">
        <w:rPr>
          <w:rFonts w:asciiTheme="majorBidi" w:hAnsiTheme="majorBidi" w:cstheme="majorBidi"/>
        </w:rPr>
        <w:t>Ucha</w:t>
      </w:r>
      <w:proofErr w:type="spellEnd"/>
      <w:r w:rsidR="00F61E75">
        <w:rPr>
          <w:rFonts w:asciiTheme="majorBidi" w:hAnsiTheme="majorBidi" w:cstheme="majorBidi"/>
        </w:rPr>
        <w:t xml:space="preserve"> </w:t>
      </w:r>
      <w:r w:rsidR="00F61E75">
        <w:rPr>
          <w:rFonts w:asciiTheme="majorBidi" w:hAnsiTheme="majorBidi" w:cstheme="majorBidi"/>
          <w:i/>
          <w:iCs/>
        </w:rPr>
        <w:t>et al</w:t>
      </w:r>
      <w:r w:rsidR="00F61E75">
        <w:rPr>
          <w:rFonts w:asciiTheme="majorBidi" w:hAnsiTheme="majorBidi" w:cstheme="majorBidi"/>
        </w:rPr>
        <w:t xml:space="preserve"> </w:t>
      </w:r>
      <w:r w:rsidRPr="000056E1">
        <w:rPr>
          <w:rFonts w:asciiTheme="majorBidi" w:hAnsiTheme="majorBidi" w:cstheme="majorBidi"/>
        </w:rPr>
        <w:t>indicated that selection of meropenem-resistant isolates may impact on estimates of treatment efficacy for CAZ-AVI</w:t>
      </w:r>
      <w:r w:rsidR="00F61E75">
        <w:rPr>
          <w:rFonts w:asciiTheme="majorBidi" w:hAnsiTheme="majorBidi" w:cstheme="majorBidi"/>
        </w:rPr>
        <w:t>. A</w:t>
      </w:r>
      <w:r w:rsidRPr="000056E1">
        <w:rPr>
          <w:rFonts w:asciiTheme="majorBidi" w:hAnsiTheme="majorBidi" w:cstheme="majorBidi"/>
        </w:rPr>
        <w:t>s such</w:t>
      </w:r>
      <w:r>
        <w:rPr>
          <w:rFonts w:asciiTheme="majorBidi" w:hAnsiTheme="majorBidi" w:cstheme="majorBidi"/>
        </w:rPr>
        <w:t>,</w:t>
      </w:r>
      <w:r w:rsidRPr="000056E1">
        <w:rPr>
          <w:rFonts w:asciiTheme="majorBidi" w:hAnsiTheme="majorBidi" w:cstheme="majorBidi"/>
        </w:rPr>
        <w:t xml:space="preserve"> a meta-regression based on the proportion of meropenem non-susceptible isolates per study was planned.</w:t>
      </w:r>
    </w:p>
    <w:p w14:paraId="08D1BE55" w14:textId="557E0235" w:rsidR="00FE7A08" w:rsidRPr="000056E1" w:rsidRDefault="00FE7A08" w:rsidP="005A3BE6">
      <w:pPr>
        <w:numPr>
          <w:ilvl w:val="0"/>
          <w:numId w:val="24"/>
        </w:numPr>
        <w:spacing w:before="240" w:after="120" w:line="360" w:lineRule="auto"/>
        <w:contextualSpacing/>
        <w:jc w:val="both"/>
        <w:rPr>
          <w:rFonts w:ascii="Times New Roman" w:eastAsia="Calibri" w:hAnsi="Times New Roman" w:cs="Times New Roman"/>
        </w:rPr>
      </w:pPr>
      <w:r w:rsidRPr="000056E1">
        <w:rPr>
          <w:rFonts w:asciiTheme="majorBidi" w:hAnsiTheme="majorBidi" w:cstheme="majorBidi"/>
          <w:b/>
          <w:bCs/>
        </w:rPr>
        <w:t>Consecutive sample recruitment:</w:t>
      </w:r>
      <w:r w:rsidRPr="000056E1">
        <w:rPr>
          <w:rFonts w:asciiTheme="majorBidi" w:hAnsiTheme="majorBidi" w:cstheme="majorBidi"/>
        </w:rPr>
        <w:t xml:space="preserve"> Since susceptibility estimates are essentially a prevalence statistic, ideally isolates would have been collected consecutively, or selected to maintain a representative sample through, for example, random sampling. EEPRU considered that although a consecutive sample may </w:t>
      </w:r>
      <w:r w:rsidR="00593E66" w:rsidRPr="000056E1">
        <w:rPr>
          <w:rFonts w:asciiTheme="majorBidi" w:hAnsiTheme="majorBidi" w:cstheme="majorBidi"/>
        </w:rPr>
        <w:t>over select</w:t>
      </w:r>
      <w:r w:rsidRPr="000056E1">
        <w:rPr>
          <w:rFonts w:asciiTheme="majorBidi" w:hAnsiTheme="majorBidi" w:cstheme="majorBidi"/>
        </w:rPr>
        <w:t xml:space="preserve"> for an outbreak and therefore underrepresent </w:t>
      </w:r>
      <w:r w:rsidRPr="000056E1">
        <w:rPr>
          <w:rFonts w:asciiTheme="majorBidi" w:hAnsiTheme="majorBidi" w:cstheme="majorBidi"/>
        </w:rPr>
        <w:lastRenderedPageBreak/>
        <w:t xml:space="preserve">the diversity of susceptibility, a non-consecutive sample would not be reflective of any real-world population, unless carefully planned to maintain proportionality. A sensitivity analysis was therefore planned to investigate whether sample consecutiveness affected estimates of comparative efficacy. </w:t>
      </w:r>
    </w:p>
    <w:p w14:paraId="717F81AB" w14:textId="3B52F259" w:rsidR="00FE7A08" w:rsidRDefault="00FE7A08" w:rsidP="00A83123">
      <w:pPr>
        <w:numPr>
          <w:ilvl w:val="0"/>
          <w:numId w:val="24"/>
        </w:numPr>
        <w:spacing w:before="240" w:after="120" w:line="360" w:lineRule="auto"/>
        <w:contextualSpacing/>
        <w:jc w:val="both"/>
        <w:rPr>
          <w:rFonts w:asciiTheme="majorBidi" w:hAnsiTheme="majorBidi" w:cstheme="majorBidi"/>
        </w:rPr>
      </w:pPr>
      <w:r>
        <w:rPr>
          <w:rFonts w:asciiTheme="majorBidi" w:hAnsiTheme="majorBidi" w:cstheme="majorBidi"/>
          <w:b/>
        </w:rPr>
        <w:t>Laboratory</w:t>
      </w:r>
      <w:r w:rsidRPr="00530B34">
        <w:rPr>
          <w:rFonts w:asciiTheme="majorBidi" w:hAnsiTheme="majorBidi" w:cstheme="majorBidi"/>
          <w:b/>
        </w:rPr>
        <w:t xml:space="preserve"> methodology</w:t>
      </w:r>
      <w:r>
        <w:rPr>
          <w:rFonts w:asciiTheme="majorBidi" w:hAnsiTheme="majorBidi" w:cstheme="majorBidi"/>
          <w:b/>
        </w:rPr>
        <w:t xml:space="preserve"> and breakpoints used</w:t>
      </w:r>
      <w:r w:rsidRPr="00530B34">
        <w:rPr>
          <w:rFonts w:asciiTheme="majorBidi" w:hAnsiTheme="majorBidi" w:cstheme="majorBidi"/>
          <w:b/>
        </w:rPr>
        <w:t xml:space="preserve">: </w:t>
      </w:r>
      <w:r w:rsidRPr="00530B34">
        <w:rPr>
          <w:rFonts w:asciiTheme="majorBidi" w:hAnsiTheme="majorBidi" w:cstheme="majorBidi"/>
          <w:bCs/>
        </w:rPr>
        <w:t xml:space="preserve">As </w:t>
      </w:r>
      <w:r w:rsidRPr="000056E1">
        <w:rPr>
          <w:rFonts w:asciiTheme="majorBidi" w:hAnsiTheme="majorBidi" w:cstheme="majorBidi"/>
        </w:rPr>
        <w:t>detailed in</w:t>
      </w:r>
      <w:r w:rsidR="00EE4C38">
        <w:rPr>
          <w:rFonts w:asciiTheme="majorBidi" w:hAnsiTheme="majorBidi" w:cstheme="majorBidi"/>
        </w:rPr>
        <w:t xml:space="preserve"> </w:t>
      </w:r>
      <w:r w:rsidR="00EE4C38" w:rsidRPr="00EE4C38">
        <w:rPr>
          <w:rFonts w:asciiTheme="majorBidi" w:hAnsiTheme="majorBidi" w:cstheme="majorBidi"/>
        </w:rPr>
        <w:t>Table 5</w:t>
      </w:r>
      <w:r w:rsidRPr="000056E1">
        <w:rPr>
          <w:rFonts w:asciiTheme="majorBidi" w:hAnsiTheme="majorBidi" w:cstheme="majorBidi"/>
        </w:rPr>
        <w:t xml:space="preserve">, it cannot be assumed that all laboratory methods and breakpoints are interchangeable. In England, BSAC guidelines have recommend </w:t>
      </w:r>
      <w:r w:rsidR="00B90B9B" w:rsidRPr="000056E1">
        <w:rPr>
          <w:rFonts w:asciiTheme="majorBidi" w:hAnsiTheme="majorBidi" w:cstheme="majorBidi"/>
        </w:rPr>
        <w:t>since 2016</w:t>
      </w:r>
      <w:r w:rsidR="00A83123" w:rsidRPr="00A83123">
        <w:rPr>
          <w:rFonts w:asciiTheme="majorBidi" w:hAnsiTheme="majorBidi" w:cstheme="majorBidi"/>
          <w:noProof/>
          <w:vertAlign w:val="superscript"/>
        </w:rPr>
        <w:t>69</w:t>
      </w:r>
      <w:r w:rsidR="00B90B9B">
        <w:rPr>
          <w:rFonts w:asciiTheme="majorBidi" w:hAnsiTheme="majorBidi" w:cstheme="majorBidi"/>
        </w:rPr>
        <w:t xml:space="preserve"> </w:t>
      </w:r>
      <w:r w:rsidRPr="000056E1">
        <w:rPr>
          <w:rFonts w:asciiTheme="majorBidi" w:hAnsiTheme="majorBidi" w:cstheme="majorBidi"/>
        </w:rPr>
        <w:t>that laboratories should use EUCAST laboratory methods and breakpoints</w:t>
      </w:r>
      <w:r w:rsidR="00B90B9B">
        <w:rPr>
          <w:rFonts w:asciiTheme="majorBidi" w:hAnsiTheme="majorBidi" w:cstheme="majorBidi"/>
        </w:rPr>
        <w:t>.</w:t>
      </w:r>
      <w:r w:rsidRPr="000056E1">
        <w:rPr>
          <w:rFonts w:asciiTheme="majorBidi" w:hAnsiTheme="majorBidi" w:cstheme="majorBidi"/>
        </w:rPr>
        <w:t xml:space="preserve"> Therefore, currently in England, studies using EUCAST methods and breakpoints have the highest clinical relevance. However, in their response to EEPRU’s data request, PHE noted that not all English laboratories comply with this guideline</w:t>
      </w:r>
      <w:r>
        <w:rPr>
          <w:rFonts w:asciiTheme="majorBidi" w:hAnsiTheme="majorBidi" w:cstheme="majorBidi"/>
        </w:rPr>
        <w:t xml:space="preserve">, </w:t>
      </w:r>
      <w:r w:rsidRPr="000056E1">
        <w:rPr>
          <w:rFonts w:asciiTheme="majorBidi" w:hAnsiTheme="majorBidi" w:cstheme="majorBidi"/>
        </w:rPr>
        <w:t xml:space="preserve">and it is unclear to what extent CLSI and </w:t>
      </w:r>
      <w:r>
        <w:rPr>
          <w:rFonts w:asciiTheme="majorBidi" w:hAnsiTheme="majorBidi" w:cstheme="majorBidi"/>
        </w:rPr>
        <w:t xml:space="preserve">potentially </w:t>
      </w:r>
      <w:r w:rsidRPr="000056E1">
        <w:rPr>
          <w:rFonts w:asciiTheme="majorBidi" w:hAnsiTheme="majorBidi" w:cstheme="majorBidi"/>
        </w:rPr>
        <w:t>other methods</w:t>
      </w:r>
      <w:r>
        <w:rPr>
          <w:rFonts w:asciiTheme="majorBidi" w:hAnsiTheme="majorBidi" w:cstheme="majorBidi"/>
        </w:rPr>
        <w:t>,</w:t>
      </w:r>
      <w:r w:rsidRPr="000056E1">
        <w:rPr>
          <w:rFonts w:asciiTheme="majorBidi" w:hAnsiTheme="majorBidi" w:cstheme="majorBidi"/>
        </w:rPr>
        <w:t xml:space="preserve"> implemented by commercial assays</w:t>
      </w:r>
      <w:r>
        <w:rPr>
          <w:rFonts w:asciiTheme="majorBidi" w:hAnsiTheme="majorBidi" w:cstheme="majorBidi"/>
        </w:rPr>
        <w:t>,</w:t>
      </w:r>
      <w:r w:rsidRPr="000056E1">
        <w:rPr>
          <w:rFonts w:asciiTheme="majorBidi" w:hAnsiTheme="majorBidi" w:cstheme="majorBidi"/>
        </w:rPr>
        <w:t xml:space="preserve"> may have been included in the PHE data</w:t>
      </w:r>
      <w:r>
        <w:rPr>
          <w:rFonts w:asciiTheme="majorBidi" w:hAnsiTheme="majorBidi" w:cstheme="majorBidi"/>
        </w:rPr>
        <w:t>.</w:t>
      </w:r>
      <w:r w:rsidRPr="000056E1">
        <w:rPr>
          <w:rFonts w:asciiTheme="majorBidi" w:hAnsiTheme="majorBidi" w:cstheme="majorBidi"/>
        </w:rPr>
        <w:t xml:space="preserve"> This is an insurmountable issue with the PHE data, and with respect to this evaluation leaves EEPRU with two main options: A) include all studies regardless of which methods and breakpoints have been used, since across England there is likely to be a mixture, and B) only include studies that use EUCAST or BSAC methodologies, since it can be assumed that </w:t>
      </w:r>
      <w:proofErr w:type="gramStart"/>
      <w:r w:rsidRPr="000056E1">
        <w:rPr>
          <w:rFonts w:asciiTheme="majorBidi" w:hAnsiTheme="majorBidi" w:cstheme="majorBidi"/>
        </w:rPr>
        <w:t>the majority of</w:t>
      </w:r>
      <w:proofErr w:type="gramEnd"/>
      <w:r w:rsidRPr="000056E1">
        <w:rPr>
          <w:rFonts w:asciiTheme="majorBidi" w:hAnsiTheme="majorBidi" w:cstheme="majorBidi"/>
        </w:rPr>
        <w:t xml:space="preserve"> centres will comply with BSAC/EUCAST recommendations. Both analyses were therefore planned. </w:t>
      </w:r>
    </w:p>
    <w:p w14:paraId="439E5F34" w14:textId="77777777" w:rsidR="00FE7A08" w:rsidRDefault="00FE7A08" w:rsidP="00FE7A08">
      <w:pPr>
        <w:spacing w:before="240" w:after="120" w:line="360" w:lineRule="auto"/>
        <w:contextualSpacing/>
        <w:jc w:val="both"/>
        <w:rPr>
          <w:rFonts w:asciiTheme="majorBidi" w:hAnsiTheme="majorBidi" w:cstheme="majorBidi"/>
        </w:rPr>
      </w:pPr>
    </w:p>
    <w:p w14:paraId="51BBC0CE" w14:textId="553E1F03" w:rsidR="005E61DF" w:rsidRPr="00090344" w:rsidRDefault="005E61DF" w:rsidP="005E61DF">
      <w:pPr>
        <w:pStyle w:val="Caption"/>
        <w:keepNext/>
        <w:jc w:val="both"/>
        <w:rPr>
          <w:rFonts w:asciiTheme="majorBidi" w:hAnsiTheme="majorBidi" w:cstheme="majorBidi"/>
          <w:b/>
          <w:bCs/>
          <w:i w:val="0"/>
          <w:iCs w:val="0"/>
          <w:color w:val="auto"/>
          <w:sz w:val="20"/>
          <w:szCs w:val="20"/>
        </w:rPr>
      </w:pPr>
      <w:bookmarkStart w:id="155" w:name="_Ref85642497"/>
      <w:bookmarkStart w:id="156" w:name="_Toc86418985"/>
      <w:r w:rsidRPr="00090344">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8</w:t>
      </w:r>
      <w:bookmarkEnd w:id="155"/>
      <w:r w:rsidR="00EE4C38" w:rsidRPr="00090344">
        <w:rPr>
          <w:rFonts w:asciiTheme="majorBidi" w:hAnsiTheme="majorBidi" w:cstheme="majorBidi"/>
          <w:b/>
          <w:bCs/>
          <w:i w:val="0"/>
          <w:iCs w:val="0"/>
          <w:color w:val="auto"/>
          <w:sz w:val="20"/>
          <w:szCs w:val="20"/>
        </w:rPr>
        <w:tab/>
        <w:t>Summary of planned analyses</w:t>
      </w:r>
      <w:bookmarkEnd w:id="156"/>
    </w:p>
    <w:tbl>
      <w:tblPr>
        <w:tblStyle w:val="TableGrid"/>
        <w:tblW w:w="5000" w:type="pct"/>
        <w:tblLook w:val="04A0" w:firstRow="1" w:lastRow="0" w:firstColumn="1" w:lastColumn="0" w:noHBand="0" w:noVBand="1"/>
      </w:tblPr>
      <w:tblGrid>
        <w:gridCol w:w="2254"/>
        <w:gridCol w:w="2254"/>
        <w:gridCol w:w="2254"/>
        <w:gridCol w:w="2254"/>
      </w:tblGrid>
      <w:tr w:rsidR="00AF4752" w:rsidRPr="006E1FC9" w14:paraId="7294B5D2" w14:textId="77777777" w:rsidTr="00AF4752">
        <w:tc>
          <w:tcPr>
            <w:tcW w:w="1250" w:type="pct"/>
            <w:shd w:val="clear" w:color="auto" w:fill="BFBFBF" w:themeFill="background1" w:themeFillShade="BF"/>
            <w:vAlign w:val="center"/>
          </w:tcPr>
          <w:p w14:paraId="2737AA8A" w14:textId="729A368F" w:rsidR="00AF4752" w:rsidRDefault="00AF4752" w:rsidP="00AF4752">
            <w:pPr>
              <w:spacing w:after="120" w:line="360" w:lineRule="auto"/>
              <w:rPr>
                <w:rFonts w:asciiTheme="majorBidi" w:hAnsiTheme="majorBidi" w:cstheme="majorBidi"/>
                <w:b/>
                <w:bCs/>
              </w:rPr>
            </w:pPr>
            <w:r>
              <w:rPr>
                <w:rFonts w:asciiTheme="majorBidi" w:hAnsiTheme="majorBidi" w:cstheme="majorBidi"/>
                <w:b/>
                <w:bCs/>
              </w:rPr>
              <w:t>Analysis</w:t>
            </w:r>
          </w:p>
          <w:p w14:paraId="57C2404C" w14:textId="0230DA69" w:rsidR="00AF4752" w:rsidRPr="006E1FC9" w:rsidRDefault="00AF4752" w:rsidP="00AF4752">
            <w:pPr>
              <w:spacing w:before="240" w:after="120" w:line="360" w:lineRule="auto"/>
              <w:contextualSpacing/>
              <w:rPr>
                <w:rFonts w:asciiTheme="majorBidi" w:hAnsiTheme="majorBidi" w:cstheme="majorBidi"/>
                <w:b/>
                <w:bCs/>
              </w:rPr>
            </w:pPr>
          </w:p>
        </w:tc>
        <w:tc>
          <w:tcPr>
            <w:tcW w:w="1250" w:type="pct"/>
            <w:shd w:val="clear" w:color="auto" w:fill="BFBFBF" w:themeFill="background1" w:themeFillShade="BF"/>
          </w:tcPr>
          <w:p w14:paraId="6528D1DD" w14:textId="34860EB4" w:rsidR="00AF4752" w:rsidRPr="006E1FC9" w:rsidRDefault="00AF4752" w:rsidP="000F029C">
            <w:pPr>
              <w:spacing w:before="240" w:after="120" w:line="360" w:lineRule="auto"/>
              <w:contextualSpacing/>
              <w:jc w:val="both"/>
              <w:rPr>
                <w:rFonts w:asciiTheme="majorBidi" w:hAnsiTheme="majorBidi" w:cstheme="majorBidi"/>
                <w:b/>
                <w:bCs/>
              </w:rPr>
            </w:pPr>
            <w:r>
              <w:rPr>
                <w:rFonts w:asciiTheme="majorBidi" w:hAnsiTheme="majorBidi" w:cstheme="majorBidi"/>
                <w:b/>
                <w:bCs/>
              </w:rPr>
              <w:t>Data set</w:t>
            </w:r>
          </w:p>
        </w:tc>
        <w:tc>
          <w:tcPr>
            <w:tcW w:w="1250" w:type="pct"/>
            <w:shd w:val="clear" w:color="auto" w:fill="BFBFBF" w:themeFill="background1" w:themeFillShade="BF"/>
          </w:tcPr>
          <w:p w14:paraId="6A07FE99" w14:textId="77777777" w:rsidR="00AF4752" w:rsidRPr="006E1FC9" w:rsidRDefault="00AF4752" w:rsidP="000F029C">
            <w:pPr>
              <w:spacing w:before="240" w:after="120" w:line="360" w:lineRule="auto"/>
              <w:contextualSpacing/>
              <w:jc w:val="both"/>
              <w:rPr>
                <w:rFonts w:asciiTheme="majorBidi" w:hAnsiTheme="majorBidi" w:cstheme="majorBidi"/>
                <w:b/>
                <w:bCs/>
              </w:rPr>
            </w:pPr>
            <w:r w:rsidRPr="006E1FC9">
              <w:rPr>
                <w:rFonts w:asciiTheme="majorBidi" w:hAnsiTheme="majorBidi" w:cstheme="majorBidi"/>
                <w:b/>
                <w:bCs/>
              </w:rPr>
              <w:t>Description</w:t>
            </w:r>
          </w:p>
        </w:tc>
        <w:tc>
          <w:tcPr>
            <w:tcW w:w="1250" w:type="pct"/>
            <w:shd w:val="clear" w:color="auto" w:fill="BFBFBF" w:themeFill="background1" w:themeFillShade="BF"/>
          </w:tcPr>
          <w:p w14:paraId="4FBF2253" w14:textId="77777777" w:rsidR="00AF4752" w:rsidRPr="006E1FC9" w:rsidRDefault="00AF4752" w:rsidP="000F029C">
            <w:pPr>
              <w:spacing w:before="240" w:after="120" w:line="360" w:lineRule="auto"/>
              <w:contextualSpacing/>
              <w:jc w:val="both"/>
              <w:rPr>
                <w:rFonts w:asciiTheme="majorBidi" w:hAnsiTheme="majorBidi" w:cstheme="majorBidi"/>
                <w:b/>
                <w:bCs/>
              </w:rPr>
            </w:pPr>
            <w:r w:rsidRPr="006E1FC9">
              <w:rPr>
                <w:rFonts w:asciiTheme="majorBidi" w:hAnsiTheme="majorBidi" w:cstheme="majorBidi"/>
                <w:b/>
                <w:bCs/>
              </w:rPr>
              <w:t xml:space="preserve">Rationale </w:t>
            </w:r>
          </w:p>
        </w:tc>
      </w:tr>
      <w:tr w:rsidR="00AF4752" w:rsidRPr="006E1FC9" w14:paraId="29D610D0" w14:textId="77777777" w:rsidTr="00AF4752">
        <w:tc>
          <w:tcPr>
            <w:tcW w:w="1250" w:type="pct"/>
          </w:tcPr>
          <w:p w14:paraId="77102340" w14:textId="11948B3E"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t>Main analysis</w:t>
            </w:r>
          </w:p>
        </w:tc>
        <w:tc>
          <w:tcPr>
            <w:tcW w:w="1250" w:type="pct"/>
          </w:tcPr>
          <w:p w14:paraId="567F6FD2" w14:textId="280F8939"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Full data set</w:t>
            </w:r>
          </w:p>
        </w:tc>
        <w:tc>
          <w:tcPr>
            <w:tcW w:w="1250" w:type="pct"/>
          </w:tcPr>
          <w:p w14:paraId="71F19CE2"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 xml:space="preserve">All studies included (n=16), excluding only the treatment arm for any treatments that were used to select isolates for testing (see first bullet point above). </w:t>
            </w:r>
          </w:p>
        </w:tc>
        <w:tc>
          <w:tcPr>
            <w:tcW w:w="1250" w:type="pct"/>
          </w:tcPr>
          <w:p w14:paraId="5D1C82E2"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To include all available evidence</w:t>
            </w:r>
          </w:p>
        </w:tc>
      </w:tr>
      <w:tr w:rsidR="00AF4752" w:rsidRPr="006E1FC9" w14:paraId="55D1677A" w14:textId="77777777" w:rsidTr="00AF4752">
        <w:tc>
          <w:tcPr>
            <w:tcW w:w="1250" w:type="pct"/>
          </w:tcPr>
          <w:p w14:paraId="4C8AC921" w14:textId="3016C608"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t>Main analysis</w:t>
            </w:r>
          </w:p>
        </w:tc>
        <w:tc>
          <w:tcPr>
            <w:tcW w:w="1250" w:type="pct"/>
          </w:tcPr>
          <w:p w14:paraId="144FC6F1" w14:textId="41253C65"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Reduced data set</w:t>
            </w:r>
          </w:p>
        </w:tc>
        <w:tc>
          <w:tcPr>
            <w:tcW w:w="1250" w:type="pct"/>
          </w:tcPr>
          <w:p w14:paraId="538FDB0D"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An inconsistency check was conducted and study arms that were inconsistent were removed (n=16)</w:t>
            </w:r>
          </w:p>
        </w:tc>
        <w:tc>
          <w:tcPr>
            <w:tcW w:w="1250" w:type="pct"/>
          </w:tcPr>
          <w:p w14:paraId="50D350D9"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 xml:space="preserve">To include all available evidence which were consistent </w:t>
            </w:r>
          </w:p>
        </w:tc>
      </w:tr>
      <w:tr w:rsidR="00AF4752" w:rsidRPr="006E1FC9" w14:paraId="1EC68838" w14:textId="77777777" w:rsidTr="00AF4752">
        <w:tc>
          <w:tcPr>
            <w:tcW w:w="1250" w:type="pct"/>
          </w:tcPr>
          <w:p w14:paraId="3E578FAF" w14:textId="533F445C"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lastRenderedPageBreak/>
              <w:t>Sensitivity analysis</w:t>
            </w:r>
          </w:p>
        </w:tc>
        <w:tc>
          <w:tcPr>
            <w:tcW w:w="1250" w:type="pct"/>
          </w:tcPr>
          <w:p w14:paraId="2CE0B17F" w14:textId="0407E7E3"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Unusual inclusion criteria</w:t>
            </w:r>
          </w:p>
        </w:tc>
        <w:tc>
          <w:tcPr>
            <w:tcW w:w="1250" w:type="pct"/>
          </w:tcPr>
          <w:p w14:paraId="430619B2" w14:textId="5B85FF74"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Subgroup analysis of studies without unusual inclusion criteria (n=13); meta-regression (n=16)</w:t>
            </w:r>
          </w:p>
        </w:tc>
        <w:tc>
          <w:tcPr>
            <w:tcW w:w="1250" w:type="pct"/>
          </w:tcPr>
          <w:p w14:paraId="5C14A338"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To check if studies with unusual inclusion criteria affected the results of the network</w:t>
            </w:r>
          </w:p>
        </w:tc>
      </w:tr>
      <w:tr w:rsidR="00AF4752" w:rsidRPr="006E1FC9" w14:paraId="527592CB" w14:textId="77777777" w:rsidTr="00AF4752">
        <w:tc>
          <w:tcPr>
            <w:tcW w:w="1250" w:type="pct"/>
          </w:tcPr>
          <w:p w14:paraId="0E0E1B33" w14:textId="4DE435F5"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t>Sensitivity analysis</w:t>
            </w:r>
          </w:p>
        </w:tc>
        <w:tc>
          <w:tcPr>
            <w:tcW w:w="1250" w:type="pct"/>
          </w:tcPr>
          <w:p w14:paraId="41647CE6" w14:textId="40300A76"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MBL co-carriage</w:t>
            </w:r>
          </w:p>
        </w:tc>
        <w:tc>
          <w:tcPr>
            <w:tcW w:w="1250" w:type="pct"/>
          </w:tcPr>
          <w:p w14:paraId="47185201" w14:textId="2FE402B1"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Only studies th</w:t>
            </w:r>
            <w:r>
              <w:rPr>
                <w:rFonts w:asciiTheme="majorBidi" w:hAnsiTheme="majorBidi" w:cstheme="majorBidi"/>
              </w:rPr>
              <w:t>at</w:t>
            </w:r>
            <w:r w:rsidRPr="006E1FC9">
              <w:rPr>
                <w:rFonts w:asciiTheme="majorBidi" w:hAnsiTheme="majorBidi" w:cstheme="majorBidi"/>
              </w:rPr>
              <w:t xml:space="preserve"> excluded MBL co-carriage (n=6)</w:t>
            </w:r>
          </w:p>
        </w:tc>
        <w:tc>
          <w:tcPr>
            <w:tcW w:w="1250" w:type="pct"/>
          </w:tcPr>
          <w:p w14:paraId="0B0ED106"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To check if co-carriage of MBLs affected the results of the network</w:t>
            </w:r>
          </w:p>
        </w:tc>
      </w:tr>
      <w:tr w:rsidR="00AF4752" w:rsidRPr="006E1FC9" w14:paraId="563D1FA1" w14:textId="77777777" w:rsidTr="00AF4752">
        <w:tc>
          <w:tcPr>
            <w:tcW w:w="1250" w:type="pct"/>
          </w:tcPr>
          <w:p w14:paraId="0F9716A0" w14:textId="46F6DEA8"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t>Sensitivity analysis</w:t>
            </w:r>
          </w:p>
        </w:tc>
        <w:tc>
          <w:tcPr>
            <w:tcW w:w="1250" w:type="pct"/>
          </w:tcPr>
          <w:p w14:paraId="038D57C2" w14:textId="4E362E32"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Proportion with carbapenem susceptibility</w:t>
            </w:r>
          </w:p>
        </w:tc>
        <w:tc>
          <w:tcPr>
            <w:tcW w:w="1250" w:type="pct"/>
          </w:tcPr>
          <w:p w14:paraId="606C5111"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Meta-regression based on % meropenem susceptible, including studies that reported this covariate (n=14)</w:t>
            </w:r>
          </w:p>
        </w:tc>
        <w:tc>
          <w:tcPr>
            <w:tcW w:w="1250" w:type="pct"/>
          </w:tcPr>
          <w:p w14:paraId="366EDDBB" w14:textId="005B005D"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 xml:space="preserve">To check if </w:t>
            </w:r>
            <w:r>
              <w:rPr>
                <w:rFonts w:asciiTheme="majorBidi" w:hAnsiTheme="majorBidi" w:cstheme="majorBidi"/>
              </w:rPr>
              <w:t xml:space="preserve">proportion with </w:t>
            </w:r>
            <w:r w:rsidRPr="006E1FC9">
              <w:rPr>
                <w:rFonts w:asciiTheme="majorBidi" w:hAnsiTheme="majorBidi" w:cstheme="majorBidi"/>
              </w:rPr>
              <w:t>carbapenem resistance affected the results of the network</w:t>
            </w:r>
          </w:p>
        </w:tc>
      </w:tr>
      <w:tr w:rsidR="00AF4752" w:rsidRPr="006E1FC9" w14:paraId="06C3B669" w14:textId="77777777" w:rsidTr="00AF4752">
        <w:tc>
          <w:tcPr>
            <w:tcW w:w="1250" w:type="pct"/>
          </w:tcPr>
          <w:p w14:paraId="1A25DA16" w14:textId="07C8A708" w:rsidR="00AF4752" w:rsidRPr="006E1FC9" w:rsidRDefault="00CF2F84" w:rsidP="000F029C">
            <w:pPr>
              <w:spacing w:before="240" w:after="120" w:line="360" w:lineRule="auto"/>
              <w:contextualSpacing/>
              <w:jc w:val="both"/>
              <w:rPr>
                <w:rFonts w:asciiTheme="majorBidi" w:hAnsiTheme="majorBidi" w:cstheme="majorBidi"/>
              </w:rPr>
            </w:pPr>
            <w:r>
              <w:rPr>
                <w:rFonts w:asciiTheme="majorBidi" w:hAnsiTheme="majorBidi" w:cstheme="majorBidi"/>
              </w:rPr>
              <w:t>Sensitivity analysis</w:t>
            </w:r>
          </w:p>
        </w:tc>
        <w:tc>
          <w:tcPr>
            <w:tcW w:w="1250" w:type="pct"/>
          </w:tcPr>
          <w:p w14:paraId="01F35562" w14:textId="324B9F2A"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Consecutive sample recruitment</w:t>
            </w:r>
          </w:p>
        </w:tc>
        <w:tc>
          <w:tcPr>
            <w:tcW w:w="1250" w:type="pct"/>
          </w:tcPr>
          <w:p w14:paraId="6F1F47AC"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Meta-regression (n=16)</w:t>
            </w:r>
          </w:p>
        </w:tc>
        <w:tc>
          <w:tcPr>
            <w:tcW w:w="1250" w:type="pct"/>
          </w:tcPr>
          <w:p w14:paraId="1E0D7EBC"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To check if consecutive recruitment of samples affected the results of the network</w:t>
            </w:r>
          </w:p>
        </w:tc>
      </w:tr>
      <w:tr w:rsidR="00AF4752" w14:paraId="48FC1343" w14:textId="77777777" w:rsidTr="00AF4752">
        <w:tc>
          <w:tcPr>
            <w:tcW w:w="1250" w:type="pct"/>
          </w:tcPr>
          <w:p w14:paraId="7429E3F2" w14:textId="37BC82C6" w:rsidR="00AF4752" w:rsidRPr="006E1FC9" w:rsidRDefault="00CF2F84" w:rsidP="000F029C">
            <w:pPr>
              <w:spacing w:before="240" w:after="120" w:line="360" w:lineRule="auto"/>
              <w:contextualSpacing/>
              <w:jc w:val="both"/>
              <w:rPr>
                <w:rFonts w:asciiTheme="majorBidi" w:hAnsiTheme="majorBidi" w:cstheme="majorBidi"/>
                <w:bCs/>
              </w:rPr>
            </w:pPr>
            <w:r>
              <w:rPr>
                <w:rFonts w:asciiTheme="majorBidi" w:hAnsiTheme="majorBidi" w:cstheme="majorBidi"/>
              </w:rPr>
              <w:t>Sensitivity analysis</w:t>
            </w:r>
          </w:p>
        </w:tc>
        <w:tc>
          <w:tcPr>
            <w:tcW w:w="1250" w:type="pct"/>
          </w:tcPr>
          <w:p w14:paraId="1D3991E5" w14:textId="392C50F0" w:rsidR="00AF4752" w:rsidRPr="006E1FC9" w:rsidRDefault="00AF4752" w:rsidP="000F029C">
            <w:pPr>
              <w:spacing w:before="240" w:after="120" w:line="360" w:lineRule="auto"/>
              <w:contextualSpacing/>
              <w:jc w:val="both"/>
              <w:rPr>
                <w:rFonts w:asciiTheme="majorBidi" w:hAnsiTheme="majorBidi" w:cstheme="majorBidi"/>
                <w:bCs/>
              </w:rPr>
            </w:pPr>
            <w:r w:rsidRPr="006E1FC9">
              <w:rPr>
                <w:rFonts w:asciiTheme="majorBidi" w:hAnsiTheme="majorBidi" w:cstheme="majorBidi"/>
                <w:bCs/>
              </w:rPr>
              <w:t>EUCAST subgroup</w:t>
            </w:r>
          </w:p>
        </w:tc>
        <w:tc>
          <w:tcPr>
            <w:tcW w:w="1250" w:type="pct"/>
          </w:tcPr>
          <w:p w14:paraId="449EB710" w14:textId="77777777" w:rsidR="00AF4752" w:rsidRPr="006E1FC9"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Only studies using EUCAST or BSAC laboratory methods and breakpoints (n=3)</w:t>
            </w:r>
          </w:p>
        </w:tc>
        <w:tc>
          <w:tcPr>
            <w:tcW w:w="1250" w:type="pct"/>
          </w:tcPr>
          <w:p w14:paraId="17E1B57C" w14:textId="77777777" w:rsidR="00AF4752" w:rsidRDefault="00AF4752" w:rsidP="000F029C">
            <w:pPr>
              <w:spacing w:before="240" w:after="120" w:line="360" w:lineRule="auto"/>
              <w:contextualSpacing/>
              <w:jc w:val="both"/>
              <w:rPr>
                <w:rFonts w:asciiTheme="majorBidi" w:hAnsiTheme="majorBidi" w:cstheme="majorBidi"/>
              </w:rPr>
            </w:pPr>
            <w:r w:rsidRPr="006E1FC9">
              <w:rPr>
                <w:rFonts w:asciiTheme="majorBidi" w:hAnsiTheme="majorBidi" w:cstheme="majorBidi"/>
              </w:rPr>
              <w:t>To check if laboratory methods and breakpoints affected the results of the network</w:t>
            </w:r>
          </w:p>
        </w:tc>
      </w:tr>
    </w:tbl>
    <w:p w14:paraId="097BDA8B" w14:textId="77777777" w:rsidR="00FE7A08" w:rsidRDefault="00FE7A08" w:rsidP="00FE7A08">
      <w:pPr>
        <w:spacing w:before="240" w:after="120" w:line="360" w:lineRule="auto"/>
        <w:contextualSpacing/>
        <w:jc w:val="both"/>
        <w:rPr>
          <w:rFonts w:asciiTheme="majorBidi" w:hAnsiTheme="majorBidi" w:cstheme="majorBidi"/>
        </w:rPr>
      </w:pPr>
    </w:p>
    <w:p w14:paraId="6F7BBADE" w14:textId="77777777" w:rsidR="00FE7A08" w:rsidRPr="006E4E83" w:rsidRDefault="00FE7A08" w:rsidP="006E4E83">
      <w:pPr>
        <w:pStyle w:val="Heading3"/>
        <w:rPr>
          <w:rFonts w:asciiTheme="majorBidi" w:hAnsiTheme="majorBidi"/>
          <w:sz w:val="26"/>
          <w:szCs w:val="26"/>
        </w:rPr>
      </w:pPr>
      <w:bookmarkStart w:id="157" w:name="_Toc87462994"/>
      <w:r w:rsidRPr="006E4E83">
        <w:rPr>
          <w:rFonts w:asciiTheme="majorBidi" w:hAnsiTheme="majorBidi"/>
          <w:sz w:val="26"/>
          <w:szCs w:val="26"/>
        </w:rPr>
        <w:t>4.5.2 Statistical synthesis methods</w:t>
      </w:r>
      <w:bookmarkEnd w:id="157"/>
      <w:r w:rsidRPr="006E4E83">
        <w:rPr>
          <w:rFonts w:asciiTheme="majorBidi" w:hAnsiTheme="majorBidi"/>
          <w:sz w:val="26"/>
          <w:szCs w:val="26"/>
        </w:rPr>
        <w:t xml:space="preserve"> </w:t>
      </w:r>
    </w:p>
    <w:p w14:paraId="78BCD593" w14:textId="09B1F425" w:rsidR="00FE7A08" w:rsidRPr="000056E1" w:rsidRDefault="00FE7A08" w:rsidP="00FE7A08">
      <w:pPr>
        <w:spacing w:after="120" w:line="360" w:lineRule="auto"/>
        <w:jc w:val="both"/>
        <w:rPr>
          <w:rFonts w:asciiTheme="majorBidi" w:hAnsiTheme="majorBidi" w:cstheme="majorBidi"/>
        </w:rPr>
      </w:pPr>
      <w:r w:rsidRPr="000056E1">
        <w:rPr>
          <w:rFonts w:asciiTheme="majorBidi" w:hAnsiTheme="majorBidi" w:cstheme="majorBidi"/>
        </w:rPr>
        <w:t xml:space="preserve">A network meta-analysis (NMA) was conducted to determine the relative susceptibility of CAZ-AVI and listed comparators. The data generation process was assumed to follow a Binomial likelihood with probabilities modelled using a logit link function.  Random effect (RE) models were assumed to allow for expected between-study heterogeneity in relative effects. Further details of the statistical model are given in Appendix </w:t>
      </w:r>
      <w:r w:rsidR="00B63E09">
        <w:rPr>
          <w:rFonts w:asciiTheme="majorBidi" w:hAnsiTheme="majorBidi" w:cstheme="majorBidi"/>
        </w:rPr>
        <w:t>7</w:t>
      </w:r>
      <w:r w:rsidRPr="000056E1">
        <w:rPr>
          <w:rFonts w:asciiTheme="majorBidi" w:hAnsiTheme="majorBidi" w:cstheme="majorBidi"/>
        </w:rPr>
        <w:t>.</w:t>
      </w:r>
    </w:p>
    <w:p w14:paraId="7F5A5D36" w14:textId="6BBB726D" w:rsidR="00FE7A08" w:rsidRPr="000056E1" w:rsidRDefault="00FE7A08" w:rsidP="00A83123">
      <w:pPr>
        <w:spacing w:after="120" w:line="360" w:lineRule="auto"/>
        <w:jc w:val="both"/>
        <w:rPr>
          <w:rFonts w:asciiTheme="majorBidi" w:hAnsiTheme="majorBidi" w:cstheme="majorBidi"/>
        </w:rPr>
      </w:pPr>
      <w:r w:rsidRPr="000056E1">
        <w:rPr>
          <w:rFonts w:asciiTheme="majorBidi" w:hAnsiTheme="majorBidi" w:cstheme="majorBidi"/>
        </w:rPr>
        <w:t xml:space="preserve">Potential treatment effect modifiers listed in Section </w:t>
      </w:r>
      <w:r w:rsidR="00B63E09">
        <w:rPr>
          <w:rFonts w:asciiTheme="majorBidi" w:hAnsiTheme="majorBidi" w:cstheme="majorBidi"/>
        </w:rPr>
        <w:t>4.5.1</w:t>
      </w:r>
      <w:r w:rsidRPr="000056E1">
        <w:rPr>
          <w:rFonts w:asciiTheme="majorBidi" w:hAnsiTheme="majorBidi" w:cstheme="majorBidi"/>
        </w:rPr>
        <w:t xml:space="preserve"> were assessed using subgroup analyses and meta-regression</w:t>
      </w:r>
      <w:r w:rsidR="001C1F5D">
        <w:rPr>
          <w:rFonts w:asciiTheme="majorBidi" w:hAnsiTheme="majorBidi" w:cstheme="majorBidi"/>
        </w:rPr>
        <w:t>.</w:t>
      </w:r>
      <w:r w:rsidR="00A83123" w:rsidRPr="00A83123">
        <w:rPr>
          <w:rFonts w:asciiTheme="majorBidi" w:hAnsiTheme="majorBidi" w:cstheme="majorBidi"/>
          <w:noProof/>
          <w:vertAlign w:val="superscript"/>
        </w:rPr>
        <w:t>70</w:t>
      </w:r>
      <w:r w:rsidR="00E06F0D">
        <w:rPr>
          <w:rFonts w:asciiTheme="majorBidi" w:hAnsiTheme="majorBidi" w:cstheme="majorBidi"/>
        </w:rPr>
        <w:t xml:space="preserve"> </w:t>
      </w:r>
      <w:r w:rsidRPr="000056E1">
        <w:rPr>
          <w:rFonts w:asciiTheme="majorBidi" w:hAnsiTheme="majorBidi" w:cstheme="majorBidi"/>
        </w:rPr>
        <w:t xml:space="preserve">Where appropriate, meta-regressions were performed in preference to subgroup analyses since this provides a test </w:t>
      </w:r>
      <w:r w:rsidRPr="000056E1">
        <w:rPr>
          <w:rFonts w:ascii="Times New Roman" w:hAnsi="Times New Roman" w:cs="Times New Roman"/>
        </w:rPr>
        <w:t>for interactions between the treatment effects and trial level covariates</w:t>
      </w:r>
      <w:r w:rsidRPr="000056E1">
        <w:rPr>
          <w:rFonts w:asciiTheme="majorBidi" w:hAnsiTheme="majorBidi" w:cstheme="majorBidi"/>
        </w:rPr>
        <w:t xml:space="preserve">. </w:t>
      </w:r>
      <w:r w:rsidRPr="000056E1">
        <w:rPr>
          <w:rFonts w:ascii="Times New Roman" w:hAnsi="Times New Roman" w:cs="Times New Roman"/>
        </w:rPr>
        <w:t>Different assumptions can be made about the relationship between the interaction terms for each comparator</w:t>
      </w:r>
      <w:r>
        <w:rPr>
          <w:rFonts w:ascii="Times New Roman" w:hAnsi="Times New Roman" w:cs="Times New Roman"/>
        </w:rPr>
        <w:t>,</w:t>
      </w:r>
      <w:r w:rsidRPr="000056E1">
        <w:rPr>
          <w:rFonts w:ascii="Times New Roman" w:hAnsi="Times New Roman" w:cs="Times New Roman"/>
        </w:rPr>
        <w:t xml:space="preserve"> and a common interaction for each comparator was assumed. Where this was not </w:t>
      </w:r>
      <w:r w:rsidRPr="000056E1">
        <w:rPr>
          <w:rFonts w:ascii="Times New Roman" w:hAnsi="Times New Roman" w:cs="Times New Roman"/>
        </w:rPr>
        <w:lastRenderedPageBreak/>
        <w:t xml:space="preserve">considered appropriate, subgroup analyses were presented instead as more complex meta-regression models were ruled out due to the complexity of the network/sparsity of covariate information. </w:t>
      </w:r>
    </w:p>
    <w:p w14:paraId="48B6E7B6" w14:textId="1F2D5A6F" w:rsidR="00FE7A08" w:rsidRPr="000056E1" w:rsidRDefault="00FE7A08" w:rsidP="00A83123">
      <w:pPr>
        <w:spacing w:after="120" w:line="360" w:lineRule="auto"/>
        <w:jc w:val="both"/>
        <w:rPr>
          <w:rFonts w:asciiTheme="majorBidi" w:hAnsiTheme="majorBidi" w:cstheme="majorBidi"/>
        </w:rPr>
      </w:pPr>
      <w:r w:rsidRPr="000056E1">
        <w:rPr>
          <w:rFonts w:asciiTheme="majorBidi" w:hAnsiTheme="majorBidi" w:cstheme="majorBidi"/>
        </w:rPr>
        <w:t>All analyses were conducted in the freely available software package WinBUGS</w:t>
      </w:r>
      <w:r w:rsidR="00A83123" w:rsidRPr="00A83123">
        <w:rPr>
          <w:rFonts w:asciiTheme="majorBidi" w:hAnsiTheme="majorBidi" w:cstheme="majorBidi"/>
          <w:noProof/>
          <w:vertAlign w:val="superscript"/>
        </w:rPr>
        <w:t>71</w:t>
      </w:r>
      <w:r w:rsidRPr="000056E1">
        <w:rPr>
          <w:rFonts w:asciiTheme="majorBidi" w:hAnsiTheme="majorBidi" w:cstheme="majorBidi"/>
        </w:rPr>
        <w:t xml:space="preserve"> and R</w:t>
      </w:r>
      <w:r w:rsidR="00A83123" w:rsidRPr="00A83123">
        <w:rPr>
          <w:rFonts w:asciiTheme="majorBidi" w:hAnsiTheme="majorBidi" w:cstheme="majorBidi"/>
          <w:noProof/>
          <w:vertAlign w:val="superscript"/>
        </w:rPr>
        <w:t>72</w:t>
      </w:r>
      <w:r w:rsidR="00E06F0D">
        <w:rPr>
          <w:rFonts w:asciiTheme="majorBidi" w:hAnsiTheme="majorBidi" w:cstheme="majorBidi"/>
        </w:rPr>
        <w:t xml:space="preserve"> </w:t>
      </w:r>
      <w:r>
        <w:rPr>
          <w:rFonts w:asciiTheme="majorBidi" w:hAnsiTheme="majorBidi" w:cstheme="majorBidi"/>
        </w:rPr>
        <w:t>using</w:t>
      </w:r>
      <w:r w:rsidRPr="000056E1">
        <w:rPr>
          <w:rFonts w:asciiTheme="majorBidi" w:hAnsiTheme="majorBidi" w:cstheme="majorBidi"/>
        </w:rPr>
        <w:t xml:space="preserve"> the R2Winbugs</w:t>
      </w:r>
      <w:r w:rsidR="006C1B9A">
        <w:rPr>
          <w:rFonts w:asciiTheme="majorBidi" w:hAnsiTheme="majorBidi" w:cstheme="majorBidi"/>
        </w:rPr>
        <w:t>i</w:t>
      </w:r>
      <w:r w:rsidRPr="000056E1">
        <w:rPr>
          <w:rFonts w:asciiTheme="majorBidi" w:hAnsiTheme="majorBidi" w:cstheme="majorBidi"/>
        </w:rPr>
        <w:t>nterface package. Code was modified from NICE TSD 2 example 1c (RE models).</w:t>
      </w:r>
      <w:r w:rsidR="00A83123" w:rsidRPr="00A83123">
        <w:rPr>
          <w:rFonts w:asciiTheme="majorBidi" w:hAnsiTheme="majorBidi" w:cstheme="majorBidi"/>
          <w:noProof/>
          <w:vertAlign w:val="superscript"/>
        </w:rPr>
        <w:t>73</w:t>
      </w:r>
    </w:p>
    <w:p w14:paraId="2BE41E24" w14:textId="5DFACDD3" w:rsidR="00FE7A08" w:rsidRPr="000056E1" w:rsidRDefault="00FE7A08" w:rsidP="00A83123">
      <w:pPr>
        <w:spacing w:after="120" w:line="360" w:lineRule="auto"/>
        <w:jc w:val="both"/>
        <w:rPr>
          <w:rFonts w:asciiTheme="majorBidi" w:hAnsiTheme="majorBidi" w:cstheme="majorBidi"/>
        </w:rPr>
      </w:pPr>
      <w:r w:rsidRPr="000056E1">
        <w:rPr>
          <w:rFonts w:asciiTheme="majorBidi" w:hAnsiTheme="majorBidi" w:cstheme="majorBidi"/>
        </w:rPr>
        <w:t>Convergence to the target posterior distributions was assessed using the Gelman-Rubin statistic</w:t>
      </w:r>
      <w:r>
        <w:rPr>
          <w:rFonts w:asciiTheme="majorBidi" w:hAnsiTheme="majorBidi" w:cstheme="majorBidi"/>
        </w:rPr>
        <w:t>,</w:t>
      </w:r>
      <w:r w:rsidR="00A83123" w:rsidRPr="00A83123">
        <w:rPr>
          <w:rFonts w:asciiTheme="majorBidi" w:hAnsiTheme="majorBidi" w:cstheme="majorBidi"/>
          <w:noProof/>
          <w:vertAlign w:val="superscript"/>
        </w:rPr>
        <w:t>74</w:t>
      </w:r>
      <w:r w:rsidR="00E501AE">
        <w:rPr>
          <w:rFonts w:asciiTheme="majorBidi" w:hAnsiTheme="majorBidi" w:cstheme="majorBidi"/>
        </w:rPr>
        <w:t xml:space="preserve"> </w:t>
      </w:r>
      <w:r w:rsidRPr="000056E1">
        <w:rPr>
          <w:rFonts w:asciiTheme="majorBidi" w:hAnsiTheme="majorBidi" w:cstheme="majorBidi"/>
        </w:rPr>
        <w:t>as modified by Brooks and Gelman, for two chains with different initial values. For all outcomes, a burn-in of 80,000 iterations of the Markov chain was used with a further 20,000 iterations retained to estimate parameters using one chain and thinning every 5 iterations</w:t>
      </w:r>
      <w:r>
        <w:rPr>
          <w:rFonts w:asciiTheme="majorBidi" w:hAnsiTheme="majorBidi" w:cstheme="majorBidi"/>
        </w:rPr>
        <w:t>.</w:t>
      </w:r>
    </w:p>
    <w:p w14:paraId="69650991" w14:textId="0DA11C43" w:rsidR="00FE7A08" w:rsidRPr="000056E1" w:rsidRDefault="00FE7A08" w:rsidP="00A83123">
      <w:pPr>
        <w:spacing w:after="120" w:line="360" w:lineRule="auto"/>
        <w:jc w:val="both"/>
        <w:rPr>
          <w:rFonts w:asciiTheme="majorBidi" w:hAnsiTheme="majorBidi" w:cstheme="majorBidi"/>
        </w:rPr>
      </w:pPr>
      <w:r w:rsidRPr="000056E1">
        <w:rPr>
          <w:rFonts w:asciiTheme="majorBidi" w:hAnsiTheme="majorBidi" w:cstheme="majorBidi"/>
        </w:rPr>
        <w:t>The absolute goodness of fit was checked by comparing the total residual deviance to the total number of data points included in an analysis. The deviance information criterion (DIC) provides a relative measure of goodness-of-fit that penalises complexity and was used to compare different models for the same likelihood and data</w:t>
      </w:r>
      <w:r>
        <w:rPr>
          <w:rFonts w:asciiTheme="majorBidi" w:hAnsiTheme="majorBidi" w:cstheme="majorBidi"/>
        </w:rPr>
        <w:t>.</w:t>
      </w:r>
      <w:r w:rsidR="00A83123" w:rsidRPr="00A83123">
        <w:rPr>
          <w:rFonts w:asciiTheme="majorBidi" w:hAnsiTheme="majorBidi" w:cstheme="majorBidi"/>
          <w:noProof/>
          <w:vertAlign w:val="superscript"/>
        </w:rPr>
        <w:t>75</w:t>
      </w:r>
      <w:r w:rsidR="00E501AE">
        <w:rPr>
          <w:rFonts w:asciiTheme="majorBidi" w:hAnsiTheme="majorBidi" w:cstheme="majorBidi"/>
        </w:rPr>
        <w:t xml:space="preserve"> </w:t>
      </w:r>
      <w:r w:rsidR="006C1B9A">
        <w:rPr>
          <w:rFonts w:asciiTheme="majorBidi" w:hAnsiTheme="majorBidi" w:cstheme="majorBidi"/>
        </w:rPr>
        <w:t>L</w:t>
      </w:r>
      <w:r w:rsidRPr="000056E1">
        <w:rPr>
          <w:rFonts w:asciiTheme="majorBidi" w:hAnsiTheme="majorBidi" w:cstheme="majorBidi"/>
        </w:rPr>
        <w:t xml:space="preserve">ower values of DIC are favourable, suggesting a more parsimonious model. </w:t>
      </w:r>
    </w:p>
    <w:p w14:paraId="642CEC3F" w14:textId="2E982684" w:rsidR="00FE7A08" w:rsidRPr="00507D3E" w:rsidRDefault="00FE7A08" w:rsidP="00A83123">
      <w:pPr>
        <w:spacing w:after="120" w:line="360" w:lineRule="auto"/>
        <w:jc w:val="both"/>
        <w:rPr>
          <w:rFonts w:asciiTheme="majorBidi" w:hAnsiTheme="majorBidi" w:cstheme="majorBidi"/>
          <w:color w:val="242021"/>
        </w:rPr>
      </w:pPr>
      <w:r w:rsidRPr="000056E1">
        <w:rPr>
          <w:rFonts w:asciiTheme="majorBidi" w:hAnsiTheme="majorBidi" w:cstheme="majorBidi"/>
        </w:rPr>
        <w:t>Inconsistency between direct and indirect evidence can arise because of an imbalance in treatment</w:t>
      </w:r>
      <w:r w:rsidRPr="000056E1">
        <w:rPr>
          <w:rFonts w:asciiTheme="majorBidi" w:hAnsiTheme="majorBidi" w:cstheme="majorBidi"/>
        </w:rPr>
        <w:br/>
        <w:t>effect modifiers across studies comparing different pairs of treatments.</w:t>
      </w:r>
      <w:r w:rsidR="00A83123" w:rsidRPr="00A83123">
        <w:rPr>
          <w:rFonts w:asciiTheme="majorBidi" w:hAnsiTheme="majorBidi" w:cstheme="majorBidi"/>
          <w:noProof/>
          <w:vertAlign w:val="superscript"/>
        </w:rPr>
        <w:t>76,77</w:t>
      </w:r>
      <w:r w:rsidRPr="000056E1">
        <w:rPr>
          <w:rFonts w:asciiTheme="majorBidi" w:hAnsiTheme="majorBidi" w:cstheme="majorBidi"/>
        </w:rPr>
        <w:t xml:space="preserve"> Consistency between direct and indirect evidence can be assessed </w:t>
      </w:r>
      <w:r w:rsidRPr="000056E1">
        <w:rPr>
          <w:rFonts w:asciiTheme="majorBidi" w:hAnsiTheme="majorBidi" w:cstheme="majorBidi"/>
          <w:color w:val="242021"/>
        </w:rPr>
        <w:t>where there are “loops” of evidence in the network informed by separate, independent trials, so that both direct and indirect estimates are available.</w:t>
      </w:r>
      <w:r>
        <w:rPr>
          <w:rFonts w:asciiTheme="majorBidi" w:hAnsiTheme="majorBidi" w:cstheme="majorBidi"/>
          <w:color w:val="242021"/>
        </w:rPr>
        <w:t xml:space="preserve"> </w:t>
      </w:r>
      <w:r w:rsidRPr="000056E1">
        <w:rPr>
          <w:rFonts w:asciiTheme="majorBidi" w:hAnsiTheme="majorBidi" w:cstheme="majorBidi"/>
          <w:color w:val="242021"/>
        </w:rPr>
        <w:t>Inconsistency</w:t>
      </w:r>
      <w:r>
        <w:rPr>
          <w:rFonts w:asciiTheme="majorBidi" w:hAnsiTheme="majorBidi" w:cstheme="majorBidi"/>
          <w:color w:val="242021"/>
        </w:rPr>
        <w:t xml:space="preserve"> </w:t>
      </w:r>
      <w:r w:rsidRPr="000056E1">
        <w:rPr>
          <w:rFonts w:asciiTheme="majorBidi" w:hAnsiTheme="majorBidi" w:cstheme="majorBidi"/>
          <w:color w:val="242021"/>
        </w:rPr>
        <w:t>was assessed by fitting unrelated mean effects (UME) models, based on code from NICE TSD</w:t>
      </w:r>
      <w:r w:rsidR="006F3415">
        <w:rPr>
          <w:rFonts w:asciiTheme="majorBidi" w:hAnsiTheme="majorBidi" w:cstheme="majorBidi"/>
          <w:color w:val="242021"/>
        </w:rPr>
        <w:t xml:space="preserve"> </w:t>
      </w:r>
      <w:r w:rsidRPr="000056E1">
        <w:rPr>
          <w:rFonts w:asciiTheme="majorBidi" w:hAnsiTheme="majorBidi" w:cstheme="majorBidi"/>
          <w:color w:val="242021"/>
        </w:rPr>
        <w:t>4</w:t>
      </w:r>
      <w:r>
        <w:rPr>
          <w:rFonts w:asciiTheme="majorBidi" w:hAnsiTheme="majorBidi" w:cstheme="majorBidi"/>
          <w:color w:val="242021"/>
        </w:rPr>
        <w:t>.</w:t>
      </w:r>
      <w:r w:rsidR="00A83123" w:rsidRPr="00A83123">
        <w:rPr>
          <w:rFonts w:asciiTheme="majorBidi" w:hAnsiTheme="majorBidi" w:cstheme="majorBidi"/>
          <w:noProof/>
          <w:color w:val="242021"/>
          <w:vertAlign w:val="superscript"/>
        </w:rPr>
        <w:t>76</w:t>
      </w:r>
      <w:bookmarkStart w:id="158" w:name="_Hlk85831053"/>
      <w:r w:rsidR="00FD4EC3" w:rsidRPr="00FD4EC3">
        <w:rPr>
          <w:rFonts w:asciiTheme="majorBidi" w:hAnsiTheme="majorBidi" w:cstheme="majorBidi"/>
          <w:color w:val="242021"/>
        </w:rPr>
        <w:t> In the UME model the direct and indirect relative treatment effects are not constrained to be consistent with each other.</w:t>
      </w:r>
      <w:r w:rsidR="00FD4EC3" w:rsidRPr="00FD4EC3">
        <w:rPr>
          <w:rFonts w:asciiTheme="majorBidi" w:hAnsiTheme="majorBidi" w:cstheme="majorBidi"/>
        </w:rPr>
        <w:t> This is equivalent to having separate, unrelated, meta-analyses for every pairwise contrast and with a common variance parameter in random effects models.</w:t>
      </w:r>
      <w:bookmarkEnd w:id="158"/>
      <w:r w:rsidR="000C15B2">
        <w:rPr>
          <w:rFonts w:asciiTheme="majorBidi" w:hAnsiTheme="majorBidi" w:cstheme="majorBidi"/>
        </w:rPr>
        <w:t xml:space="preserve"> </w:t>
      </w:r>
      <w:r w:rsidRPr="000056E1">
        <w:rPr>
          <w:rFonts w:asciiTheme="majorBidi" w:hAnsiTheme="majorBidi" w:cstheme="majorBidi"/>
          <w:color w:val="242021"/>
        </w:rPr>
        <w:t xml:space="preserve">To explore whether the direct and indirect evidence for </w:t>
      </w:r>
      <w:proofErr w:type="gramStart"/>
      <w:r w:rsidRPr="000056E1">
        <w:rPr>
          <w:rFonts w:asciiTheme="majorBidi" w:hAnsiTheme="majorBidi" w:cstheme="majorBidi"/>
          <w:color w:val="242021"/>
        </w:rPr>
        <w:t>particular treatment</w:t>
      </w:r>
      <w:proofErr w:type="gramEnd"/>
      <w:r w:rsidRPr="000056E1">
        <w:rPr>
          <w:rFonts w:asciiTheme="majorBidi" w:hAnsiTheme="majorBidi" w:cstheme="majorBidi"/>
          <w:color w:val="242021"/>
        </w:rPr>
        <w:t xml:space="preserve"> comparisons is inconsistent, the contribution to the posterior mean residual deviance was plotted for the UME model against the NMA model in a deviance contribution plot</w:t>
      </w:r>
      <w:r>
        <w:rPr>
          <w:rFonts w:asciiTheme="majorBidi" w:hAnsiTheme="majorBidi" w:cstheme="majorBidi"/>
        </w:rPr>
        <w:t>.</w:t>
      </w:r>
      <w:r w:rsidR="00A83123" w:rsidRPr="00A83123">
        <w:rPr>
          <w:rFonts w:asciiTheme="majorBidi" w:hAnsiTheme="majorBidi" w:cstheme="majorBidi"/>
          <w:noProof/>
          <w:vertAlign w:val="superscript"/>
        </w:rPr>
        <w:t>76,77</w:t>
      </w:r>
    </w:p>
    <w:p w14:paraId="2A700E4C" w14:textId="77777777" w:rsidR="00FE7A08" w:rsidRPr="000056E1" w:rsidRDefault="00FE7A08" w:rsidP="00FE7A08">
      <w:pPr>
        <w:spacing w:after="120" w:line="360" w:lineRule="auto"/>
        <w:jc w:val="both"/>
        <w:rPr>
          <w:rFonts w:asciiTheme="majorBidi" w:hAnsiTheme="majorBidi" w:cstheme="majorBidi"/>
        </w:rPr>
      </w:pPr>
      <w:r w:rsidRPr="000056E1">
        <w:rPr>
          <w:rFonts w:asciiTheme="majorBidi" w:hAnsiTheme="majorBidi" w:cstheme="majorBidi"/>
        </w:rPr>
        <w:t>Results are presented using the posterior median treatment effects, 95% credible intervals (</w:t>
      </w:r>
      <w:proofErr w:type="spellStart"/>
      <w:r w:rsidRPr="000056E1">
        <w:rPr>
          <w:rFonts w:asciiTheme="majorBidi" w:hAnsiTheme="majorBidi" w:cstheme="majorBidi"/>
        </w:rPr>
        <w:t>CrI</w:t>
      </w:r>
      <w:proofErr w:type="spellEnd"/>
      <w:r w:rsidRPr="000056E1">
        <w:rPr>
          <w:rFonts w:asciiTheme="majorBidi" w:hAnsiTheme="majorBidi" w:cstheme="majorBidi"/>
        </w:rPr>
        <w:t>) and 95% prediction intervals (</w:t>
      </w:r>
      <w:proofErr w:type="spellStart"/>
      <w:r w:rsidRPr="000056E1">
        <w:rPr>
          <w:rFonts w:asciiTheme="majorBidi" w:hAnsiTheme="majorBidi" w:cstheme="majorBidi"/>
        </w:rPr>
        <w:t>PrI</w:t>
      </w:r>
      <w:proofErr w:type="spellEnd"/>
      <w:r w:rsidRPr="000056E1">
        <w:rPr>
          <w:rFonts w:asciiTheme="majorBidi" w:hAnsiTheme="majorBidi" w:cstheme="majorBidi"/>
        </w:rPr>
        <w:t xml:space="preserve">). The 95% </w:t>
      </w:r>
      <w:proofErr w:type="spellStart"/>
      <w:r w:rsidRPr="000056E1">
        <w:rPr>
          <w:rFonts w:asciiTheme="majorBidi" w:hAnsiTheme="majorBidi" w:cstheme="majorBidi"/>
        </w:rPr>
        <w:t>PrI</w:t>
      </w:r>
      <w:proofErr w:type="spellEnd"/>
      <w:r w:rsidRPr="000056E1">
        <w:rPr>
          <w:rFonts w:asciiTheme="majorBidi" w:hAnsiTheme="majorBidi" w:cstheme="majorBidi"/>
        </w:rPr>
        <w:t xml:space="preserve"> indicates the extent of between study heterogeneity by illustrating the range of </w:t>
      </w:r>
      <w:r>
        <w:rPr>
          <w:rFonts w:asciiTheme="majorBidi" w:hAnsiTheme="majorBidi" w:cstheme="majorBidi"/>
        </w:rPr>
        <w:t>odds ratios (ORs)</w:t>
      </w:r>
      <w:r w:rsidRPr="000056E1">
        <w:rPr>
          <w:rFonts w:asciiTheme="majorBidi" w:hAnsiTheme="majorBidi" w:cstheme="majorBidi"/>
        </w:rPr>
        <w:t xml:space="preserve"> that might be expected in a future study. Probabilities of treatment rankings were computed by counting the proportion of iterations of the Markov chain in which each intervention had each rank. Median treatment rankings and the probabilities of </w:t>
      </w:r>
      <w:r>
        <w:rPr>
          <w:rFonts w:asciiTheme="majorBidi" w:hAnsiTheme="majorBidi" w:cstheme="majorBidi"/>
        </w:rPr>
        <w:t xml:space="preserve">each treatment </w:t>
      </w:r>
      <w:r w:rsidRPr="000056E1">
        <w:rPr>
          <w:rFonts w:asciiTheme="majorBidi" w:hAnsiTheme="majorBidi" w:cstheme="majorBidi"/>
        </w:rPr>
        <w:t xml:space="preserve">being the best treatment </w:t>
      </w:r>
      <w:r>
        <w:rPr>
          <w:rFonts w:asciiTheme="majorBidi" w:hAnsiTheme="majorBidi" w:cstheme="majorBidi"/>
        </w:rPr>
        <w:t xml:space="preserve">(i.e., ranks the first) </w:t>
      </w:r>
      <w:r w:rsidRPr="000056E1">
        <w:rPr>
          <w:rFonts w:asciiTheme="majorBidi" w:hAnsiTheme="majorBidi" w:cstheme="majorBidi"/>
        </w:rPr>
        <w:t xml:space="preserve">are presented. </w:t>
      </w:r>
    </w:p>
    <w:p w14:paraId="27E1322F" w14:textId="6B39C817" w:rsidR="00FE7A08" w:rsidRPr="000056E1" w:rsidRDefault="00FE7A08" w:rsidP="00FE7A08">
      <w:pPr>
        <w:spacing w:after="120" w:line="360" w:lineRule="auto"/>
        <w:jc w:val="both"/>
        <w:rPr>
          <w:rFonts w:asciiTheme="majorBidi" w:hAnsiTheme="majorBidi" w:cstheme="majorBidi"/>
        </w:rPr>
      </w:pPr>
      <w:r w:rsidRPr="000056E1">
        <w:rPr>
          <w:rFonts w:asciiTheme="majorBidi" w:hAnsiTheme="majorBidi" w:cstheme="majorBidi"/>
        </w:rPr>
        <w:t>The estimated between-study standard deviation</w:t>
      </w:r>
      <w:r w:rsidR="00593E66" w:rsidRPr="000056E1">
        <w:rPr>
          <w:rFonts w:asciiTheme="majorBidi" w:hAnsiTheme="majorBidi" w:cstheme="majorBidi"/>
        </w:rPr>
        <w:t>,</w:t>
      </w:r>
      <m:oMath>
        <m:r>
          <w:rPr>
            <w:rFonts w:ascii="Cambria Math" w:hAnsi="Cambria Math" w:cstheme="majorBidi"/>
          </w:rPr>
          <m:t>τ</m:t>
        </m:r>
      </m:oMath>
      <w:r w:rsidRPr="000056E1">
        <w:rPr>
          <w:rFonts w:asciiTheme="majorBidi" w:hAnsiTheme="majorBidi" w:cstheme="majorBidi"/>
        </w:rPr>
        <w:t xml:space="preserve"> for each analysis is also presented. Values below 0.05 </w:t>
      </w:r>
      <w:r w:rsidR="00E3074C">
        <w:rPr>
          <w:rFonts w:asciiTheme="majorBidi" w:hAnsiTheme="majorBidi" w:cstheme="majorBidi"/>
        </w:rPr>
        <w:t>are</w:t>
      </w:r>
      <w:r w:rsidR="00E3074C" w:rsidRPr="000056E1">
        <w:rPr>
          <w:rFonts w:asciiTheme="majorBidi" w:hAnsiTheme="majorBidi" w:cstheme="majorBidi"/>
        </w:rPr>
        <w:t xml:space="preserve"> </w:t>
      </w:r>
      <w:r w:rsidRPr="000056E1">
        <w:rPr>
          <w:rFonts w:asciiTheme="majorBidi" w:hAnsiTheme="majorBidi" w:cstheme="majorBidi"/>
        </w:rPr>
        <w:t xml:space="preserve">considered to indicate low heterogeneity. Values between 0.05 and 0.5 </w:t>
      </w:r>
      <w:r w:rsidR="00E3074C">
        <w:rPr>
          <w:rFonts w:asciiTheme="majorBidi" w:hAnsiTheme="majorBidi" w:cstheme="majorBidi"/>
        </w:rPr>
        <w:t>are</w:t>
      </w:r>
      <w:r w:rsidRPr="000056E1">
        <w:rPr>
          <w:rFonts w:asciiTheme="majorBidi" w:hAnsiTheme="majorBidi" w:cstheme="majorBidi"/>
        </w:rPr>
        <w:t xml:space="preserve"> considered to indicate moderate heterogeneity. Values between 0.5 and 1.0 </w:t>
      </w:r>
      <w:r w:rsidR="00E3074C">
        <w:rPr>
          <w:rFonts w:asciiTheme="majorBidi" w:hAnsiTheme="majorBidi" w:cstheme="majorBidi"/>
        </w:rPr>
        <w:t>are</w:t>
      </w:r>
      <w:r w:rsidR="00E3074C" w:rsidRPr="000056E1">
        <w:rPr>
          <w:rFonts w:asciiTheme="majorBidi" w:hAnsiTheme="majorBidi" w:cstheme="majorBidi"/>
        </w:rPr>
        <w:t xml:space="preserve"> </w:t>
      </w:r>
      <w:r w:rsidRPr="000056E1">
        <w:rPr>
          <w:rFonts w:asciiTheme="majorBidi" w:hAnsiTheme="majorBidi" w:cstheme="majorBidi"/>
        </w:rPr>
        <w:t>considered to indicate high heterogeneity. Values above 1.0 are considered to indicate extremely high heterogeneity.</w:t>
      </w:r>
    </w:p>
    <w:p w14:paraId="054EEDE0" w14:textId="6524F3AF" w:rsidR="00FE7A08" w:rsidRPr="000056E1" w:rsidRDefault="00FE7A08" w:rsidP="00A83123">
      <w:pPr>
        <w:spacing w:after="120" w:line="360" w:lineRule="auto"/>
        <w:rPr>
          <w:rFonts w:asciiTheme="majorBidi" w:hAnsiTheme="majorBidi" w:cstheme="majorBidi"/>
          <w:b/>
          <w:bCs/>
        </w:rPr>
      </w:pPr>
      <w:r w:rsidRPr="000056E1">
        <w:rPr>
          <w:rFonts w:asciiTheme="majorBidi" w:hAnsiTheme="majorBidi" w:cstheme="majorBidi"/>
          <w:iCs/>
        </w:rPr>
        <w:lastRenderedPageBreak/>
        <w:t xml:space="preserve">In the case of zero events, a continuity correction was applied by adding 1 to the denominator and 0.5 to the numerator as suggested as a solution by NICE Decision Support Unit </w:t>
      </w:r>
      <w:r w:rsidR="00A83123" w:rsidRPr="00A83123">
        <w:rPr>
          <w:rFonts w:asciiTheme="majorBidi" w:hAnsiTheme="majorBidi" w:cstheme="majorBidi"/>
          <w:iCs/>
          <w:noProof/>
          <w:vertAlign w:val="superscript"/>
        </w:rPr>
        <w:t>73</w:t>
      </w:r>
    </w:p>
    <w:p w14:paraId="1A339AD2" w14:textId="77777777" w:rsidR="00FE7A08" w:rsidRPr="006E4E83" w:rsidRDefault="00FE7A08" w:rsidP="006E4E83">
      <w:pPr>
        <w:pStyle w:val="Heading3"/>
        <w:rPr>
          <w:rFonts w:asciiTheme="majorBidi" w:hAnsiTheme="majorBidi"/>
          <w:sz w:val="26"/>
          <w:szCs w:val="26"/>
        </w:rPr>
      </w:pPr>
      <w:bookmarkStart w:id="159" w:name="_Toc87462995"/>
      <w:bookmarkEnd w:id="153"/>
      <w:bookmarkEnd w:id="154"/>
      <w:r w:rsidRPr="006E4E83">
        <w:rPr>
          <w:rFonts w:asciiTheme="majorBidi" w:hAnsiTheme="majorBidi"/>
          <w:sz w:val="26"/>
          <w:szCs w:val="26"/>
        </w:rPr>
        <w:t>4.5.3 Susceptibility data entering the network meta-analysis</w:t>
      </w:r>
      <w:bookmarkEnd w:id="159"/>
      <w:r w:rsidRPr="006E4E83">
        <w:rPr>
          <w:rFonts w:asciiTheme="majorBidi" w:hAnsiTheme="majorBidi"/>
          <w:sz w:val="26"/>
          <w:szCs w:val="26"/>
        </w:rPr>
        <w:t xml:space="preserve"> </w:t>
      </w:r>
    </w:p>
    <w:p w14:paraId="48C72CC0" w14:textId="63055A8E" w:rsidR="00FE7A08" w:rsidRDefault="00EE4C38" w:rsidP="00A83123">
      <w:pPr>
        <w:spacing w:after="120" w:line="360" w:lineRule="auto"/>
        <w:rPr>
          <w:rFonts w:asciiTheme="majorBidi" w:hAnsiTheme="majorBidi" w:cstheme="majorBidi"/>
        </w:rPr>
      </w:pPr>
      <w:bookmarkStart w:id="160" w:name="_Hlk85210828"/>
      <w:r w:rsidRPr="00EE4C38">
        <w:rPr>
          <w:rFonts w:asciiTheme="majorBidi" w:hAnsiTheme="majorBidi" w:cstheme="majorBidi"/>
        </w:rPr>
        <w:t>Table 9</w:t>
      </w:r>
      <w:r>
        <w:rPr>
          <w:rFonts w:asciiTheme="majorBidi" w:hAnsiTheme="majorBidi" w:cstheme="majorBidi"/>
        </w:rPr>
        <w:t xml:space="preserve"> </w:t>
      </w:r>
      <w:r w:rsidR="00FE7A08" w:rsidRPr="00885DFB">
        <w:rPr>
          <w:rFonts w:asciiTheme="majorBidi" w:hAnsiTheme="majorBidi" w:cstheme="majorBidi"/>
        </w:rPr>
        <w:t xml:space="preserve">presents the susceptibility data from the 16 </w:t>
      </w:r>
      <w:r w:rsidR="00593E66" w:rsidRPr="00885DFB">
        <w:rPr>
          <w:rFonts w:asciiTheme="majorBidi" w:hAnsiTheme="majorBidi" w:cstheme="majorBidi"/>
        </w:rPr>
        <w:t xml:space="preserve">studies </w:t>
      </w:r>
      <w:r w:rsidR="00A83123" w:rsidRPr="00A83123">
        <w:rPr>
          <w:rFonts w:asciiTheme="majorBidi" w:hAnsiTheme="majorBidi" w:cstheme="majorBidi"/>
          <w:noProof/>
          <w:vertAlign w:val="superscript"/>
        </w:rPr>
        <w:t>1,37,44-46,50-53,56,57,60-62,65,66</w:t>
      </w:r>
      <w:r w:rsidR="00FE7A08" w:rsidRPr="00885DFB">
        <w:rPr>
          <w:rFonts w:asciiTheme="majorBidi" w:hAnsiTheme="majorBidi" w:cstheme="majorBidi"/>
        </w:rPr>
        <w:t xml:space="preserve"> included in the network meta-analysis. Data was available from at least one study for all HVCS comparators, but was particularly sparse for Fosfomycin (n=3</w:t>
      </w:r>
      <w:r w:rsidR="00FE7A08">
        <w:rPr>
          <w:rFonts w:asciiTheme="majorBidi" w:hAnsiTheme="majorBidi" w:cstheme="majorBidi"/>
        </w:rPr>
        <w:t xml:space="preserve"> studies</w:t>
      </w:r>
      <w:r w:rsidR="00593E66" w:rsidRPr="00885DFB">
        <w:rPr>
          <w:rFonts w:asciiTheme="majorBidi" w:hAnsiTheme="majorBidi" w:cstheme="majorBidi"/>
        </w:rPr>
        <w:t xml:space="preserve">) </w:t>
      </w:r>
      <w:r w:rsidR="00A83123" w:rsidRPr="00A83123">
        <w:rPr>
          <w:rFonts w:asciiTheme="majorBidi" w:hAnsiTheme="majorBidi" w:cstheme="majorBidi"/>
          <w:noProof/>
          <w:vertAlign w:val="superscript"/>
        </w:rPr>
        <w:t>1,37,50</w:t>
      </w:r>
      <w:r w:rsidR="00FE7A08" w:rsidRPr="00885DFB">
        <w:rPr>
          <w:rFonts w:asciiTheme="majorBidi" w:hAnsiTheme="majorBidi" w:cstheme="majorBidi"/>
        </w:rPr>
        <w:t xml:space="preserve"> and for ceftriaxone (n=2</w:t>
      </w:r>
      <w:r w:rsidR="00FE7A08">
        <w:rPr>
          <w:rFonts w:asciiTheme="majorBidi" w:hAnsiTheme="majorBidi" w:cstheme="majorBidi"/>
        </w:rPr>
        <w:t xml:space="preserve"> studies</w:t>
      </w:r>
      <w:r w:rsidR="00593E66" w:rsidRPr="00885DFB">
        <w:rPr>
          <w:rFonts w:asciiTheme="majorBidi" w:hAnsiTheme="majorBidi" w:cstheme="majorBidi"/>
        </w:rPr>
        <w:t xml:space="preserve">) </w:t>
      </w:r>
      <w:r w:rsidR="00A83123" w:rsidRPr="00A83123">
        <w:rPr>
          <w:rFonts w:asciiTheme="majorBidi" w:hAnsiTheme="majorBidi" w:cstheme="majorBidi"/>
          <w:noProof/>
          <w:vertAlign w:val="superscript"/>
        </w:rPr>
        <w:t>45,52</w:t>
      </w:r>
      <w:r w:rsidR="00FE7A08" w:rsidRPr="00885DFB">
        <w:rPr>
          <w:rFonts w:asciiTheme="majorBidi" w:hAnsiTheme="majorBidi" w:cstheme="majorBidi"/>
        </w:rPr>
        <w:t xml:space="preserve">. Susceptibility to CAZ-AVI was 100% in six </w:t>
      </w:r>
      <w:r w:rsidR="00593E66" w:rsidRPr="00885DFB">
        <w:rPr>
          <w:rFonts w:asciiTheme="majorBidi" w:hAnsiTheme="majorBidi" w:cstheme="majorBidi"/>
        </w:rPr>
        <w:t xml:space="preserve">studies </w:t>
      </w:r>
      <w:r w:rsidR="00A83123" w:rsidRPr="00A83123">
        <w:rPr>
          <w:rFonts w:asciiTheme="majorBidi" w:hAnsiTheme="majorBidi" w:cstheme="majorBidi"/>
          <w:noProof/>
          <w:vertAlign w:val="superscript"/>
        </w:rPr>
        <w:t>37,46,50-52,60,65</w:t>
      </w:r>
      <w:r w:rsidR="00FE7A08" w:rsidRPr="00885DFB">
        <w:rPr>
          <w:rFonts w:asciiTheme="majorBidi" w:hAnsiTheme="majorBidi" w:cstheme="majorBidi"/>
        </w:rPr>
        <w:t xml:space="preserve"> and above 90% in a further seven studies.</w:t>
      </w:r>
      <w:r w:rsidR="00A83123" w:rsidRPr="00A83123">
        <w:rPr>
          <w:rFonts w:asciiTheme="majorBidi" w:hAnsiTheme="majorBidi" w:cstheme="majorBidi"/>
          <w:noProof/>
          <w:vertAlign w:val="superscript"/>
        </w:rPr>
        <w:t>1,45,46,53,56,57,66</w:t>
      </w:r>
      <w:r w:rsidR="00FE7A08" w:rsidRPr="00885DFB">
        <w:rPr>
          <w:rFonts w:asciiTheme="majorBidi" w:hAnsiTheme="majorBidi" w:cstheme="majorBidi"/>
        </w:rPr>
        <w:t xml:space="preserve"> The lowest reported susceptibility (60.8%) was from a Turkish study which recruited 74 isolates and used EUCAST lab methods and breakpoints, but which was unclear on a number of other methodological points, including whether isolates co-carried MBLs. Comparators with generally good susceptibility included colistin (9/11 estimates &gt;60%), tigecycline (6/9 estimates &gt;60%) and amikacin (5/8 estimates &gt;60%).</w:t>
      </w:r>
    </w:p>
    <w:bookmarkEnd w:id="160"/>
    <w:p w14:paraId="1C0CA003" w14:textId="77777777" w:rsidR="00FE7A08" w:rsidRDefault="00FE7A08" w:rsidP="00FE7A08">
      <w:pPr>
        <w:spacing w:after="120" w:line="360" w:lineRule="auto"/>
        <w:rPr>
          <w:rFonts w:asciiTheme="majorBidi" w:hAnsiTheme="majorBidi" w:cstheme="majorBidi"/>
        </w:rPr>
        <w:sectPr w:rsidR="00FE7A08" w:rsidSect="000F029C">
          <w:pgSz w:w="11906" w:h="16838"/>
          <w:pgMar w:top="1440" w:right="1440" w:bottom="1440" w:left="1440" w:header="709" w:footer="709" w:gutter="0"/>
          <w:cols w:space="708"/>
          <w:docGrid w:linePitch="360"/>
        </w:sectPr>
      </w:pPr>
    </w:p>
    <w:p w14:paraId="2B6359E6" w14:textId="55D46158" w:rsidR="00FE7A08" w:rsidRDefault="00FE7A08" w:rsidP="00FE7A08">
      <w:pPr>
        <w:keepNext/>
        <w:spacing w:before="360" w:after="200" w:line="240" w:lineRule="auto"/>
        <w:rPr>
          <w:rFonts w:ascii="Times New Roman" w:hAnsi="Times New Roman" w:cs="Times New Roman"/>
          <w:b/>
          <w:iCs/>
          <w:sz w:val="20"/>
          <w:szCs w:val="18"/>
        </w:rPr>
      </w:pPr>
      <w:bookmarkStart w:id="161" w:name="_Ref82533146"/>
      <w:bookmarkStart w:id="162" w:name="_Toc83300857"/>
      <w:bookmarkStart w:id="163" w:name="_Toc83821913"/>
      <w:bookmarkStart w:id="164" w:name="_Toc85022477"/>
      <w:bookmarkStart w:id="165" w:name="_Toc86418986"/>
      <w:r w:rsidRPr="00885DFB">
        <w:rPr>
          <w:rFonts w:ascii="Times New Roman" w:hAnsi="Times New Roman" w:cs="Times New Roman"/>
          <w:b/>
          <w:iCs/>
          <w:sz w:val="20"/>
          <w:szCs w:val="18"/>
        </w:rPr>
        <w:lastRenderedPageBreak/>
        <w:t xml:space="preserve">Table </w:t>
      </w:r>
      <w:r w:rsidR="00F10F0A">
        <w:rPr>
          <w:rFonts w:ascii="Times New Roman" w:hAnsi="Times New Roman" w:cs="Times New Roman"/>
          <w:b/>
          <w:iCs/>
          <w:noProof/>
          <w:sz w:val="20"/>
          <w:szCs w:val="18"/>
        </w:rPr>
        <w:t>9</w:t>
      </w:r>
      <w:bookmarkEnd w:id="161"/>
      <w:r w:rsidRPr="00885DFB">
        <w:rPr>
          <w:rFonts w:ascii="Times New Roman" w:hAnsi="Times New Roman" w:cs="Times New Roman"/>
          <w:b/>
          <w:iCs/>
          <w:sz w:val="20"/>
          <w:szCs w:val="18"/>
        </w:rPr>
        <w:tab/>
        <w:t>Susceptibility of OXA-48 isolates to CAZ-AVI and comparators</w:t>
      </w:r>
      <w:bookmarkEnd w:id="162"/>
      <w:bookmarkEnd w:id="163"/>
      <w:bookmarkEnd w:id="164"/>
      <w:bookmarkEnd w:id="165"/>
      <w:r w:rsidRPr="00885DFB">
        <w:rPr>
          <w:rFonts w:ascii="Times New Roman" w:hAnsi="Times New Roman" w:cs="Times New Roman"/>
          <w:b/>
          <w:iCs/>
          <w:sz w:val="20"/>
          <w:szCs w:val="18"/>
        </w:rPr>
        <w:t xml:space="preserve">  </w:t>
      </w:r>
    </w:p>
    <w:p w14:paraId="4FA74203" w14:textId="4C0C969C" w:rsidR="00E617D9" w:rsidRPr="00E617D9" w:rsidRDefault="00E617D9" w:rsidP="00E617D9">
      <w:pPr>
        <w:pStyle w:val="EEPRUtextundertables"/>
      </w:pPr>
      <w:r>
        <w:t>In the following table % susceptible is populated if the number in analysis is different from N.</w:t>
      </w:r>
    </w:p>
    <w:tbl>
      <w:tblPr>
        <w:tblStyle w:val="TableGrid"/>
        <w:tblW w:w="13952" w:type="dxa"/>
        <w:tblLayout w:type="fixed"/>
        <w:tblLook w:val="04A0" w:firstRow="1" w:lastRow="0" w:firstColumn="1" w:lastColumn="0" w:noHBand="0" w:noVBand="1"/>
      </w:tblPr>
      <w:tblGrid>
        <w:gridCol w:w="2400"/>
        <w:gridCol w:w="847"/>
        <w:gridCol w:w="711"/>
        <w:gridCol w:w="704"/>
        <w:gridCol w:w="8"/>
        <w:gridCol w:w="718"/>
        <w:gridCol w:w="703"/>
        <w:gridCol w:w="708"/>
        <w:gridCol w:w="727"/>
        <w:gridCol w:w="700"/>
        <w:gridCol w:w="700"/>
        <w:gridCol w:w="742"/>
        <w:gridCol w:w="712"/>
        <w:gridCol w:w="714"/>
        <w:gridCol w:w="729"/>
        <w:gridCol w:w="728"/>
        <w:gridCol w:w="684"/>
        <w:gridCol w:w="717"/>
      </w:tblGrid>
      <w:tr w:rsidR="00E617D9" w:rsidRPr="005E61DF" w14:paraId="1C9F5FFC" w14:textId="77777777" w:rsidTr="000F029C">
        <w:trPr>
          <w:tblHeader/>
        </w:trPr>
        <w:tc>
          <w:tcPr>
            <w:tcW w:w="2400" w:type="dxa"/>
            <w:shd w:val="clear" w:color="auto" w:fill="D9D9D9" w:themeFill="background1" w:themeFillShade="D9"/>
          </w:tcPr>
          <w:p w14:paraId="36653281" w14:textId="1CC24F43" w:rsidR="00E617D9" w:rsidRPr="005E61DF" w:rsidRDefault="00E617D9" w:rsidP="00E617D9">
            <w:pPr>
              <w:spacing w:after="120"/>
              <w:rPr>
                <w:rFonts w:asciiTheme="majorBidi" w:hAnsiTheme="majorBidi" w:cstheme="majorBidi"/>
                <w:b/>
              </w:rPr>
            </w:pPr>
            <w:r>
              <w:rPr>
                <w:rFonts w:asciiTheme="majorBidi" w:hAnsiTheme="majorBidi" w:cstheme="majorBidi"/>
                <w:b/>
              </w:rPr>
              <w:t>Study</w:t>
            </w:r>
          </w:p>
        </w:tc>
        <w:tc>
          <w:tcPr>
            <w:tcW w:w="847" w:type="dxa"/>
            <w:shd w:val="clear" w:color="auto" w:fill="D9D9D9" w:themeFill="background1" w:themeFillShade="D9"/>
          </w:tcPr>
          <w:p w14:paraId="634F4452" w14:textId="6B2AADE0" w:rsidR="00E617D9" w:rsidRPr="005E61DF" w:rsidRDefault="00E617D9" w:rsidP="00E617D9">
            <w:pPr>
              <w:spacing w:after="120"/>
              <w:rPr>
                <w:rFonts w:asciiTheme="majorBidi" w:hAnsiTheme="majorBidi" w:cstheme="majorBidi"/>
                <w:b/>
              </w:rPr>
            </w:pPr>
            <w:r>
              <w:rPr>
                <w:rFonts w:asciiTheme="majorBidi" w:hAnsiTheme="majorBidi" w:cstheme="majorBidi"/>
                <w:b/>
              </w:rPr>
              <w:t>NMA</w:t>
            </w:r>
          </w:p>
        </w:tc>
        <w:tc>
          <w:tcPr>
            <w:tcW w:w="711" w:type="dxa"/>
            <w:shd w:val="clear" w:color="auto" w:fill="D9D9D9" w:themeFill="background1" w:themeFillShade="D9"/>
          </w:tcPr>
          <w:p w14:paraId="72FCE63C" w14:textId="5F5D55BF" w:rsidR="00E617D9" w:rsidRPr="005E61DF" w:rsidRDefault="00E617D9" w:rsidP="00E617D9">
            <w:pPr>
              <w:spacing w:after="120"/>
              <w:rPr>
                <w:rFonts w:asciiTheme="majorBidi" w:hAnsiTheme="majorBidi" w:cstheme="majorBidi"/>
                <w:b/>
              </w:rPr>
            </w:pPr>
            <w:r>
              <w:rPr>
                <w:rFonts w:asciiTheme="majorBidi" w:hAnsiTheme="majorBidi" w:cstheme="majorBidi"/>
                <w:b/>
              </w:rPr>
              <w:t>N</w:t>
            </w:r>
          </w:p>
        </w:tc>
        <w:tc>
          <w:tcPr>
            <w:tcW w:w="704" w:type="dxa"/>
            <w:shd w:val="clear" w:color="auto" w:fill="D9D9D9" w:themeFill="background1" w:themeFillShade="D9"/>
          </w:tcPr>
          <w:p w14:paraId="6B1993F0" w14:textId="4470D526"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C-A</w:t>
            </w:r>
            <w:r>
              <w:rPr>
                <w:rFonts w:asciiTheme="majorBidi" w:hAnsiTheme="majorBidi" w:cstheme="majorBidi"/>
                <w:b/>
              </w:rPr>
              <w:t xml:space="preserve"> %</w:t>
            </w:r>
          </w:p>
        </w:tc>
        <w:tc>
          <w:tcPr>
            <w:tcW w:w="726" w:type="dxa"/>
            <w:gridSpan w:val="2"/>
            <w:shd w:val="clear" w:color="auto" w:fill="D9D9D9" w:themeFill="background1" w:themeFillShade="D9"/>
          </w:tcPr>
          <w:p w14:paraId="4F4D600A" w14:textId="242BC0D5"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Col</w:t>
            </w:r>
            <w:r>
              <w:rPr>
                <w:rFonts w:asciiTheme="majorBidi" w:hAnsiTheme="majorBidi" w:cstheme="majorBidi"/>
                <w:b/>
              </w:rPr>
              <w:t xml:space="preserve"> %</w:t>
            </w:r>
          </w:p>
        </w:tc>
        <w:tc>
          <w:tcPr>
            <w:tcW w:w="703" w:type="dxa"/>
            <w:shd w:val="clear" w:color="auto" w:fill="D9D9D9" w:themeFill="background1" w:themeFillShade="D9"/>
          </w:tcPr>
          <w:p w14:paraId="666A313A" w14:textId="1251AB49"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Mer</w:t>
            </w:r>
            <w:r>
              <w:rPr>
                <w:rFonts w:asciiTheme="majorBidi" w:hAnsiTheme="majorBidi" w:cstheme="majorBidi"/>
                <w:b/>
              </w:rPr>
              <w:t xml:space="preserve"> %</w:t>
            </w:r>
          </w:p>
        </w:tc>
        <w:tc>
          <w:tcPr>
            <w:tcW w:w="708" w:type="dxa"/>
            <w:shd w:val="clear" w:color="auto" w:fill="D9D9D9" w:themeFill="background1" w:themeFillShade="D9"/>
          </w:tcPr>
          <w:p w14:paraId="12EF76DC" w14:textId="3A6A3F01"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Tig</w:t>
            </w:r>
            <w:r>
              <w:rPr>
                <w:rFonts w:asciiTheme="majorBidi" w:hAnsiTheme="majorBidi" w:cstheme="majorBidi"/>
                <w:b/>
              </w:rPr>
              <w:t xml:space="preserve"> %</w:t>
            </w:r>
          </w:p>
        </w:tc>
        <w:tc>
          <w:tcPr>
            <w:tcW w:w="727" w:type="dxa"/>
            <w:shd w:val="clear" w:color="auto" w:fill="D9D9D9" w:themeFill="background1" w:themeFillShade="D9"/>
          </w:tcPr>
          <w:p w14:paraId="07AF81E9" w14:textId="29CAC9F0"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Az</w:t>
            </w:r>
            <w:r>
              <w:rPr>
                <w:rFonts w:asciiTheme="majorBidi" w:hAnsiTheme="majorBidi" w:cstheme="majorBidi"/>
                <w:b/>
              </w:rPr>
              <w:t xml:space="preserve"> %</w:t>
            </w:r>
          </w:p>
        </w:tc>
        <w:tc>
          <w:tcPr>
            <w:tcW w:w="700" w:type="dxa"/>
            <w:shd w:val="clear" w:color="auto" w:fill="D9D9D9" w:themeFill="background1" w:themeFillShade="D9"/>
          </w:tcPr>
          <w:p w14:paraId="73176CA8" w14:textId="35F7188A" w:rsidR="00E617D9" w:rsidRPr="005E61DF" w:rsidRDefault="00E617D9" w:rsidP="00E617D9">
            <w:pPr>
              <w:spacing w:after="120"/>
              <w:rPr>
                <w:rFonts w:asciiTheme="majorBidi" w:hAnsiTheme="majorBidi" w:cstheme="majorBidi"/>
                <w:b/>
              </w:rPr>
            </w:pPr>
            <w:proofErr w:type="spellStart"/>
            <w:r w:rsidRPr="005E61DF">
              <w:rPr>
                <w:rFonts w:asciiTheme="majorBidi" w:hAnsiTheme="majorBidi" w:cstheme="majorBidi"/>
                <w:b/>
              </w:rPr>
              <w:t>Fos</w:t>
            </w:r>
            <w:proofErr w:type="spellEnd"/>
            <w:r>
              <w:rPr>
                <w:rFonts w:asciiTheme="majorBidi" w:hAnsiTheme="majorBidi" w:cstheme="majorBidi"/>
                <w:b/>
              </w:rPr>
              <w:t xml:space="preserve"> %</w:t>
            </w:r>
          </w:p>
        </w:tc>
        <w:tc>
          <w:tcPr>
            <w:tcW w:w="700" w:type="dxa"/>
            <w:shd w:val="clear" w:color="auto" w:fill="D9D9D9" w:themeFill="background1" w:themeFillShade="D9"/>
          </w:tcPr>
          <w:p w14:paraId="64B05EE4" w14:textId="21584555" w:rsidR="00E617D9" w:rsidRPr="005E61DF" w:rsidRDefault="00E617D9" w:rsidP="00E617D9">
            <w:pPr>
              <w:spacing w:after="120"/>
              <w:rPr>
                <w:rFonts w:asciiTheme="majorBidi" w:hAnsiTheme="majorBidi" w:cstheme="majorBidi"/>
                <w:b/>
              </w:rPr>
            </w:pPr>
            <w:proofErr w:type="spellStart"/>
            <w:r w:rsidRPr="005E61DF">
              <w:rPr>
                <w:rFonts w:asciiTheme="majorBidi" w:hAnsiTheme="majorBidi" w:cstheme="majorBidi"/>
                <w:b/>
              </w:rPr>
              <w:t>Levo</w:t>
            </w:r>
            <w:proofErr w:type="spellEnd"/>
            <w:r>
              <w:rPr>
                <w:rFonts w:asciiTheme="majorBidi" w:hAnsiTheme="majorBidi" w:cstheme="majorBidi"/>
                <w:b/>
              </w:rPr>
              <w:t xml:space="preserve"> %</w:t>
            </w:r>
          </w:p>
        </w:tc>
        <w:tc>
          <w:tcPr>
            <w:tcW w:w="742" w:type="dxa"/>
            <w:shd w:val="clear" w:color="auto" w:fill="D9D9D9" w:themeFill="background1" w:themeFillShade="D9"/>
          </w:tcPr>
          <w:p w14:paraId="5D354664" w14:textId="54A9F6D2"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Cipro</w:t>
            </w:r>
            <w:r>
              <w:rPr>
                <w:rFonts w:asciiTheme="majorBidi" w:hAnsiTheme="majorBidi" w:cstheme="majorBidi"/>
                <w:b/>
              </w:rPr>
              <w:t xml:space="preserve"> %</w:t>
            </w:r>
          </w:p>
        </w:tc>
        <w:tc>
          <w:tcPr>
            <w:tcW w:w="712" w:type="dxa"/>
            <w:shd w:val="clear" w:color="auto" w:fill="D9D9D9" w:themeFill="background1" w:themeFillShade="D9"/>
          </w:tcPr>
          <w:p w14:paraId="5FDA43F1" w14:textId="0C8D11FB"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Gent</w:t>
            </w:r>
            <w:r>
              <w:rPr>
                <w:rFonts w:asciiTheme="majorBidi" w:hAnsiTheme="majorBidi" w:cstheme="majorBidi"/>
                <w:b/>
              </w:rPr>
              <w:t xml:space="preserve"> %</w:t>
            </w:r>
          </w:p>
        </w:tc>
        <w:tc>
          <w:tcPr>
            <w:tcW w:w="714" w:type="dxa"/>
            <w:shd w:val="clear" w:color="auto" w:fill="D9D9D9" w:themeFill="background1" w:themeFillShade="D9"/>
          </w:tcPr>
          <w:p w14:paraId="536D57AE" w14:textId="270386E2"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Ami</w:t>
            </w:r>
            <w:r>
              <w:rPr>
                <w:rFonts w:asciiTheme="majorBidi" w:hAnsiTheme="majorBidi" w:cstheme="majorBidi"/>
                <w:b/>
              </w:rPr>
              <w:t xml:space="preserve"> %</w:t>
            </w:r>
          </w:p>
        </w:tc>
        <w:tc>
          <w:tcPr>
            <w:tcW w:w="729" w:type="dxa"/>
            <w:shd w:val="clear" w:color="auto" w:fill="D9D9D9" w:themeFill="background1" w:themeFillShade="D9"/>
          </w:tcPr>
          <w:p w14:paraId="24C993F7" w14:textId="1CCCA557"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Tob</w:t>
            </w:r>
            <w:r>
              <w:rPr>
                <w:rFonts w:asciiTheme="majorBidi" w:hAnsiTheme="majorBidi" w:cstheme="majorBidi"/>
                <w:b/>
              </w:rPr>
              <w:t xml:space="preserve"> %</w:t>
            </w:r>
          </w:p>
        </w:tc>
        <w:tc>
          <w:tcPr>
            <w:tcW w:w="728" w:type="dxa"/>
            <w:shd w:val="clear" w:color="auto" w:fill="D9D9D9" w:themeFill="background1" w:themeFillShade="D9"/>
          </w:tcPr>
          <w:p w14:paraId="643E37D4" w14:textId="17AA971E" w:rsidR="00E617D9" w:rsidRPr="005E61DF" w:rsidRDefault="00E617D9" w:rsidP="00E617D9">
            <w:pPr>
              <w:spacing w:after="120"/>
              <w:rPr>
                <w:rFonts w:asciiTheme="majorBidi" w:hAnsiTheme="majorBidi" w:cstheme="majorBidi"/>
                <w:b/>
              </w:rPr>
            </w:pPr>
            <w:proofErr w:type="spellStart"/>
            <w:r w:rsidRPr="005E61DF">
              <w:rPr>
                <w:rFonts w:asciiTheme="majorBidi" w:hAnsiTheme="majorBidi" w:cstheme="majorBidi"/>
                <w:b/>
              </w:rPr>
              <w:t>Ctx</w:t>
            </w:r>
            <w:proofErr w:type="spellEnd"/>
            <w:r>
              <w:rPr>
                <w:rFonts w:asciiTheme="majorBidi" w:hAnsiTheme="majorBidi" w:cstheme="majorBidi"/>
                <w:b/>
              </w:rPr>
              <w:t xml:space="preserve"> %</w:t>
            </w:r>
          </w:p>
        </w:tc>
        <w:tc>
          <w:tcPr>
            <w:tcW w:w="684" w:type="dxa"/>
            <w:shd w:val="clear" w:color="auto" w:fill="D9D9D9" w:themeFill="background1" w:themeFillShade="D9"/>
          </w:tcPr>
          <w:p w14:paraId="41F0BCB2" w14:textId="2D152ED7" w:rsidR="00E617D9" w:rsidRPr="005E61DF" w:rsidRDefault="00E617D9" w:rsidP="00E617D9">
            <w:pPr>
              <w:spacing w:after="120"/>
              <w:rPr>
                <w:rFonts w:asciiTheme="majorBidi" w:hAnsiTheme="majorBidi" w:cstheme="majorBidi"/>
                <w:b/>
              </w:rPr>
            </w:pPr>
            <w:proofErr w:type="spellStart"/>
            <w:r w:rsidRPr="005E61DF">
              <w:rPr>
                <w:rFonts w:asciiTheme="majorBidi" w:hAnsiTheme="majorBidi" w:cstheme="majorBidi"/>
                <w:b/>
              </w:rPr>
              <w:t>Cefe</w:t>
            </w:r>
            <w:proofErr w:type="spellEnd"/>
            <w:r>
              <w:rPr>
                <w:rFonts w:asciiTheme="majorBidi" w:hAnsiTheme="majorBidi" w:cstheme="majorBidi"/>
                <w:b/>
              </w:rPr>
              <w:t xml:space="preserve"> %</w:t>
            </w:r>
          </w:p>
        </w:tc>
        <w:tc>
          <w:tcPr>
            <w:tcW w:w="717" w:type="dxa"/>
            <w:shd w:val="clear" w:color="auto" w:fill="D9D9D9" w:themeFill="background1" w:themeFillShade="D9"/>
          </w:tcPr>
          <w:p w14:paraId="4B83DC18" w14:textId="06095C74" w:rsidR="00E617D9" w:rsidRPr="005E61DF" w:rsidRDefault="00E617D9" w:rsidP="00E617D9">
            <w:pPr>
              <w:spacing w:after="120"/>
              <w:rPr>
                <w:rFonts w:asciiTheme="majorBidi" w:hAnsiTheme="majorBidi" w:cstheme="majorBidi"/>
                <w:b/>
              </w:rPr>
            </w:pPr>
            <w:r w:rsidRPr="005E61DF">
              <w:rPr>
                <w:rFonts w:asciiTheme="majorBidi" w:hAnsiTheme="majorBidi" w:cstheme="majorBidi"/>
                <w:b/>
              </w:rPr>
              <w:t>CAZ</w:t>
            </w:r>
            <w:r>
              <w:rPr>
                <w:rFonts w:asciiTheme="majorBidi" w:hAnsiTheme="majorBidi" w:cstheme="majorBidi"/>
                <w:b/>
              </w:rPr>
              <w:t xml:space="preserve"> %</w:t>
            </w:r>
          </w:p>
        </w:tc>
      </w:tr>
      <w:tr w:rsidR="00E617D9" w:rsidRPr="005E61DF" w14:paraId="239D9643" w14:textId="77777777" w:rsidTr="000F029C">
        <w:tc>
          <w:tcPr>
            <w:tcW w:w="2400" w:type="dxa"/>
          </w:tcPr>
          <w:p w14:paraId="2932032A" w14:textId="4A996F96" w:rsidR="00E617D9" w:rsidRPr="005E61DF" w:rsidRDefault="00E617D9" w:rsidP="00E617D9">
            <w:pPr>
              <w:spacing w:after="120"/>
              <w:rPr>
                <w:rFonts w:asciiTheme="majorBidi" w:hAnsiTheme="majorBidi" w:cstheme="majorBidi"/>
              </w:rPr>
            </w:pPr>
            <w:r w:rsidRPr="005E61DF">
              <w:rPr>
                <w:rFonts w:asciiTheme="majorBidi" w:hAnsiTheme="majorBidi" w:cstheme="majorBidi"/>
              </w:rPr>
              <w:t>PHE data</w:t>
            </w:r>
            <w:r w:rsidRPr="00A83123">
              <w:rPr>
                <w:rFonts w:asciiTheme="majorBidi" w:hAnsiTheme="majorBidi" w:cstheme="majorBidi"/>
                <w:noProof/>
                <w:vertAlign w:val="superscript"/>
              </w:rPr>
              <w:t>44</w:t>
            </w:r>
            <w:r w:rsidRPr="005E61DF">
              <w:rPr>
                <w:rFonts w:asciiTheme="majorBidi" w:hAnsiTheme="majorBidi" w:cstheme="majorBidi"/>
              </w:rPr>
              <w:t xml:space="preserve"> </w:t>
            </w:r>
          </w:p>
          <w:p w14:paraId="7EB03A12" w14:textId="77777777" w:rsidR="00E617D9" w:rsidRPr="005E61DF" w:rsidRDefault="00E617D9" w:rsidP="00E617D9">
            <w:pPr>
              <w:spacing w:after="120"/>
              <w:rPr>
                <w:rFonts w:asciiTheme="majorBidi" w:hAnsiTheme="majorBidi" w:cstheme="majorBidi"/>
              </w:rPr>
            </w:pPr>
          </w:p>
        </w:tc>
        <w:tc>
          <w:tcPr>
            <w:tcW w:w="847" w:type="dxa"/>
          </w:tcPr>
          <w:p w14:paraId="49B0C03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E; Full</w:t>
            </w:r>
          </w:p>
        </w:tc>
        <w:tc>
          <w:tcPr>
            <w:tcW w:w="711" w:type="dxa"/>
          </w:tcPr>
          <w:p w14:paraId="1CCC068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85</w:t>
            </w:r>
          </w:p>
        </w:tc>
        <w:tc>
          <w:tcPr>
            <w:tcW w:w="712" w:type="dxa"/>
            <w:gridSpan w:val="2"/>
          </w:tcPr>
          <w:p w14:paraId="5A235A7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87.1</w:t>
            </w:r>
          </w:p>
        </w:tc>
        <w:tc>
          <w:tcPr>
            <w:tcW w:w="718" w:type="dxa"/>
          </w:tcPr>
          <w:p w14:paraId="1953210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81.2</w:t>
            </w:r>
          </w:p>
        </w:tc>
        <w:tc>
          <w:tcPr>
            <w:tcW w:w="703" w:type="dxa"/>
          </w:tcPr>
          <w:p w14:paraId="252735E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54.1</w:t>
            </w:r>
          </w:p>
        </w:tc>
        <w:tc>
          <w:tcPr>
            <w:tcW w:w="708" w:type="dxa"/>
          </w:tcPr>
          <w:p w14:paraId="6C4AC9E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58.8</w:t>
            </w:r>
          </w:p>
        </w:tc>
        <w:tc>
          <w:tcPr>
            <w:tcW w:w="727" w:type="dxa"/>
          </w:tcPr>
          <w:p w14:paraId="0C2FD87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20.0</w:t>
            </w:r>
          </w:p>
        </w:tc>
        <w:tc>
          <w:tcPr>
            <w:tcW w:w="700" w:type="dxa"/>
          </w:tcPr>
          <w:p w14:paraId="228F2BE9" w14:textId="77777777" w:rsidR="00E617D9" w:rsidRPr="005E61DF" w:rsidRDefault="00E617D9" w:rsidP="00E617D9">
            <w:pPr>
              <w:spacing w:after="120"/>
              <w:rPr>
                <w:rFonts w:asciiTheme="majorBidi" w:hAnsiTheme="majorBidi" w:cstheme="majorBidi"/>
              </w:rPr>
            </w:pPr>
          </w:p>
        </w:tc>
        <w:tc>
          <w:tcPr>
            <w:tcW w:w="700" w:type="dxa"/>
          </w:tcPr>
          <w:p w14:paraId="699460B6" w14:textId="77777777" w:rsidR="00E617D9" w:rsidRPr="005E61DF" w:rsidRDefault="00E617D9" w:rsidP="00E617D9">
            <w:pPr>
              <w:spacing w:after="120"/>
              <w:rPr>
                <w:rFonts w:asciiTheme="majorBidi" w:hAnsiTheme="majorBidi" w:cstheme="majorBidi"/>
              </w:rPr>
            </w:pPr>
          </w:p>
        </w:tc>
        <w:tc>
          <w:tcPr>
            <w:tcW w:w="742" w:type="dxa"/>
          </w:tcPr>
          <w:p w14:paraId="7C4F028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10.6</w:t>
            </w:r>
          </w:p>
        </w:tc>
        <w:tc>
          <w:tcPr>
            <w:tcW w:w="712" w:type="dxa"/>
          </w:tcPr>
          <w:p w14:paraId="7E1FE74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31.8</w:t>
            </w:r>
          </w:p>
        </w:tc>
        <w:tc>
          <w:tcPr>
            <w:tcW w:w="714" w:type="dxa"/>
          </w:tcPr>
          <w:p w14:paraId="28F8758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56.5</w:t>
            </w:r>
          </w:p>
        </w:tc>
        <w:tc>
          <w:tcPr>
            <w:tcW w:w="729" w:type="dxa"/>
          </w:tcPr>
          <w:p w14:paraId="5EC14A5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22.4</w:t>
            </w:r>
          </w:p>
        </w:tc>
        <w:tc>
          <w:tcPr>
            <w:tcW w:w="728" w:type="dxa"/>
          </w:tcPr>
          <w:p w14:paraId="384E5322" w14:textId="77777777" w:rsidR="00E617D9" w:rsidRPr="005E61DF" w:rsidRDefault="00E617D9" w:rsidP="00E617D9">
            <w:pPr>
              <w:spacing w:after="120"/>
              <w:rPr>
                <w:rFonts w:asciiTheme="majorBidi" w:hAnsiTheme="majorBidi" w:cstheme="majorBidi"/>
              </w:rPr>
            </w:pPr>
          </w:p>
        </w:tc>
        <w:tc>
          <w:tcPr>
            <w:tcW w:w="684" w:type="dxa"/>
          </w:tcPr>
          <w:p w14:paraId="2FD8238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22.4</w:t>
            </w:r>
          </w:p>
        </w:tc>
        <w:tc>
          <w:tcPr>
            <w:tcW w:w="717" w:type="dxa"/>
          </w:tcPr>
          <w:p w14:paraId="11D7ECA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22.4</w:t>
            </w:r>
          </w:p>
        </w:tc>
      </w:tr>
      <w:tr w:rsidR="00E617D9" w:rsidRPr="005E61DF" w14:paraId="15EB715D" w14:textId="77777777" w:rsidTr="000F029C">
        <w:tc>
          <w:tcPr>
            <w:tcW w:w="2400" w:type="dxa"/>
          </w:tcPr>
          <w:p w14:paraId="5D0A8499" w14:textId="04981AFD" w:rsidR="00E617D9" w:rsidRPr="003A47E9" w:rsidRDefault="00E617D9" w:rsidP="00E617D9">
            <w:pPr>
              <w:spacing w:after="120"/>
              <w:rPr>
                <w:rFonts w:asciiTheme="majorBidi" w:hAnsiTheme="majorBidi" w:cstheme="majorBidi"/>
                <w:sz w:val="20"/>
                <w:lang w:val="it-IT"/>
              </w:rPr>
            </w:pPr>
            <w:r w:rsidRPr="003A47E9">
              <w:rPr>
                <w:rFonts w:asciiTheme="majorBidi" w:hAnsiTheme="majorBidi" w:cstheme="majorBidi"/>
                <w:sz w:val="20"/>
                <w:lang w:val="it-IT"/>
              </w:rPr>
              <w:t>Livermore 2011</w:t>
            </w:r>
            <w:r w:rsidRPr="00A83123">
              <w:rPr>
                <w:rFonts w:asciiTheme="majorBidi" w:hAnsiTheme="majorBidi" w:cstheme="majorBidi"/>
                <w:noProof/>
                <w:vertAlign w:val="superscript"/>
              </w:rPr>
              <w:t>60</w:t>
            </w:r>
          </w:p>
          <w:p w14:paraId="0B37AFA0" w14:textId="77777777" w:rsidR="00E617D9" w:rsidRPr="005E61DF" w:rsidRDefault="00E617D9" w:rsidP="00E617D9">
            <w:pPr>
              <w:spacing w:after="120"/>
              <w:rPr>
                <w:rFonts w:asciiTheme="majorBidi" w:hAnsiTheme="majorBidi" w:cstheme="majorBidi"/>
              </w:rPr>
            </w:pPr>
          </w:p>
        </w:tc>
        <w:tc>
          <w:tcPr>
            <w:tcW w:w="847" w:type="dxa"/>
          </w:tcPr>
          <w:p w14:paraId="7259548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680CC33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19</w:t>
            </w:r>
          </w:p>
        </w:tc>
        <w:tc>
          <w:tcPr>
            <w:tcW w:w="712" w:type="dxa"/>
            <w:gridSpan w:val="2"/>
          </w:tcPr>
          <w:p w14:paraId="4CA9FEB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309D248C" w14:textId="77777777" w:rsidR="00E617D9" w:rsidRPr="005E61DF" w:rsidRDefault="00E617D9" w:rsidP="00E617D9">
            <w:pPr>
              <w:spacing w:after="120"/>
              <w:rPr>
                <w:rFonts w:asciiTheme="majorBidi" w:hAnsiTheme="majorBidi" w:cstheme="majorBidi"/>
              </w:rPr>
            </w:pPr>
          </w:p>
        </w:tc>
        <w:tc>
          <w:tcPr>
            <w:tcW w:w="703" w:type="dxa"/>
          </w:tcPr>
          <w:p w14:paraId="178FCA9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32</w:t>
            </w:r>
          </w:p>
        </w:tc>
        <w:tc>
          <w:tcPr>
            <w:tcW w:w="708" w:type="dxa"/>
          </w:tcPr>
          <w:p w14:paraId="025B60B1" w14:textId="77777777" w:rsidR="00E617D9" w:rsidRPr="005E61DF" w:rsidRDefault="00E617D9" w:rsidP="00E617D9">
            <w:pPr>
              <w:spacing w:after="120"/>
              <w:rPr>
                <w:rFonts w:asciiTheme="majorBidi" w:hAnsiTheme="majorBidi" w:cstheme="majorBidi"/>
              </w:rPr>
            </w:pPr>
          </w:p>
        </w:tc>
        <w:tc>
          <w:tcPr>
            <w:tcW w:w="727" w:type="dxa"/>
          </w:tcPr>
          <w:p w14:paraId="0699206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57.9</w:t>
            </w:r>
          </w:p>
        </w:tc>
        <w:tc>
          <w:tcPr>
            <w:tcW w:w="700" w:type="dxa"/>
          </w:tcPr>
          <w:p w14:paraId="3B7BAD96" w14:textId="77777777" w:rsidR="00E617D9" w:rsidRPr="005E61DF" w:rsidRDefault="00E617D9" w:rsidP="00E617D9">
            <w:pPr>
              <w:spacing w:after="120"/>
              <w:rPr>
                <w:rFonts w:asciiTheme="majorBidi" w:hAnsiTheme="majorBidi" w:cstheme="majorBidi"/>
              </w:rPr>
            </w:pPr>
          </w:p>
        </w:tc>
        <w:tc>
          <w:tcPr>
            <w:tcW w:w="700" w:type="dxa"/>
          </w:tcPr>
          <w:p w14:paraId="12BF327F" w14:textId="77777777" w:rsidR="00E617D9" w:rsidRPr="005E61DF" w:rsidRDefault="00E617D9" w:rsidP="00E617D9">
            <w:pPr>
              <w:spacing w:after="120"/>
              <w:rPr>
                <w:rFonts w:asciiTheme="majorBidi" w:hAnsiTheme="majorBidi" w:cstheme="majorBidi"/>
              </w:rPr>
            </w:pPr>
          </w:p>
        </w:tc>
        <w:tc>
          <w:tcPr>
            <w:tcW w:w="742" w:type="dxa"/>
          </w:tcPr>
          <w:p w14:paraId="4C00E29D" w14:textId="77777777" w:rsidR="00E617D9" w:rsidRPr="005E61DF" w:rsidRDefault="00E617D9" w:rsidP="00E617D9">
            <w:pPr>
              <w:spacing w:after="120"/>
              <w:rPr>
                <w:rFonts w:asciiTheme="majorBidi" w:hAnsiTheme="majorBidi" w:cstheme="majorBidi"/>
              </w:rPr>
            </w:pPr>
          </w:p>
        </w:tc>
        <w:tc>
          <w:tcPr>
            <w:tcW w:w="712" w:type="dxa"/>
          </w:tcPr>
          <w:p w14:paraId="59028EE1" w14:textId="77777777" w:rsidR="00E617D9" w:rsidRPr="005E61DF" w:rsidRDefault="00E617D9" w:rsidP="00E617D9">
            <w:pPr>
              <w:spacing w:after="120"/>
              <w:rPr>
                <w:rFonts w:asciiTheme="majorBidi" w:hAnsiTheme="majorBidi" w:cstheme="majorBidi"/>
              </w:rPr>
            </w:pPr>
          </w:p>
        </w:tc>
        <w:tc>
          <w:tcPr>
            <w:tcW w:w="714" w:type="dxa"/>
          </w:tcPr>
          <w:p w14:paraId="52303284" w14:textId="77777777" w:rsidR="00E617D9" w:rsidRPr="005E61DF" w:rsidRDefault="00E617D9" w:rsidP="00E617D9">
            <w:pPr>
              <w:spacing w:after="120"/>
              <w:rPr>
                <w:rFonts w:asciiTheme="majorBidi" w:hAnsiTheme="majorBidi" w:cstheme="majorBidi"/>
              </w:rPr>
            </w:pPr>
          </w:p>
        </w:tc>
        <w:tc>
          <w:tcPr>
            <w:tcW w:w="729" w:type="dxa"/>
          </w:tcPr>
          <w:p w14:paraId="1E0ED78F" w14:textId="77777777" w:rsidR="00E617D9" w:rsidRPr="005E61DF" w:rsidRDefault="00E617D9" w:rsidP="00E617D9">
            <w:pPr>
              <w:spacing w:after="120"/>
              <w:rPr>
                <w:rFonts w:asciiTheme="majorBidi" w:hAnsiTheme="majorBidi" w:cstheme="majorBidi"/>
              </w:rPr>
            </w:pPr>
          </w:p>
        </w:tc>
        <w:tc>
          <w:tcPr>
            <w:tcW w:w="728" w:type="dxa"/>
          </w:tcPr>
          <w:p w14:paraId="3A70481D" w14:textId="77777777" w:rsidR="00E617D9" w:rsidRPr="005E61DF" w:rsidRDefault="00E617D9" w:rsidP="00E617D9">
            <w:pPr>
              <w:spacing w:after="120"/>
              <w:rPr>
                <w:rFonts w:asciiTheme="majorBidi" w:hAnsiTheme="majorBidi" w:cstheme="majorBidi"/>
              </w:rPr>
            </w:pPr>
          </w:p>
        </w:tc>
        <w:tc>
          <w:tcPr>
            <w:tcW w:w="684" w:type="dxa"/>
          </w:tcPr>
          <w:p w14:paraId="008B5F19" w14:textId="77777777" w:rsidR="00E617D9" w:rsidRPr="005E61DF" w:rsidRDefault="00E617D9" w:rsidP="00E617D9">
            <w:pPr>
              <w:spacing w:after="120"/>
              <w:rPr>
                <w:rFonts w:asciiTheme="majorBidi" w:hAnsiTheme="majorBidi" w:cstheme="majorBidi"/>
              </w:rPr>
            </w:pPr>
          </w:p>
        </w:tc>
        <w:tc>
          <w:tcPr>
            <w:tcW w:w="717" w:type="dxa"/>
          </w:tcPr>
          <w:p w14:paraId="7DCBFE6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57.9</w:t>
            </w:r>
          </w:p>
        </w:tc>
      </w:tr>
      <w:tr w:rsidR="00E617D9" w:rsidRPr="005E61DF" w14:paraId="5348D287" w14:textId="77777777" w:rsidTr="000F029C">
        <w:tc>
          <w:tcPr>
            <w:tcW w:w="2400" w:type="dxa"/>
            <w:shd w:val="clear" w:color="auto" w:fill="FFFFFF" w:themeFill="background1"/>
          </w:tcPr>
          <w:p w14:paraId="2B498E08" w14:textId="3EDBB35C" w:rsidR="00E617D9" w:rsidRPr="00454CF5" w:rsidRDefault="00E617D9" w:rsidP="00E617D9">
            <w:pPr>
              <w:spacing w:after="120"/>
              <w:rPr>
                <w:rFonts w:ascii="Times New Roman" w:hAnsi="Times New Roman" w:cs="Times New Roman"/>
                <w:lang w:val="pl-PL"/>
              </w:rPr>
            </w:pPr>
            <w:r w:rsidRPr="00454CF5">
              <w:rPr>
                <w:rFonts w:ascii="Times New Roman" w:hAnsi="Times New Roman" w:cs="Times New Roman"/>
              </w:rPr>
              <w:t>Deshpande unpublished (SENTRY)</w:t>
            </w:r>
          </w:p>
        </w:tc>
        <w:tc>
          <w:tcPr>
            <w:tcW w:w="847" w:type="dxa"/>
            <w:shd w:val="clear" w:color="auto" w:fill="FFFFFF" w:themeFill="background1"/>
          </w:tcPr>
          <w:p w14:paraId="3FDA8B85" w14:textId="0D7CAA44"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Full</w:t>
            </w:r>
          </w:p>
        </w:tc>
        <w:tc>
          <w:tcPr>
            <w:tcW w:w="711" w:type="dxa"/>
            <w:shd w:val="clear" w:color="auto" w:fill="FFFFFF" w:themeFill="background1"/>
          </w:tcPr>
          <w:p w14:paraId="3E273326" w14:textId="029C9E04"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319</w:t>
            </w:r>
          </w:p>
        </w:tc>
        <w:tc>
          <w:tcPr>
            <w:tcW w:w="712" w:type="dxa"/>
            <w:gridSpan w:val="2"/>
            <w:shd w:val="clear" w:color="auto" w:fill="FFFFFF" w:themeFill="background1"/>
          </w:tcPr>
          <w:p w14:paraId="00E21DBD" w14:textId="4D66B27B"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99.10</w:t>
            </w:r>
          </w:p>
        </w:tc>
        <w:tc>
          <w:tcPr>
            <w:tcW w:w="718" w:type="dxa"/>
            <w:shd w:val="clear" w:color="auto" w:fill="FFFFFF" w:themeFill="background1"/>
          </w:tcPr>
          <w:p w14:paraId="7D9B8278" w14:textId="77D9E6E8"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 xml:space="preserve">81.7 (317) </w:t>
            </w:r>
          </w:p>
        </w:tc>
        <w:tc>
          <w:tcPr>
            <w:tcW w:w="703" w:type="dxa"/>
            <w:shd w:val="clear" w:color="auto" w:fill="FFFFFF" w:themeFill="background1"/>
          </w:tcPr>
          <w:p w14:paraId="51E9393E" w14:textId="7D7C5B66"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25.1</w:t>
            </w:r>
          </w:p>
        </w:tc>
        <w:tc>
          <w:tcPr>
            <w:tcW w:w="708" w:type="dxa"/>
            <w:shd w:val="clear" w:color="auto" w:fill="FFFFFF" w:themeFill="background1"/>
          </w:tcPr>
          <w:p w14:paraId="7B45EA71" w14:textId="26CB417B"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95.6</w:t>
            </w:r>
          </w:p>
        </w:tc>
        <w:tc>
          <w:tcPr>
            <w:tcW w:w="727" w:type="dxa"/>
            <w:shd w:val="clear" w:color="auto" w:fill="FFFFFF" w:themeFill="background1"/>
          </w:tcPr>
          <w:p w14:paraId="443FF8F9" w14:textId="5E9BD509"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17.90</w:t>
            </w:r>
          </w:p>
        </w:tc>
        <w:tc>
          <w:tcPr>
            <w:tcW w:w="700" w:type="dxa"/>
            <w:shd w:val="clear" w:color="auto" w:fill="FFFFFF" w:themeFill="background1"/>
          </w:tcPr>
          <w:p w14:paraId="653F2F1D" w14:textId="77777777" w:rsidR="00E617D9" w:rsidRPr="00454CF5" w:rsidRDefault="00E617D9" w:rsidP="00E617D9">
            <w:pPr>
              <w:spacing w:after="120"/>
              <w:rPr>
                <w:rFonts w:ascii="Times New Roman" w:hAnsi="Times New Roman" w:cs="Times New Roman"/>
              </w:rPr>
            </w:pPr>
          </w:p>
        </w:tc>
        <w:tc>
          <w:tcPr>
            <w:tcW w:w="700" w:type="dxa"/>
            <w:shd w:val="clear" w:color="auto" w:fill="FFFFFF" w:themeFill="background1"/>
          </w:tcPr>
          <w:p w14:paraId="43FF5064" w14:textId="1B48B3CE"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11.0 (317)</w:t>
            </w:r>
          </w:p>
        </w:tc>
        <w:tc>
          <w:tcPr>
            <w:tcW w:w="742" w:type="dxa"/>
            <w:shd w:val="clear" w:color="auto" w:fill="FFFFFF" w:themeFill="background1"/>
          </w:tcPr>
          <w:p w14:paraId="34BBD289" w14:textId="4F26B123"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6.90</w:t>
            </w:r>
          </w:p>
        </w:tc>
        <w:tc>
          <w:tcPr>
            <w:tcW w:w="712" w:type="dxa"/>
            <w:shd w:val="clear" w:color="auto" w:fill="FFFFFF" w:themeFill="background1"/>
          </w:tcPr>
          <w:p w14:paraId="2488B32E" w14:textId="1A667A9D"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35.40</w:t>
            </w:r>
          </w:p>
        </w:tc>
        <w:tc>
          <w:tcPr>
            <w:tcW w:w="714" w:type="dxa"/>
            <w:shd w:val="clear" w:color="auto" w:fill="FFFFFF" w:themeFill="background1"/>
          </w:tcPr>
          <w:p w14:paraId="2B4EA449" w14:textId="687A85EA"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57.1</w:t>
            </w:r>
          </w:p>
        </w:tc>
        <w:tc>
          <w:tcPr>
            <w:tcW w:w="729" w:type="dxa"/>
            <w:shd w:val="clear" w:color="auto" w:fill="FFFFFF" w:themeFill="background1"/>
          </w:tcPr>
          <w:p w14:paraId="03013D52" w14:textId="3F705AA5"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16.90</w:t>
            </w:r>
          </w:p>
        </w:tc>
        <w:tc>
          <w:tcPr>
            <w:tcW w:w="728" w:type="dxa"/>
            <w:shd w:val="clear" w:color="auto" w:fill="FFFFFF" w:themeFill="background1"/>
          </w:tcPr>
          <w:p w14:paraId="619A1A20" w14:textId="5452305A"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7.50</w:t>
            </w:r>
          </w:p>
        </w:tc>
        <w:tc>
          <w:tcPr>
            <w:tcW w:w="684" w:type="dxa"/>
            <w:shd w:val="clear" w:color="auto" w:fill="FFFFFF" w:themeFill="background1"/>
          </w:tcPr>
          <w:p w14:paraId="6FE92553" w14:textId="7015C050"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15.00</w:t>
            </w:r>
          </w:p>
        </w:tc>
        <w:tc>
          <w:tcPr>
            <w:tcW w:w="717" w:type="dxa"/>
            <w:shd w:val="clear" w:color="auto" w:fill="FFFFFF" w:themeFill="background1"/>
          </w:tcPr>
          <w:p w14:paraId="5E49E0FA" w14:textId="0D7FB22E" w:rsidR="00E617D9" w:rsidRPr="00454CF5" w:rsidRDefault="00E617D9" w:rsidP="00E617D9">
            <w:pPr>
              <w:spacing w:after="120"/>
              <w:rPr>
                <w:rFonts w:ascii="Times New Roman" w:hAnsi="Times New Roman" w:cs="Times New Roman"/>
              </w:rPr>
            </w:pPr>
            <w:r w:rsidRPr="00454CF5">
              <w:rPr>
                <w:rFonts w:ascii="Times New Roman" w:hAnsi="Times New Roman" w:cs="Times New Roman"/>
              </w:rPr>
              <w:t>20.40</w:t>
            </w:r>
          </w:p>
        </w:tc>
      </w:tr>
      <w:tr w:rsidR="00E617D9" w:rsidRPr="005E61DF" w14:paraId="4F11D591" w14:textId="77777777" w:rsidTr="000F029C">
        <w:tc>
          <w:tcPr>
            <w:tcW w:w="2400" w:type="dxa"/>
            <w:shd w:val="clear" w:color="auto" w:fill="FFFFFF" w:themeFill="background1"/>
          </w:tcPr>
          <w:p w14:paraId="58C305C2" w14:textId="38AD4078" w:rsidR="00E617D9" w:rsidRPr="003A47E9" w:rsidRDefault="00E617D9" w:rsidP="00E617D9">
            <w:pPr>
              <w:spacing w:after="120"/>
              <w:rPr>
                <w:rFonts w:asciiTheme="majorBidi" w:hAnsiTheme="majorBidi" w:cstheme="majorBidi"/>
                <w:sz w:val="20"/>
                <w:lang w:val="pl-PL"/>
              </w:rPr>
            </w:pPr>
            <w:r w:rsidRPr="003A47E9">
              <w:rPr>
                <w:rFonts w:asciiTheme="majorBidi" w:hAnsiTheme="majorBidi" w:cstheme="majorBidi"/>
                <w:sz w:val="20"/>
                <w:lang w:val="pl-PL"/>
              </w:rPr>
              <w:t>Kazmierczak 2018</w:t>
            </w:r>
            <w:r w:rsidRPr="00A83123">
              <w:rPr>
                <w:rFonts w:asciiTheme="majorBidi" w:hAnsiTheme="majorBidi" w:cstheme="majorBidi"/>
                <w:noProof/>
                <w:vertAlign w:val="superscript"/>
                <w:lang w:val="pl-PL"/>
              </w:rPr>
              <w:t>56</w:t>
            </w:r>
          </w:p>
          <w:p w14:paraId="1A7303A5" w14:textId="13AC6C4A" w:rsidR="00E617D9" w:rsidRPr="005E61DF" w:rsidRDefault="00E617D9" w:rsidP="00E617D9">
            <w:pPr>
              <w:spacing w:after="120"/>
              <w:rPr>
                <w:rFonts w:asciiTheme="majorBidi" w:hAnsiTheme="majorBidi" w:cstheme="majorBidi"/>
                <w:lang w:val="pl-PL"/>
              </w:rPr>
            </w:pPr>
            <w:r w:rsidRPr="005E61DF">
              <w:rPr>
                <w:rFonts w:asciiTheme="majorBidi" w:hAnsiTheme="majorBidi" w:cstheme="majorBidi"/>
                <w:lang w:val="pl-PL"/>
              </w:rPr>
              <w:t>(INFORM)</w:t>
            </w:r>
          </w:p>
          <w:p w14:paraId="495F864A" w14:textId="77777777" w:rsidR="00E617D9" w:rsidRPr="005E61DF" w:rsidRDefault="00E617D9" w:rsidP="00E617D9">
            <w:pPr>
              <w:spacing w:after="120"/>
              <w:rPr>
                <w:rFonts w:asciiTheme="majorBidi" w:hAnsiTheme="majorBidi" w:cstheme="majorBidi"/>
                <w:lang w:val="pl-PL"/>
              </w:rPr>
            </w:pPr>
          </w:p>
        </w:tc>
        <w:tc>
          <w:tcPr>
            <w:tcW w:w="847" w:type="dxa"/>
            <w:shd w:val="clear" w:color="auto" w:fill="FFFFFF" w:themeFill="background1"/>
          </w:tcPr>
          <w:p w14:paraId="70AFAB4F" w14:textId="77777777" w:rsidR="00E617D9" w:rsidRPr="005E61DF" w:rsidRDefault="00E617D9" w:rsidP="00E617D9">
            <w:pPr>
              <w:spacing w:after="120"/>
              <w:rPr>
                <w:rFonts w:asciiTheme="majorBidi" w:hAnsiTheme="majorBidi" w:cstheme="majorBidi"/>
                <w:lang w:val="pl-PL"/>
              </w:rPr>
            </w:pPr>
            <w:r w:rsidRPr="005E61DF">
              <w:rPr>
                <w:rFonts w:asciiTheme="majorBidi" w:hAnsiTheme="majorBidi" w:cstheme="majorBidi"/>
              </w:rPr>
              <w:t>Full</w:t>
            </w:r>
          </w:p>
        </w:tc>
        <w:tc>
          <w:tcPr>
            <w:tcW w:w="711" w:type="dxa"/>
            <w:shd w:val="clear" w:color="auto" w:fill="FFFFFF" w:themeFill="background1"/>
          </w:tcPr>
          <w:p w14:paraId="1E4BDB2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303</w:t>
            </w:r>
          </w:p>
        </w:tc>
        <w:tc>
          <w:tcPr>
            <w:tcW w:w="712" w:type="dxa"/>
            <w:gridSpan w:val="2"/>
            <w:shd w:val="clear" w:color="auto" w:fill="FFFFFF" w:themeFill="background1"/>
          </w:tcPr>
          <w:p w14:paraId="5F233EE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99.3</w:t>
            </w:r>
          </w:p>
        </w:tc>
        <w:tc>
          <w:tcPr>
            <w:tcW w:w="718" w:type="dxa"/>
            <w:shd w:val="clear" w:color="auto" w:fill="FFFFFF" w:themeFill="background1"/>
          </w:tcPr>
          <w:p w14:paraId="66313F0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80.2</w:t>
            </w:r>
          </w:p>
        </w:tc>
        <w:tc>
          <w:tcPr>
            <w:tcW w:w="703" w:type="dxa"/>
            <w:shd w:val="clear" w:color="auto" w:fill="FFFFFF" w:themeFill="background1"/>
          </w:tcPr>
          <w:p w14:paraId="0A4B7C8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26.4</w:t>
            </w:r>
          </w:p>
        </w:tc>
        <w:tc>
          <w:tcPr>
            <w:tcW w:w="708" w:type="dxa"/>
            <w:shd w:val="clear" w:color="auto" w:fill="FFFFFF" w:themeFill="background1"/>
          </w:tcPr>
          <w:p w14:paraId="0CF44AF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93.7</w:t>
            </w:r>
          </w:p>
        </w:tc>
        <w:tc>
          <w:tcPr>
            <w:tcW w:w="727" w:type="dxa"/>
            <w:shd w:val="clear" w:color="auto" w:fill="FFFFFF" w:themeFill="background1"/>
          </w:tcPr>
          <w:p w14:paraId="12ECA10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14.2</w:t>
            </w:r>
          </w:p>
        </w:tc>
        <w:tc>
          <w:tcPr>
            <w:tcW w:w="700" w:type="dxa"/>
            <w:shd w:val="clear" w:color="auto" w:fill="FFFFFF" w:themeFill="background1"/>
          </w:tcPr>
          <w:p w14:paraId="1AE94A7A" w14:textId="77777777" w:rsidR="00E617D9" w:rsidRPr="005E61DF" w:rsidRDefault="00E617D9" w:rsidP="00E617D9">
            <w:pPr>
              <w:spacing w:after="120"/>
              <w:rPr>
                <w:rFonts w:asciiTheme="majorBidi" w:hAnsiTheme="majorBidi" w:cstheme="majorBidi"/>
              </w:rPr>
            </w:pPr>
          </w:p>
        </w:tc>
        <w:tc>
          <w:tcPr>
            <w:tcW w:w="700" w:type="dxa"/>
            <w:shd w:val="clear" w:color="auto" w:fill="FFFFFF" w:themeFill="background1"/>
          </w:tcPr>
          <w:p w14:paraId="02DAFD1F" w14:textId="77777777" w:rsidR="00E617D9" w:rsidRPr="005E61DF" w:rsidRDefault="00E617D9" w:rsidP="00E617D9">
            <w:pPr>
              <w:spacing w:after="120"/>
              <w:rPr>
                <w:rFonts w:asciiTheme="majorBidi" w:hAnsiTheme="majorBidi" w:cstheme="majorBidi"/>
              </w:rPr>
            </w:pPr>
          </w:p>
        </w:tc>
        <w:tc>
          <w:tcPr>
            <w:tcW w:w="742" w:type="dxa"/>
            <w:shd w:val="clear" w:color="auto" w:fill="FFFFFF" w:themeFill="background1"/>
          </w:tcPr>
          <w:p w14:paraId="262D36BA" w14:textId="77777777" w:rsidR="00E617D9" w:rsidRPr="005E61DF" w:rsidRDefault="00E617D9" w:rsidP="00E617D9">
            <w:pPr>
              <w:spacing w:after="120"/>
              <w:rPr>
                <w:rFonts w:asciiTheme="majorBidi" w:hAnsiTheme="majorBidi" w:cstheme="majorBidi"/>
              </w:rPr>
            </w:pPr>
          </w:p>
        </w:tc>
        <w:tc>
          <w:tcPr>
            <w:tcW w:w="712" w:type="dxa"/>
            <w:shd w:val="clear" w:color="auto" w:fill="FFFFFF" w:themeFill="background1"/>
          </w:tcPr>
          <w:p w14:paraId="2F993459" w14:textId="77777777" w:rsidR="00E617D9" w:rsidRPr="005E61DF" w:rsidRDefault="00E617D9" w:rsidP="00E617D9">
            <w:pPr>
              <w:spacing w:after="120"/>
              <w:rPr>
                <w:rFonts w:asciiTheme="majorBidi" w:hAnsiTheme="majorBidi" w:cstheme="majorBidi"/>
              </w:rPr>
            </w:pPr>
          </w:p>
        </w:tc>
        <w:tc>
          <w:tcPr>
            <w:tcW w:w="714" w:type="dxa"/>
            <w:shd w:val="clear" w:color="auto" w:fill="FFFFFF" w:themeFill="background1"/>
          </w:tcPr>
          <w:p w14:paraId="2379FC5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80.2</w:t>
            </w:r>
          </w:p>
        </w:tc>
        <w:tc>
          <w:tcPr>
            <w:tcW w:w="729" w:type="dxa"/>
            <w:shd w:val="clear" w:color="auto" w:fill="FFFFFF" w:themeFill="background1"/>
          </w:tcPr>
          <w:p w14:paraId="19D296C9" w14:textId="77777777" w:rsidR="00E617D9" w:rsidRPr="005E61DF" w:rsidRDefault="00E617D9" w:rsidP="00E617D9">
            <w:pPr>
              <w:spacing w:after="120"/>
              <w:rPr>
                <w:rFonts w:asciiTheme="majorBidi" w:hAnsiTheme="majorBidi" w:cstheme="majorBidi"/>
              </w:rPr>
            </w:pPr>
          </w:p>
        </w:tc>
        <w:tc>
          <w:tcPr>
            <w:tcW w:w="728" w:type="dxa"/>
            <w:shd w:val="clear" w:color="auto" w:fill="FFFFFF" w:themeFill="background1"/>
          </w:tcPr>
          <w:p w14:paraId="3EEF5631" w14:textId="77777777" w:rsidR="00E617D9" w:rsidRPr="005E61DF" w:rsidRDefault="00E617D9" w:rsidP="00E617D9">
            <w:pPr>
              <w:spacing w:after="120"/>
              <w:rPr>
                <w:rFonts w:asciiTheme="majorBidi" w:hAnsiTheme="majorBidi" w:cstheme="majorBidi"/>
              </w:rPr>
            </w:pPr>
          </w:p>
        </w:tc>
        <w:tc>
          <w:tcPr>
            <w:tcW w:w="684" w:type="dxa"/>
            <w:shd w:val="clear" w:color="auto" w:fill="FFFFFF" w:themeFill="background1"/>
          </w:tcPr>
          <w:p w14:paraId="7ECA5FFA" w14:textId="77777777" w:rsidR="00E617D9" w:rsidRPr="005E61DF" w:rsidRDefault="00E617D9" w:rsidP="00E617D9">
            <w:pPr>
              <w:spacing w:after="120"/>
              <w:rPr>
                <w:rFonts w:asciiTheme="majorBidi" w:hAnsiTheme="majorBidi" w:cstheme="majorBidi"/>
              </w:rPr>
            </w:pPr>
          </w:p>
        </w:tc>
        <w:tc>
          <w:tcPr>
            <w:tcW w:w="717" w:type="dxa"/>
            <w:shd w:val="clear" w:color="auto" w:fill="FFFFFF" w:themeFill="background1"/>
          </w:tcPr>
          <w:p w14:paraId="34D0F348" w14:textId="77777777" w:rsidR="00E617D9" w:rsidRPr="005E61DF" w:rsidRDefault="00E617D9" w:rsidP="00E617D9">
            <w:pPr>
              <w:spacing w:after="120"/>
              <w:rPr>
                <w:rFonts w:asciiTheme="majorBidi" w:hAnsiTheme="majorBidi" w:cstheme="majorBidi"/>
              </w:rPr>
            </w:pPr>
          </w:p>
        </w:tc>
      </w:tr>
      <w:tr w:rsidR="00E617D9" w:rsidRPr="005E61DF" w14:paraId="773E441C" w14:textId="77777777" w:rsidTr="000F029C">
        <w:tc>
          <w:tcPr>
            <w:tcW w:w="2400" w:type="dxa"/>
          </w:tcPr>
          <w:p w14:paraId="1B1727FC" w14:textId="126EFD5C" w:rsidR="00E617D9" w:rsidRPr="003A47E9" w:rsidRDefault="00E617D9" w:rsidP="00E617D9">
            <w:pPr>
              <w:spacing w:after="120"/>
              <w:rPr>
                <w:rFonts w:asciiTheme="majorBidi" w:hAnsiTheme="majorBidi" w:cstheme="majorBidi"/>
                <w:color w:val="000000"/>
                <w:sz w:val="20"/>
                <w:lang w:val="es-ES_tradnl"/>
              </w:rPr>
            </w:pPr>
            <w:proofErr w:type="spellStart"/>
            <w:r w:rsidRPr="003A47E9">
              <w:rPr>
                <w:rFonts w:asciiTheme="majorBidi" w:hAnsiTheme="majorBidi" w:cstheme="majorBidi"/>
                <w:color w:val="000000"/>
                <w:sz w:val="20"/>
                <w:lang w:val="es-ES_tradnl"/>
              </w:rPr>
              <w:t>Vazquez</w:t>
            </w:r>
            <w:proofErr w:type="spellEnd"/>
            <w:r w:rsidRPr="003A47E9">
              <w:rPr>
                <w:rFonts w:asciiTheme="majorBidi" w:hAnsiTheme="majorBidi" w:cstheme="majorBidi"/>
                <w:color w:val="000000"/>
                <w:sz w:val="20"/>
                <w:lang w:val="es-ES_tradnl"/>
              </w:rPr>
              <w:t>-Ucha 2021</w:t>
            </w:r>
            <w:r w:rsidRPr="00A83123">
              <w:rPr>
                <w:rFonts w:asciiTheme="majorBidi" w:hAnsiTheme="majorBidi" w:cstheme="majorBidi"/>
                <w:noProof/>
                <w:color w:val="000000"/>
                <w:vertAlign w:val="superscript"/>
              </w:rPr>
              <w:t>1</w:t>
            </w:r>
          </w:p>
          <w:p w14:paraId="41FB055C" w14:textId="77777777" w:rsidR="00E617D9" w:rsidRPr="005E61DF" w:rsidRDefault="00E617D9" w:rsidP="00E617D9">
            <w:pPr>
              <w:spacing w:after="120"/>
              <w:rPr>
                <w:rFonts w:asciiTheme="majorBidi" w:hAnsiTheme="majorBidi" w:cstheme="majorBidi"/>
              </w:rPr>
            </w:pPr>
          </w:p>
        </w:tc>
        <w:tc>
          <w:tcPr>
            <w:tcW w:w="847" w:type="dxa"/>
          </w:tcPr>
          <w:p w14:paraId="560970A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 xml:space="preserve">E; </w:t>
            </w:r>
            <w:proofErr w:type="gramStart"/>
            <w:r w:rsidRPr="005E61DF">
              <w:rPr>
                <w:rFonts w:asciiTheme="majorBidi" w:hAnsiTheme="majorBidi" w:cstheme="majorBidi"/>
              </w:rPr>
              <w:t>Full;</w:t>
            </w:r>
            <w:proofErr w:type="gramEnd"/>
          </w:p>
          <w:p w14:paraId="4334063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 xml:space="preserve">MBL </w:t>
            </w:r>
          </w:p>
        </w:tc>
        <w:tc>
          <w:tcPr>
            <w:tcW w:w="711" w:type="dxa"/>
          </w:tcPr>
          <w:p w14:paraId="3DDF71B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302</w:t>
            </w:r>
          </w:p>
        </w:tc>
        <w:tc>
          <w:tcPr>
            <w:tcW w:w="712" w:type="dxa"/>
            <w:gridSpan w:val="2"/>
          </w:tcPr>
          <w:p w14:paraId="401ACF2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98.7</w:t>
            </w:r>
          </w:p>
        </w:tc>
        <w:tc>
          <w:tcPr>
            <w:tcW w:w="718" w:type="dxa"/>
          </w:tcPr>
          <w:p w14:paraId="5F8ACCA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88.1</w:t>
            </w:r>
          </w:p>
        </w:tc>
        <w:tc>
          <w:tcPr>
            <w:tcW w:w="703" w:type="dxa"/>
          </w:tcPr>
          <w:p w14:paraId="6ADB3F8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79.8</w:t>
            </w:r>
          </w:p>
        </w:tc>
        <w:tc>
          <w:tcPr>
            <w:tcW w:w="708" w:type="dxa"/>
          </w:tcPr>
          <w:p w14:paraId="7820CB5F" w14:textId="77777777" w:rsidR="00E617D9" w:rsidRPr="005E61DF" w:rsidRDefault="00E617D9" w:rsidP="00E617D9">
            <w:pPr>
              <w:spacing w:after="120"/>
              <w:rPr>
                <w:rFonts w:asciiTheme="majorBidi" w:hAnsiTheme="majorBidi" w:cstheme="majorBidi"/>
              </w:rPr>
            </w:pPr>
          </w:p>
        </w:tc>
        <w:tc>
          <w:tcPr>
            <w:tcW w:w="727" w:type="dxa"/>
          </w:tcPr>
          <w:p w14:paraId="1D26F7A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11.3</w:t>
            </w:r>
          </w:p>
        </w:tc>
        <w:tc>
          <w:tcPr>
            <w:tcW w:w="700" w:type="dxa"/>
          </w:tcPr>
          <w:p w14:paraId="7AF8343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47.4</w:t>
            </w:r>
          </w:p>
        </w:tc>
        <w:tc>
          <w:tcPr>
            <w:tcW w:w="700" w:type="dxa"/>
          </w:tcPr>
          <w:p w14:paraId="1EF7D456" w14:textId="77777777" w:rsidR="00E617D9" w:rsidRPr="005E61DF" w:rsidRDefault="00E617D9" w:rsidP="00E617D9">
            <w:pPr>
              <w:spacing w:after="120"/>
              <w:rPr>
                <w:rFonts w:asciiTheme="majorBidi" w:hAnsiTheme="majorBidi" w:cstheme="majorBidi"/>
              </w:rPr>
            </w:pPr>
          </w:p>
        </w:tc>
        <w:tc>
          <w:tcPr>
            <w:tcW w:w="742" w:type="dxa"/>
          </w:tcPr>
          <w:p w14:paraId="24999D1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6.6</w:t>
            </w:r>
          </w:p>
        </w:tc>
        <w:tc>
          <w:tcPr>
            <w:tcW w:w="712" w:type="dxa"/>
          </w:tcPr>
          <w:p w14:paraId="342D526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36.7</w:t>
            </w:r>
          </w:p>
        </w:tc>
        <w:tc>
          <w:tcPr>
            <w:tcW w:w="714" w:type="dxa"/>
          </w:tcPr>
          <w:p w14:paraId="49BE1BD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79.1</w:t>
            </w:r>
          </w:p>
        </w:tc>
        <w:tc>
          <w:tcPr>
            <w:tcW w:w="729" w:type="dxa"/>
          </w:tcPr>
          <w:p w14:paraId="1D3F07A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33.8</w:t>
            </w:r>
          </w:p>
        </w:tc>
        <w:tc>
          <w:tcPr>
            <w:tcW w:w="728" w:type="dxa"/>
          </w:tcPr>
          <w:p w14:paraId="161692BA" w14:textId="77777777" w:rsidR="00E617D9" w:rsidRPr="005E61DF" w:rsidRDefault="00E617D9" w:rsidP="00E617D9">
            <w:pPr>
              <w:spacing w:after="120"/>
              <w:rPr>
                <w:rFonts w:asciiTheme="majorBidi" w:hAnsiTheme="majorBidi" w:cstheme="majorBidi"/>
              </w:rPr>
            </w:pPr>
          </w:p>
        </w:tc>
        <w:tc>
          <w:tcPr>
            <w:tcW w:w="684" w:type="dxa"/>
          </w:tcPr>
          <w:p w14:paraId="7B07AE5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12.6</w:t>
            </w:r>
          </w:p>
        </w:tc>
        <w:tc>
          <w:tcPr>
            <w:tcW w:w="717" w:type="dxa"/>
          </w:tcPr>
          <w:p w14:paraId="70B8A92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9.6</w:t>
            </w:r>
          </w:p>
        </w:tc>
      </w:tr>
      <w:tr w:rsidR="00E617D9" w:rsidRPr="005E61DF" w14:paraId="04C571E8" w14:textId="77777777" w:rsidTr="000F029C">
        <w:tc>
          <w:tcPr>
            <w:tcW w:w="2400" w:type="dxa"/>
          </w:tcPr>
          <w:p w14:paraId="7394C8DA" w14:textId="1001F437" w:rsidR="00E617D9" w:rsidRPr="003A47E9" w:rsidRDefault="00E617D9" w:rsidP="00E617D9">
            <w:pPr>
              <w:spacing w:after="120"/>
              <w:rPr>
                <w:rFonts w:asciiTheme="majorBidi" w:hAnsiTheme="majorBidi" w:cstheme="majorBidi"/>
                <w:color w:val="000000"/>
                <w:sz w:val="20"/>
              </w:rPr>
            </w:pPr>
            <w:r w:rsidRPr="003A47E9">
              <w:rPr>
                <w:rFonts w:asciiTheme="majorBidi" w:hAnsiTheme="majorBidi" w:cstheme="majorBidi"/>
                <w:color w:val="000000"/>
                <w:sz w:val="20"/>
              </w:rPr>
              <w:t>Garcia-Castillo, 2018 (</w:t>
            </w:r>
            <w:proofErr w:type="spellStart"/>
            <w:r w:rsidRPr="003A47E9">
              <w:rPr>
                <w:rFonts w:asciiTheme="majorBidi" w:hAnsiTheme="majorBidi" w:cstheme="majorBidi"/>
                <w:color w:val="000000"/>
                <w:sz w:val="20"/>
              </w:rPr>
              <w:t>iCREST</w:t>
            </w:r>
            <w:proofErr w:type="spellEnd"/>
            <w:r w:rsidRPr="003A47E9">
              <w:rPr>
                <w:rFonts w:asciiTheme="majorBidi" w:hAnsiTheme="majorBidi" w:cstheme="majorBidi"/>
                <w:color w:val="000000"/>
                <w:sz w:val="20"/>
              </w:rPr>
              <w:t xml:space="preserve"> - Spain)</w:t>
            </w:r>
            <w:r w:rsidRPr="00A83123">
              <w:rPr>
                <w:rFonts w:asciiTheme="majorBidi" w:hAnsiTheme="majorBidi" w:cstheme="majorBidi"/>
                <w:noProof/>
                <w:color w:val="000000"/>
                <w:vertAlign w:val="superscript"/>
                <w:lang w:val="it-IT"/>
              </w:rPr>
              <w:t>51</w:t>
            </w:r>
          </w:p>
          <w:p w14:paraId="52A6F991" w14:textId="77777777" w:rsidR="00E617D9" w:rsidRPr="005E61DF" w:rsidRDefault="00E617D9" w:rsidP="00E617D9">
            <w:pPr>
              <w:spacing w:after="120"/>
              <w:rPr>
                <w:rFonts w:asciiTheme="majorBidi" w:hAnsiTheme="majorBidi" w:cstheme="majorBidi"/>
              </w:rPr>
            </w:pPr>
          </w:p>
        </w:tc>
        <w:tc>
          <w:tcPr>
            <w:tcW w:w="847" w:type="dxa"/>
          </w:tcPr>
          <w:p w14:paraId="6AC1227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0E54139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164</w:t>
            </w:r>
          </w:p>
        </w:tc>
        <w:tc>
          <w:tcPr>
            <w:tcW w:w="712" w:type="dxa"/>
            <w:gridSpan w:val="2"/>
          </w:tcPr>
          <w:p w14:paraId="4A7F371B"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0D71DEB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87.2</w:t>
            </w:r>
          </w:p>
        </w:tc>
        <w:tc>
          <w:tcPr>
            <w:tcW w:w="703" w:type="dxa"/>
          </w:tcPr>
          <w:p w14:paraId="6479555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87.8</w:t>
            </w:r>
          </w:p>
        </w:tc>
        <w:tc>
          <w:tcPr>
            <w:tcW w:w="708" w:type="dxa"/>
          </w:tcPr>
          <w:p w14:paraId="1DCBBC0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66.5</w:t>
            </w:r>
          </w:p>
        </w:tc>
        <w:tc>
          <w:tcPr>
            <w:tcW w:w="727" w:type="dxa"/>
          </w:tcPr>
          <w:p w14:paraId="2BFA299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23.8</w:t>
            </w:r>
          </w:p>
        </w:tc>
        <w:tc>
          <w:tcPr>
            <w:tcW w:w="700" w:type="dxa"/>
          </w:tcPr>
          <w:p w14:paraId="3719A0A1" w14:textId="77777777" w:rsidR="00E617D9" w:rsidRPr="005E61DF" w:rsidRDefault="00E617D9" w:rsidP="00E617D9">
            <w:pPr>
              <w:spacing w:after="120"/>
              <w:rPr>
                <w:rFonts w:asciiTheme="majorBidi" w:hAnsiTheme="majorBidi" w:cstheme="majorBidi"/>
              </w:rPr>
            </w:pPr>
          </w:p>
        </w:tc>
        <w:tc>
          <w:tcPr>
            <w:tcW w:w="700" w:type="dxa"/>
          </w:tcPr>
          <w:p w14:paraId="6D340B1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14.6</w:t>
            </w:r>
          </w:p>
        </w:tc>
        <w:tc>
          <w:tcPr>
            <w:tcW w:w="742" w:type="dxa"/>
          </w:tcPr>
          <w:p w14:paraId="009B5472" w14:textId="77777777" w:rsidR="00E617D9" w:rsidRPr="005E61DF" w:rsidRDefault="00E617D9" w:rsidP="00E617D9">
            <w:pPr>
              <w:spacing w:after="120"/>
              <w:rPr>
                <w:rFonts w:asciiTheme="majorBidi" w:hAnsiTheme="majorBidi" w:cstheme="majorBidi"/>
              </w:rPr>
            </w:pPr>
          </w:p>
        </w:tc>
        <w:tc>
          <w:tcPr>
            <w:tcW w:w="712" w:type="dxa"/>
          </w:tcPr>
          <w:p w14:paraId="62034518" w14:textId="77777777" w:rsidR="00E617D9" w:rsidRPr="005E61DF" w:rsidRDefault="00E617D9" w:rsidP="00E617D9">
            <w:pPr>
              <w:spacing w:after="120"/>
              <w:rPr>
                <w:rFonts w:asciiTheme="majorBidi" w:hAnsiTheme="majorBidi" w:cstheme="majorBidi"/>
              </w:rPr>
            </w:pPr>
          </w:p>
        </w:tc>
        <w:tc>
          <w:tcPr>
            <w:tcW w:w="714" w:type="dxa"/>
          </w:tcPr>
          <w:p w14:paraId="327EA5F4" w14:textId="77777777" w:rsidR="00E617D9" w:rsidRPr="005E61DF" w:rsidRDefault="00E617D9" w:rsidP="00E617D9">
            <w:pPr>
              <w:spacing w:after="120"/>
              <w:rPr>
                <w:rFonts w:asciiTheme="majorBidi" w:hAnsiTheme="majorBidi" w:cstheme="majorBidi"/>
              </w:rPr>
            </w:pPr>
          </w:p>
        </w:tc>
        <w:tc>
          <w:tcPr>
            <w:tcW w:w="729" w:type="dxa"/>
          </w:tcPr>
          <w:p w14:paraId="3FB146BA" w14:textId="77777777" w:rsidR="00E617D9" w:rsidRPr="005E61DF" w:rsidRDefault="00E617D9" w:rsidP="00E617D9">
            <w:pPr>
              <w:spacing w:after="120"/>
              <w:rPr>
                <w:rFonts w:asciiTheme="majorBidi" w:hAnsiTheme="majorBidi" w:cstheme="majorBidi"/>
              </w:rPr>
            </w:pPr>
          </w:p>
        </w:tc>
        <w:tc>
          <w:tcPr>
            <w:tcW w:w="728" w:type="dxa"/>
          </w:tcPr>
          <w:p w14:paraId="0EF3132F" w14:textId="77777777" w:rsidR="00E617D9" w:rsidRPr="005E61DF" w:rsidRDefault="00E617D9" w:rsidP="00E617D9">
            <w:pPr>
              <w:spacing w:after="120"/>
              <w:rPr>
                <w:rFonts w:asciiTheme="majorBidi" w:hAnsiTheme="majorBidi" w:cstheme="majorBidi"/>
              </w:rPr>
            </w:pPr>
          </w:p>
        </w:tc>
        <w:tc>
          <w:tcPr>
            <w:tcW w:w="684" w:type="dxa"/>
          </w:tcPr>
          <w:p w14:paraId="1E339BBD" w14:textId="77777777" w:rsidR="00E617D9" w:rsidRPr="005E61DF" w:rsidRDefault="00E617D9" w:rsidP="00E617D9">
            <w:pPr>
              <w:spacing w:after="120"/>
              <w:rPr>
                <w:rFonts w:asciiTheme="majorBidi" w:hAnsiTheme="majorBidi" w:cstheme="majorBidi"/>
              </w:rPr>
            </w:pPr>
          </w:p>
        </w:tc>
        <w:tc>
          <w:tcPr>
            <w:tcW w:w="717" w:type="dxa"/>
          </w:tcPr>
          <w:p w14:paraId="3CEA54D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r>
      <w:tr w:rsidR="00E617D9" w:rsidRPr="005E61DF" w14:paraId="40FD88CA" w14:textId="77777777" w:rsidTr="000F029C">
        <w:tc>
          <w:tcPr>
            <w:tcW w:w="2400" w:type="dxa"/>
          </w:tcPr>
          <w:p w14:paraId="626E6F4F" w14:textId="45224900" w:rsidR="00E617D9" w:rsidRPr="00454CF5" w:rsidRDefault="00E617D9" w:rsidP="00E617D9">
            <w:pPr>
              <w:spacing w:after="120"/>
              <w:rPr>
                <w:rFonts w:asciiTheme="majorBidi" w:hAnsiTheme="majorBidi" w:cstheme="majorBidi"/>
                <w:color w:val="000000"/>
                <w:sz w:val="20"/>
              </w:rPr>
            </w:pPr>
            <w:r w:rsidRPr="00454CF5">
              <w:rPr>
                <w:rFonts w:asciiTheme="majorBidi" w:hAnsiTheme="majorBidi" w:cstheme="majorBidi"/>
                <w:color w:val="000000"/>
                <w:sz w:val="20"/>
              </w:rPr>
              <w:t>Longshaw 2020 (SIDERO-CR 2014-16)</w:t>
            </w:r>
            <w:r w:rsidRPr="00A83123">
              <w:rPr>
                <w:rFonts w:asciiTheme="majorBidi" w:hAnsiTheme="majorBidi" w:cstheme="majorBidi"/>
                <w:noProof/>
                <w:color w:val="000000"/>
                <w:vertAlign w:val="superscript"/>
              </w:rPr>
              <w:t>61</w:t>
            </w:r>
          </w:p>
          <w:p w14:paraId="25AF94CB" w14:textId="112F6626" w:rsidR="00E617D9" w:rsidRPr="005E61DF" w:rsidRDefault="00E617D9" w:rsidP="00E617D9">
            <w:pPr>
              <w:spacing w:after="120"/>
              <w:rPr>
                <w:rFonts w:asciiTheme="majorBidi" w:hAnsiTheme="majorBidi" w:cstheme="majorBidi"/>
              </w:rPr>
            </w:pPr>
            <w:r w:rsidRPr="005E61DF">
              <w:rPr>
                <w:rFonts w:asciiTheme="majorBidi" w:hAnsiTheme="majorBidi" w:cstheme="majorBidi"/>
              </w:rPr>
              <w:t>(SIDERO-CR 2014-16)</w:t>
            </w:r>
          </w:p>
        </w:tc>
        <w:tc>
          <w:tcPr>
            <w:tcW w:w="847" w:type="dxa"/>
          </w:tcPr>
          <w:p w14:paraId="5BEBFC7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074187C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85</w:t>
            </w:r>
          </w:p>
        </w:tc>
        <w:tc>
          <w:tcPr>
            <w:tcW w:w="712" w:type="dxa"/>
            <w:gridSpan w:val="2"/>
          </w:tcPr>
          <w:p w14:paraId="78036EC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88.2</w:t>
            </w:r>
          </w:p>
        </w:tc>
        <w:tc>
          <w:tcPr>
            <w:tcW w:w="718" w:type="dxa"/>
          </w:tcPr>
          <w:p w14:paraId="36BDC80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67.1</w:t>
            </w:r>
          </w:p>
        </w:tc>
        <w:tc>
          <w:tcPr>
            <w:tcW w:w="703" w:type="dxa"/>
          </w:tcPr>
          <w:p w14:paraId="29B042A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12.9</w:t>
            </w:r>
          </w:p>
        </w:tc>
        <w:tc>
          <w:tcPr>
            <w:tcW w:w="708" w:type="dxa"/>
          </w:tcPr>
          <w:p w14:paraId="69FA201D" w14:textId="77777777" w:rsidR="00E617D9" w:rsidRPr="005E61DF" w:rsidRDefault="00E617D9" w:rsidP="00E617D9">
            <w:pPr>
              <w:spacing w:after="120"/>
              <w:rPr>
                <w:rFonts w:asciiTheme="majorBidi" w:hAnsiTheme="majorBidi" w:cstheme="majorBidi"/>
              </w:rPr>
            </w:pPr>
          </w:p>
        </w:tc>
        <w:tc>
          <w:tcPr>
            <w:tcW w:w="727" w:type="dxa"/>
          </w:tcPr>
          <w:p w14:paraId="3BAEE6C1" w14:textId="77777777" w:rsidR="00E617D9" w:rsidRPr="005E61DF" w:rsidRDefault="00E617D9" w:rsidP="00E617D9">
            <w:pPr>
              <w:spacing w:after="120"/>
              <w:rPr>
                <w:rFonts w:asciiTheme="majorBidi" w:hAnsiTheme="majorBidi" w:cstheme="majorBidi"/>
              </w:rPr>
            </w:pPr>
          </w:p>
        </w:tc>
        <w:tc>
          <w:tcPr>
            <w:tcW w:w="700" w:type="dxa"/>
          </w:tcPr>
          <w:p w14:paraId="3FD75B5F" w14:textId="77777777" w:rsidR="00E617D9" w:rsidRPr="005E61DF" w:rsidRDefault="00E617D9" w:rsidP="00E617D9">
            <w:pPr>
              <w:spacing w:after="120"/>
              <w:rPr>
                <w:rFonts w:asciiTheme="majorBidi" w:hAnsiTheme="majorBidi" w:cstheme="majorBidi"/>
              </w:rPr>
            </w:pPr>
          </w:p>
        </w:tc>
        <w:tc>
          <w:tcPr>
            <w:tcW w:w="700" w:type="dxa"/>
          </w:tcPr>
          <w:p w14:paraId="43D91C82" w14:textId="77777777" w:rsidR="00E617D9" w:rsidRPr="005E61DF" w:rsidRDefault="00E617D9" w:rsidP="00E617D9">
            <w:pPr>
              <w:spacing w:after="120"/>
              <w:rPr>
                <w:rFonts w:asciiTheme="majorBidi" w:hAnsiTheme="majorBidi" w:cstheme="majorBidi"/>
              </w:rPr>
            </w:pPr>
          </w:p>
        </w:tc>
        <w:tc>
          <w:tcPr>
            <w:tcW w:w="742" w:type="dxa"/>
          </w:tcPr>
          <w:p w14:paraId="7B278EA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1.2</w:t>
            </w:r>
          </w:p>
        </w:tc>
        <w:tc>
          <w:tcPr>
            <w:tcW w:w="712" w:type="dxa"/>
          </w:tcPr>
          <w:p w14:paraId="37978371" w14:textId="77777777" w:rsidR="00E617D9" w:rsidRPr="005E61DF" w:rsidRDefault="00E617D9" w:rsidP="00E617D9">
            <w:pPr>
              <w:spacing w:after="120"/>
              <w:rPr>
                <w:rFonts w:asciiTheme="majorBidi" w:hAnsiTheme="majorBidi" w:cstheme="majorBidi"/>
              </w:rPr>
            </w:pPr>
          </w:p>
        </w:tc>
        <w:tc>
          <w:tcPr>
            <w:tcW w:w="714" w:type="dxa"/>
          </w:tcPr>
          <w:p w14:paraId="4A9A4E82" w14:textId="77777777" w:rsidR="00E617D9" w:rsidRPr="005E61DF" w:rsidRDefault="00E617D9" w:rsidP="00E617D9">
            <w:pPr>
              <w:spacing w:after="120"/>
              <w:rPr>
                <w:rFonts w:asciiTheme="majorBidi" w:hAnsiTheme="majorBidi" w:cstheme="majorBidi"/>
              </w:rPr>
            </w:pPr>
          </w:p>
        </w:tc>
        <w:tc>
          <w:tcPr>
            <w:tcW w:w="729" w:type="dxa"/>
          </w:tcPr>
          <w:p w14:paraId="1CC29D82" w14:textId="77777777" w:rsidR="00E617D9" w:rsidRPr="005E61DF" w:rsidRDefault="00E617D9" w:rsidP="00E617D9">
            <w:pPr>
              <w:spacing w:after="120"/>
              <w:rPr>
                <w:rFonts w:asciiTheme="majorBidi" w:hAnsiTheme="majorBidi" w:cstheme="majorBidi"/>
              </w:rPr>
            </w:pPr>
          </w:p>
        </w:tc>
        <w:tc>
          <w:tcPr>
            <w:tcW w:w="728" w:type="dxa"/>
          </w:tcPr>
          <w:p w14:paraId="71213441" w14:textId="77777777" w:rsidR="00E617D9" w:rsidRPr="005E61DF" w:rsidRDefault="00E617D9" w:rsidP="00E617D9">
            <w:pPr>
              <w:spacing w:after="120"/>
              <w:rPr>
                <w:rFonts w:asciiTheme="majorBidi" w:hAnsiTheme="majorBidi" w:cstheme="majorBidi"/>
              </w:rPr>
            </w:pPr>
          </w:p>
        </w:tc>
        <w:tc>
          <w:tcPr>
            <w:tcW w:w="684" w:type="dxa"/>
          </w:tcPr>
          <w:p w14:paraId="21DE8C03"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1.2</w:t>
            </w:r>
          </w:p>
        </w:tc>
        <w:tc>
          <w:tcPr>
            <w:tcW w:w="717" w:type="dxa"/>
          </w:tcPr>
          <w:p w14:paraId="71AE263B" w14:textId="77777777" w:rsidR="00E617D9" w:rsidRPr="005E61DF" w:rsidRDefault="00E617D9" w:rsidP="00E617D9">
            <w:pPr>
              <w:spacing w:after="120"/>
              <w:rPr>
                <w:rFonts w:asciiTheme="majorBidi" w:hAnsiTheme="majorBidi" w:cstheme="majorBidi"/>
              </w:rPr>
            </w:pPr>
          </w:p>
        </w:tc>
      </w:tr>
      <w:tr w:rsidR="00E617D9" w:rsidRPr="005E61DF" w14:paraId="4D53719B" w14:textId="77777777" w:rsidTr="000F029C">
        <w:tc>
          <w:tcPr>
            <w:tcW w:w="2400" w:type="dxa"/>
          </w:tcPr>
          <w:p w14:paraId="3FCD4C33" w14:textId="7C143BA0" w:rsidR="00E617D9" w:rsidRPr="003A47E9" w:rsidRDefault="00E617D9" w:rsidP="00E617D9">
            <w:pPr>
              <w:spacing w:after="120"/>
              <w:rPr>
                <w:rFonts w:asciiTheme="majorBidi" w:hAnsiTheme="majorBidi" w:cstheme="majorBidi"/>
                <w:color w:val="000000"/>
                <w:sz w:val="20"/>
              </w:rPr>
            </w:pPr>
            <w:proofErr w:type="spellStart"/>
            <w:r w:rsidRPr="003A47E9">
              <w:rPr>
                <w:rFonts w:asciiTheme="majorBidi" w:hAnsiTheme="majorBidi" w:cstheme="majorBidi"/>
                <w:color w:val="000000"/>
                <w:sz w:val="20"/>
              </w:rPr>
              <w:t>Mataraci</w:t>
            </w:r>
            <w:proofErr w:type="spellEnd"/>
            <w:r w:rsidRPr="003A47E9">
              <w:rPr>
                <w:rFonts w:asciiTheme="majorBidi" w:hAnsiTheme="majorBidi" w:cstheme="majorBidi"/>
                <w:color w:val="000000"/>
                <w:sz w:val="20"/>
              </w:rPr>
              <w:t xml:space="preserve"> 2020</w:t>
            </w:r>
            <w:r w:rsidRPr="00A83123">
              <w:rPr>
                <w:rFonts w:asciiTheme="majorBidi" w:hAnsiTheme="majorBidi" w:cstheme="majorBidi"/>
                <w:noProof/>
                <w:color w:val="000000"/>
                <w:vertAlign w:val="superscript"/>
              </w:rPr>
              <w:t>62</w:t>
            </w:r>
          </w:p>
          <w:p w14:paraId="0C0270B2" w14:textId="77777777" w:rsidR="00E617D9" w:rsidRPr="005E61DF" w:rsidRDefault="00E617D9" w:rsidP="00E617D9">
            <w:pPr>
              <w:spacing w:after="120"/>
              <w:rPr>
                <w:rFonts w:asciiTheme="majorBidi" w:hAnsiTheme="majorBidi" w:cstheme="majorBidi"/>
              </w:rPr>
            </w:pPr>
          </w:p>
        </w:tc>
        <w:tc>
          <w:tcPr>
            <w:tcW w:w="847" w:type="dxa"/>
          </w:tcPr>
          <w:p w14:paraId="54AA058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E; Full</w:t>
            </w:r>
          </w:p>
        </w:tc>
        <w:tc>
          <w:tcPr>
            <w:tcW w:w="711" w:type="dxa"/>
          </w:tcPr>
          <w:p w14:paraId="19A1D91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74</w:t>
            </w:r>
          </w:p>
        </w:tc>
        <w:tc>
          <w:tcPr>
            <w:tcW w:w="712" w:type="dxa"/>
            <w:gridSpan w:val="2"/>
          </w:tcPr>
          <w:p w14:paraId="711310A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60.8</w:t>
            </w:r>
          </w:p>
        </w:tc>
        <w:tc>
          <w:tcPr>
            <w:tcW w:w="718" w:type="dxa"/>
          </w:tcPr>
          <w:p w14:paraId="03732F8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64.9</w:t>
            </w:r>
          </w:p>
        </w:tc>
        <w:tc>
          <w:tcPr>
            <w:tcW w:w="703" w:type="dxa"/>
          </w:tcPr>
          <w:p w14:paraId="74F281D7" w14:textId="77777777" w:rsidR="00E617D9" w:rsidRPr="005E61DF" w:rsidRDefault="00E617D9" w:rsidP="00E617D9">
            <w:pPr>
              <w:spacing w:after="120"/>
              <w:rPr>
                <w:rFonts w:asciiTheme="majorBidi" w:hAnsiTheme="majorBidi" w:cstheme="majorBidi"/>
              </w:rPr>
            </w:pPr>
          </w:p>
        </w:tc>
        <w:tc>
          <w:tcPr>
            <w:tcW w:w="708" w:type="dxa"/>
          </w:tcPr>
          <w:p w14:paraId="166BF95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24.3</w:t>
            </w:r>
          </w:p>
        </w:tc>
        <w:tc>
          <w:tcPr>
            <w:tcW w:w="727" w:type="dxa"/>
          </w:tcPr>
          <w:p w14:paraId="474A19C2" w14:textId="77777777" w:rsidR="00E617D9" w:rsidRPr="005E61DF" w:rsidRDefault="00E617D9" w:rsidP="00E617D9">
            <w:pPr>
              <w:spacing w:after="120"/>
              <w:rPr>
                <w:rFonts w:asciiTheme="majorBidi" w:hAnsiTheme="majorBidi" w:cstheme="majorBidi"/>
              </w:rPr>
            </w:pPr>
          </w:p>
        </w:tc>
        <w:tc>
          <w:tcPr>
            <w:tcW w:w="700" w:type="dxa"/>
          </w:tcPr>
          <w:p w14:paraId="00CB116E" w14:textId="77777777" w:rsidR="00E617D9" w:rsidRPr="005E61DF" w:rsidRDefault="00E617D9" w:rsidP="00E617D9">
            <w:pPr>
              <w:spacing w:after="120"/>
              <w:rPr>
                <w:rFonts w:asciiTheme="majorBidi" w:hAnsiTheme="majorBidi" w:cstheme="majorBidi"/>
              </w:rPr>
            </w:pPr>
          </w:p>
        </w:tc>
        <w:tc>
          <w:tcPr>
            <w:tcW w:w="700" w:type="dxa"/>
          </w:tcPr>
          <w:p w14:paraId="0968564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10.8</w:t>
            </w:r>
          </w:p>
        </w:tc>
        <w:tc>
          <w:tcPr>
            <w:tcW w:w="742" w:type="dxa"/>
          </w:tcPr>
          <w:p w14:paraId="02C350F8" w14:textId="77777777" w:rsidR="00E617D9" w:rsidRPr="005E61DF" w:rsidRDefault="00E617D9" w:rsidP="00E617D9">
            <w:pPr>
              <w:spacing w:after="120"/>
              <w:rPr>
                <w:rFonts w:asciiTheme="majorBidi" w:hAnsiTheme="majorBidi" w:cstheme="majorBidi"/>
              </w:rPr>
            </w:pPr>
          </w:p>
        </w:tc>
        <w:tc>
          <w:tcPr>
            <w:tcW w:w="712" w:type="dxa"/>
          </w:tcPr>
          <w:p w14:paraId="1A05F148" w14:textId="77777777" w:rsidR="00E617D9" w:rsidRPr="005E61DF" w:rsidRDefault="00E617D9" w:rsidP="00E617D9">
            <w:pPr>
              <w:spacing w:after="120"/>
              <w:rPr>
                <w:rFonts w:asciiTheme="majorBidi" w:hAnsiTheme="majorBidi" w:cstheme="majorBidi"/>
              </w:rPr>
            </w:pPr>
          </w:p>
        </w:tc>
        <w:tc>
          <w:tcPr>
            <w:tcW w:w="714" w:type="dxa"/>
          </w:tcPr>
          <w:p w14:paraId="7106154F" w14:textId="77777777" w:rsidR="00E617D9" w:rsidRPr="005E61DF" w:rsidRDefault="00E617D9" w:rsidP="00E617D9">
            <w:pPr>
              <w:spacing w:after="120"/>
              <w:rPr>
                <w:rFonts w:asciiTheme="majorBidi" w:hAnsiTheme="majorBidi" w:cstheme="majorBidi"/>
              </w:rPr>
            </w:pPr>
          </w:p>
        </w:tc>
        <w:tc>
          <w:tcPr>
            <w:tcW w:w="729" w:type="dxa"/>
          </w:tcPr>
          <w:p w14:paraId="116C6F1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20.3</w:t>
            </w:r>
          </w:p>
        </w:tc>
        <w:tc>
          <w:tcPr>
            <w:tcW w:w="728" w:type="dxa"/>
          </w:tcPr>
          <w:p w14:paraId="07EEE9D4" w14:textId="77777777" w:rsidR="00E617D9" w:rsidRPr="005E61DF" w:rsidRDefault="00E617D9" w:rsidP="00E617D9">
            <w:pPr>
              <w:spacing w:after="120"/>
              <w:rPr>
                <w:rFonts w:asciiTheme="majorBidi" w:hAnsiTheme="majorBidi" w:cstheme="majorBidi"/>
              </w:rPr>
            </w:pPr>
          </w:p>
        </w:tc>
        <w:tc>
          <w:tcPr>
            <w:tcW w:w="684" w:type="dxa"/>
          </w:tcPr>
          <w:p w14:paraId="738D1206" w14:textId="77777777" w:rsidR="00E617D9" w:rsidRPr="005E61DF" w:rsidRDefault="00E617D9" w:rsidP="00E617D9">
            <w:pPr>
              <w:spacing w:after="120"/>
              <w:rPr>
                <w:rFonts w:asciiTheme="majorBidi" w:hAnsiTheme="majorBidi" w:cstheme="majorBidi"/>
              </w:rPr>
            </w:pPr>
          </w:p>
        </w:tc>
        <w:tc>
          <w:tcPr>
            <w:tcW w:w="717" w:type="dxa"/>
          </w:tcPr>
          <w:p w14:paraId="05F9703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5.4</w:t>
            </w:r>
          </w:p>
        </w:tc>
      </w:tr>
      <w:tr w:rsidR="00E617D9" w:rsidRPr="005E61DF" w14:paraId="0D55398A" w14:textId="77777777" w:rsidTr="000F029C">
        <w:tc>
          <w:tcPr>
            <w:tcW w:w="2400" w:type="dxa"/>
            <w:shd w:val="clear" w:color="auto" w:fill="auto"/>
          </w:tcPr>
          <w:p w14:paraId="4F630217" w14:textId="615D1ADA" w:rsidR="00E617D9" w:rsidRPr="003A47E9" w:rsidRDefault="00E617D9" w:rsidP="00E617D9">
            <w:pPr>
              <w:spacing w:after="120"/>
              <w:rPr>
                <w:rFonts w:asciiTheme="majorBidi" w:hAnsiTheme="majorBidi" w:cstheme="majorBidi"/>
                <w:color w:val="000000"/>
                <w:sz w:val="20"/>
                <w:lang w:val="sv-SE"/>
              </w:rPr>
            </w:pPr>
            <w:r w:rsidRPr="003A47E9">
              <w:rPr>
                <w:rFonts w:asciiTheme="majorBidi" w:hAnsiTheme="majorBidi" w:cstheme="majorBidi"/>
                <w:color w:val="000000"/>
                <w:sz w:val="20"/>
                <w:lang w:val="sv-SE"/>
              </w:rPr>
              <w:lastRenderedPageBreak/>
              <w:t>Han 2020</w:t>
            </w:r>
            <w:r w:rsidRPr="00A83123">
              <w:rPr>
                <w:rFonts w:asciiTheme="majorBidi" w:hAnsiTheme="majorBidi" w:cstheme="majorBidi"/>
                <w:noProof/>
                <w:color w:val="000000"/>
                <w:vertAlign w:val="superscript"/>
              </w:rPr>
              <w:t>52</w:t>
            </w:r>
          </w:p>
          <w:p w14:paraId="744CC6FF" w14:textId="77777777" w:rsidR="00E617D9" w:rsidRPr="005E61DF" w:rsidRDefault="00E617D9" w:rsidP="00E617D9">
            <w:pPr>
              <w:spacing w:after="120"/>
              <w:rPr>
                <w:rFonts w:asciiTheme="majorBidi" w:hAnsiTheme="majorBidi" w:cstheme="majorBidi"/>
              </w:rPr>
            </w:pPr>
          </w:p>
        </w:tc>
        <w:tc>
          <w:tcPr>
            <w:tcW w:w="847" w:type="dxa"/>
          </w:tcPr>
          <w:p w14:paraId="407B1E2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4E41497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68</w:t>
            </w:r>
          </w:p>
        </w:tc>
        <w:tc>
          <w:tcPr>
            <w:tcW w:w="712" w:type="dxa"/>
            <w:gridSpan w:val="2"/>
          </w:tcPr>
          <w:p w14:paraId="39AB242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7596DD88" w14:textId="77777777" w:rsidR="00E617D9" w:rsidRPr="005E61DF" w:rsidRDefault="00E617D9" w:rsidP="00E617D9">
            <w:pPr>
              <w:spacing w:after="120"/>
              <w:rPr>
                <w:rFonts w:asciiTheme="majorBidi" w:hAnsiTheme="majorBidi" w:cstheme="majorBidi"/>
              </w:rPr>
            </w:pPr>
          </w:p>
        </w:tc>
        <w:tc>
          <w:tcPr>
            <w:tcW w:w="703" w:type="dxa"/>
          </w:tcPr>
          <w:p w14:paraId="37BDA3C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4.4</w:t>
            </w:r>
          </w:p>
        </w:tc>
        <w:tc>
          <w:tcPr>
            <w:tcW w:w="708" w:type="dxa"/>
          </w:tcPr>
          <w:p w14:paraId="0141601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27" w:type="dxa"/>
          </w:tcPr>
          <w:p w14:paraId="4411094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00" w:type="dxa"/>
          </w:tcPr>
          <w:p w14:paraId="5C9EEE32" w14:textId="77777777" w:rsidR="00E617D9" w:rsidRPr="005E61DF" w:rsidRDefault="00E617D9" w:rsidP="00E617D9">
            <w:pPr>
              <w:spacing w:after="120"/>
              <w:rPr>
                <w:rFonts w:asciiTheme="majorBidi" w:hAnsiTheme="majorBidi" w:cstheme="majorBidi"/>
              </w:rPr>
            </w:pPr>
          </w:p>
        </w:tc>
        <w:tc>
          <w:tcPr>
            <w:tcW w:w="700" w:type="dxa"/>
          </w:tcPr>
          <w:p w14:paraId="5824D8F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42" w:type="dxa"/>
          </w:tcPr>
          <w:p w14:paraId="18A37B28"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12" w:type="dxa"/>
          </w:tcPr>
          <w:p w14:paraId="52B86CB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14" w:type="dxa"/>
          </w:tcPr>
          <w:p w14:paraId="082EC73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29" w:type="dxa"/>
          </w:tcPr>
          <w:p w14:paraId="059DB864" w14:textId="77777777" w:rsidR="00E617D9" w:rsidRPr="005E61DF" w:rsidRDefault="00E617D9" w:rsidP="00E617D9">
            <w:pPr>
              <w:spacing w:after="120"/>
              <w:rPr>
                <w:rFonts w:asciiTheme="majorBidi" w:hAnsiTheme="majorBidi" w:cstheme="majorBidi"/>
              </w:rPr>
            </w:pPr>
          </w:p>
        </w:tc>
        <w:tc>
          <w:tcPr>
            <w:tcW w:w="728" w:type="dxa"/>
          </w:tcPr>
          <w:p w14:paraId="0EB7904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684" w:type="dxa"/>
          </w:tcPr>
          <w:p w14:paraId="33268CE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17" w:type="dxa"/>
          </w:tcPr>
          <w:p w14:paraId="68F8014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r>
      <w:tr w:rsidR="00E617D9" w:rsidRPr="005E61DF" w14:paraId="757F226B" w14:textId="77777777" w:rsidTr="000F029C">
        <w:tc>
          <w:tcPr>
            <w:tcW w:w="2400" w:type="dxa"/>
          </w:tcPr>
          <w:p w14:paraId="5A95CDEC" w14:textId="528E5D1D" w:rsidR="00E617D9" w:rsidRPr="003A47E9" w:rsidRDefault="00E617D9" w:rsidP="00E617D9">
            <w:pPr>
              <w:spacing w:after="120"/>
              <w:rPr>
                <w:rFonts w:asciiTheme="majorBidi" w:hAnsiTheme="majorBidi" w:cstheme="majorBidi"/>
                <w:color w:val="000000"/>
                <w:sz w:val="20"/>
              </w:rPr>
            </w:pPr>
            <w:r w:rsidRPr="003A47E9">
              <w:rPr>
                <w:rFonts w:asciiTheme="majorBidi" w:hAnsiTheme="majorBidi" w:cstheme="majorBidi"/>
                <w:color w:val="000000"/>
                <w:sz w:val="20"/>
              </w:rPr>
              <w:t>Johnston 2020</w:t>
            </w:r>
            <w:r w:rsidRPr="00A83123">
              <w:rPr>
                <w:rFonts w:asciiTheme="majorBidi" w:hAnsiTheme="majorBidi" w:cstheme="majorBidi"/>
                <w:noProof/>
                <w:color w:val="000000"/>
                <w:vertAlign w:val="superscript"/>
              </w:rPr>
              <w:t>53</w:t>
            </w:r>
          </w:p>
          <w:p w14:paraId="56277F24" w14:textId="77777777" w:rsidR="00E617D9" w:rsidRPr="005E61DF" w:rsidRDefault="00E617D9" w:rsidP="00E617D9">
            <w:pPr>
              <w:spacing w:after="120"/>
              <w:rPr>
                <w:rFonts w:asciiTheme="majorBidi" w:hAnsiTheme="majorBidi" w:cstheme="majorBidi"/>
              </w:rPr>
            </w:pPr>
          </w:p>
        </w:tc>
        <w:tc>
          <w:tcPr>
            <w:tcW w:w="847" w:type="dxa"/>
          </w:tcPr>
          <w:p w14:paraId="44457CD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38D2379E" w14:textId="77777777" w:rsidR="00E617D9" w:rsidRPr="005E61DF" w:rsidRDefault="00E617D9" w:rsidP="00E617D9">
            <w:pPr>
              <w:spacing w:after="120"/>
              <w:rPr>
                <w:rFonts w:asciiTheme="majorBidi" w:hAnsiTheme="majorBidi" w:cstheme="majorBidi"/>
              </w:rPr>
            </w:pPr>
          </w:p>
        </w:tc>
        <w:tc>
          <w:tcPr>
            <w:tcW w:w="712" w:type="dxa"/>
            <w:gridSpan w:val="2"/>
          </w:tcPr>
          <w:p w14:paraId="73AC6C2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91</w:t>
            </w:r>
          </w:p>
        </w:tc>
        <w:tc>
          <w:tcPr>
            <w:tcW w:w="718" w:type="dxa"/>
          </w:tcPr>
          <w:p w14:paraId="38BD35F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03" w:type="dxa"/>
          </w:tcPr>
          <w:p w14:paraId="4DCCD21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76</w:t>
            </w:r>
          </w:p>
        </w:tc>
        <w:tc>
          <w:tcPr>
            <w:tcW w:w="708" w:type="dxa"/>
          </w:tcPr>
          <w:p w14:paraId="45A4E2D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27" w:type="dxa"/>
          </w:tcPr>
          <w:p w14:paraId="619F6989" w14:textId="77777777" w:rsidR="00E617D9" w:rsidRPr="005E61DF" w:rsidRDefault="00E617D9" w:rsidP="00E617D9">
            <w:pPr>
              <w:spacing w:after="120"/>
              <w:rPr>
                <w:rFonts w:asciiTheme="majorBidi" w:hAnsiTheme="majorBidi" w:cstheme="majorBidi"/>
              </w:rPr>
            </w:pPr>
          </w:p>
        </w:tc>
        <w:tc>
          <w:tcPr>
            <w:tcW w:w="700" w:type="dxa"/>
          </w:tcPr>
          <w:p w14:paraId="3BA08A48" w14:textId="77777777" w:rsidR="00E617D9" w:rsidRPr="005E61DF" w:rsidRDefault="00E617D9" w:rsidP="00E617D9">
            <w:pPr>
              <w:spacing w:after="120"/>
              <w:rPr>
                <w:rFonts w:asciiTheme="majorBidi" w:hAnsiTheme="majorBidi" w:cstheme="majorBidi"/>
              </w:rPr>
            </w:pPr>
          </w:p>
        </w:tc>
        <w:tc>
          <w:tcPr>
            <w:tcW w:w="700" w:type="dxa"/>
          </w:tcPr>
          <w:p w14:paraId="18E5BA0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26</w:t>
            </w:r>
          </w:p>
        </w:tc>
        <w:tc>
          <w:tcPr>
            <w:tcW w:w="742" w:type="dxa"/>
          </w:tcPr>
          <w:p w14:paraId="401DAE00" w14:textId="77777777" w:rsidR="00E617D9" w:rsidRPr="005E61DF" w:rsidRDefault="00E617D9" w:rsidP="00E617D9">
            <w:pPr>
              <w:spacing w:after="120"/>
              <w:rPr>
                <w:rFonts w:asciiTheme="majorBidi" w:hAnsiTheme="majorBidi" w:cstheme="majorBidi"/>
              </w:rPr>
            </w:pPr>
          </w:p>
        </w:tc>
        <w:tc>
          <w:tcPr>
            <w:tcW w:w="712" w:type="dxa"/>
          </w:tcPr>
          <w:p w14:paraId="4DA9169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52</w:t>
            </w:r>
          </w:p>
        </w:tc>
        <w:tc>
          <w:tcPr>
            <w:tcW w:w="714" w:type="dxa"/>
          </w:tcPr>
          <w:p w14:paraId="6AD43123"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87</w:t>
            </w:r>
          </w:p>
        </w:tc>
        <w:tc>
          <w:tcPr>
            <w:tcW w:w="729" w:type="dxa"/>
          </w:tcPr>
          <w:p w14:paraId="696DF1D7" w14:textId="77777777" w:rsidR="00E617D9" w:rsidRPr="005E61DF" w:rsidRDefault="00E617D9" w:rsidP="00E617D9">
            <w:pPr>
              <w:spacing w:after="120"/>
              <w:rPr>
                <w:rFonts w:asciiTheme="majorBidi" w:hAnsiTheme="majorBidi" w:cstheme="majorBidi"/>
              </w:rPr>
            </w:pPr>
          </w:p>
        </w:tc>
        <w:tc>
          <w:tcPr>
            <w:tcW w:w="728" w:type="dxa"/>
          </w:tcPr>
          <w:p w14:paraId="39E3B520" w14:textId="77777777" w:rsidR="00E617D9" w:rsidRPr="005E61DF" w:rsidRDefault="00E617D9" w:rsidP="00E617D9">
            <w:pPr>
              <w:spacing w:after="120"/>
              <w:rPr>
                <w:rFonts w:asciiTheme="majorBidi" w:hAnsiTheme="majorBidi" w:cstheme="majorBidi"/>
              </w:rPr>
            </w:pPr>
          </w:p>
        </w:tc>
        <w:tc>
          <w:tcPr>
            <w:tcW w:w="684" w:type="dxa"/>
          </w:tcPr>
          <w:p w14:paraId="6FA8554E" w14:textId="77777777" w:rsidR="00E617D9" w:rsidRPr="005E61DF" w:rsidRDefault="00E617D9" w:rsidP="00E617D9">
            <w:pPr>
              <w:spacing w:after="120"/>
              <w:rPr>
                <w:rFonts w:asciiTheme="majorBidi" w:hAnsiTheme="majorBidi" w:cstheme="majorBidi"/>
              </w:rPr>
            </w:pPr>
          </w:p>
        </w:tc>
        <w:tc>
          <w:tcPr>
            <w:tcW w:w="717" w:type="dxa"/>
          </w:tcPr>
          <w:p w14:paraId="27DD728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39</w:t>
            </w:r>
          </w:p>
        </w:tc>
      </w:tr>
      <w:tr w:rsidR="00E617D9" w:rsidRPr="005E61DF" w14:paraId="42EF3D76" w14:textId="77777777" w:rsidTr="000F029C">
        <w:tc>
          <w:tcPr>
            <w:tcW w:w="2400" w:type="dxa"/>
          </w:tcPr>
          <w:p w14:paraId="2958555D" w14:textId="6987356E" w:rsidR="00E617D9" w:rsidRPr="005E61DF" w:rsidRDefault="00E617D9" w:rsidP="00E617D9">
            <w:pPr>
              <w:spacing w:after="120"/>
              <w:rPr>
                <w:rFonts w:asciiTheme="majorBidi" w:hAnsiTheme="majorBidi" w:cstheme="majorBidi"/>
              </w:rPr>
            </w:pPr>
            <w:r w:rsidRPr="003A47E9">
              <w:rPr>
                <w:rFonts w:asciiTheme="majorBidi" w:hAnsiTheme="majorBidi" w:cstheme="majorBidi"/>
                <w:sz w:val="20"/>
                <w:lang w:val="pl-PL"/>
              </w:rPr>
              <w:t>Kazmierczak 2019</w:t>
            </w:r>
            <w:r w:rsidRPr="00A83123">
              <w:rPr>
                <w:rFonts w:asciiTheme="majorBidi" w:hAnsiTheme="majorBidi" w:cstheme="majorBidi"/>
                <w:noProof/>
                <w:vertAlign w:val="superscript"/>
              </w:rPr>
              <w:t>57</w:t>
            </w:r>
            <w:r w:rsidRPr="003A47E9">
              <w:rPr>
                <w:rFonts w:asciiTheme="majorBidi" w:hAnsiTheme="majorBidi" w:cstheme="majorBidi"/>
                <w:sz w:val="20"/>
                <w:lang w:val="pl-PL"/>
              </w:rPr>
              <w:t xml:space="preserve"> </w:t>
            </w:r>
            <w:r w:rsidRPr="005E61DF">
              <w:rPr>
                <w:rFonts w:asciiTheme="majorBidi" w:hAnsiTheme="majorBidi" w:cstheme="majorBidi"/>
              </w:rPr>
              <w:t>(SIDERO-WT)</w:t>
            </w:r>
          </w:p>
        </w:tc>
        <w:tc>
          <w:tcPr>
            <w:tcW w:w="847" w:type="dxa"/>
          </w:tcPr>
          <w:p w14:paraId="3CCF993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0336ABC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32</w:t>
            </w:r>
          </w:p>
        </w:tc>
        <w:tc>
          <w:tcPr>
            <w:tcW w:w="712" w:type="dxa"/>
            <w:gridSpan w:val="2"/>
          </w:tcPr>
          <w:p w14:paraId="6369ADD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90.6</w:t>
            </w:r>
          </w:p>
        </w:tc>
        <w:tc>
          <w:tcPr>
            <w:tcW w:w="718" w:type="dxa"/>
          </w:tcPr>
          <w:p w14:paraId="683FE1A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78.10</w:t>
            </w:r>
          </w:p>
        </w:tc>
        <w:tc>
          <w:tcPr>
            <w:tcW w:w="703" w:type="dxa"/>
          </w:tcPr>
          <w:p w14:paraId="75C1E4B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08" w:type="dxa"/>
          </w:tcPr>
          <w:p w14:paraId="2A704122" w14:textId="77777777" w:rsidR="00E617D9" w:rsidRPr="005E61DF" w:rsidRDefault="00E617D9" w:rsidP="00E617D9">
            <w:pPr>
              <w:spacing w:after="120"/>
              <w:rPr>
                <w:rFonts w:asciiTheme="majorBidi" w:hAnsiTheme="majorBidi" w:cstheme="majorBidi"/>
              </w:rPr>
            </w:pPr>
          </w:p>
        </w:tc>
        <w:tc>
          <w:tcPr>
            <w:tcW w:w="727" w:type="dxa"/>
          </w:tcPr>
          <w:p w14:paraId="2F7F8A8C" w14:textId="77777777" w:rsidR="00E617D9" w:rsidRPr="005E61DF" w:rsidRDefault="00E617D9" w:rsidP="00E617D9">
            <w:pPr>
              <w:spacing w:after="120"/>
              <w:rPr>
                <w:rFonts w:asciiTheme="majorBidi" w:hAnsiTheme="majorBidi" w:cstheme="majorBidi"/>
              </w:rPr>
            </w:pPr>
          </w:p>
        </w:tc>
        <w:tc>
          <w:tcPr>
            <w:tcW w:w="700" w:type="dxa"/>
          </w:tcPr>
          <w:p w14:paraId="4AF2E47E" w14:textId="77777777" w:rsidR="00E617D9" w:rsidRPr="005E61DF" w:rsidRDefault="00E617D9" w:rsidP="00E617D9">
            <w:pPr>
              <w:spacing w:after="120"/>
              <w:rPr>
                <w:rFonts w:asciiTheme="majorBidi" w:hAnsiTheme="majorBidi" w:cstheme="majorBidi"/>
              </w:rPr>
            </w:pPr>
          </w:p>
        </w:tc>
        <w:tc>
          <w:tcPr>
            <w:tcW w:w="700" w:type="dxa"/>
          </w:tcPr>
          <w:p w14:paraId="63348220" w14:textId="77777777" w:rsidR="00E617D9" w:rsidRPr="005E61DF" w:rsidRDefault="00E617D9" w:rsidP="00E617D9">
            <w:pPr>
              <w:spacing w:after="120"/>
              <w:rPr>
                <w:rFonts w:asciiTheme="majorBidi" w:hAnsiTheme="majorBidi" w:cstheme="majorBidi"/>
              </w:rPr>
            </w:pPr>
          </w:p>
        </w:tc>
        <w:tc>
          <w:tcPr>
            <w:tcW w:w="742" w:type="dxa"/>
          </w:tcPr>
          <w:p w14:paraId="7070E2F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3.10</w:t>
            </w:r>
          </w:p>
        </w:tc>
        <w:tc>
          <w:tcPr>
            <w:tcW w:w="712" w:type="dxa"/>
          </w:tcPr>
          <w:p w14:paraId="35C0C3D3" w14:textId="77777777" w:rsidR="00E617D9" w:rsidRPr="005E61DF" w:rsidRDefault="00E617D9" w:rsidP="00E617D9">
            <w:pPr>
              <w:spacing w:after="120"/>
              <w:rPr>
                <w:rFonts w:asciiTheme="majorBidi" w:hAnsiTheme="majorBidi" w:cstheme="majorBidi"/>
              </w:rPr>
            </w:pPr>
          </w:p>
        </w:tc>
        <w:tc>
          <w:tcPr>
            <w:tcW w:w="714" w:type="dxa"/>
          </w:tcPr>
          <w:p w14:paraId="3F254D3E" w14:textId="77777777" w:rsidR="00E617D9" w:rsidRPr="005E61DF" w:rsidRDefault="00E617D9" w:rsidP="00E617D9">
            <w:pPr>
              <w:spacing w:after="120"/>
              <w:rPr>
                <w:rFonts w:asciiTheme="majorBidi" w:hAnsiTheme="majorBidi" w:cstheme="majorBidi"/>
              </w:rPr>
            </w:pPr>
          </w:p>
        </w:tc>
        <w:tc>
          <w:tcPr>
            <w:tcW w:w="729" w:type="dxa"/>
          </w:tcPr>
          <w:p w14:paraId="15112A54" w14:textId="77777777" w:rsidR="00E617D9" w:rsidRPr="005E61DF" w:rsidRDefault="00E617D9" w:rsidP="00E617D9">
            <w:pPr>
              <w:spacing w:after="120"/>
              <w:rPr>
                <w:rFonts w:asciiTheme="majorBidi" w:hAnsiTheme="majorBidi" w:cstheme="majorBidi"/>
              </w:rPr>
            </w:pPr>
          </w:p>
        </w:tc>
        <w:tc>
          <w:tcPr>
            <w:tcW w:w="728" w:type="dxa"/>
          </w:tcPr>
          <w:p w14:paraId="4E919415" w14:textId="77777777" w:rsidR="00E617D9" w:rsidRPr="005E61DF" w:rsidRDefault="00E617D9" w:rsidP="00E617D9">
            <w:pPr>
              <w:spacing w:after="120"/>
              <w:rPr>
                <w:rFonts w:asciiTheme="majorBidi" w:hAnsiTheme="majorBidi" w:cstheme="majorBidi"/>
              </w:rPr>
            </w:pPr>
          </w:p>
        </w:tc>
        <w:tc>
          <w:tcPr>
            <w:tcW w:w="684" w:type="dxa"/>
          </w:tcPr>
          <w:p w14:paraId="41EAD2FA"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12.5</w:t>
            </w:r>
          </w:p>
        </w:tc>
        <w:tc>
          <w:tcPr>
            <w:tcW w:w="717" w:type="dxa"/>
          </w:tcPr>
          <w:p w14:paraId="68ACA97E" w14:textId="77777777" w:rsidR="00E617D9" w:rsidRPr="005E61DF" w:rsidRDefault="00E617D9" w:rsidP="00E617D9">
            <w:pPr>
              <w:spacing w:after="120"/>
              <w:rPr>
                <w:rFonts w:asciiTheme="majorBidi" w:hAnsiTheme="majorBidi" w:cstheme="majorBidi"/>
              </w:rPr>
            </w:pPr>
          </w:p>
        </w:tc>
      </w:tr>
      <w:tr w:rsidR="00E617D9" w:rsidRPr="005E61DF" w14:paraId="1F257B78" w14:textId="77777777" w:rsidTr="000F029C">
        <w:tc>
          <w:tcPr>
            <w:tcW w:w="2400" w:type="dxa"/>
          </w:tcPr>
          <w:p w14:paraId="34D251F5" w14:textId="6F54013A" w:rsidR="00E617D9" w:rsidRPr="003A47E9" w:rsidRDefault="00E617D9" w:rsidP="00E617D9">
            <w:pPr>
              <w:spacing w:after="120"/>
              <w:rPr>
                <w:rFonts w:asciiTheme="majorBidi" w:hAnsiTheme="majorBidi" w:cstheme="majorBidi"/>
                <w:color w:val="000000"/>
                <w:sz w:val="20"/>
                <w:lang w:val="it-IT"/>
              </w:rPr>
            </w:pPr>
            <w:r w:rsidRPr="003A47E9">
              <w:rPr>
                <w:rFonts w:asciiTheme="majorBidi" w:hAnsiTheme="majorBidi" w:cstheme="majorBidi"/>
                <w:color w:val="000000"/>
                <w:sz w:val="20"/>
                <w:lang w:val="it-IT"/>
              </w:rPr>
              <w:t>Viala 2019</w:t>
            </w:r>
            <w:r w:rsidRPr="00A83123">
              <w:rPr>
                <w:rFonts w:asciiTheme="majorBidi" w:hAnsiTheme="majorBidi" w:cstheme="majorBidi"/>
                <w:noProof/>
                <w:color w:val="000000"/>
                <w:vertAlign w:val="superscript"/>
              </w:rPr>
              <w:t>66</w:t>
            </w:r>
          </w:p>
          <w:p w14:paraId="6F15A6EA" w14:textId="42078050" w:rsidR="00E617D9" w:rsidRPr="005E61DF" w:rsidRDefault="00E617D9" w:rsidP="00E617D9">
            <w:pPr>
              <w:spacing w:after="120"/>
              <w:rPr>
                <w:rFonts w:asciiTheme="majorBidi" w:hAnsiTheme="majorBidi" w:cstheme="majorBidi"/>
              </w:rPr>
            </w:pPr>
          </w:p>
        </w:tc>
        <w:tc>
          <w:tcPr>
            <w:tcW w:w="847" w:type="dxa"/>
          </w:tcPr>
          <w:p w14:paraId="2CB1510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297F24E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27</w:t>
            </w:r>
          </w:p>
        </w:tc>
        <w:tc>
          <w:tcPr>
            <w:tcW w:w="712" w:type="dxa"/>
            <w:gridSpan w:val="2"/>
          </w:tcPr>
          <w:p w14:paraId="0DB6BEAF"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96</w:t>
            </w:r>
          </w:p>
        </w:tc>
        <w:tc>
          <w:tcPr>
            <w:tcW w:w="718" w:type="dxa"/>
          </w:tcPr>
          <w:p w14:paraId="36BDE51D" w14:textId="77777777" w:rsidR="00E617D9" w:rsidRPr="005E61DF" w:rsidRDefault="00E617D9" w:rsidP="00E617D9">
            <w:pPr>
              <w:spacing w:after="120"/>
              <w:rPr>
                <w:rFonts w:asciiTheme="majorBidi" w:hAnsiTheme="majorBidi" w:cstheme="majorBidi"/>
              </w:rPr>
            </w:pPr>
          </w:p>
        </w:tc>
        <w:tc>
          <w:tcPr>
            <w:tcW w:w="703" w:type="dxa"/>
          </w:tcPr>
          <w:p w14:paraId="2E0B6373" w14:textId="77777777" w:rsidR="00E617D9" w:rsidRPr="005E61DF" w:rsidRDefault="00E617D9" w:rsidP="00E617D9">
            <w:pPr>
              <w:spacing w:after="120"/>
              <w:rPr>
                <w:rFonts w:asciiTheme="majorBidi" w:hAnsiTheme="majorBidi" w:cstheme="majorBidi"/>
              </w:rPr>
            </w:pPr>
          </w:p>
        </w:tc>
        <w:tc>
          <w:tcPr>
            <w:tcW w:w="708" w:type="dxa"/>
          </w:tcPr>
          <w:p w14:paraId="05F30B6C" w14:textId="77777777" w:rsidR="00E617D9" w:rsidRPr="005E61DF" w:rsidRDefault="00E617D9" w:rsidP="00E617D9">
            <w:pPr>
              <w:spacing w:after="120"/>
              <w:rPr>
                <w:rFonts w:asciiTheme="majorBidi" w:hAnsiTheme="majorBidi" w:cstheme="majorBidi"/>
              </w:rPr>
            </w:pPr>
          </w:p>
        </w:tc>
        <w:tc>
          <w:tcPr>
            <w:tcW w:w="727" w:type="dxa"/>
          </w:tcPr>
          <w:p w14:paraId="5809DD23" w14:textId="77777777" w:rsidR="00E617D9" w:rsidRPr="005E61DF" w:rsidRDefault="00E617D9" w:rsidP="00E617D9">
            <w:pPr>
              <w:spacing w:after="120"/>
              <w:rPr>
                <w:rFonts w:asciiTheme="majorBidi" w:hAnsiTheme="majorBidi" w:cstheme="majorBidi"/>
              </w:rPr>
            </w:pPr>
          </w:p>
        </w:tc>
        <w:tc>
          <w:tcPr>
            <w:tcW w:w="700" w:type="dxa"/>
          </w:tcPr>
          <w:p w14:paraId="0D757CAE" w14:textId="77777777" w:rsidR="00E617D9" w:rsidRPr="005E61DF" w:rsidRDefault="00E617D9" w:rsidP="00E617D9">
            <w:pPr>
              <w:spacing w:after="120"/>
              <w:rPr>
                <w:rFonts w:asciiTheme="majorBidi" w:hAnsiTheme="majorBidi" w:cstheme="majorBidi"/>
              </w:rPr>
            </w:pPr>
          </w:p>
        </w:tc>
        <w:tc>
          <w:tcPr>
            <w:tcW w:w="700" w:type="dxa"/>
          </w:tcPr>
          <w:p w14:paraId="6F3CE770" w14:textId="77777777" w:rsidR="00E617D9" w:rsidRPr="005E61DF" w:rsidRDefault="00E617D9" w:rsidP="00E617D9">
            <w:pPr>
              <w:spacing w:after="120"/>
              <w:rPr>
                <w:rFonts w:asciiTheme="majorBidi" w:hAnsiTheme="majorBidi" w:cstheme="majorBidi"/>
              </w:rPr>
            </w:pPr>
          </w:p>
        </w:tc>
        <w:tc>
          <w:tcPr>
            <w:tcW w:w="742" w:type="dxa"/>
          </w:tcPr>
          <w:p w14:paraId="0E87B7CA" w14:textId="77777777" w:rsidR="00E617D9" w:rsidRPr="005E61DF" w:rsidRDefault="00E617D9" w:rsidP="00E617D9">
            <w:pPr>
              <w:spacing w:after="120"/>
              <w:rPr>
                <w:rFonts w:asciiTheme="majorBidi" w:hAnsiTheme="majorBidi" w:cstheme="majorBidi"/>
              </w:rPr>
            </w:pPr>
          </w:p>
        </w:tc>
        <w:tc>
          <w:tcPr>
            <w:tcW w:w="712" w:type="dxa"/>
          </w:tcPr>
          <w:p w14:paraId="07A27CDB"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43 (7)</w:t>
            </w:r>
          </w:p>
        </w:tc>
        <w:tc>
          <w:tcPr>
            <w:tcW w:w="714" w:type="dxa"/>
          </w:tcPr>
          <w:p w14:paraId="7F9C811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 xml:space="preserve">86 (7) </w:t>
            </w:r>
          </w:p>
        </w:tc>
        <w:tc>
          <w:tcPr>
            <w:tcW w:w="729" w:type="dxa"/>
          </w:tcPr>
          <w:p w14:paraId="3210937D" w14:textId="77777777" w:rsidR="00E617D9" w:rsidRPr="005E61DF" w:rsidRDefault="00E617D9" w:rsidP="00E617D9">
            <w:pPr>
              <w:spacing w:after="120"/>
              <w:rPr>
                <w:rFonts w:asciiTheme="majorBidi" w:hAnsiTheme="majorBidi" w:cstheme="majorBidi"/>
              </w:rPr>
            </w:pPr>
          </w:p>
        </w:tc>
        <w:tc>
          <w:tcPr>
            <w:tcW w:w="728" w:type="dxa"/>
          </w:tcPr>
          <w:p w14:paraId="40F6F74E" w14:textId="77777777" w:rsidR="00E617D9" w:rsidRPr="005E61DF" w:rsidRDefault="00E617D9" w:rsidP="00E617D9">
            <w:pPr>
              <w:spacing w:after="120"/>
              <w:rPr>
                <w:rFonts w:asciiTheme="majorBidi" w:hAnsiTheme="majorBidi" w:cstheme="majorBidi"/>
              </w:rPr>
            </w:pPr>
          </w:p>
        </w:tc>
        <w:tc>
          <w:tcPr>
            <w:tcW w:w="684" w:type="dxa"/>
          </w:tcPr>
          <w:p w14:paraId="5D7A3D7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40 (25)</w:t>
            </w:r>
          </w:p>
        </w:tc>
        <w:tc>
          <w:tcPr>
            <w:tcW w:w="717" w:type="dxa"/>
          </w:tcPr>
          <w:p w14:paraId="35948E5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37</w:t>
            </w:r>
          </w:p>
        </w:tc>
      </w:tr>
      <w:tr w:rsidR="00E617D9" w:rsidRPr="005E61DF" w14:paraId="005DC807" w14:textId="77777777" w:rsidTr="000F029C">
        <w:tc>
          <w:tcPr>
            <w:tcW w:w="2400" w:type="dxa"/>
          </w:tcPr>
          <w:p w14:paraId="4CE5B8BB" w14:textId="043C0BF5" w:rsidR="00E617D9" w:rsidRPr="003A47E9" w:rsidRDefault="00E617D9" w:rsidP="00E617D9">
            <w:pPr>
              <w:spacing w:after="120"/>
              <w:rPr>
                <w:rFonts w:asciiTheme="majorBidi" w:hAnsiTheme="majorBidi" w:cstheme="majorBidi"/>
                <w:color w:val="000000"/>
                <w:sz w:val="20"/>
                <w:lang w:val="es-ES_tradnl"/>
              </w:rPr>
            </w:pPr>
            <w:r w:rsidRPr="003A47E9">
              <w:rPr>
                <w:rFonts w:asciiTheme="majorBidi" w:hAnsiTheme="majorBidi" w:cstheme="majorBidi"/>
                <w:color w:val="000000"/>
                <w:sz w:val="20"/>
                <w:lang w:val="es-ES_tradnl"/>
              </w:rPr>
              <w:t>De la Calle, 2019</w:t>
            </w:r>
            <w:r w:rsidRPr="00A83123">
              <w:rPr>
                <w:rFonts w:asciiTheme="majorBidi" w:hAnsiTheme="majorBidi" w:cstheme="majorBidi"/>
                <w:noProof/>
                <w:color w:val="000000"/>
                <w:vertAlign w:val="superscript"/>
                <w:lang w:val="es-ES_tradnl"/>
              </w:rPr>
              <w:t>37</w:t>
            </w:r>
          </w:p>
          <w:p w14:paraId="7BFE7897" w14:textId="04550677" w:rsidR="00E617D9" w:rsidRPr="005E61DF" w:rsidRDefault="00E617D9" w:rsidP="00E617D9">
            <w:pPr>
              <w:spacing w:after="120"/>
              <w:rPr>
                <w:rFonts w:asciiTheme="majorBidi" w:hAnsiTheme="majorBidi" w:cstheme="majorBidi"/>
              </w:rPr>
            </w:pPr>
          </w:p>
        </w:tc>
        <w:tc>
          <w:tcPr>
            <w:tcW w:w="847" w:type="dxa"/>
          </w:tcPr>
          <w:p w14:paraId="6C653C6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02CC204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24</w:t>
            </w:r>
          </w:p>
        </w:tc>
        <w:tc>
          <w:tcPr>
            <w:tcW w:w="712" w:type="dxa"/>
            <w:gridSpan w:val="2"/>
          </w:tcPr>
          <w:p w14:paraId="6C0009CE"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588509E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94.1 (17)</w:t>
            </w:r>
          </w:p>
        </w:tc>
        <w:tc>
          <w:tcPr>
            <w:tcW w:w="703" w:type="dxa"/>
          </w:tcPr>
          <w:p w14:paraId="02D9498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45.8</w:t>
            </w:r>
          </w:p>
        </w:tc>
        <w:tc>
          <w:tcPr>
            <w:tcW w:w="708" w:type="dxa"/>
          </w:tcPr>
          <w:p w14:paraId="64E6370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50 (18)</w:t>
            </w:r>
          </w:p>
        </w:tc>
        <w:tc>
          <w:tcPr>
            <w:tcW w:w="727" w:type="dxa"/>
          </w:tcPr>
          <w:p w14:paraId="6EDACF5B" w14:textId="77777777" w:rsidR="00E617D9" w:rsidRPr="005E61DF" w:rsidRDefault="00E617D9" w:rsidP="00E617D9">
            <w:pPr>
              <w:spacing w:after="120"/>
              <w:rPr>
                <w:rFonts w:asciiTheme="majorBidi" w:hAnsiTheme="majorBidi" w:cstheme="majorBidi"/>
              </w:rPr>
            </w:pPr>
          </w:p>
        </w:tc>
        <w:tc>
          <w:tcPr>
            <w:tcW w:w="700" w:type="dxa"/>
          </w:tcPr>
          <w:p w14:paraId="5B51BA8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9.1 (11)</w:t>
            </w:r>
          </w:p>
        </w:tc>
        <w:tc>
          <w:tcPr>
            <w:tcW w:w="700" w:type="dxa"/>
          </w:tcPr>
          <w:p w14:paraId="696E09EF" w14:textId="77777777" w:rsidR="00E617D9" w:rsidRPr="005E61DF" w:rsidRDefault="00E617D9" w:rsidP="00E617D9">
            <w:pPr>
              <w:spacing w:after="120"/>
              <w:rPr>
                <w:rFonts w:asciiTheme="majorBidi" w:hAnsiTheme="majorBidi" w:cstheme="majorBidi"/>
              </w:rPr>
            </w:pPr>
          </w:p>
        </w:tc>
        <w:tc>
          <w:tcPr>
            <w:tcW w:w="742" w:type="dxa"/>
          </w:tcPr>
          <w:p w14:paraId="3D8012CE" w14:textId="77777777" w:rsidR="00E617D9" w:rsidRPr="005E61DF" w:rsidRDefault="00E617D9" w:rsidP="00E617D9">
            <w:pPr>
              <w:spacing w:after="120"/>
              <w:rPr>
                <w:rFonts w:asciiTheme="majorBidi" w:hAnsiTheme="majorBidi" w:cstheme="majorBidi"/>
              </w:rPr>
            </w:pPr>
          </w:p>
        </w:tc>
        <w:tc>
          <w:tcPr>
            <w:tcW w:w="712" w:type="dxa"/>
          </w:tcPr>
          <w:p w14:paraId="755E41C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70.80</w:t>
            </w:r>
          </w:p>
        </w:tc>
        <w:tc>
          <w:tcPr>
            <w:tcW w:w="714" w:type="dxa"/>
          </w:tcPr>
          <w:p w14:paraId="3C0E3A1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79.20</w:t>
            </w:r>
          </w:p>
        </w:tc>
        <w:tc>
          <w:tcPr>
            <w:tcW w:w="729" w:type="dxa"/>
          </w:tcPr>
          <w:p w14:paraId="08D6A92C" w14:textId="77777777" w:rsidR="00E617D9" w:rsidRPr="005E61DF" w:rsidRDefault="00E617D9" w:rsidP="00E617D9">
            <w:pPr>
              <w:spacing w:after="120"/>
              <w:rPr>
                <w:rFonts w:asciiTheme="majorBidi" w:hAnsiTheme="majorBidi" w:cstheme="majorBidi"/>
              </w:rPr>
            </w:pPr>
          </w:p>
        </w:tc>
        <w:tc>
          <w:tcPr>
            <w:tcW w:w="728" w:type="dxa"/>
          </w:tcPr>
          <w:p w14:paraId="2E24AE4A" w14:textId="77777777" w:rsidR="00E617D9" w:rsidRPr="005E61DF" w:rsidRDefault="00E617D9" w:rsidP="00E617D9">
            <w:pPr>
              <w:spacing w:after="120"/>
              <w:rPr>
                <w:rFonts w:asciiTheme="majorBidi" w:hAnsiTheme="majorBidi" w:cstheme="majorBidi"/>
              </w:rPr>
            </w:pPr>
          </w:p>
        </w:tc>
        <w:tc>
          <w:tcPr>
            <w:tcW w:w="684" w:type="dxa"/>
          </w:tcPr>
          <w:p w14:paraId="503F144A" w14:textId="77777777" w:rsidR="00E617D9" w:rsidRPr="005E61DF" w:rsidRDefault="00E617D9" w:rsidP="00E617D9">
            <w:pPr>
              <w:spacing w:after="120"/>
              <w:rPr>
                <w:rFonts w:asciiTheme="majorBidi" w:hAnsiTheme="majorBidi" w:cstheme="majorBidi"/>
              </w:rPr>
            </w:pPr>
          </w:p>
        </w:tc>
        <w:tc>
          <w:tcPr>
            <w:tcW w:w="717" w:type="dxa"/>
          </w:tcPr>
          <w:p w14:paraId="1EFA38B2"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4.20</w:t>
            </w:r>
          </w:p>
        </w:tc>
      </w:tr>
      <w:tr w:rsidR="00E617D9" w:rsidRPr="005E61DF" w14:paraId="740AB7F6" w14:textId="77777777" w:rsidTr="000F029C">
        <w:tc>
          <w:tcPr>
            <w:tcW w:w="2400" w:type="dxa"/>
          </w:tcPr>
          <w:p w14:paraId="28CF7356" w14:textId="6A66B898" w:rsidR="00E617D9" w:rsidRPr="005E61DF" w:rsidRDefault="00E617D9" w:rsidP="00E617D9">
            <w:pPr>
              <w:spacing w:after="120"/>
              <w:rPr>
                <w:rFonts w:asciiTheme="majorBidi" w:hAnsiTheme="majorBidi" w:cstheme="majorBidi"/>
              </w:rPr>
            </w:pPr>
            <w:r w:rsidRPr="003A47E9">
              <w:rPr>
                <w:rFonts w:asciiTheme="majorBidi" w:hAnsiTheme="majorBidi" w:cstheme="majorBidi"/>
                <w:color w:val="000000"/>
                <w:sz w:val="20"/>
                <w:lang w:val="it-IT"/>
              </w:rPr>
              <w:t>Galani, 2019</w:t>
            </w:r>
            <w:r w:rsidRPr="00A83123">
              <w:rPr>
                <w:rFonts w:asciiTheme="majorBidi" w:hAnsiTheme="majorBidi" w:cstheme="majorBidi"/>
                <w:noProof/>
                <w:color w:val="000000"/>
                <w:vertAlign w:val="superscript"/>
              </w:rPr>
              <w:t>50</w:t>
            </w:r>
            <w:r w:rsidRPr="005E61DF">
              <w:rPr>
                <w:rFonts w:asciiTheme="majorBidi" w:hAnsiTheme="majorBidi" w:cstheme="majorBidi"/>
              </w:rPr>
              <w:br/>
            </w:r>
          </w:p>
        </w:tc>
        <w:tc>
          <w:tcPr>
            <w:tcW w:w="847" w:type="dxa"/>
          </w:tcPr>
          <w:p w14:paraId="398865F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40BC6DA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19</w:t>
            </w:r>
          </w:p>
        </w:tc>
        <w:tc>
          <w:tcPr>
            <w:tcW w:w="712" w:type="dxa"/>
            <w:gridSpan w:val="2"/>
          </w:tcPr>
          <w:p w14:paraId="17C8617D"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7D50B18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42.10</w:t>
            </w:r>
          </w:p>
        </w:tc>
        <w:tc>
          <w:tcPr>
            <w:tcW w:w="703" w:type="dxa"/>
          </w:tcPr>
          <w:p w14:paraId="1BB68B71"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08" w:type="dxa"/>
          </w:tcPr>
          <w:p w14:paraId="45101EFB"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63.20</w:t>
            </w:r>
          </w:p>
        </w:tc>
        <w:tc>
          <w:tcPr>
            <w:tcW w:w="727" w:type="dxa"/>
          </w:tcPr>
          <w:p w14:paraId="16814E1D" w14:textId="77777777" w:rsidR="00E617D9" w:rsidRPr="005E61DF" w:rsidRDefault="00E617D9" w:rsidP="00E617D9">
            <w:pPr>
              <w:spacing w:after="120"/>
              <w:rPr>
                <w:rFonts w:asciiTheme="majorBidi" w:hAnsiTheme="majorBidi" w:cstheme="majorBidi"/>
              </w:rPr>
            </w:pPr>
          </w:p>
        </w:tc>
        <w:tc>
          <w:tcPr>
            <w:tcW w:w="700" w:type="dxa"/>
          </w:tcPr>
          <w:p w14:paraId="799E7A96"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68.40</w:t>
            </w:r>
          </w:p>
        </w:tc>
        <w:tc>
          <w:tcPr>
            <w:tcW w:w="700" w:type="dxa"/>
          </w:tcPr>
          <w:p w14:paraId="4FD1B458" w14:textId="77777777" w:rsidR="00E617D9" w:rsidRPr="005E61DF" w:rsidRDefault="00E617D9" w:rsidP="00E617D9">
            <w:pPr>
              <w:spacing w:after="120"/>
              <w:rPr>
                <w:rFonts w:asciiTheme="majorBidi" w:hAnsiTheme="majorBidi" w:cstheme="majorBidi"/>
              </w:rPr>
            </w:pPr>
          </w:p>
        </w:tc>
        <w:tc>
          <w:tcPr>
            <w:tcW w:w="742" w:type="dxa"/>
          </w:tcPr>
          <w:p w14:paraId="3B006484" w14:textId="77777777" w:rsidR="00E617D9" w:rsidRPr="005E61DF" w:rsidRDefault="00E617D9" w:rsidP="00E617D9">
            <w:pPr>
              <w:spacing w:after="120"/>
              <w:rPr>
                <w:rFonts w:asciiTheme="majorBidi" w:hAnsiTheme="majorBidi" w:cstheme="majorBidi"/>
              </w:rPr>
            </w:pPr>
          </w:p>
        </w:tc>
        <w:tc>
          <w:tcPr>
            <w:tcW w:w="712" w:type="dxa"/>
          </w:tcPr>
          <w:p w14:paraId="191CFFE9"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21.10</w:t>
            </w:r>
          </w:p>
        </w:tc>
        <w:tc>
          <w:tcPr>
            <w:tcW w:w="714" w:type="dxa"/>
          </w:tcPr>
          <w:p w14:paraId="08924CF6" w14:textId="77777777" w:rsidR="00E617D9" w:rsidRPr="005E61DF" w:rsidRDefault="00E617D9" w:rsidP="00E617D9">
            <w:pPr>
              <w:spacing w:after="120"/>
              <w:rPr>
                <w:rFonts w:asciiTheme="majorBidi" w:hAnsiTheme="majorBidi" w:cstheme="majorBidi"/>
              </w:rPr>
            </w:pPr>
          </w:p>
        </w:tc>
        <w:tc>
          <w:tcPr>
            <w:tcW w:w="729" w:type="dxa"/>
          </w:tcPr>
          <w:p w14:paraId="6F9F3F7F" w14:textId="77777777" w:rsidR="00E617D9" w:rsidRPr="005E61DF" w:rsidRDefault="00E617D9" w:rsidP="00E617D9">
            <w:pPr>
              <w:spacing w:after="120"/>
              <w:rPr>
                <w:rFonts w:asciiTheme="majorBidi" w:hAnsiTheme="majorBidi" w:cstheme="majorBidi"/>
              </w:rPr>
            </w:pPr>
          </w:p>
        </w:tc>
        <w:tc>
          <w:tcPr>
            <w:tcW w:w="728" w:type="dxa"/>
          </w:tcPr>
          <w:p w14:paraId="4B53EBF0" w14:textId="77777777" w:rsidR="00E617D9" w:rsidRPr="005E61DF" w:rsidRDefault="00E617D9" w:rsidP="00E617D9">
            <w:pPr>
              <w:spacing w:after="120"/>
              <w:rPr>
                <w:rFonts w:asciiTheme="majorBidi" w:hAnsiTheme="majorBidi" w:cstheme="majorBidi"/>
              </w:rPr>
            </w:pPr>
          </w:p>
        </w:tc>
        <w:tc>
          <w:tcPr>
            <w:tcW w:w="684" w:type="dxa"/>
          </w:tcPr>
          <w:p w14:paraId="6D8F3951" w14:textId="77777777" w:rsidR="00E617D9" w:rsidRPr="005E61DF" w:rsidRDefault="00E617D9" w:rsidP="00E617D9">
            <w:pPr>
              <w:spacing w:after="120"/>
              <w:rPr>
                <w:rFonts w:asciiTheme="majorBidi" w:hAnsiTheme="majorBidi" w:cstheme="majorBidi"/>
              </w:rPr>
            </w:pPr>
          </w:p>
        </w:tc>
        <w:tc>
          <w:tcPr>
            <w:tcW w:w="717" w:type="dxa"/>
          </w:tcPr>
          <w:p w14:paraId="2A96BE2E" w14:textId="77777777" w:rsidR="00E617D9" w:rsidRPr="005E61DF" w:rsidRDefault="00E617D9" w:rsidP="00E617D9">
            <w:pPr>
              <w:spacing w:after="120"/>
              <w:rPr>
                <w:rFonts w:asciiTheme="majorBidi" w:hAnsiTheme="majorBidi" w:cstheme="majorBidi"/>
              </w:rPr>
            </w:pPr>
          </w:p>
        </w:tc>
      </w:tr>
      <w:tr w:rsidR="00E617D9" w:rsidRPr="005E61DF" w14:paraId="53A8BCAE" w14:textId="77777777" w:rsidTr="000F029C">
        <w:tc>
          <w:tcPr>
            <w:tcW w:w="2400" w:type="dxa"/>
          </w:tcPr>
          <w:p w14:paraId="4E51422D" w14:textId="4F739FEE" w:rsidR="00E617D9" w:rsidRPr="003A47E9" w:rsidRDefault="00E617D9" w:rsidP="00E617D9">
            <w:pPr>
              <w:spacing w:after="120"/>
              <w:rPr>
                <w:rFonts w:asciiTheme="majorBidi" w:hAnsiTheme="majorBidi" w:cstheme="majorBidi"/>
                <w:sz w:val="20"/>
              </w:rPr>
            </w:pPr>
            <w:r w:rsidRPr="003A47E9">
              <w:rPr>
                <w:rFonts w:asciiTheme="majorBidi" w:hAnsiTheme="majorBidi" w:cstheme="majorBidi"/>
                <w:sz w:val="20"/>
              </w:rPr>
              <w:t>Sherry 2018</w:t>
            </w:r>
            <w:r w:rsidRPr="00A83123">
              <w:rPr>
                <w:rFonts w:asciiTheme="majorBidi" w:hAnsiTheme="majorBidi" w:cstheme="majorBidi"/>
                <w:noProof/>
                <w:vertAlign w:val="superscript"/>
              </w:rPr>
              <w:t>65</w:t>
            </w:r>
          </w:p>
          <w:p w14:paraId="6D627B19" w14:textId="77777777" w:rsidR="00E617D9" w:rsidRPr="005E61DF" w:rsidRDefault="00E617D9" w:rsidP="00E617D9">
            <w:pPr>
              <w:spacing w:after="120"/>
              <w:rPr>
                <w:rFonts w:asciiTheme="majorBidi" w:hAnsiTheme="majorBidi" w:cstheme="majorBidi"/>
              </w:rPr>
            </w:pPr>
          </w:p>
        </w:tc>
        <w:tc>
          <w:tcPr>
            <w:tcW w:w="847" w:type="dxa"/>
          </w:tcPr>
          <w:p w14:paraId="7619580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4552FEC0"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14</w:t>
            </w:r>
          </w:p>
        </w:tc>
        <w:tc>
          <w:tcPr>
            <w:tcW w:w="712" w:type="dxa"/>
            <w:gridSpan w:val="2"/>
          </w:tcPr>
          <w:p w14:paraId="1C03EF7B"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18" w:type="dxa"/>
          </w:tcPr>
          <w:p w14:paraId="5E071274" w14:textId="77777777" w:rsidR="00E617D9" w:rsidRPr="005E61DF" w:rsidRDefault="00E617D9" w:rsidP="00E617D9">
            <w:pPr>
              <w:spacing w:after="120"/>
              <w:rPr>
                <w:rFonts w:asciiTheme="majorBidi" w:hAnsiTheme="majorBidi" w:cstheme="majorBidi"/>
              </w:rPr>
            </w:pPr>
          </w:p>
        </w:tc>
        <w:tc>
          <w:tcPr>
            <w:tcW w:w="703" w:type="dxa"/>
          </w:tcPr>
          <w:p w14:paraId="505BE500" w14:textId="77777777" w:rsidR="00E617D9" w:rsidRPr="005E61DF" w:rsidRDefault="00E617D9" w:rsidP="00E617D9">
            <w:pPr>
              <w:spacing w:after="120"/>
              <w:rPr>
                <w:rFonts w:asciiTheme="majorBidi" w:hAnsiTheme="majorBidi" w:cstheme="majorBidi"/>
              </w:rPr>
            </w:pPr>
          </w:p>
        </w:tc>
        <w:tc>
          <w:tcPr>
            <w:tcW w:w="708" w:type="dxa"/>
          </w:tcPr>
          <w:p w14:paraId="706D0A50" w14:textId="77777777" w:rsidR="00E617D9" w:rsidRPr="005E61DF" w:rsidRDefault="00E617D9" w:rsidP="00E617D9">
            <w:pPr>
              <w:spacing w:after="120"/>
              <w:rPr>
                <w:rFonts w:asciiTheme="majorBidi" w:hAnsiTheme="majorBidi" w:cstheme="majorBidi"/>
              </w:rPr>
            </w:pPr>
          </w:p>
        </w:tc>
        <w:tc>
          <w:tcPr>
            <w:tcW w:w="727" w:type="dxa"/>
          </w:tcPr>
          <w:p w14:paraId="22318CAF" w14:textId="77777777" w:rsidR="00E617D9" w:rsidRPr="005E61DF" w:rsidRDefault="00E617D9" w:rsidP="00E617D9">
            <w:pPr>
              <w:spacing w:after="120"/>
              <w:rPr>
                <w:rFonts w:asciiTheme="majorBidi" w:hAnsiTheme="majorBidi" w:cstheme="majorBidi"/>
              </w:rPr>
            </w:pPr>
          </w:p>
        </w:tc>
        <w:tc>
          <w:tcPr>
            <w:tcW w:w="700" w:type="dxa"/>
          </w:tcPr>
          <w:p w14:paraId="61EEE585" w14:textId="77777777" w:rsidR="00E617D9" w:rsidRPr="005E61DF" w:rsidRDefault="00E617D9" w:rsidP="00E617D9">
            <w:pPr>
              <w:spacing w:after="120"/>
              <w:rPr>
                <w:rFonts w:asciiTheme="majorBidi" w:hAnsiTheme="majorBidi" w:cstheme="majorBidi"/>
              </w:rPr>
            </w:pPr>
          </w:p>
        </w:tc>
        <w:tc>
          <w:tcPr>
            <w:tcW w:w="700" w:type="dxa"/>
          </w:tcPr>
          <w:p w14:paraId="24E81841" w14:textId="77777777" w:rsidR="00E617D9" w:rsidRPr="005E61DF" w:rsidRDefault="00E617D9" w:rsidP="00E617D9">
            <w:pPr>
              <w:spacing w:after="120"/>
              <w:rPr>
                <w:rFonts w:asciiTheme="majorBidi" w:hAnsiTheme="majorBidi" w:cstheme="majorBidi"/>
              </w:rPr>
            </w:pPr>
          </w:p>
        </w:tc>
        <w:tc>
          <w:tcPr>
            <w:tcW w:w="742" w:type="dxa"/>
          </w:tcPr>
          <w:p w14:paraId="76F72F88" w14:textId="77777777" w:rsidR="00E617D9" w:rsidRPr="005E61DF" w:rsidRDefault="00E617D9" w:rsidP="00E617D9">
            <w:pPr>
              <w:spacing w:after="120"/>
              <w:rPr>
                <w:rFonts w:asciiTheme="majorBidi" w:hAnsiTheme="majorBidi" w:cstheme="majorBidi"/>
              </w:rPr>
            </w:pPr>
          </w:p>
        </w:tc>
        <w:tc>
          <w:tcPr>
            <w:tcW w:w="712" w:type="dxa"/>
          </w:tcPr>
          <w:p w14:paraId="03E75DE9" w14:textId="77777777" w:rsidR="00E617D9" w:rsidRPr="005E61DF" w:rsidRDefault="00E617D9" w:rsidP="00E617D9">
            <w:pPr>
              <w:spacing w:after="120"/>
              <w:rPr>
                <w:rFonts w:asciiTheme="majorBidi" w:hAnsiTheme="majorBidi" w:cstheme="majorBidi"/>
              </w:rPr>
            </w:pPr>
          </w:p>
        </w:tc>
        <w:tc>
          <w:tcPr>
            <w:tcW w:w="714" w:type="dxa"/>
          </w:tcPr>
          <w:p w14:paraId="5E0A5D87" w14:textId="77777777" w:rsidR="00E617D9" w:rsidRPr="005E61DF" w:rsidRDefault="00E617D9" w:rsidP="00E617D9">
            <w:pPr>
              <w:spacing w:after="120"/>
              <w:rPr>
                <w:rFonts w:asciiTheme="majorBidi" w:hAnsiTheme="majorBidi" w:cstheme="majorBidi"/>
              </w:rPr>
            </w:pPr>
          </w:p>
        </w:tc>
        <w:tc>
          <w:tcPr>
            <w:tcW w:w="729" w:type="dxa"/>
          </w:tcPr>
          <w:p w14:paraId="4EB2F27D" w14:textId="77777777" w:rsidR="00E617D9" w:rsidRPr="005E61DF" w:rsidRDefault="00E617D9" w:rsidP="00E617D9">
            <w:pPr>
              <w:spacing w:after="120"/>
              <w:rPr>
                <w:rFonts w:asciiTheme="majorBidi" w:hAnsiTheme="majorBidi" w:cstheme="majorBidi"/>
              </w:rPr>
            </w:pPr>
          </w:p>
        </w:tc>
        <w:tc>
          <w:tcPr>
            <w:tcW w:w="728" w:type="dxa"/>
          </w:tcPr>
          <w:p w14:paraId="420D7536" w14:textId="77777777" w:rsidR="00E617D9" w:rsidRPr="005E61DF" w:rsidRDefault="00E617D9" w:rsidP="00E617D9">
            <w:pPr>
              <w:spacing w:after="120"/>
              <w:rPr>
                <w:rFonts w:asciiTheme="majorBidi" w:hAnsiTheme="majorBidi" w:cstheme="majorBidi"/>
              </w:rPr>
            </w:pPr>
          </w:p>
        </w:tc>
        <w:tc>
          <w:tcPr>
            <w:tcW w:w="684" w:type="dxa"/>
          </w:tcPr>
          <w:p w14:paraId="19565D41" w14:textId="77777777" w:rsidR="00E617D9" w:rsidRPr="005E61DF" w:rsidRDefault="00E617D9" w:rsidP="00E617D9">
            <w:pPr>
              <w:spacing w:after="120"/>
              <w:rPr>
                <w:rFonts w:asciiTheme="majorBidi" w:hAnsiTheme="majorBidi" w:cstheme="majorBidi"/>
              </w:rPr>
            </w:pPr>
          </w:p>
        </w:tc>
        <w:tc>
          <w:tcPr>
            <w:tcW w:w="717" w:type="dxa"/>
          </w:tcPr>
          <w:p w14:paraId="214448C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43</w:t>
            </w:r>
          </w:p>
        </w:tc>
      </w:tr>
      <w:tr w:rsidR="00E617D9" w:rsidRPr="005E61DF" w14:paraId="4044E354" w14:textId="77777777" w:rsidTr="000F029C">
        <w:tc>
          <w:tcPr>
            <w:tcW w:w="2400" w:type="dxa"/>
          </w:tcPr>
          <w:p w14:paraId="4546BDCB" w14:textId="5A40762D" w:rsidR="00E617D9" w:rsidRPr="005E61DF" w:rsidRDefault="00E617D9" w:rsidP="00E617D9">
            <w:pPr>
              <w:spacing w:after="120"/>
              <w:rPr>
                <w:rFonts w:asciiTheme="majorBidi" w:hAnsiTheme="majorBidi" w:cstheme="majorBidi"/>
              </w:rPr>
            </w:pPr>
            <w:r w:rsidRPr="003A47E9">
              <w:rPr>
                <w:rFonts w:asciiTheme="majorBidi" w:hAnsiTheme="majorBidi" w:cstheme="majorBidi"/>
                <w:sz w:val="20"/>
                <w:lang w:val="nl-NL"/>
              </w:rPr>
              <w:t>Bhagwat 2020</w:t>
            </w:r>
            <w:r w:rsidRPr="00A83123">
              <w:rPr>
                <w:rFonts w:asciiTheme="majorBidi" w:hAnsiTheme="majorBidi" w:cstheme="majorBidi"/>
                <w:noProof/>
                <w:vertAlign w:val="superscript"/>
              </w:rPr>
              <w:t>46</w:t>
            </w:r>
          </w:p>
        </w:tc>
        <w:tc>
          <w:tcPr>
            <w:tcW w:w="847" w:type="dxa"/>
          </w:tcPr>
          <w:p w14:paraId="45EBE0CC"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Full</w:t>
            </w:r>
          </w:p>
        </w:tc>
        <w:tc>
          <w:tcPr>
            <w:tcW w:w="711" w:type="dxa"/>
          </w:tcPr>
          <w:p w14:paraId="051BD9F7"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11</w:t>
            </w:r>
          </w:p>
        </w:tc>
        <w:tc>
          <w:tcPr>
            <w:tcW w:w="712" w:type="dxa"/>
            <w:gridSpan w:val="2"/>
          </w:tcPr>
          <w:p w14:paraId="188582C5"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90.9</w:t>
            </w:r>
          </w:p>
        </w:tc>
        <w:tc>
          <w:tcPr>
            <w:tcW w:w="718" w:type="dxa"/>
          </w:tcPr>
          <w:p w14:paraId="54F66F38" w14:textId="77777777" w:rsidR="00E617D9" w:rsidRPr="005E61DF" w:rsidRDefault="00E617D9" w:rsidP="00E617D9">
            <w:pPr>
              <w:spacing w:after="120"/>
              <w:rPr>
                <w:rFonts w:asciiTheme="majorBidi" w:hAnsiTheme="majorBidi" w:cstheme="majorBidi"/>
              </w:rPr>
            </w:pPr>
          </w:p>
        </w:tc>
        <w:tc>
          <w:tcPr>
            <w:tcW w:w="703" w:type="dxa"/>
          </w:tcPr>
          <w:p w14:paraId="0D15A544"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100</w:t>
            </w:r>
          </w:p>
        </w:tc>
        <w:tc>
          <w:tcPr>
            <w:tcW w:w="708" w:type="dxa"/>
          </w:tcPr>
          <w:p w14:paraId="1271E717" w14:textId="77777777" w:rsidR="00E617D9" w:rsidRPr="005E61DF" w:rsidRDefault="00E617D9" w:rsidP="00E617D9">
            <w:pPr>
              <w:spacing w:after="120"/>
              <w:rPr>
                <w:rFonts w:asciiTheme="majorBidi" w:hAnsiTheme="majorBidi" w:cstheme="majorBidi"/>
              </w:rPr>
            </w:pPr>
          </w:p>
        </w:tc>
        <w:tc>
          <w:tcPr>
            <w:tcW w:w="727" w:type="dxa"/>
          </w:tcPr>
          <w:p w14:paraId="36BB187A" w14:textId="77777777" w:rsidR="00E617D9" w:rsidRPr="005E61DF" w:rsidRDefault="00E617D9" w:rsidP="00E617D9">
            <w:pPr>
              <w:spacing w:after="120"/>
              <w:rPr>
                <w:rFonts w:asciiTheme="majorBidi" w:hAnsiTheme="majorBidi" w:cstheme="majorBidi"/>
              </w:rPr>
            </w:pPr>
          </w:p>
        </w:tc>
        <w:tc>
          <w:tcPr>
            <w:tcW w:w="700" w:type="dxa"/>
          </w:tcPr>
          <w:p w14:paraId="42A6BFDC" w14:textId="77777777" w:rsidR="00E617D9" w:rsidRPr="005E61DF" w:rsidRDefault="00E617D9" w:rsidP="00E617D9">
            <w:pPr>
              <w:spacing w:after="120"/>
              <w:rPr>
                <w:rFonts w:asciiTheme="majorBidi" w:hAnsiTheme="majorBidi" w:cstheme="majorBidi"/>
              </w:rPr>
            </w:pPr>
          </w:p>
        </w:tc>
        <w:tc>
          <w:tcPr>
            <w:tcW w:w="700" w:type="dxa"/>
          </w:tcPr>
          <w:p w14:paraId="121B35F6" w14:textId="77777777" w:rsidR="00E617D9" w:rsidRPr="005E61DF" w:rsidRDefault="00E617D9" w:rsidP="00E617D9">
            <w:pPr>
              <w:spacing w:after="120"/>
              <w:rPr>
                <w:rFonts w:asciiTheme="majorBidi" w:hAnsiTheme="majorBidi" w:cstheme="majorBidi"/>
              </w:rPr>
            </w:pPr>
          </w:p>
        </w:tc>
        <w:tc>
          <w:tcPr>
            <w:tcW w:w="742" w:type="dxa"/>
          </w:tcPr>
          <w:p w14:paraId="38F1EC71" w14:textId="77777777" w:rsidR="00E617D9" w:rsidRPr="005E61DF" w:rsidRDefault="00E617D9" w:rsidP="00E617D9">
            <w:pPr>
              <w:spacing w:after="120"/>
              <w:rPr>
                <w:rFonts w:asciiTheme="majorBidi" w:hAnsiTheme="majorBidi" w:cstheme="majorBidi"/>
              </w:rPr>
            </w:pPr>
          </w:p>
        </w:tc>
        <w:tc>
          <w:tcPr>
            <w:tcW w:w="712" w:type="dxa"/>
          </w:tcPr>
          <w:p w14:paraId="34088F3B" w14:textId="77777777" w:rsidR="00E617D9" w:rsidRPr="005E61DF" w:rsidRDefault="00E617D9" w:rsidP="00E617D9">
            <w:pPr>
              <w:spacing w:after="120"/>
              <w:rPr>
                <w:rFonts w:asciiTheme="majorBidi" w:hAnsiTheme="majorBidi" w:cstheme="majorBidi"/>
              </w:rPr>
            </w:pPr>
          </w:p>
        </w:tc>
        <w:tc>
          <w:tcPr>
            <w:tcW w:w="714" w:type="dxa"/>
          </w:tcPr>
          <w:p w14:paraId="476B9EA7" w14:textId="77777777" w:rsidR="00E617D9" w:rsidRPr="005E61DF" w:rsidRDefault="00E617D9" w:rsidP="00E617D9">
            <w:pPr>
              <w:spacing w:after="120"/>
              <w:rPr>
                <w:rFonts w:asciiTheme="majorBidi" w:hAnsiTheme="majorBidi" w:cstheme="majorBidi"/>
              </w:rPr>
            </w:pPr>
          </w:p>
        </w:tc>
        <w:tc>
          <w:tcPr>
            <w:tcW w:w="729" w:type="dxa"/>
          </w:tcPr>
          <w:p w14:paraId="06B24CCE" w14:textId="77777777" w:rsidR="00E617D9" w:rsidRPr="005E61DF" w:rsidRDefault="00E617D9" w:rsidP="00E617D9">
            <w:pPr>
              <w:spacing w:after="120"/>
              <w:rPr>
                <w:rFonts w:asciiTheme="majorBidi" w:hAnsiTheme="majorBidi" w:cstheme="majorBidi"/>
              </w:rPr>
            </w:pPr>
          </w:p>
        </w:tc>
        <w:tc>
          <w:tcPr>
            <w:tcW w:w="728" w:type="dxa"/>
          </w:tcPr>
          <w:p w14:paraId="0139300A" w14:textId="77777777" w:rsidR="00E617D9" w:rsidRPr="005E61DF" w:rsidRDefault="00E617D9" w:rsidP="00E617D9">
            <w:pPr>
              <w:spacing w:after="120"/>
              <w:rPr>
                <w:rFonts w:asciiTheme="majorBidi" w:hAnsiTheme="majorBidi" w:cstheme="majorBidi"/>
              </w:rPr>
            </w:pPr>
          </w:p>
        </w:tc>
        <w:tc>
          <w:tcPr>
            <w:tcW w:w="684" w:type="dxa"/>
          </w:tcPr>
          <w:p w14:paraId="09F4A1C3" w14:textId="77777777" w:rsidR="00E617D9" w:rsidRPr="005E61DF" w:rsidRDefault="00E617D9" w:rsidP="00E617D9">
            <w:pPr>
              <w:spacing w:after="120"/>
              <w:rPr>
                <w:rFonts w:asciiTheme="majorBidi" w:hAnsiTheme="majorBidi" w:cstheme="majorBidi"/>
              </w:rPr>
            </w:pPr>
            <w:r w:rsidRPr="005E61DF">
              <w:rPr>
                <w:rFonts w:asciiTheme="majorBidi" w:hAnsiTheme="majorBidi" w:cstheme="majorBidi"/>
              </w:rPr>
              <w:t>0</w:t>
            </w:r>
          </w:p>
        </w:tc>
        <w:tc>
          <w:tcPr>
            <w:tcW w:w="717" w:type="dxa"/>
          </w:tcPr>
          <w:p w14:paraId="08EE7D2D" w14:textId="77777777" w:rsidR="00E617D9" w:rsidRPr="005E61DF" w:rsidRDefault="00E617D9" w:rsidP="00E617D9">
            <w:pPr>
              <w:spacing w:after="120"/>
              <w:rPr>
                <w:rFonts w:asciiTheme="majorBidi" w:hAnsiTheme="majorBidi" w:cstheme="majorBidi"/>
              </w:rPr>
            </w:pPr>
          </w:p>
        </w:tc>
      </w:tr>
    </w:tbl>
    <w:p w14:paraId="4FD9C4B7" w14:textId="38490323" w:rsidR="00FE7A08" w:rsidRPr="000E7567" w:rsidRDefault="008E04F8" w:rsidP="00FE7A08">
      <w:pPr>
        <w:spacing w:after="120" w:line="360" w:lineRule="auto"/>
        <w:rPr>
          <w:rFonts w:asciiTheme="majorBidi" w:hAnsiTheme="majorBidi" w:cstheme="majorBidi"/>
        </w:rPr>
      </w:pPr>
      <w:r>
        <w:rPr>
          <w:rFonts w:asciiTheme="majorBidi" w:hAnsiTheme="majorBidi" w:cstheme="majorBidi"/>
        </w:rPr>
        <w:t>Ami,</w:t>
      </w:r>
      <w:r w:rsidRPr="000E7567">
        <w:rPr>
          <w:rFonts w:asciiTheme="majorBidi" w:hAnsiTheme="majorBidi" w:cstheme="majorBidi"/>
        </w:rPr>
        <w:t xml:space="preserve"> amikacin</w:t>
      </w:r>
      <w:r>
        <w:rPr>
          <w:rFonts w:asciiTheme="majorBidi" w:hAnsiTheme="majorBidi" w:cstheme="majorBidi"/>
        </w:rPr>
        <w:t xml:space="preserve">; </w:t>
      </w:r>
      <w:r w:rsidR="000E7567" w:rsidRPr="000E7567">
        <w:rPr>
          <w:rFonts w:asciiTheme="majorBidi" w:hAnsiTheme="majorBidi" w:cstheme="majorBidi"/>
        </w:rPr>
        <w:t xml:space="preserve">AZ, aztreonam; C-A, </w:t>
      </w:r>
      <w:r w:rsidR="000E7567">
        <w:rPr>
          <w:rFonts w:asciiTheme="majorBidi" w:hAnsiTheme="majorBidi" w:cstheme="majorBidi"/>
        </w:rPr>
        <w:t xml:space="preserve">ceftazidime avibactam; </w:t>
      </w:r>
      <w:r>
        <w:rPr>
          <w:rFonts w:asciiTheme="majorBidi" w:hAnsiTheme="majorBidi" w:cstheme="majorBidi"/>
        </w:rPr>
        <w:t>CAZ</w:t>
      </w:r>
      <w:r w:rsidRPr="000E7567">
        <w:rPr>
          <w:rFonts w:asciiTheme="majorBidi" w:hAnsiTheme="majorBidi" w:cstheme="majorBidi"/>
        </w:rPr>
        <w:t>, ceftazidime</w:t>
      </w:r>
      <w:r>
        <w:rPr>
          <w:rFonts w:asciiTheme="majorBidi" w:hAnsiTheme="majorBidi" w:cstheme="majorBidi"/>
        </w:rPr>
        <w:t xml:space="preserve">; </w:t>
      </w:r>
      <w:proofErr w:type="spellStart"/>
      <w:r>
        <w:rPr>
          <w:rFonts w:asciiTheme="majorBidi" w:hAnsiTheme="majorBidi" w:cstheme="majorBidi"/>
        </w:rPr>
        <w:t>Cefe</w:t>
      </w:r>
      <w:proofErr w:type="spellEnd"/>
      <w:r w:rsidRPr="000E7567">
        <w:rPr>
          <w:rFonts w:asciiTheme="majorBidi" w:hAnsiTheme="majorBidi" w:cstheme="majorBidi"/>
        </w:rPr>
        <w:t xml:space="preserve"> cefepime</w:t>
      </w:r>
      <w:r>
        <w:rPr>
          <w:rFonts w:asciiTheme="majorBidi" w:hAnsiTheme="majorBidi" w:cstheme="majorBidi"/>
        </w:rPr>
        <w:t xml:space="preserve">; Cipro, </w:t>
      </w:r>
      <w:proofErr w:type="spellStart"/>
      <w:r w:rsidRPr="000E7567">
        <w:rPr>
          <w:rFonts w:asciiTheme="majorBidi" w:hAnsiTheme="majorBidi" w:cstheme="majorBidi"/>
        </w:rPr>
        <w:t>ciproflaxin</w:t>
      </w:r>
      <w:proofErr w:type="spellEnd"/>
      <w:r>
        <w:rPr>
          <w:rFonts w:asciiTheme="majorBidi" w:hAnsiTheme="majorBidi" w:cstheme="majorBidi"/>
        </w:rPr>
        <w:t xml:space="preserve">; Col, </w:t>
      </w:r>
      <w:r w:rsidRPr="000E7567">
        <w:rPr>
          <w:rFonts w:asciiTheme="majorBidi" w:hAnsiTheme="majorBidi" w:cstheme="majorBidi"/>
        </w:rPr>
        <w:t>colistin</w:t>
      </w:r>
      <w:r>
        <w:rPr>
          <w:rFonts w:asciiTheme="majorBidi" w:hAnsiTheme="majorBidi" w:cstheme="majorBidi"/>
        </w:rPr>
        <w:t xml:space="preserve">; </w:t>
      </w:r>
      <w:proofErr w:type="spellStart"/>
      <w:r>
        <w:rPr>
          <w:rFonts w:asciiTheme="majorBidi" w:hAnsiTheme="majorBidi" w:cstheme="majorBidi"/>
        </w:rPr>
        <w:t>C</w:t>
      </w:r>
      <w:r w:rsidR="000E7567">
        <w:rPr>
          <w:rFonts w:asciiTheme="majorBidi" w:hAnsiTheme="majorBidi" w:cstheme="majorBidi"/>
        </w:rPr>
        <w:t>tx</w:t>
      </w:r>
      <w:proofErr w:type="spellEnd"/>
      <w:r w:rsidR="000E7567">
        <w:rPr>
          <w:rFonts w:asciiTheme="majorBidi" w:hAnsiTheme="majorBidi" w:cstheme="majorBidi"/>
        </w:rPr>
        <w:t>,</w:t>
      </w:r>
      <w:r w:rsidR="000E7567" w:rsidRPr="000E7567">
        <w:rPr>
          <w:rFonts w:asciiTheme="majorBidi" w:hAnsiTheme="majorBidi" w:cstheme="majorBidi"/>
        </w:rPr>
        <w:t xml:space="preserve"> </w:t>
      </w:r>
      <w:r>
        <w:rPr>
          <w:rFonts w:asciiTheme="majorBidi" w:hAnsiTheme="majorBidi" w:cstheme="majorBidi"/>
        </w:rPr>
        <w:t>C</w:t>
      </w:r>
      <w:r w:rsidR="000E7567" w:rsidRPr="000E7567">
        <w:rPr>
          <w:rFonts w:asciiTheme="majorBidi" w:hAnsiTheme="majorBidi" w:cstheme="majorBidi"/>
        </w:rPr>
        <w:t>eftriaxone</w:t>
      </w:r>
      <w:r w:rsidR="000E7567">
        <w:rPr>
          <w:rFonts w:asciiTheme="majorBidi" w:hAnsiTheme="majorBidi" w:cstheme="majorBidi"/>
        </w:rPr>
        <w:t xml:space="preserve">; </w:t>
      </w:r>
      <w:r>
        <w:rPr>
          <w:rFonts w:asciiTheme="majorBidi" w:hAnsiTheme="majorBidi" w:cstheme="majorBidi"/>
        </w:rPr>
        <w:t>Gent,</w:t>
      </w:r>
      <w:r w:rsidRPr="000E7567">
        <w:rPr>
          <w:rFonts w:asciiTheme="majorBidi" w:hAnsiTheme="majorBidi" w:cstheme="majorBidi"/>
        </w:rPr>
        <w:t xml:space="preserve"> gentamicin</w:t>
      </w:r>
      <w:r>
        <w:rPr>
          <w:rFonts w:asciiTheme="majorBidi" w:hAnsiTheme="majorBidi" w:cstheme="majorBidi"/>
        </w:rPr>
        <w:t xml:space="preserve">; </w:t>
      </w:r>
      <w:proofErr w:type="spellStart"/>
      <w:r>
        <w:rPr>
          <w:rFonts w:asciiTheme="majorBidi" w:hAnsiTheme="majorBidi" w:cstheme="majorBidi"/>
        </w:rPr>
        <w:t>Levo</w:t>
      </w:r>
      <w:proofErr w:type="spellEnd"/>
      <w:r>
        <w:rPr>
          <w:rFonts w:asciiTheme="majorBidi" w:hAnsiTheme="majorBidi" w:cstheme="majorBidi"/>
        </w:rPr>
        <w:t xml:space="preserve">, </w:t>
      </w:r>
      <w:proofErr w:type="spellStart"/>
      <w:r w:rsidRPr="000E7567">
        <w:rPr>
          <w:rFonts w:asciiTheme="majorBidi" w:hAnsiTheme="majorBidi" w:cstheme="majorBidi"/>
        </w:rPr>
        <w:t>levoflaxin</w:t>
      </w:r>
      <w:proofErr w:type="spellEnd"/>
      <w:r>
        <w:rPr>
          <w:rFonts w:asciiTheme="majorBidi" w:hAnsiTheme="majorBidi" w:cstheme="majorBidi"/>
        </w:rPr>
        <w:t>; M</w:t>
      </w:r>
      <w:r w:rsidR="000E7567">
        <w:rPr>
          <w:rFonts w:asciiTheme="majorBidi" w:hAnsiTheme="majorBidi" w:cstheme="majorBidi"/>
        </w:rPr>
        <w:t>er,</w:t>
      </w:r>
      <w:r w:rsidR="000E7567" w:rsidRPr="000E7567">
        <w:rPr>
          <w:rFonts w:asciiTheme="majorBidi" w:hAnsiTheme="majorBidi" w:cstheme="majorBidi"/>
        </w:rPr>
        <w:t xml:space="preserve"> meropenem</w:t>
      </w:r>
      <w:r w:rsidR="000E7567">
        <w:rPr>
          <w:rFonts w:asciiTheme="majorBidi" w:hAnsiTheme="majorBidi" w:cstheme="majorBidi"/>
        </w:rPr>
        <w:t>;</w:t>
      </w:r>
      <w:r w:rsidR="000E7567" w:rsidRPr="000E7567">
        <w:rPr>
          <w:rFonts w:asciiTheme="majorBidi" w:hAnsiTheme="majorBidi" w:cstheme="majorBidi"/>
        </w:rPr>
        <w:t xml:space="preserve"> </w:t>
      </w:r>
      <w:r w:rsidR="000E7567">
        <w:rPr>
          <w:rFonts w:asciiTheme="majorBidi" w:hAnsiTheme="majorBidi" w:cstheme="majorBidi"/>
        </w:rPr>
        <w:t>Tob,</w:t>
      </w:r>
      <w:r w:rsidR="000E7567" w:rsidRPr="000E7567">
        <w:rPr>
          <w:rFonts w:asciiTheme="majorBidi" w:hAnsiTheme="majorBidi" w:cstheme="majorBidi"/>
        </w:rPr>
        <w:t xml:space="preserve"> tobramycin</w:t>
      </w:r>
    </w:p>
    <w:p w14:paraId="2DD1E3A6" w14:textId="0E6E6CE7" w:rsidR="000E7567" w:rsidRPr="000E7567" w:rsidRDefault="000E7567" w:rsidP="000E7567">
      <w:pPr>
        <w:spacing w:after="120" w:line="360" w:lineRule="auto"/>
        <w:rPr>
          <w:rFonts w:asciiTheme="majorBidi" w:hAnsiTheme="majorBidi" w:cstheme="majorBidi"/>
        </w:rPr>
        <w:sectPr w:rsidR="000E7567" w:rsidRPr="000E7567" w:rsidSect="000C15B2">
          <w:pgSz w:w="16838" w:h="11906" w:orient="landscape"/>
          <w:pgMar w:top="1440" w:right="1440" w:bottom="1440" w:left="1440" w:header="709" w:footer="709" w:gutter="0"/>
          <w:cols w:space="708"/>
          <w:docGrid w:linePitch="360"/>
        </w:sectPr>
      </w:pPr>
    </w:p>
    <w:p w14:paraId="68171618" w14:textId="77777777" w:rsidR="00FE7A08" w:rsidRPr="006E4E83" w:rsidRDefault="00FE7A08" w:rsidP="006E4E83">
      <w:pPr>
        <w:pStyle w:val="Heading3"/>
        <w:rPr>
          <w:rFonts w:asciiTheme="majorBidi" w:hAnsiTheme="majorBidi"/>
          <w:sz w:val="26"/>
          <w:szCs w:val="26"/>
        </w:rPr>
      </w:pPr>
      <w:bookmarkStart w:id="166" w:name="_Toc87462996"/>
      <w:bookmarkStart w:id="167" w:name="_Hlk85407271"/>
      <w:r w:rsidRPr="006E4E83">
        <w:rPr>
          <w:rFonts w:asciiTheme="majorBidi" w:hAnsiTheme="majorBidi"/>
          <w:sz w:val="26"/>
          <w:szCs w:val="26"/>
        </w:rPr>
        <w:lastRenderedPageBreak/>
        <w:t xml:space="preserve">4.5.4 </w:t>
      </w:r>
      <w:r w:rsidRPr="006E4E83">
        <w:rPr>
          <w:rFonts w:asciiTheme="majorBidi" w:hAnsiTheme="majorBidi"/>
          <w:sz w:val="26"/>
          <w:szCs w:val="26"/>
        </w:rPr>
        <w:tab/>
        <w:t>Results of the network meta-analysis</w:t>
      </w:r>
      <w:bookmarkEnd w:id="166"/>
    </w:p>
    <w:bookmarkEnd w:id="167"/>
    <w:p w14:paraId="58B778CC" w14:textId="029A7C8E" w:rsidR="00FE7A08" w:rsidRPr="00885DFB" w:rsidRDefault="00FE7A08" w:rsidP="00FE7A08">
      <w:pPr>
        <w:spacing w:after="120" w:line="360" w:lineRule="auto"/>
        <w:jc w:val="both"/>
        <w:rPr>
          <w:rFonts w:asciiTheme="majorBidi" w:hAnsiTheme="majorBidi" w:cstheme="majorBidi"/>
        </w:rPr>
      </w:pPr>
      <w:r w:rsidRPr="00885DFB">
        <w:rPr>
          <w:rFonts w:asciiTheme="majorBidi" w:hAnsiTheme="majorBidi" w:cstheme="majorBidi"/>
        </w:rPr>
        <w:t xml:space="preserve">Sixteen studies contributed to the NMA, considering a total of 14 comparators, and the full network diagram is shown in </w:t>
      </w:r>
      <w:r w:rsidR="007B32B5" w:rsidRPr="00706762">
        <w:rPr>
          <w:rFonts w:asciiTheme="majorBidi" w:hAnsiTheme="majorBidi" w:cstheme="majorBidi"/>
        </w:rPr>
        <w:t>Figure 2</w:t>
      </w:r>
      <w:r w:rsidRPr="00885DFB">
        <w:rPr>
          <w:rFonts w:asciiTheme="majorBidi" w:hAnsiTheme="majorBidi" w:cstheme="majorBidi"/>
        </w:rPr>
        <w:t xml:space="preserve">. Nine of the studies contained zero susceptibility counts for one or more of the included comparators and therefore had a </w:t>
      </w:r>
      <w:r>
        <w:rPr>
          <w:rFonts w:asciiTheme="majorBidi" w:hAnsiTheme="majorBidi" w:cstheme="majorBidi"/>
        </w:rPr>
        <w:t>continuity correction</w:t>
      </w:r>
      <w:r w:rsidRPr="00885DFB">
        <w:rPr>
          <w:rFonts w:asciiTheme="majorBidi" w:hAnsiTheme="majorBidi" w:cstheme="majorBidi"/>
        </w:rPr>
        <w:t xml:space="preserve"> applied prior to synthesis. </w:t>
      </w:r>
    </w:p>
    <w:p w14:paraId="11A22166" w14:textId="4068483E" w:rsidR="00FE7A08" w:rsidRPr="00885DFB" w:rsidRDefault="00FE7A08" w:rsidP="00FE7A08">
      <w:pPr>
        <w:spacing w:after="120" w:line="360" w:lineRule="auto"/>
        <w:jc w:val="both"/>
        <w:rPr>
          <w:rFonts w:asciiTheme="majorBidi" w:hAnsiTheme="majorBidi" w:cstheme="majorBidi"/>
        </w:rPr>
      </w:pPr>
      <w:r w:rsidRPr="00885DFB">
        <w:rPr>
          <w:rFonts w:asciiTheme="majorBidi" w:hAnsiTheme="majorBidi" w:cstheme="majorBidi"/>
        </w:rPr>
        <w:t xml:space="preserve">A summary of the key NMA </w:t>
      </w:r>
      <w:r>
        <w:rPr>
          <w:rFonts w:asciiTheme="majorBidi" w:hAnsiTheme="majorBidi" w:cstheme="majorBidi"/>
        </w:rPr>
        <w:t>results</w:t>
      </w:r>
      <w:r w:rsidRPr="00885DFB">
        <w:rPr>
          <w:rFonts w:asciiTheme="majorBidi" w:hAnsiTheme="majorBidi" w:cstheme="majorBidi"/>
        </w:rPr>
        <w:t xml:space="preserve"> is presented in</w:t>
      </w:r>
      <w:r w:rsidR="00EE4C38">
        <w:rPr>
          <w:rFonts w:asciiTheme="majorBidi" w:hAnsiTheme="majorBidi" w:cstheme="majorBidi"/>
        </w:rPr>
        <w:t xml:space="preserve"> </w:t>
      </w:r>
      <w:r w:rsidR="00EE4C38" w:rsidRPr="00EE4C38">
        <w:rPr>
          <w:rFonts w:asciiTheme="majorBidi" w:hAnsiTheme="majorBidi" w:cstheme="majorBidi"/>
        </w:rPr>
        <w:t>Table 10</w:t>
      </w:r>
      <w:r>
        <w:rPr>
          <w:rFonts w:asciiTheme="majorBidi" w:hAnsiTheme="majorBidi" w:cstheme="majorBidi"/>
        </w:rPr>
        <w:t>.</w:t>
      </w:r>
      <w:r w:rsidRPr="00885DFB">
        <w:rPr>
          <w:rFonts w:asciiTheme="majorBidi" w:hAnsiTheme="majorBidi" w:cstheme="majorBidi"/>
        </w:rPr>
        <w:t xml:space="preserve"> </w:t>
      </w:r>
      <w:r>
        <w:rPr>
          <w:rFonts w:asciiTheme="majorBidi" w:hAnsiTheme="majorBidi" w:cstheme="majorBidi"/>
        </w:rPr>
        <w:t>The NMA results informing the decision analytic model are presented in detail below (</w:t>
      </w:r>
      <w:proofErr w:type="gramStart"/>
      <w:r>
        <w:rPr>
          <w:rFonts w:asciiTheme="majorBidi" w:hAnsiTheme="majorBidi" w:cstheme="majorBidi"/>
        </w:rPr>
        <w:t>i.e.</w:t>
      </w:r>
      <w:proofErr w:type="gramEnd"/>
      <w:r>
        <w:rPr>
          <w:rFonts w:asciiTheme="majorBidi" w:hAnsiTheme="majorBidi" w:cstheme="majorBidi"/>
        </w:rPr>
        <w:t xml:space="preserve"> the reduced data set; and EUCAST subgroup). </w:t>
      </w:r>
      <w:r w:rsidRPr="00885DFB">
        <w:rPr>
          <w:rFonts w:asciiTheme="majorBidi" w:hAnsiTheme="majorBidi" w:cstheme="majorBidi"/>
        </w:rPr>
        <w:t xml:space="preserve">Additional results supporting the described analysis choices are presented </w:t>
      </w:r>
      <w:r w:rsidRPr="006E766E">
        <w:rPr>
          <w:rFonts w:asciiTheme="majorBidi" w:hAnsiTheme="majorBidi" w:cstheme="majorBidi"/>
        </w:rPr>
        <w:t xml:space="preserve">in Appendix </w:t>
      </w:r>
      <w:r w:rsidR="00DC41F5" w:rsidRPr="006E766E">
        <w:rPr>
          <w:rFonts w:asciiTheme="majorBidi" w:hAnsiTheme="majorBidi" w:cstheme="majorBidi"/>
        </w:rPr>
        <w:t>7.</w:t>
      </w:r>
      <w:r w:rsidR="00DC41F5">
        <w:rPr>
          <w:rFonts w:asciiTheme="majorBidi" w:hAnsiTheme="majorBidi" w:cstheme="majorBidi"/>
        </w:rPr>
        <w:t>2</w:t>
      </w:r>
      <w:r>
        <w:rPr>
          <w:rFonts w:asciiTheme="majorBidi" w:hAnsiTheme="majorBidi" w:cstheme="majorBidi"/>
        </w:rPr>
        <w:t xml:space="preserve">. </w:t>
      </w:r>
    </w:p>
    <w:p w14:paraId="13E80021" w14:textId="75EFCB50" w:rsidR="00FE7A08" w:rsidRPr="00885DFB" w:rsidRDefault="00FE7A08" w:rsidP="00FE7A08">
      <w:pPr>
        <w:keepNext/>
        <w:spacing w:before="360" w:after="200" w:line="240" w:lineRule="auto"/>
        <w:jc w:val="both"/>
        <w:rPr>
          <w:rFonts w:ascii="Times New Roman" w:hAnsi="Times New Roman" w:cs="Times New Roman"/>
          <w:b/>
          <w:iCs/>
          <w:sz w:val="20"/>
          <w:szCs w:val="18"/>
        </w:rPr>
      </w:pPr>
      <w:bookmarkStart w:id="168" w:name="_Ref82606036"/>
      <w:bookmarkStart w:id="169" w:name="_Toc83300884"/>
      <w:bookmarkStart w:id="170" w:name="_Toc83821917"/>
      <w:bookmarkStart w:id="171" w:name="_Toc85022484"/>
      <w:bookmarkStart w:id="172" w:name="_Toc86419047"/>
      <w:r w:rsidRPr="00885DFB">
        <w:rPr>
          <w:rFonts w:ascii="Times New Roman" w:hAnsi="Times New Roman" w:cs="Times New Roman"/>
          <w:b/>
          <w:iCs/>
          <w:sz w:val="20"/>
          <w:szCs w:val="18"/>
        </w:rPr>
        <w:t xml:space="preserve">Figure </w:t>
      </w:r>
      <w:r w:rsidR="0021430F">
        <w:rPr>
          <w:rFonts w:ascii="Times New Roman" w:hAnsi="Times New Roman" w:cs="Times New Roman"/>
          <w:b/>
          <w:iCs/>
          <w:noProof/>
          <w:sz w:val="20"/>
          <w:szCs w:val="18"/>
        </w:rPr>
        <w:t>2</w:t>
      </w:r>
      <w:bookmarkEnd w:id="168"/>
      <w:r w:rsidRPr="00885DFB">
        <w:rPr>
          <w:rFonts w:ascii="Times New Roman" w:hAnsi="Times New Roman" w:cs="Times New Roman"/>
          <w:b/>
          <w:iCs/>
          <w:sz w:val="20"/>
          <w:szCs w:val="18"/>
        </w:rPr>
        <w:t xml:space="preserve">: </w:t>
      </w:r>
      <w:bookmarkStart w:id="173" w:name="_Hlk84922570"/>
      <w:r w:rsidRPr="00885DFB">
        <w:rPr>
          <w:rFonts w:ascii="Times New Roman" w:hAnsi="Times New Roman" w:cs="Times New Roman"/>
          <w:b/>
          <w:iCs/>
          <w:sz w:val="20"/>
          <w:szCs w:val="18"/>
        </w:rPr>
        <w:t>Network diagram of all studies contributing to the NMA</w:t>
      </w:r>
      <w:bookmarkEnd w:id="169"/>
      <w:bookmarkEnd w:id="170"/>
      <w:bookmarkEnd w:id="171"/>
      <w:bookmarkEnd w:id="172"/>
    </w:p>
    <w:bookmarkEnd w:id="173"/>
    <w:p w14:paraId="46599CB3" w14:textId="77777777" w:rsidR="00FE7A08" w:rsidRPr="00885DFB" w:rsidRDefault="00FE7A08" w:rsidP="00FE7A08">
      <w:pPr>
        <w:spacing w:after="120" w:line="360" w:lineRule="auto"/>
        <w:jc w:val="both"/>
        <w:rPr>
          <w:rFonts w:asciiTheme="majorBidi" w:hAnsiTheme="majorBidi" w:cstheme="majorBidi"/>
        </w:rPr>
      </w:pPr>
      <w:r>
        <w:rPr>
          <w:rFonts w:asciiTheme="majorBidi" w:hAnsiTheme="majorBidi" w:cstheme="majorBidi"/>
          <w:noProof/>
          <w:lang w:eastAsia="en-GB"/>
        </w:rPr>
        <w:drawing>
          <wp:inline distT="0" distB="0" distL="0" distR="0" wp14:anchorId="71D0C94A" wp14:editId="5187423A">
            <wp:extent cx="4305300" cy="4064844"/>
            <wp:effectExtent l="0" t="0" r="0" b="0"/>
            <wp:docPr id="9" name="Picture 9" descr="Network diagram depicting the connections between the 14 comparators, the full network. A summary of these results is included in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etwork diagram depicting the connections between the 14 comparators, the full network. A summary of these results is included in Tabl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982" cy="4072097"/>
                    </a:xfrm>
                    <a:prstGeom prst="rect">
                      <a:avLst/>
                    </a:prstGeom>
                    <a:noFill/>
                    <a:ln>
                      <a:noFill/>
                    </a:ln>
                  </pic:spPr>
                </pic:pic>
              </a:graphicData>
            </a:graphic>
          </wp:inline>
        </w:drawing>
      </w:r>
    </w:p>
    <w:p w14:paraId="76DD4708" w14:textId="1F14C13F" w:rsidR="00FE7A08" w:rsidRPr="006E1FC9" w:rsidRDefault="00FE7A08" w:rsidP="00FE7A08">
      <w:pPr>
        <w:keepNext/>
        <w:spacing w:before="360" w:after="200" w:line="240" w:lineRule="auto"/>
        <w:rPr>
          <w:rFonts w:ascii="Times New Roman" w:hAnsi="Times New Roman" w:cs="Times New Roman"/>
          <w:b/>
          <w:iCs/>
          <w:sz w:val="20"/>
          <w:szCs w:val="18"/>
        </w:rPr>
      </w:pPr>
      <w:bookmarkStart w:id="174" w:name="_Ref82606066"/>
      <w:bookmarkStart w:id="175" w:name="_Toc83300854"/>
      <w:bookmarkStart w:id="176" w:name="_Toc83821910"/>
      <w:bookmarkStart w:id="177" w:name="_Toc85022476"/>
      <w:bookmarkStart w:id="178" w:name="_Toc86418987"/>
      <w:r w:rsidRPr="006E1FC9">
        <w:rPr>
          <w:rFonts w:ascii="Times New Roman" w:hAnsi="Times New Roman" w:cs="Times New Roman"/>
          <w:b/>
          <w:iCs/>
          <w:sz w:val="20"/>
          <w:szCs w:val="18"/>
        </w:rPr>
        <w:t xml:space="preserve">Table </w:t>
      </w:r>
      <w:r w:rsidR="00F10F0A">
        <w:rPr>
          <w:rFonts w:ascii="Times New Roman" w:hAnsi="Times New Roman" w:cs="Times New Roman"/>
          <w:b/>
          <w:iCs/>
          <w:noProof/>
          <w:sz w:val="20"/>
          <w:szCs w:val="18"/>
        </w:rPr>
        <w:t>10</w:t>
      </w:r>
      <w:bookmarkEnd w:id="174"/>
      <w:r w:rsidRPr="006E1FC9">
        <w:rPr>
          <w:rFonts w:ascii="Times New Roman" w:hAnsi="Times New Roman" w:cs="Times New Roman"/>
          <w:b/>
          <w:iCs/>
          <w:sz w:val="20"/>
          <w:szCs w:val="18"/>
        </w:rPr>
        <w:t>: Summary of key NMA analyses</w:t>
      </w:r>
      <w:bookmarkEnd w:id="175"/>
      <w:bookmarkEnd w:id="176"/>
      <w:bookmarkEnd w:id="177"/>
      <w:bookmarkEnd w:id="178"/>
    </w:p>
    <w:tbl>
      <w:tblPr>
        <w:tblW w:w="10255" w:type="dxa"/>
        <w:tblLook w:val="04A0" w:firstRow="1" w:lastRow="0" w:firstColumn="1" w:lastColumn="0" w:noHBand="0" w:noVBand="1"/>
      </w:tblPr>
      <w:tblGrid>
        <w:gridCol w:w="1655"/>
        <w:gridCol w:w="2819"/>
        <w:gridCol w:w="901"/>
        <w:gridCol w:w="903"/>
        <w:gridCol w:w="940"/>
        <w:gridCol w:w="1316"/>
        <w:gridCol w:w="1702"/>
        <w:gridCol w:w="19"/>
      </w:tblGrid>
      <w:tr w:rsidR="002E032F" w:rsidRPr="00EA0E40" w14:paraId="45B0712A" w14:textId="77777777" w:rsidTr="00E617D9">
        <w:trPr>
          <w:gridAfter w:val="1"/>
          <w:wAfter w:w="20" w:type="dxa"/>
          <w:trHeight w:val="23"/>
        </w:trPr>
        <w:tc>
          <w:tcPr>
            <w:tcW w:w="1678" w:type="dxa"/>
            <w:tcBorders>
              <w:top w:val="single" w:sz="4" w:space="0" w:color="auto"/>
              <w:left w:val="single" w:sz="4" w:space="0" w:color="auto"/>
              <w:bottom w:val="single" w:sz="4" w:space="0" w:color="auto"/>
              <w:right w:val="single" w:sz="4" w:space="0" w:color="auto"/>
            </w:tcBorders>
          </w:tcPr>
          <w:p w14:paraId="4F60F4F7" w14:textId="77777777" w:rsidR="002E032F" w:rsidRPr="00EA0E40" w:rsidRDefault="002E032F" w:rsidP="000F029C">
            <w:pPr>
              <w:spacing w:after="0" w:line="240" w:lineRule="auto"/>
              <w:jc w:val="center"/>
              <w:rPr>
                <w:rFonts w:asciiTheme="majorBidi" w:hAnsiTheme="majorBidi" w:cstheme="majorBidi"/>
                <w:b/>
                <w:color w:val="000000"/>
              </w:rPr>
            </w:pPr>
          </w:p>
        </w:tc>
        <w:tc>
          <w:tcPr>
            <w:tcW w:w="2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AED1A" w14:textId="7BE9B20F"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Model description***</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6C734"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Studies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BF4D7AE"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Absolute model fit</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6B02F41E"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Model comparison</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6B5C0ECB"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Heterogeneity</w:t>
            </w:r>
          </w:p>
        </w:tc>
      </w:tr>
      <w:tr w:rsidR="00E617D9" w:rsidRPr="00EA0E40" w14:paraId="3B6244B8" w14:textId="77777777" w:rsidTr="00E617D9">
        <w:trPr>
          <w:gridAfter w:val="1"/>
          <w:wAfter w:w="20" w:type="dxa"/>
          <w:trHeight w:val="12"/>
        </w:trPr>
        <w:tc>
          <w:tcPr>
            <w:tcW w:w="1678" w:type="dxa"/>
            <w:tcBorders>
              <w:top w:val="single" w:sz="4" w:space="0" w:color="auto"/>
              <w:left w:val="single" w:sz="4" w:space="0" w:color="auto"/>
              <w:bottom w:val="single" w:sz="4" w:space="0" w:color="auto"/>
              <w:right w:val="single" w:sz="4" w:space="0" w:color="auto"/>
            </w:tcBorders>
          </w:tcPr>
          <w:p w14:paraId="5793813A" w14:textId="77777777" w:rsidR="002E032F" w:rsidRPr="00EA0E40" w:rsidRDefault="002E032F" w:rsidP="000F029C">
            <w:pPr>
              <w:spacing w:after="0" w:line="240" w:lineRule="auto"/>
              <w:rPr>
                <w:rFonts w:asciiTheme="majorBidi" w:hAnsiTheme="majorBidi" w:cstheme="majorBidi"/>
                <w:b/>
                <w:color w:val="000000"/>
              </w:rPr>
            </w:pPr>
          </w:p>
        </w:tc>
        <w:tc>
          <w:tcPr>
            <w:tcW w:w="2819" w:type="dxa"/>
            <w:vMerge/>
            <w:tcBorders>
              <w:top w:val="single" w:sz="4" w:space="0" w:color="auto"/>
              <w:left w:val="single" w:sz="4" w:space="0" w:color="auto"/>
              <w:bottom w:val="single" w:sz="4" w:space="0" w:color="auto"/>
              <w:right w:val="single" w:sz="4" w:space="0" w:color="auto"/>
            </w:tcBorders>
            <w:vAlign w:val="center"/>
            <w:hideMark/>
          </w:tcPr>
          <w:p w14:paraId="1CF235FF" w14:textId="55A289F6" w:rsidR="002E032F" w:rsidRPr="00EA0E40" w:rsidRDefault="002E032F" w:rsidP="000F029C">
            <w:pPr>
              <w:spacing w:after="0" w:line="240" w:lineRule="auto"/>
              <w:rPr>
                <w:rFonts w:asciiTheme="majorBidi" w:hAnsiTheme="majorBidi" w:cstheme="majorBidi"/>
                <w:b/>
                <w:color w:val="00000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30E3408" w14:textId="77777777" w:rsidR="002E032F" w:rsidRPr="00EA0E40" w:rsidRDefault="002E032F" w:rsidP="000F029C">
            <w:pPr>
              <w:spacing w:after="0" w:line="240" w:lineRule="auto"/>
              <w:rPr>
                <w:rFonts w:asciiTheme="majorBidi" w:hAnsiTheme="majorBidi" w:cstheme="majorBidi"/>
                <w:b/>
                <w:color w:val="000000"/>
              </w:rPr>
            </w:pPr>
          </w:p>
        </w:tc>
        <w:tc>
          <w:tcPr>
            <w:tcW w:w="903" w:type="dxa"/>
            <w:tcBorders>
              <w:top w:val="nil"/>
              <w:left w:val="nil"/>
              <w:bottom w:val="single" w:sz="4" w:space="0" w:color="auto"/>
              <w:right w:val="single" w:sz="4" w:space="0" w:color="auto"/>
            </w:tcBorders>
            <w:shd w:val="clear" w:color="auto" w:fill="auto"/>
            <w:vAlign w:val="center"/>
            <w:hideMark/>
          </w:tcPr>
          <w:p w14:paraId="22EED9D2"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DP</w:t>
            </w:r>
          </w:p>
        </w:tc>
        <w:tc>
          <w:tcPr>
            <w:tcW w:w="940" w:type="dxa"/>
            <w:tcBorders>
              <w:top w:val="nil"/>
              <w:left w:val="nil"/>
              <w:bottom w:val="single" w:sz="4" w:space="0" w:color="auto"/>
              <w:right w:val="single" w:sz="4" w:space="0" w:color="auto"/>
            </w:tcBorders>
            <w:shd w:val="clear" w:color="auto" w:fill="auto"/>
            <w:vAlign w:val="center"/>
            <w:hideMark/>
          </w:tcPr>
          <w:p w14:paraId="402708A2"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TRD</w:t>
            </w:r>
          </w:p>
        </w:tc>
        <w:tc>
          <w:tcPr>
            <w:tcW w:w="1302" w:type="dxa"/>
            <w:tcBorders>
              <w:top w:val="nil"/>
              <w:left w:val="nil"/>
              <w:bottom w:val="single" w:sz="4" w:space="0" w:color="auto"/>
              <w:right w:val="single" w:sz="4" w:space="0" w:color="auto"/>
            </w:tcBorders>
            <w:shd w:val="clear" w:color="auto" w:fill="auto"/>
            <w:vAlign w:val="center"/>
            <w:hideMark/>
          </w:tcPr>
          <w:p w14:paraId="3483034C"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DIC</w:t>
            </w:r>
          </w:p>
        </w:tc>
        <w:tc>
          <w:tcPr>
            <w:tcW w:w="1702" w:type="dxa"/>
            <w:tcBorders>
              <w:top w:val="nil"/>
              <w:left w:val="nil"/>
              <w:bottom w:val="single" w:sz="4" w:space="0" w:color="auto"/>
              <w:right w:val="single" w:sz="4" w:space="0" w:color="auto"/>
            </w:tcBorders>
            <w:shd w:val="clear" w:color="auto" w:fill="auto"/>
            <w:noWrap/>
            <w:vAlign w:val="center"/>
            <w:hideMark/>
          </w:tcPr>
          <w:p w14:paraId="21224949"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xml:space="preserve">SD (95 % </w:t>
            </w:r>
            <w:proofErr w:type="spellStart"/>
            <w:r w:rsidRPr="00EA0E40">
              <w:rPr>
                <w:rFonts w:asciiTheme="majorBidi" w:hAnsiTheme="majorBidi" w:cstheme="majorBidi"/>
                <w:b/>
                <w:color w:val="000000"/>
              </w:rPr>
              <w:t>CrI</w:t>
            </w:r>
            <w:proofErr w:type="spellEnd"/>
            <w:r w:rsidRPr="00EA0E40">
              <w:rPr>
                <w:rFonts w:asciiTheme="majorBidi" w:hAnsiTheme="majorBidi" w:cstheme="majorBidi"/>
                <w:b/>
                <w:color w:val="000000"/>
              </w:rPr>
              <w:t>)</w:t>
            </w:r>
          </w:p>
        </w:tc>
      </w:tr>
      <w:tr w:rsidR="00E617D9" w:rsidRPr="00EA0E40" w14:paraId="56CC28DF"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shd w:val="clear" w:color="000000" w:fill="D0CECE"/>
          </w:tcPr>
          <w:p w14:paraId="0C4CEA2A" w14:textId="77777777" w:rsidR="002E032F" w:rsidRPr="00EA0E40" w:rsidRDefault="002E032F" w:rsidP="000F029C">
            <w:pPr>
              <w:spacing w:after="0" w:line="240" w:lineRule="auto"/>
              <w:rPr>
                <w:rFonts w:asciiTheme="majorBidi" w:hAnsiTheme="majorBidi" w:cstheme="majorBidi"/>
                <w:b/>
                <w:color w:val="000000"/>
              </w:rPr>
            </w:pPr>
          </w:p>
        </w:tc>
        <w:tc>
          <w:tcPr>
            <w:tcW w:w="2819" w:type="dxa"/>
            <w:tcBorders>
              <w:top w:val="nil"/>
              <w:left w:val="single" w:sz="4" w:space="0" w:color="auto"/>
              <w:bottom w:val="single" w:sz="4" w:space="0" w:color="auto"/>
              <w:right w:val="single" w:sz="4" w:space="0" w:color="auto"/>
            </w:tcBorders>
            <w:shd w:val="clear" w:color="000000" w:fill="D0CECE"/>
            <w:vAlign w:val="center"/>
            <w:hideMark/>
          </w:tcPr>
          <w:p w14:paraId="43F32075" w14:textId="50D16643"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Main analyses</w:t>
            </w:r>
          </w:p>
        </w:tc>
        <w:tc>
          <w:tcPr>
            <w:tcW w:w="891" w:type="dxa"/>
            <w:tcBorders>
              <w:top w:val="nil"/>
              <w:left w:val="nil"/>
              <w:bottom w:val="single" w:sz="4" w:space="0" w:color="auto"/>
              <w:right w:val="single" w:sz="4" w:space="0" w:color="auto"/>
            </w:tcBorders>
            <w:shd w:val="clear" w:color="000000" w:fill="D0CECE"/>
            <w:vAlign w:val="center"/>
            <w:hideMark/>
          </w:tcPr>
          <w:p w14:paraId="61310BA2" w14:textId="77777777"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 </w:t>
            </w:r>
          </w:p>
        </w:tc>
        <w:tc>
          <w:tcPr>
            <w:tcW w:w="903" w:type="dxa"/>
            <w:tcBorders>
              <w:top w:val="nil"/>
              <w:left w:val="nil"/>
              <w:bottom w:val="single" w:sz="4" w:space="0" w:color="auto"/>
              <w:right w:val="single" w:sz="4" w:space="0" w:color="auto"/>
            </w:tcBorders>
            <w:shd w:val="clear" w:color="000000" w:fill="D0CECE"/>
            <w:vAlign w:val="center"/>
            <w:hideMark/>
          </w:tcPr>
          <w:p w14:paraId="31982B9B" w14:textId="77777777"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 </w:t>
            </w:r>
          </w:p>
        </w:tc>
        <w:tc>
          <w:tcPr>
            <w:tcW w:w="940" w:type="dxa"/>
            <w:tcBorders>
              <w:top w:val="nil"/>
              <w:left w:val="nil"/>
              <w:bottom w:val="single" w:sz="4" w:space="0" w:color="auto"/>
              <w:right w:val="single" w:sz="4" w:space="0" w:color="auto"/>
            </w:tcBorders>
            <w:shd w:val="clear" w:color="000000" w:fill="D0CECE"/>
            <w:vAlign w:val="center"/>
            <w:hideMark/>
          </w:tcPr>
          <w:p w14:paraId="35CDA669" w14:textId="77777777"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 </w:t>
            </w:r>
          </w:p>
        </w:tc>
        <w:tc>
          <w:tcPr>
            <w:tcW w:w="1302" w:type="dxa"/>
            <w:tcBorders>
              <w:top w:val="nil"/>
              <w:left w:val="nil"/>
              <w:bottom w:val="single" w:sz="4" w:space="0" w:color="auto"/>
              <w:right w:val="single" w:sz="4" w:space="0" w:color="auto"/>
            </w:tcBorders>
            <w:shd w:val="clear" w:color="000000" w:fill="D0CECE"/>
            <w:vAlign w:val="center"/>
            <w:hideMark/>
          </w:tcPr>
          <w:p w14:paraId="2D75E077" w14:textId="77777777"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 </w:t>
            </w:r>
          </w:p>
        </w:tc>
        <w:tc>
          <w:tcPr>
            <w:tcW w:w="1702" w:type="dxa"/>
            <w:tcBorders>
              <w:top w:val="nil"/>
              <w:left w:val="nil"/>
              <w:bottom w:val="single" w:sz="4" w:space="0" w:color="auto"/>
              <w:right w:val="single" w:sz="4" w:space="0" w:color="auto"/>
            </w:tcBorders>
            <w:shd w:val="clear" w:color="000000" w:fill="D0CECE"/>
            <w:vAlign w:val="center"/>
            <w:hideMark/>
          </w:tcPr>
          <w:p w14:paraId="1E30F24D" w14:textId="77777777"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 </w:t>
            </w:r>
          </w:p>
        </w:tc>
      </w:tr>
      <w:tr w:rsidR="002E032F" w:rsidRPr="00EA0E40" w14:paraId="2F85BC61"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4BEE66B1" w14:textId="5190A799"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b/>
                <w:color w:val="000000"/>
              </w:rPr>
              <w:t>Main analyses</w:t>
            </w: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7148D5FD" w14:textId="7DC00E38"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Full data set, NMA model</w:t>
            </w:r>
          </w:p>
        </w:tc>
        <w:tc>
          <w:tcPr>
            <w:tcW w:w="891" w:type="dxa"/>
            <w:vMerge w:val="restart"/>
            <w:tcBorders>
              <w:top w:val="nil"/>
              <w:left w:val="single" w:sz="4" w:space="0" w:color="auto"/>
              <w:bottom w:val="single" w:sz="4" w:space="0" w:color="auto"/>
              <w:right w:val="single" w:sz="4" w:space="0" w:color="auto"/>
            </w:tcBorders>
            <w:shd w:val="clear" w:color="auto" w:fill="auto"/>
            <w:hideMark/>
          </w:tcPr>
          <w:p w14:paraId="12464918"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16</w:t>
            </w:r>
          </w:p>
        </w:tc>
        <w:tc>
          <w:tcPr>
            <w:tcW w:w="903" w:type="dxa"/>
            <w:tcBorders>
              <w:top w:val="nil"/>
              <w:left w:val="nil"/>
              <w:bottom w:val="single" w:sz="4" w:space="0" w:color="auto"/>
              <w:right w:val="single" w:sz="4" w:space="0" w:color="auto"/>
            </w:tcBorders>
            <w:shd w:val="clear" w:color="auto" w:fill="auto"/>
            <w:noWrap/>
            <w:vAlign w:val="center"/>
            <w:hideMark/>
          </w:tcPr>
          <w:p w14:paraId="2D6ECCB3"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111</w:t>
            </w:r>
          </w:p>
        </w:tc>
        <w:tc>
          <w:tcPr>
            <w:tcW w:w="940" w:type="dxa"/>
            <w:tcBorders>
              <w:top w:val="nil"/>
              <w:left w:val="nil"/>
              <w:bottom w:val="single" w:sz="4" w:space="0" w:color="auto"/>
              <w:right w:val="single" w:sz="4" w:space="0" w:color="auto"/>
            </w:tcBorders>
            <w:shd w:val="clear" w:color="auto" w:fill="auto"/>
            <w:noWrap/>
            <w:vAlign w:val="center"/>
            <w:hideMark/>
          </w:tcPr>
          <w:p w14:paraId="0EAFC499"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110.9</w:t>
            </w:r>
          </w:p>
        </w:tc>
        <w:tc>
          <w:tcPr>
            <w:tcW w:w="1302" w:type="dxa"/>
            <w:tcBorders>
              <w:top w:val="nil"/>
              <w:left w:val="nil"/>
              <w:bottom w:val="single" w:sz="4" w:space="0" w:color="auto"/>
              <w:right w:val="single" w:sz="4" w:space="0" w:color="auto"/>
            </w:tcBorders>
            <w:shd w:val="clear" w:color="auto" w:fill="auto"/>
            <w:noWrap/>
            <w:vAlign w:val="center"/>
            <w:hideMark/>
          </w:tcPr>
          <w:p w14:paraId="0815E5B2"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616.82</w:t>
            </w:r>
          </w:p>
        </w:tc>
        <w:tc>
          <w:tcPr>
            <w:tcW w:w="1702" w:type="dxa"/>
            <w:tcBorders>
              <w:top w:val="nil"/>
              <w:left w:val="nil"/>
              <w:bottom w:val="single" w:sz="4" w:space="0" w:color="auto"/>
              <w:right w:val="single" w:sz="4" w:space="0" w:color="auto"/>
            </w:tcBorders>
            <w:shd w:val="clear" w:color="auto" w:fill="auto"/>
            <w:noWrap/>
            <w:vAlign w:val="center"/>
            <w:hideMark/>
          </w:tcPr>
          <w:p w14:paraId="4B199569"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1.99  (</w:t>
            </w:r>
            <w:proofErr w:type="gramEnd"/>
            <w:r w:rsidRPr="00EA0E40">
              <w:rPr>
                <w:rFonts w:asciiTheme="majorBidi" w:hAnsiTheme="majorBidi" w:cstheme="majorBidi"/>
                <w:color w:val="000000"/>
              </w:rPr>
              <w:t>1.64,  2.44)</w:t>
            </w:r>
          </w:p>
        </w:tc>
      </w:tr>
      <w:tr w:rsidR="002E032F" w:rsidRPr="00EA0E40" w14:paraId="79C8968A"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08224384" w14:textId="357A6B4E"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b/>
                <w:color w:val="000000"/>
              </w:rPr>
              <w:t>Main analyses</w:t>
            </w: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3898A9E8" w14:textId="13E660F5"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Full data set, UME model</w:t>
            </w:r>
          </w:p>
        </w:tc>
        <w:tc>
          <w:tcPr>
            <w:tcW w:w="891" w:type="dxa"/>
            <w:vMerge/>
            <w:tcBorders>
              <w:top w:val="nil"/>
              <w:left w:val="single" w:sz="4" w:space="0" w:color="auto"/>
              <w:bottom w:val="single" w:sz="4" w:space="0" w:color="auto"/>
              <w:right w:val="single" w:sz="4" w:space="0" w:color="auto"/>
            </w:tcBorders>
            <w:vAlign w:val="center"/>
            <w:hideMark/>
          </w:tcPr>
          <w:p w14:paraId="53BB0CDC" w14:textId="77777777" w:rsidR="002E032F" w:rsidRPr="00EA0E40" w:rsidRDefault="002E032F" w:rsidP="000F029C">
            <w:pPr>
              <w:spacing w:after="0" w:line="240" w:lineRule="auto"/>
              <w:rPr>
                <w:rFonts w:asciiTheme="majorBidi" w:hAnsiTheme="majorBidi" w:cstheme="majorBidi"/>
                <w:color w:val="000000"/>
              </w:rPr>
            </w:pPr>
          </w:p>
        </w:tc>
        <w:tc>
          <w:tcPr>
            <w:tcW w:w="903" w:type="dxa"/>
            <w:tcBorders>
              <w:top w:val="nil"/>
              <w:left w:val="nil"/>
              <w:bottom w:val="single" w:sz="4" w:space="0" w:color="auto"/>
              <w:right w:val="single" w:sz="4" w:space="0" w:color="auto"/>
            </w:tcBorders>
            <w:shd w:val="clear" w:color="auto" w:fill="auto"/>
            <w:noWrap/>
            <w:vAlign w:val="center"/>
            <w:hideMark/>
          </w:tcPr>
          <w:p w14:paraId="49E93D1F"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111</w:t>
            </w:r>
          </w:p>
        </w:tc>
        <w:tc>
          <w:tcPr>
            <w:tcW w:w="940" w:type="dxa"/>
            <w:tcBorders>
              <w:top w:val="nil"/>
              <w:left w:val="nil"/>
              <w:bottom w:val="single" w:sz="4" w:space="0" w:color="auto"/>
              <w:right w:val="single" w:sz="4" w:space="0" w:color="auto"/>
            </w:tcBorders>
            <w:shd w:val="clear" w:color="auto" w:fill="auto"/>
            <w:noWrap/>
            <w:vAlign w:val="center"/>
            <w:hideMark/>
          </w:tcPr>
          <w:p w14:paraId="13DAA901"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120.8</w:t>
            </w:r>
          </w:p>
        </w:tc>
        <w:tc>
          <w:tcPr>
            <w:tcW w:w="1302" w:type="dxa"/>
            <w:tcBorders>
              <w:top w:val="nil"/>
              <w:left w:val="nil"/>
              <w:bottom w:val="single" w:sz="4" w:space="0" w:color="auto"/>
              <w:right w:val="single" w:sz="4" w:space="0" w:color="auto"/>
            </w:tcBorders>
            <w:shd w:val="clear" w:color="auto" w:fill="auto"/>
            <w:noWrap/>
            <w:vAlign w:val="center"/>
            <w:hideMark/>
          </w:tcPr>
          <w:p w14:paraId="46923D91"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626.05</w:t>
            </w:r>
          </w:p>
        </w:tc>
        <w:tc>
          <w:tcPr>
            <w:tcW w:w="1702" w:type="dxa"/>
            <w:tcBorders>
              <w:top w:val="nil"/>
              <w:left w:val="nil"/>
              <w:bottom w:val="single" w:sz="4" w:space="0" w:color="auto"/>
              <w:right w:val="single" w:sz="4" w:space="0" w:color="auto"/>
            </w:tcBorders>
            <w:shd w:val="clear" w:color="auto" w:fill="auto"/>
            <w:noWrap/>
            <w:vAlign w:val="center"/>
            <w:hideMark/>
          </w:tcPr>
          <w:p w14:paraId="7350B1F9"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1.71  (</w:t>
            </w:r>
            <w:proofErr w:type="gramEnd"/>
            <w:r w:rsidRPr="00EA0E40">
              <w:rPr>
                <w:rFonts w:asciiTheme="majorBidi" w:hAnsiTheme="majorBidi" w:cstheme="majorBidi"/>
                <w:color w:val="000000"/>
              </w:rPr>
              <w:t>1.38,  2.14)</w:t>
            </w:r>
          </w:p>
        </w:tc>
      </w:tr>
      <w:tr w:rsidR="002E032F" w:rsidRPr="00EA0E40" w14:paraId="13215A7C"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72EE5E9D" w14:textId="34735731"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Main analyses</w:t>
            </w: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1F441A5B" w14:textId="2584CE62" w:rsidR="002E032F" w:rsidRPr="00EA0E40" w:rsidRDefault="002E032F" w:rsidP="000F029C">
            <w:pPr>
              <w:spacing w:after="0" w:line="240" w:lineRule="auto"/>
              <w:rPr>
                <w:rFonts w:asciiTheme="majorBidi" w:hAnsiTheme="majorBidi" w:cstheme="majorBidi"/>
                <w:b/>
                <w:color w:val="000000"/>
              </w:rPr>
            </w:pPr>
            <w:bookmarkStart w:id="179" w:name="_Hlk82600343"/>
            <w:r w:rsidRPr="00EA0E40">
              <w:rPr>
                <w:rFonts w:asciiTheme="majorBidi" w:hAnsiTheme="majorBidi" w:cstheme="majorBidi"/>
                <w:b/>
                <w:color w:val="000000"/>
              </w:rPr>
              <w:t>Reduced data set*, NMA model</w:t>
            </w:r>
            <w:bookmarkEnd w:id="179"/>
          </w:p>
        </w:tc>
        <w:tc>
          <w:tcPr>
            <w:tcW w:w="891" w:type="dxa"/>
            <w:vMerge/>
            <w:tcBorders>
              <w:top w:val="nil"/>
              <w:left w:val="single" w:sz="4" w:space="0" w:color="auto"/>
              <w:bottom w:val="single" w:sz="4" w:space="0" w:color="auto"/>
              <w:right w:val="single" w:sz="4" w:space="0" w:color="auto"/>
            </w:tcBorders>
            <w:vAlign w:val="center"/>
            <w:hideMark/>
          </w:tcPr>
          <w:p w14:paraId="12B3D008" w14:textId="77777777" w:rsidR="002E032F" w:rsidRPr="00EA0E40" w:rsidRDefault="002E032F" w:rsidP="000F029C">
            <w:pPr>
              <w:spacing w:after="0" w:line="240" w:lineRule="auto"/>
              <w:rPr>
                <w:rFonts w:asciiTheme="majorBidi" w:hAnsiTheme="majorBidi" w:cstheme="majorBidi"/>
                <w:color w:val="000000"/>
              </w:rPr>
            </w:pPr>
          </w:p>
        </w:tc>
        <w:tc>
          <w:tcPr>
            <w:tcW w:w="903" w:type="dxa"/>
            <w:tcBorders>
              <w:top w:val="nil"/>
              <w:left w:val="nil"/>
              <w:bottom w:val="single" w:sz="4" w:space="0" w:color="auto"/>
              <w:right w:val="single" w:sz="4" w:space="0" w:color="auto"/>
            </w:tcBorders>
            <w:shd w:val="clear" w:color="auto" w:fill="auto"/>
            <w:noWrap/>
            <w:vAlign w:val="center"/>
            <w:hideMark/>
          </w:tcPr>
          <w:p w14:paraId="17407483"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109</w:t>
            </w:r>
          </w:p>
        </w:tc>
        <w:tc>
          <w:tcPr>
            <w:tcW w:w="940" w:type="dxa"/>
            <w:tcBorders>
              <w:top w:val="nil"/>
              <w:left w:val="nil"/>
              <w:bottom w:val="single" w:sz="4" w:space="0" w:color="auto"/>
              <w:right w:val="single" w:sz="4" w:space="0" w:color="auto"/>
            </w:tcBorders>
            <w:shd w:val="clear" w:color="auto" w:fill="auto"/>
            <w:noWrap/>
            <w:vAlign w:val="center"/>
            <w:hideMark/>
          </w:tcPr>
          <w:p w14:paraId="1EC28282"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109.9</w:t>
            </w:r>
          </w:p>
        </w:tc>
        <w:tc>
          <w:tcPr>
            <w:tcW w:w="1302" w:type="dxa"/>
            <w:tcBorders>
              <w:top w:val="nil"/>
              <w:left w:val="nil"/>
              <w:bottom w:val="single" w:sz="4" w:space="0" w:color="auto"/>
              <w:right w:val="single" w:sz="4" w:space="0" w:color="auto"/>
            </w:tcBorders>
            <w:shd w:val="clear" w:color="auto" w:fill="auto"/>
            <w:noWrap/>
            <w:vAlign w:val="center"/>
            <w:hideMark/>
          </w:tcPr>
          <w:p w14:paraId="2715828E"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608.14</w:t>
            </w:r>
          </w:p>
        </w:tc>
        <w:tc>
          <w:tcPr>
            <w:tcW w:w="1702" w:type="dxa"/>
            <w:tcBorders>
              <w:top w:val="nil"/>
              <w:left w:val="nil"/>
              <w:bottom w:val="single" w:sz="4" w:space="0" w:color="auto"/>
              <w:right w:val="single" w:sz="4" w:space="0" w:color="auto"/>
            </w:tcBorders>
            <w:shd w:val="clear" w:color="auto" w:fill="auto"/>
            <w:noWrap/>
            <w:vAlign w:val="center"/>
            <w:hideMark/>
          </w:tcPr>
          <w:p w14:paraId="7F3E4671" w14:textId="77777777" w:rsidR="002E032F" w:rsidRPr="00EA0E40" w:rsidRDefault="002E032F" w:rsidP="000F029C">
            <w:pPr>
              <w:spacing w:after="0" w:line="240" w:lineRule="auto"/>
              <w:jc w:val="center"/>
              <w:rPr>
                <w:rFonts w:asciiTheme="majorBidi" w:hAnsiTheme="majorBidi" w:cstheme="majorBidi"/>
                <w:bCs/>
                <w:color w:val="000000"/>
              </w:rPr>
            </w:pPr>
            <w:proofErr w:type="gramStart"/>
            <w:r w:rsidRPr="00EA0E40">
              <w:rPr>
                <w:rFonts w:asciiTheme="majorBidi" w:hAnsiTheme="majorBidi" w:cstheme="majorBidi"/>
                <w:bCs/>
                <w:color w:val="000000"/>
              </w:rPr>
              <w:t>1.56  (</w:t>
            </w:r>
            <w:proofErr w:type="gramEnd"/>
            <w:r w:rsidRPr="00EA0E40">
              <w:rPr>
                <w:rFonts w:asciiTheme="majorBidi" w:hAnsiTheme="majorBidi" w:cstheme="majorBidi"/>
                <w:bCs/>
                <w:color w:val="000000"/>
              </w:rPr>
              <w:t xml:space="preserve">1.28, 1.93) </w:t>
            </w:r>
          </w:p>
        </w:tc>
      </w:tr>
      <w:tr w:rsidR="002E032F" w:rsidRPr="00EA0E40" w14:paraId="567553EA"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3CBC5CE0" w14:textId="77777777" w:rsidR="002E032F" w:rsidRPr="00EA0E40" w:rsidRDefault="002E032F" w:rsidP="000F029C">
            <w:pPr>
              <w:spacing w:after="0" w:line="240" w:lineRule="auto"/>
              <w:rPr>
                <w:rFonts w:asciiTheme="majorBidi" w:hAnsiTheme="majorBidi" w:cstheme="majorBidi"/>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0198FD39" w14:textId="3DB0A525"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Reduced data set*, UME model</w:t>
            </w:r>
          </w:p>
        </w:tc>
        <w:tc>
          <w:tcPr>
            <w:tcW w:w="891" w:type="dxa"/>
            <w:vMerge/>
            <w:tcBorders>
              <w:top w:val="nil"/>
              <w:left w:val="single" w:sz="4" w:space="0" w:color="auto"/>
              <w:bottom w:val="single" w:sz="4" w:space="0" w:color="auto"/>
              <w:right w:val="single" w:sz="4" w:space="0" w:color="auto"/>
            </w:tcBorders>
            <w:vAlign w:val="center"/>
            <w:hideMark/>
          </w:tcPr>
          <w:p w14:paraId="653733B2" w14:textId="77777777" w:rsidR="002E032F" w:rsidRPr="00EA0E40" w:rsidRDefault="002E032F" w:rsidP="000F029C">
            <w:pPr>
              <w:spacing w:after="0" w:line="240" w:lineRule="auto"/>
              <w:rPr>
                <w:rFonts w:asciiTheme="majorBidi" w:hAnsiTheme="majorBidi" w:cstheme="majorBidi"/>
                <w:color w:val="000000"/>
              </w:rPr>
            </w:pPr>
          </w:p>
        </w:tc>
        <w:tc>
          <w:tcPr>
            <w:tcW w:w="903" w:type="dxa"/>
            <w:tcBorders>
              <w:top w:val="nil"/>
              <w:left w:val="nil"/>
              <w:bottom w:val="single" w:sz="4" w:space="0" w:color="auto"/>
              <w:right w:val="single" w:sz="4" w:space="0" w:color="auto"/>
            </w:tcBorders>
            <w:shd w:val="clear" w:color="auto" w:fill="auto"/>
            <w:noWrap/>
            <w:vAlign w:val="center"/>
            <w:hideMark/>
          </w:tcPr>
          <w:p w14:paraId="11C71227"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109</w:t>
            </w:r>
          </w:p>
        </w:tc>
        <w:tc>
          <w:tcPr>
            <w:tcW w:w="940" w:type="dxa"/>
            <w:tcBorders>
              <w:top w:val="nil"/>
              <w:left w:val="nil"/>
              <w:bottom w:val="single" w:sz="4" w:space="0" w:color="auto"/>
              <w:right w:val="single" w:sz="4" w:space="0" w:color="auto"/>
            </w:tcBorders>
            <w:shd w:val="clear" w:color="auto" w:fill="auto"/>
            <w:noWrap/>
            <w:vAlign w:val="center"/>
            <w:hideMark/>
          </w:tcPr>
          <w:p w14:paraId="1D1022FC"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131.5</w:t>
            </w:r>
          </w:p>
        </w:tc>
        <w:tc>
          <w:tcPr>
            <w:tcW w:w="1302" w:type="dxa"/>
            <w:tcBorders>
              <w:top w:val="nil"/>
              <w:left w:val="nil"/>
              <w:bottom w:val="single" w:sz="4" w:space="0" w:color="auto"/>
              <w:right w:val="single" w:sz="4" w:space="0" w:color="auto"/>
            </w:tcBorders>
            <w:shd w:val="clear" w:color="auto" w:fill="auto"/>
            <w:noWrap/>
            <w:vAlign w:val="center"/>
            <w:hideMark/>
          </w:tcPr>
          <w:p w14:paraId="0F1AD599"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629.31</w:t>
            </w:r>
          </w:p>
        </w:tc>
        <w:tc>
          <w:tcPr>
            <w:tcW w:w="1702" w:type="dxa"/>
            <w:tcBorders>
              <w:top w:val="nil"/>
              <w:left w:val="nil"/>
              <w:bottom w:val="single" w:sz="4" w:space="0" w:color="auto"/>
              <w:right w:val="single" w:sz="4" w:space="0" w:color="auto"/>
            </w:tcBorders>
            <w:shd w:val="clear" w:color="auto" w:fill="auto"/>
            <w:noWrap/>
            <w:vAlign w:val="center"/>
            <w:hideMark/>
          </w:tcPr>
          <w:p w14:paraId="1380FCF7"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1.38  (</w:t>
            </w:r>
            <w:proofErr w:type="gramEnd"/>
            <w:r w:rsidRPr="00EA0E40">
              <w:rPr>
                <w:rFonts w:asciiTheme="majorBidi" w:hAnsiTheme="majorBidi" w:cstheme="majorBidi"/>
                <w:color w:val="000000"/>
              </w:rPr>
              <w:t>1.08,  1.78)</w:t>
            </w:r>
          </w:p>
        </w:tc>
      </w:tr>
      <w:tr w:rsidR="00E617D9" w:rsidRPr="00EA0E40" w14:paraId="1B73AD9C"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shd w:val="clear" w:color="000000" w:fill="D0CECE"/>
          </w:tcPr>
          <w:p w14:paraId="4153D9C9" w14:textId="77777777" w:rsidR="002E032F" w:rsidRPr="00EA0E40" w:rsidRDefault="002E032F" w:rsidP="000F029C">
            <w:pPr>
              <w:spacing w:after="0" w:line="240" w:lineRule="auto"/>
              <w:rPr>
                <w:rFonts w:asciiTheme="majorBidi" w:hAnsiTheme="majorBidi" w:cstheme="majorBidi"/>
                <w:b/>
                <w:color w:val="000000"/>
              </w:rPr>
            </w:pPr>
          </w:p>
        </w:tc>
        <w:tc>
          <w:tcPr>
            <w:tcW w:w="2819" w:type="dxa"/>
            <w:tcBorders>
              <w:top w:val="nil"/>
              <w:left w:val="single" w:sz="4" w:space="0" w:color="auto"/>
              <w:bottom w:val="single" w:sz="4" w:space="0" w:color="auto"/>
              <w:right w:val="single" w:sz="4" w:space="0" w:color="auto"/>
            </w:tcBorders>
            <w:shd w:val="clear" w:color="000000" w:fill="D0CECE"/>
            <w:noWrap/>
            <w:hideMark/>
          </w:tcPr>
          <w:p w14:paraId="6E211D15" w14:textId="2143CE73" w:rsidR="002E032F" w:rsidRPr="00EA0E40" w:rsidRDefault="002E032F" w:rsidP="000F029C">
            <w:pPr>
              <w:spacing w:after="0" w:line="240" w:lineRule="auto"/>
              <w:rPr>
                <w:rFonts w:asciiTheme="majorBidi" w:hAnsiTheme="majorBidi" w:cstheme="majorBidi"/>
                <w:b/>
                <w:color w:val="000000"/>
              </w:rPr>
            </w:pPr>
            <w:r w:rsidRPr="00EA0E40">
              <w:rPr>
                <w:rFonts w:asciiTheme="majorBidi" w:hAnsiTheme="majorBidi" w:cstheme="majorBidi"/>
                <w:b/>
                <w:color w:val="000000"/>
              </w:rPr>
              <w:t>Sensitivity analyses**</w:t>
            </w:r>
          </w:p>
        </w:tc>
        <w:tc>
          <w:tcPr>
            <w:tcW w:w="891" w:type="dxa"/>
            <w:tcBorders>
              <w:top w:val="nil"/>
              <w:left w:val="nil"/>
              <w:bottom w:val="single" w:sz="4" w:space="0" w:color="auto"/>
              <w:right w:val="single" w:sz="4" w:space="0" w:color="auto"/>
            </w:tcBorders>
            <w:shd w:val="clear" w:color="000000" w:fill="D0CECE"/>
            <w:noWrap/>
            <w:hideMark/>
          </w:tcPr>
          <w:p w14:paraId="0765B01C"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w:t>
            </w:r>
          </w:p>
        </w:tc>
        <w:tc>
          <w:tcPr>
            <w:tcW w:w="903" w:type="dxa"/>
            <w:tcBorders>
              <w:top w:val="nil"/>
              <w:left w:val="nil"/>
              <w:bottom w:val="single" w:sz="4" w:space="0" w:color="auto"/>
              <w:right w:val="single" w:sz="4" w:space="0" w:color="auto"/>
            </w:tcBorders>
            <w:shd w:val="clear" w:color="000000" w:fill="D0CECE"/>
            <w:noWrap/>
            <w:hideMark/>
          </w:tcPr>
          <w:p w14:paraId="6321D0DA"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w:t>
            </w:r>
          </w:p>
        </w:tc>
        <w:tc>
          <w:tcPr>
            <w:tcW w:w="940" w:type="dxa"/>
            <w:tcBorders>
              <w:top w:val="nil"/>
              <w:left w:val="nil"/>
              <w:bottom w:val="single" w:sz="4" w:space="0" w:color="auto"/>
              <w:right w:val="single" w:sz="4" w:space="0" w:color="auto"/>
            </w:tcBorders>
            <w:shd w:val="clear" w:color="000000" w:fill="D0CECE"/>
            <w:noWrap/>
            <w:hideMark/>
          </w:tcPr>
          <w:p w14:paraId="23561B41"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w:t>
            </w:r>
          </w:p>
        </w:tc>
        <w:tc>
          <w:tcPr>
            <w:tcW w:w="1302" w:type="dxa"/>
            <w:tcBorders>
              <w:top w:val="nil"/>
              <w:left w:val="nil"/>
              <w:bottom w:val="single" w:sz="4" w:space="0" w:color="auto"/>
              <w:right w:val="single" w:sz="4" w:space="0" w:color="auto"/>
            </w:tcBorders>
            <w:shd w:val="clear" w:color="000000" w:fill="D0CECE"/>
            <w:noWrap/>
            <w:hideMark/>
          </w:tcPr>
          <w:p w14:paraId="39606135"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w:t>
            </w:r>
          </w:p>
        </w:tc>
        <w:tc>
          <w:tcPr>
            <w:tcW w:w="1702" w:type="dxa"/>
            <w:tcBorders>
              <w:top w:val="nil"/>
              <w:left w:val="nil"/>
              <w:bottom w:val="single" w:sz="4" w:space="0" w:color="auto"/>
              <w:right w:val="single" w:sz="4" w:space="0" w:color="auto"/>
            </w:tcBorders>
            <w:shd w:val="clear" w:color="000000" w:fill="D0CECE"/>
            <w:noWrap/>
            <w:hideMark/>
          </w:tcPr>
          <w:p w14:paraId="417E0ADE" w14:textId="77777777" w:rsidR="002E032F" w:rsidRPr="00EA0E40" w:rsidRDefault="002E032F" w:rsidP="000F029C">
            <w:pPr>
              <w:spacing w:after="0" w:line="240" w:lineRule="auto"/>
              <w:jc w:val="center"/>
              <w:rPr>
                <w:rFonts w:asciiTheme="majorBidi" w:hAnsiTheme="majorBidi" w:cstheme="majorBidi"/>
                <w:b/>
                <w:color w:val="000000"/>
              </w:rPr>
            </w:pPr>
            <w:r w:rsidRPr="00EA0E40">
              <w:rPr>
                <w:rFonts w:asciiTheme="majorBidi" w:hAnsiTheme="majorBidi" w:cstheme="majorBidi"/>
                <w:b/>
                <w:color w:val="000000"/>
              </w:rPr>
              <w:t> </w:t>
            </w:r>
          </w:p>
        </w:tc>
      </w:tr>
      <w:tr w:rsidR="002E032F" w:rsidRPr="00EA0E40" w14:paraId="32E7520A"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7117BFF3" w14:textId="77777777" w:rsidR="002E032F" w:rsidRPr="00EA0E40" w:rsidRDefault="002E032F" w:rsidP="000F029C">
            <w:pPr>
              <w:spacing w:after="0" w:line="240" w:lineRule="auto"/>
              <w:rPr>
                <w:rFonts w:asciiTheme="majorBidi" w:hAnsiTheme="majorBidi" w:cstheme="majorBidi"/>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3FD7EDAC" w14:textId="48D6BCDA"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 xml:space="preserve">Unusual inclusion criteria, MR model </w:t>
            </w:r>
          </w:p>
        </w:tc>
        <w:tc>
          <w:tcPr>
            <w:tcW w:w="891" w:type="dxa"/>
            <w:tcBorders>
              <w:top w:val="nil"/>
              <w:left w:val="nil"/>
              <w:bottom w:val="single" w:sz="4" w:space="0" w:color="auto"/>
              <w:right w:val="single" w:sz="4" w:space="0" w:color="auto"/>
            </w:tcBorders>
            <w:shd w:val="clear" w:color="auto" w:fill="auto"/>
            <w:vAlign w:val="bottom"/>
            <w:hideMark/>
          </w:tcPr>
          <w:p w14:paraId="59C5BB92"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16</w:t>
            </w:r>
          </w:p>
        </w:tc>
        <w:tc>
          <w:tcPr>
            <w:tcW w:w="903" w:type="dxa"/>
            <w:tcBorders>
              <w:top w:val="nil"/>
              <w:left w:val="nil"/>
              <w:bottom w:val="single" w:sz="4" w:space="0" w:color="auto"/>
              <w:right w:val="single" w:sz="4" w:space="0" w:color="auto"/>
            </w:tcBorders>
            <w:shd w:val="clear" w:color="auto" w:fill="auto"/>
            <w:noWrap/>
            <w:vAlign w:val="center"/>
            <w:hideMark/>
          </w:tcPr>
          <w:p w14:paraId="11B9B2F3"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109</w:t>
            </w:r>
          </w:p>
        </w:tc>
        <w:tc>
          <w:tcPr>
            <w:tcW w:w="940" w:type="dxa"/>
            <w:tcBorders>
              <w:top w:val="nil"/>
              <w:left w:val="nil"/>
              <w:bottom w:val="single" w:sz="4" w:space="0" w:color="auto"/>
              <w:right w:val="single" w:sz="4" w:space="0" w:color="auto"/>
            </w:tcBorders>
            <w:shd w:val="clear" w:color="auto" w:fill="auto"/>
            <w:noWrap/>
            <w:vAlign w:val="center"/>
            <w:hideMark/>
          </w:tcPr>
          <w:p w14:paraId="1C12BEC4"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109.3</w:t>
            </w:r>
          </w:p>
        </w:tc>
        <w:tc>
          <w:tcPr>
            <w:tcW w:w="1302" w:type="dxa"/>
            <w:tcBorders>
              <w:top w:val="nil"/>
              <w:left w:val="nil"/>
              <w:bottom w:val="single" w:sz="4" w:space="0" w:color="auto"/>
              <w:right w:val="single" w:sz="4" w:space="0" w:color="auto"/>
            </w:tcBorders>
            <w:shd w:val="clear" w:color="auto" w:fill="auto"/>
            <w:noWrap/>
            <w:vAlign w:val="center"/>
            <w:hideMark/>
          </w:tcPr>
          <w:p w14:paraId="162D184F"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607.41</w:t>
            </w:r>
          </w:p>
        </w:tc>
        <w:tc>
          <w:tcPr>
            <w:tcW w:w="1702" w:type="dxa"/>
            <w:tcBorders>
              <w:top w:val="nil"/>
              <w:left w:val="nil"/>
              <w:bottom w:val="single" w:sz="4" w:space="0" w:color="auto"/>
              <w:right w:val="single" w:sz="4" w:space="0" w:color="auto"/>
            </w:tcBorders>
            <w:shd w:val="clear" w:color="auto" w:fill="auto"/>
            <w:noWrap/>
            <w:vAlign w:val="center"/>
            <w:hideMark/>
          </w:tcPr>
          <w:p w14:paraId="5B0A3D87"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1.57  (</w:t>
            </w:r>
            <w:proofErr w:type="gramEnd"/>
            <w:r w:rsidRPr="00EA0E40">
              <w:rPr>
                <w:rFonts w:asciiTheme="majorBidi" w:hAnsiTheme="majorBidi" w:cstheme="majorBidi"/>
                <w:color w:val="000000"/>
              </w:rPr>
              <w:t>1.28, 1.95)</w:t>
            </w:r>
          </w:p>
        </w:tc>
      </w:tr>
      <w:tr w:rsidR="002E032F" w:rsidRPr="00EA0E40" w14:paraId="7607B233"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22DC0305" w14:textId="77777777" w:rsidR="002E032F" w:rsidRPr="00EA0E40" w:rsidRDefault="002E032F" w:rsidP="000F029C">
            <w:pPr>
              <w:spacing w:after="0" w:line="240" w:lineRule="auto"/>
              <w:rPr>
                <w:rFonts w:asciiTheme="majorBidi" w:hAnsiTheme="majorBidi" w:cstheme="majorBidi"/>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6F4315FB" w14:textId="372BB56E"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 xml:space="preserve">Unusual inclusion criteria subgroup </w:t>
            </w:r>
          </w:p>
        </w:tc>
        <w:tc>
          <w:tcPr>
            <w:tcW w:w="891" w:type="dxa"/>
            <w:tcBorders>
              <w:top w:val="nil"/>
              <w:left w:val="nil"/>
              <w:bottom w:val="single" w:sz="4" w:space="0" w:color="auto"/>
              <w:right w:val="single" w:sz="4" w:space="0" w:color="auto"/>
            </w:tcBorders>
            <w:shd w:val="clear" w:color="auto" w:fill="auto"/>
            <w:vAlign w:val="bottom"/>
            <w:hideMark/>
          </w:tcPr>
          <w:p w14:paraId="7BAF41E7"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13</w:t>
            </w:r>
          </w:p>
        </w:tc>
        <w:tc>
          <w:tcPr>
            <w:tcW w:w="903" w:type="dxa"/>
            <w:tcBorders>
              <w:top w:val="nil"/>
              <w:left w:val="nil"/>
              <w:bottom w:val="single" w:sz="4" w:space="0" w:color="auto"/>
              <w:right w:val="single" w:sz="4" w:space="0" w:color="auto"/>
            </w:tcBorders>
            <w:shd w:val="clear" w:color="auto" w:fill="auto"/>
            <w:noWrap/>
            <w:vAlign w:val="center"/>
            <w:hideMark/>
          </w:tcPr>
          <w:p w14:paraId="0D8047B6"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96</w:t>
            </w:r>
          </w:p>
        </w:tc>
        <w:tc>
          <w:tcPr>
            <w:tcW w:w="940" w:type="dxa"/>
            <w:tcBorders>
              <w:top w:val="nil"/>
              <w:left w:val="nil"/>
              <w:bottom w:val="single" w:sz="4" w:space="0" w:color="auto"/>
              <w:right w:val="single" w:sz="4" w:space="0" w:color="auto"/>
            </w:tcBorders>
            <w:shd w:val="clear" w:color="auto" w:fill="auto"/>
            <w:noWrap/>
            <w:vAlign w:val="center"/>
            <w:hideMark/>
          </w:tcPr>
          <w:p w14:paraId="0D4BD049"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95.42</w:t>
            </w:r>
          </w:p>
        </w:tc>
        <w:tc>
          <w:tcPr>
            <w:tcW w:w="1302" w:type="dxa"/>
            <w:tcBorders>
              <w:top w:val="nil"/>
              <w:left w:val="nil"/>
              <w:bottom w:val="single" w:sz="4" w:space="0" w:color="auto"/>
              <w:right w:val="single" w:sz="4" w:space="0" w:color="auto"/>
            </w:tcBorders>
            <w:shd w:val="clear" w:color="auto" w:fill="auto"/>
            <w:noWrap/>
            <w:vAlign w:val="center"/>
            <w:hideMark/>
          </w:tcPr>
          <w:p w14:paraId="308238B8"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537.45</w:t>
            </w:r>
          </w:p>
        </w:tc>
        <w:tc>
          <w:tcPr>
            <w:tcW w:w="1702" w:type="dxa"/>
            <w:tcBorders>
              <w:top w:val="nil"/>
              <w:left w:val="nil"/>
              <w:bottom w:val="single" w:sz="4" w:space="0" w:color="auto"/>
              <w:right w:val="single" w:sz="4" w:space="0" w:color="auto"/>
            </w:tcBorders>
            <w:shd w:val="clear" w:color="auto" w:fill="auto"/>
            <w:noWrap/>
            <w:vAlign w:val="center"/>
            <w:hideMark/>
          </w:tcPr>
          <w:p w14:paraId="0EC6A72A"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1.51  (</w:t>
            </w:r>
            <w:proofErr w:type="gramEnd"/>
            <w:r w:rsidRPr="00EA0E40">
              <w:rPr>
                <w:rFonts w:asciiTheme="majorBidi" w:hAnsiTheme="majorBidi" w:cstheme="majorBidi"/>
                <w:color w:val="000000"/>
              </w:rPr>
              <w:t>1.22,  1.89)</w:t>
            </w:r>
          </w:p>
        </w:tc>
      </w:tr>
      <w:tr w:rsidR="002E032F" w:rsidRPr="00EA0E40" w14:paraId="4A43B50B"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7CCD99B1" w14:textId="77777777" w:rsidR="002E032F" w:rsidRPr="00EA0E40" w:rsidRDefault="002E032F" w:rsidP="000F029C">
            <w:pPr>
              <w:spacing w:after="0" w:line="240" w:lineRule="auto"/>
              <w:rPr>
                <w:rFonts w:asciiTheme="majorBidi" w:hAnsiTheme="majorBidi" w:cstheme="majorBidi"/>
                <w:b/>
                <w:bCs/>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204C345B" w14:textId="6D6CAA49" w:rsidR="002E032F" w:rsidRPr="00EA0E40" w:rsidRDefault="002E032F" w:rsidP="000F029C">
            <w:pPr>
              <w:spacing w:after="0" w:line="240" w:lineRule="auto"/>
              <w:rPr>
                <w:rFonts w:asciiTheme="majorBidi" w:hAnsiTheme="majorBidi" w:cstheme="majorBidi"/>
                <w:b/>
                <w:bCs/>
                <w:color w:val="000000"/>
              </w:rPr>
            </w:pPr>
            <w:r w:rsidRPr="00EA0E40">
              <w:rPr>
                <w:rFonts w:asciiTheme="majorBidi" w:hAnsiTheme="majorBidi" w:cstheme="majorBidi"/>
                <w:b/>
                <w:bCs/>
                <w:color w:val="000000"/>
              </w:rPr>
              <w:t xml:space="preserve">MBL </w:t>
            </w:r>
            <w:proofErr w:type="spellStart"/>
            <w:r w:rsidRPr="00EA0E40">
              <w:rPr>
                <w:rFonts w:asciiTheme="majorBidi" w:hAnsiTheme="majorBidi" w:cstheme="majorBidi"/>
                <w:b/>
                <w:bCs/>
                <w:color w:val="000000"/>
              </w:rPr>
              <w:t>cocarriage</w:t>
            </w:r>
            <w:proofErr w:type="spellEnd"/>
            <w:r w:rsidRPr="00EA0E40">
              <w:rPr>
                <w:rFonts w:asciiTheme="majorBidi" w:hAnsiTheme="majorBidi" w:cstheme="majorBidi"/>
                <w:b/>
                <w:bCs/>
                <w:color w:val="000000"/>
              </w:rPr>
              <w:t>, subgroup****</w:t>
            </w:r>
          </w:p>
        </w:tc>
        <w:tc>
          <w:tcPr>
            <w:tcW w:w="891" w:type="dxa"/>
            <w:tcBorders>
              <w:top w:val="nil"/>
              <w:left w:val="nil"/>
              <w:bottom w:val="single" w:sz="4" w:space="0" w:color="auto"/>
              <w:right w:val="single" w:sz="4" w:space="0" w:color="auto"/>
            </w:tcBorders>
            <w:shd w:val="clear" w:color="auto" w:fill="auto"/>
            <w:vAlign w:val="bottom"/>
            <w:hideMark/>
          </w:tcPr>
          <w:p w14:paraId="26815B34"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w:t>
            </w:r>
          </w:p>
        </w:tc>
        <w:tc>
          <w:tcPr>
            <w:tcW w:w="903" w:type="dxa"/>
            <w:tcBorders>
              <w:top w:val="nil"/>
              <w:left w:val="nil"/>
              <w:bottom w:val="single" w:sz="4" w:space="0" w:color="auto"/>
              <w:right w:val="single" w:sz="4" w:space="0" w:color="auto"/>
            </w:tcBorders>
            <w:shd w:val="clear" w:color="auto" w:fill="auto"/>
            <w:noWrap/>
            <w:vAlign w:val="center"/>
            <w:hideMark/>
          </w:tcPr>
          <w:p w14:paraId="4B94B30E"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49</w:t>
            </w:r>
          </w:p>
        </w:tc>
        <w:tc>
          <w:tcPr>
            <w:tcW w:w="940" w:type="dxa"/>
            <w:tcBorders>
              <w:top w:val="nil"/>
              <w:left w:val="nil"/>
              <w:bottom w:val="single" w:sz="4" w:space="0" w:color="auto"/>
              <w:right w:val="single" w:sz="4" w:space="0" w:color="auto"/>
            </w:tcBorders>
            <w:shd w:val="clear" w:color="auto" w:fill="auto"/>
            <w:noWrap/>
            <w:vAlign w:val="center"/>
            <w:hideMark/>
          </w:tcPr>
          <w:p w14:paraId="22A5FFC5"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50.8</w:t>
            </w:r>
          </w:p>
        </w:tc>
        <w:tc>
          <w:tcPr>
            <w:tcW w:w="1302" w:type="dxa"/>
            <w:tcBorders>
              <w:top w:val="nil"/>
              <w:left w:val="nil"/>
              <w:bottom w:val="single" w:sz="4" w:space="0" w:color="auto"/>
              <w:right w:val="single" w:sz="4" w:space="0" w:color="auto"/>
            </w:tcBorders>
            <w:shd w:val="clear" w:color="auto" w:fill="auto"/>
            <w:noWrap/>
            <w:vAlign w:val="center"/>
            <w:hideMark/>
          </w:tcPr>
          <w:p w14:paraId="555200AE"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287.398</w:t>
            </w:r>
          </w:p>
        </w:tc>
        <w:tc>
          <w:tcPr>
            <w:tcW w:w="1702" w:type="dxa"/>
            <w:tcBorders>
              <w:top w:val="nil"/>
              <w:left w:val="nil"/>
              <w:bottom w:val="single" w:sz="4" w:space="0" w:color="auto"/>
              <w:right w:val="single" w:sz="4" w:space="0" w:color="auto"/>
            </w:tcBorders>
            <w:shd w:val="clear" w:color="auto" w:fill="auto"/>
            <w:noWrap/>
            <w:vAlign w:val="center"/>
            <w:hideMark/>
          </w:tcPr>
          <w:p w14:paraId="45F1046D"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1.38  (</w:t>
            </w:r>
            <w:proofErr w:type="gramEnd"/>
            <w:r w:rsidRPr="00EA0E40">
              <w:rPr>
                <w:rFonts w:asciiTheme="majorBidi" w:hAnsiTheme="majorBidi" w:cstheme="majorBidi"/>
                <w:color w:val="000000"/>
              </w:rPr>
              <w:t>0.95,  2.06)</w:t>
            </w:r>
          </w:p>
        </w:tc>
      </w:tr>
      <w:tr w:rsidR="002E032F" w:rsidRPr="00EA0E40" w14:paraId="639C32B9"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45742D98" w14:textId="77777777" w:rsidR="002E032F" w:rsidRPr="00EA0E40" w:rsidRDefault="002E032F" w:rsidP="000F029C">
            <w:pPr>
              <w:spacing w:after="0" w:line="240" w:lineRule="auto"/>
              <w:rPr>
                <w:rFonts w:asciiTheme="majorBidi" w:hAnsiTheme="majorBidi" w:cstheme="majorBidi"/>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228552F8" w14:textId="768E2025" w:rsidR="002E032F" w:rsidRPr="00EA0E40" w:rsidRDefault="002E032F" w:rsidP="000F029C">
            <w:pPr>
              <w:spacing w:after="0" w:line="240" w:lineRule="auto"/>
              <w:rPr>
                <w:rFonts w:asciiTheme="majorBidi" w:hAnsiTheme="majorBidi" w:cstheme="majorBidi"/>
                <w:color w:val="000000"/>
              </w:rPr>
            </w:pPr>
            <w:proofErr w:type="spellStart"/>
            <w:r w:rsidRPr="00EA0E40">
              <w:rPr>
                <w:rFonts w:asciiTheme="majorBidi" w:hAnsiTheme="majorBidi" w:cstheme="majorBidi"/>
                <w:color w:val="000000"/>
              </w:rPr>
              <w:t>Carbapenum</w:t>
            </w:r>
            <w:proofErr w:type="spellEnd"/>
            <w:r w:rsidRPr="00EA0E40">
              <w:rPr>
                <w:rFonts w:asciiTheme="majorBidi" w:hAnsiTheme="majorBidi" w:cstheme="majorBidi"/>
                <w:color w:val="000000"/>
              </w:rPr>
              <w:t xml:space="preserve"> susceptibility, MR model</w:t>
            </w:r>
          </w:p>
        </w:tc>
        <w:tc>
          <w:tcPr>
            <w:tcW w:w="891" w:type="dxa"/>
            <w:tcBorders>
              <w:top w:val="nil"/>
              <w:left w:val="nil"/>
              <w:bottom w:val="single" w:sz="4" w:space="0" w:color="auto"/>
              <w:right w:val="single" w:sz="4" w:space="0" w:color="auto"/>
            </w:tcBorders>
            <w:shd w:val="clear" w:color="auto" w:fill="auto"/>
            <w:vAlign w:val="bottom"/>
            <w:hideMark/>
          </w:tcPr>
          <w:p w14:paraId="6FCCC41D"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14</w:t>
            </w:r>
          </w:p>
        </w:tc>
        <w:tc>
          <w:tcPr>
            <w:tcW w:w="903" w:type="dxa"/>
            <w:tcBorders>
              <w:top w:val="nil"/>
              <w:left w:val="nil"/>
              <w:bottom w:val="single" w:sz="4" w:space="0" w:color="auto"/>
              <w:right w:val="single" w:sz="4" w:space="0" w:color="auto"/>
            </w:tcBorders>
            <w:shd w:val="clear" w:color="auto" w:fill="auto"/>
            <w:noWrap/>
            <w:vAlign w:val="center"/>
            <w:hideMark/>
          </w:tcPr>
          <w:p w14:paraId="1D8C8C71"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101</w:t>
            </w:r>
          </w:p>
        </w:tc>
        <w:tc>
          <w:tcPr>
            <w:tcW w:w="940" w:type="dxa"/>
            <w:tcBorders>
              <w:top w:val="nil"/>
              <w:left w:val="nil"/>
              <w:bottom w:val="single" w:sz="4" w:space="0" w:color="auto"/>
              <w:right w:val="single" w:sz="4" w:space="0" w:color="auto"/>
            </w:tcBorders>
            <w:shd w:val="clear" w:color="auto" w:fill="auto"/>
            <w:noWrap/>
            <w:vAlign w:val="center"/>
            <w:hideMark/>
          </w:tcPr>
          <w:p w14:paraId="33F480ED"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101.7</w:t>
            </w:r>
          </w:p>
        </w:tc>
        <w:tc>
          <w:tcPr>
            <w:tcW w:w="1302" w:type="dxa"/>
            <w:tcBorders>
              <w:top w:val="nil"/>
              <w:left w:val="nil"/>
              <w:bottom w:val="single" w:sz="4" w:space="0" w:color="auto"/>
              <w:right w:val="single" w:sz="4" w:space="0" w:color="auto"/>
            </w:tcBorders>
            <w:shd w:val="clear" w:color="auto" w:fill="auto"/>
            <w:noWrap/>
            <w:vAlign w:val="center"/>
            <w:hideMark/>
          </w:tcPr>
          <w:p w14:paraId="4602CE94"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563.03</w:t>
            </w:r>
          </w:p>
        </w:tc>
        <w:tc>
          <w:tcPr>
            <w:tcW w:w="1702" w:type="dxa"/>
            <w:tcBorders>
              <w:top w:val="nil"/>
              <w:left w:val="nil"/>
              <w:bottom w:val="single" w:sz="4" w:space="0" w:color="auto"/>
              <w:right w:val="single" w:sz="4" w:space="0" w:color="auto"/>
            </w:tcBorders>
            <w:shd w:val="clear" w:color="auto" w:fill="auto"/>
            <w:noWrap/>
            <w:vAlign w:val="center"/>
            <w:hideMark/>
          </w:tcPr>
          <w:p w14:paraId="74BBCC5E"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1.56  (</w:t>
            </w:r>
            <w:proofErr w:type="gramEnd"/>
            <w:r w:rsidRPr="00EA0E40">
              <w:rPr>
                <w:rFonts w:asciiTheme="majorBidi" w:hAnsiTheme="majorBidi" w:cstheme="majorBidi"/>
                <w:color w:val="000000"/>
              </w:rPr>
              <w:t xml:space="preserve">1.26, 1.96) </w:t>
            </w:r>
          </w:p>
        </w:tc>
      </w:tr>
      <w:tr w:rsidR="002E032F" w:rsidRPr="00EA0E40" w14:paraId="54DA2424"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1E884374" w14:textId="77777777" w:rsidR="002E032F" w:rsidRPr="00EA0E40" w:rsidRDefault="002E032F" w:rsidP="000F029C">
            <w:pPr>
              <w:spacing w:after="0" w:line="240" w:lineRule="auto"/>
              <w:rPr>
                <w:rFonts w:asciiTheme="majorBidi" w:hAnsiTheme="majorBidi" w:cstheme="majorBidi"/>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hideMark/>
          </w:tcPr>
          <w:p w14:paraId="7A52D7B8" w14:textId="1505E754"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color w:val="000000"/>
              </w:rPr>
              <w:t>Consecutive samples. MR model</w:t>
            </w:r>
          </w:p>
        </w:tc>
        <w:tc>
          <w:tcPr>
            <w:tcW w:w="891" w:type="dxa"/>
            <w:tcBorders>
              <w:top w:val="nil"/>
              <w:left w:val="nil"/>
              <w:bottom w:val="single" w:sz="4" w:space="0" w:color="auto"/>
              <w:right w:val="single" w:sz="4" w:space="0" w:color="auto"/>
            </w:tcBorders>
            <w:shd w:val="clear" w:color="auto" w:fill="auto"/>
            <w:vAlign w:val="bottom"/>
            <w:hideMark/>
          </w:tcPr>
          <w:p w14:paraId="572A98FD"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16</w:t>
            </w:r>
          </w:p>
        </w:tc>
        <w:tc>
          <w:tcPr>
            <w:tcW w:w="903" w:type="dxa"/>
            <w:tcBorders>
              <w:top w:val="nil"/>
              <w:left w:val="nil"/>
              <w:bottom w:val="single" w:sz="4" w:space="0" w:color="auto"/>
              <w:right w:val="single" w:sz="4" w:space="0" w:color="auto"/>
            </w:tcBorders>
            <w:shd w:val="clear" w:color="auto" w:fill="auto"/>
            <w:noWrap/>
            <w:vAlign w:val="center"/>
            <w:hideMark/>
          </w:tcPr>
          <w:p w14:paraId="183C1886"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109</w:t>
            </w:r>
          </w:p>
        </w:tc>
        <w:tc>
          <w:tcPr>
            <w:tcW w:w="940" w:type="dxa"/>
            <w:tcBorders>
              <w:top w:val="nil"/>
              <w:left w:val="nil"/>
              <w:bottom w:val="single" w:sz="4" w:space="0" w:color="auto"/>
              <w:right w:val="single" w:sz="4" w:space="0" w:color="auto"/>
            </w:tcBorders>
            <w:shd w:val="clear" w:color="auto" w:fill="auto"/>
            <w:noWrap/>
            <w:vAlign w:val="center"/>
            <w:hideMark/>
          </w:tcPr>
          <w:p w14:paraId="548594C3"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109.4</w:t>
            </w:r>
          </w:p>
        </w:tc>
        <w:tc>
          <w:tcPr>
            <w:tcW w:w="1302" w:type="dxa"/>
            <w:tcBorders>
              <w:top w:val="nil"/>
              <w:left w:val="nil"/>
              <w:bottom w:val="single" w:sz="4" w:space="0" w:color="auto"/>
              <w:right w:val="single" w:sz="4" w:space="0" w:color="auto"/>
            </w:tcBorders>
            <w:shd w:val="clear" w:color="auto" w:fill="auto"/>
            <w:noWrap/>
            <w:vAlign w:val="center"/>
            <w:hideMark/>
          </w:tcPr>
          <w:p w14:paraId="23A8CCA4" w14:textId="77777777" w:rsidR="002E032F" w:rsidRPr="00EA0E40" w:rsidRDefault="002E032F" w:rsidP="000F029C">
            <w:pPr>
              <w:spacing w:after="0" w:line="240" w:lineRule="auto"/>
              <w:jc w:val="center"/>
              <w:rPr>
                <w:rFonts w:asciiTheme="majorBidi" w:hAnsiTheme="majorBidi" w:cstheme="majorBidi"/>
                <w:color w:val="000000"/>
              </w:rPr>
            </w:pPr>
            <w:r w:rsidRPr="00EA0E40">
              <w:rPr>
                <w:rFonts w:asciiTheme="majorBidi" w:hAnsiTheme="majorBidi" w:cstheme="majorBidi"/>
                <w:color w:val="000000"/>
              </w:rPr>
              <w:t>607.63</w:t>
            </w:r>
          </w:p>
        </w:tc>
        <w:tc>
          <w:tcPr>
            <w:tcW w:w="1702" w:type="dxa"/>
            <w:tcBorders>
              <w:top w:val="nil"/>
              <w:left w:val="nil"/>
              <w:bottom w:val="single" w:sz="4" w:space="0" w:color="auto"/>
              <w:right w:val="single" w:sz="4" w:space="0" w:color="auto"/>
            </w:tcBorders>
            <w:shd w:val="clear" w:color="auto" w:fill="auto"/>
            <w:noWrap/>
            <w:vAlign w:val="center"/>
            <w:hideMark/>
          </w:tcPr>
          <w:p w14:paraId="1DBF7437" w14:textId="77777777" w:rsidR="002E032F" w:rsidRPr="00EA0E40" w:rsidRDefault="002E032F" w:rsidP="000F029C">
            <w:pPr>
              <w:spacing w:after="0" w:line="240" w:lineRule="auto"/>
              <w:jc w:val="center"/>
              <w:rPr>
                <w:rFonts w:asciiTheme="majorBidi" w:hAnsiTheme="majorBidi" w:cstheme="majorBidi"/>
                <w:color w:val="000000"/>
              </w:rPr>
            </w:pPr>
            <w:proofErr w:type="gramStart"/>
            <w:r w:rsidRPr="00EA0E40">
              <w:rPr>
                <w:rFonts w:asciiTheme="majorBidi" w:hAnsiTheme="majorBidi" w:cstheme="majorBidi"/>
                <w:color w:val="000000"/>
              </w:rPr>
              <w:t>1.57  (</w:t>
            </w:r>
            <w:proofErr w:type="gramEnd"/>
            <w:r w:rsidRPr="00EA0E40">
              <w:rPr>
                <w:rFonts w:asciiTheme="majorBidi" w:hAnsiTheme="majorBidi" w:cstheme="majorBidi"/>
                <w:color w:val="000000"/>
              </w:rPr>
              <w:t xml:space="preserve">1.28  1.95) </w:t>
            </w:r>
          </w:p>
        </w:tc>
      </w:tr>
      <w:tr w:rsidR="002E032F" w:rsidRPr="00EA0E40" w14:paraId="0BF36FEF" w14:textId="77777777" w:rsidTr="00E617D9">
        <w:trPr>
          <w:gridAfter w:val="1"/>
          <w:wAfter w:w="20" w:type="dxa"/>
          <w:trHeight w:val="12"/>
        </w:trPr>
        <w:tc>
          <w:tcPr>
            <w:tcW w:w="1678" w:type="dxa"/>
            <w:tcBorders>
              <w:top w:val="nil"/>
              <w:left w:val="single" w:sz="4" w:space="0" w:color="auto"/>
              <w:bottom w:val="single" w:sz="4" w:space="0" w:color="auto"/>
              <w:right w:val="single" w:sz="4" w:space="0" w:color="auto"/>
            </w:tcBorders>
          </w:tcPr>
          <w:p w14:paraId="007D8335" w14:textId="77777777" w:rsidR="002E032F" w:rsidRPr="00EA0E40" w:rsidRDefault="002E032F" w:rsidP="000F029C">
            <w:pPr>
              <w:spacing w:after="0" w:line="240" w:lineRule="auto"/>
              <w:rPr>
                <w:rFonts w:asciiTheme="majorBidi" w:hAnsiTheme="majorBidi" w:cstheme="majorBidi"/>
                <w:b/>
                <w:color w:val="000000"/>
              </w:rPr>
            </w:pPr>
          </w:p>
        </w:tc>
        <w:tc>
          <w:tcPr>
            <w:tcW w:w="2819" w:type="dxa"/>
            <w:tcBorders>
              <w:top w:val="nil"/>
              <w:left w:val="single" w:sz="4" w:space="0" w:color="auto"/>
              <w:bottom w:val="single" w:sz="4" w:space="0" w:color="auto"/>
              <w:right w:val="single" w:sz="4" w:space="0" w:color="auto"/>
            </w:tcBorders>
            <w:shd w:val="clear" w:color="auto" w:fill="auto"/>
            <w:vAlign w:val="bottom"/>
          </w:tcPr>
          <w:p w14:paraId="4FA961D4" w14:textId="6C908CFC" w:rsidR="002E032F" w:rsidRPr="00EA0E40" w:rsidRDefault="002E032F" w:rsidP="000F029C">
            <w:pPr>
              <w:spacing w:after="0" w:line="240" w:lineRule="auto"/>
              <w:rPr>
                <w:rFonts w:asciiTheme="majorBidi" w:hAnsiTheme="majorBidi" w:cstheme="majorBidi"/>
                <w:color w:val="000000"/>
              </w:rPr>
            </w:pPr>
            <w:r w:rsidRPr="00EA0E40">
              <w:rPr>
                <w:rFonts w:asciiTheme="majorBidi" w:hAnsiTheme="majorBidi" w:cstheme="majorBidi"/>
                <w:b/>
                <w:color w:val="000000"/>
              </w:rPr>
              <w:t>EUCAST, subgroup</w:t>
            </w:r>
          </w:p>
        </w:tc>
        <w:tc>
          <w:tcPr>
            <w:tcW w:w="891" w:type="dxa"/>
            <w:tcBorders>
              <w:top w:val="nil"/>
              <w:left w:val="nil"/>
              <w:bottom w:val="single" w:sz="4" w:space="0" w:color="auto"/>
              <w:right w:val="single" w:sz="4" w:space="0" w:color="auto"/>
            </w:tcBorders>
            <w:shd w:val="clear" w:color="auto" w:fill="auto"/>
            <w:vAlign w:val="bottom"/>
          </w:tcPr>
          <w:p w14:paraId="301AD94F"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3</w:t>
            </w:r>
          </w:p>
        </w:tc>
        <w:tc>
          <w:tcPr>
            <w:tcW w:w="903" w:type="dxa"/>
            <w:tcBorders>
              <w:top w:val="nil"/>
              <w:left w:val="nil"/>
              <w:bottom w:val="single" w:sz="4" w:space="0" w:color="auto"/>
              <w:right w:val="single" w:sz="4" w:space="0" w:color="auto"/>
            </w:tcBorders>
            <w:shd w:val="clear" w:color="auto" w:fill="auto"/>
            <w:noWrap/>
            <w:vAlign w:val="center"/>
          </w:tcPr>
          <w:p w14:paraId="110F76A1"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28</w:t>
            </w:r>
          </w:p>
        </w:tc>
        <w:tc>
          <w:tcPr>
            <w:tcW w:w="940" w:type="dxa"/>
            <w:tcBorders>
              <w:top w:val="nil"/>
              <w:left w:val="nil"/>
              <w:bottom w:val="single" w:sz="4" w:space="0" w:color="auto"/>
              <w:right w:val="single" w:sz="4" w:space="0" w:color="auto"/>
            </w:tcBorders>
            <w:shd w:val="clear" w:color="auto" w:fill="auto"/>
            <w:noWrap/>
            <w:vAlign w:val="center"/>
          </w:tcPr>
          <w:p w14:paraId="1946CA8B"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28.21</w:t>
            </w:r>
          </w:p>
        </w:tc>
        <w:tc>
          <w:tcPr>
            <w:tcW w:w="1302" w:type="dxa"/>
            <w:tcBorders>
              <w:top w:val="nil"/>
              <w:left w:val="nil"/>
              <w:bottom w:val="single" w:sz="4" w:space="0" w:color="auto"/>
              <w:right w:val="single" w:sz="4" w:space="0" w:color="auto"/>
            </w:tcBorders>
            <w:shd w:val="clear" w:color="auto" w:fill="auto"/>
            <w:noWrap/>
            <w:vAlign w:val="center"/>
          </w:tcPr>
          <w:p w14:paraId="4BD4F7FC" w14:textId="77777777" w:rsidR="002E032F" w:rsidRPr="00EA0E40" w:rsidRDefault="002E032F" w:rsidP="000F029C">
            <w:pPr>
              <w:spacing w:after="0" w:line="240" w:lineRule="auto"/>
              <w:jc w:val="center"/>
              <w:rPr>
                <w:rFonts w:asciiTheme="majorBidi" w:hAnsiTheme="majorBidi" w:cstheme="majorBidi"/>
                <w:bCs/>
                <w:color w:val="000000"/>
              </w:rPr>
            </w:pPr>
            <w:r w:rsidRPr="00EA0E40">
              <w:rPr>
                <w:rFonts w:asciiTheme="majorBidi" w:hAnsiTheme="majorBidi" w:cstheme="majorBidi"/>
                <w:bCs/>
                <w:color w:val="000000"/>
              </w:rPr>
              <w:t>189.39</w:t>
            </w:r>
          </w:p>
        </w:tc>
        <w:tc>
          <w:tcPr>
            <w:tcW w:w="1702" w:type="dxa"/>
            <w:tcBorders>
              <w:top w:val="nil"/>
              <w:left w:val="nil"/>
              <w:bottom w:val="single" w:sz="4" w:space="0" w:color="auto"/>
              <w:right w:val="single" w:sz="4" w:space="0" w:color="auto"/>
            </w:tcBorders>
            <w:shd w:val="clear" w:color="auto" w:fill="auto"/>
            <w:noWrap/>
            <w:vAlign w:val="center"/>
          </w:tcPr>
          <w:p w14:paraId="443A4EF2" w14:textId="77777777" w:rsidR="002E032F" w:rsidRPr="00EA0E40" w:rsidRDefault="002E032F" w:rsidP="000F029C">
            <w:pPr>
              <w:spacing w:after="0" w:line="240" w:lineRule="auto"/>
              <w:jc w:val="center"/>
              <w:rPr>
                <w:rFonts w:asciiTheme="majorBidi" w:hAnsiTheme="majorBidi" w:cstheme="majorBidi"/>
                <w:bCs/>
                <w:color w:val="000000"/>
              </w:rPr>
            </w:pPr>
            <w:proofErr w:type="gramStart"/>
            <w:r w:rsidRPr="00EA0E40">
              <w:rPr>
                <w:rFonts w:asciiTheme="majorBidi" w:hAnsiTheme="majorBidi" w:cstheme="majorBidi"/>
                <w:bCs/>
                <w:color w:val="000000"/>
              </w:rPr>
              <w:t>0.98  (</w:t>
            </w:r>
            <w:proofErr w:type="gramEnd"/>
            <w:r w:rsidRPr="00EA0E40">
              <w:rPr>
                <w:rFonts w:asciiTheme="majorBidi" w:hAnsiTheme="majorBidi" w:cstheme="majorBidi"/>
                <w:bCs/>
                <w:color w:val="000000"/>
              </w:rPr>
              <w:t xml:space="preserve">0.62,  1.65) </w:t>
            </w:r>
          </w:p>
        </w:tc>
      </w:tr>
      <w:tr w:rsidR="002E032F" w:rsidRPr="00EA0E40" w14:paraId="103C4C08" w14:textId="77777777" w:rsidTr="00E617D9">
        <w:trPr>
          <w:trHeight w:val="12"/>
        </w:trPr>
        <w:tc>
          <w:tcPr>
            <w:tcW w:w="1678" w:type="dxa"/>
            <w:tcBorders>
              <w:top w:val="nil"/>
              <w:left w:val="nil"/>
              <w:bottom w:val="nil"/>
              <w:right w:val="nil"/>
            </w:tcBorders>
          </w:tcPr>
          <w:p w14:paraId="48E1E206" w14:textId="77777777" w:rsidR="002E032F" w:rsidRPr="00EA0E40" w:rsidRDefault="002E032F" w:rsidP="00E3074C">
            <w:pPr>
              <w:spacing w:after="0" w:line="240" w:lineRule="auto"/>
              <w:rPr>
                <w:rFonts w:asciiTheme="majorBidi" w:hAnsiTheme="majorBidi" w:cstheme="majorBidi"/>
                <w:color w:val="000000"/>
              </w:rPr>
            </w:pPr>
          </w:p>
        </w:tc>
        <w:tc>
          <w:tcPr>
            <w:tcW w:w="8577" w:type="dxa"/>
            <w:gridSpan w:val="7"/>
            <w:tcBorders>
              <w:top w:val="nil"/>
              <w:left w:val="nil"/>
              <w:bottom w:val="nil"/>
              <w:right w:val="nil"/>
            </w:tcBorders>
            <w:shd w:val="clear" w:color="auto" w:fill="auto"/>
            <w:noWrap/>
            <w:vAlign w:val="bottom"/>
            <w:hideMark/>
          </w:tcPr>
          <w:p w14:paraId="1E67D3FD" w14:textId="6A1F2BD8" w:rsidR="002E032F" w:rsidRPr="00EA0E40" w:rsidRDefault="002E032F" w:rsidP="00E3074C">
            <w:pPr>
              <w:spacing w:after="0" w:line="240" w:lineRule="auto"/>
              <w:rPr>
                <w:rFonts w:asciiTheme="majorBidi" w:hAnsiTheme="majorBidi" w:cstheme="majorBidi"/>
                <w:color w:val="242021"/>
              </w:rPr>
            </w:pPr>
            <w:proofErr w:type="spellStart"/>
            <w:r w:rsidRPr="00EA0E40">
              <w:rPr>
                <w:rFonts w:asciiTheme="majorBidi" w:hAnsiTheme="majorBidi" w:cstheme="majorBidi"/>
                <w:color w:val="000000"/>
              </w:rPr>
              <w:t>CrI</w:t>
            </w:r>
            <w:proofErr w:type="spellEnd"/>
            <w:r w:rsidRPr="00EA0E40">
              <w:rPr>
                <w:rFonts w:asciiTheme="majorBidi" w:hAnsiTheme="majorBidi" w:cstheme="majorBidi"/>
                <w:color w:val="000000"/>
              </w:rPr>
              <w:t xml:space="preserve">, credible interval; DIC, </w:t>
            </w:r>
            <w:r w:rsidRPr="00EA0E40">
              <w:rPr>
                <w:rFonts w:asciiTheme="majorBidi" w:hAnsiTheme="majorBidi" w:cstheme="majorBidi"/>
              </w:rPr>
              <w:t xml:space="preserve">deviance information criterion; </w:t>
            </w:r>
            <w:r w:rsidRPr="00EA0E40">
              <w:rPr>
                <w:rFonts w:asciiTheme="majorBidi" w:hAnsiTheme="majorBidi" w:cstheme="majorBidi"/>
                <w:color w:val="000000"/>
              </w:rPr>
              <w:t xml:space="preserve">DP, data points; NMA, network meta-analysis; SD, standard deviation; TRD, total residual deviance (mean); SD, standard deviation (median); UME, </w:t>
            </w:r>
            <w:r w:rsidRPr="00EA0E40">
              <w:rPr>
                <w:rFonts w:asciiTheme="majorBidi" w:hAnsiTheme="majorBidi" w:cstheme="majorBidi"/>
                <w:color w:val="242021"/>
              </w:rPr>
              <w:t xml:space="preserve">unrelated mean effects. </w:t>
            </w:r>
          </w:p>
        </w:tc>
      </w:tr>
      <w:tr w:rsidR="002E032F" w:rsidRPr="00EA0E40" w14:paraId="788E8673" w14:textId="77777777" w:rsidTr="00E617D9">
        <w:trPr>
          <w:trHeight w:val="12"/>
        </w:trPr>
        <w:tc>
          <w:tcPr>
            <w:tcW w:w="1678" w:type="dxa"/>
            <w:tcBorders>
              <w:top w:val="nil"/>
              <w:left w:val="nil"/>
              <w:bottom w:val="nil"/>
              <w:right w:val="nil"/>
            </w:tcBorders>
          </w:tcPr>
          <w:p w14:paraId="1519DF7B" w14:textId="77777777" w:rsidR="002E032F" w:rsidRPr="00EA0E40" w:rsidRDefault="002E032F" w:rsidP="000F029C">
            <w:pPr>
              <w:spacing w:after="0" w:line="240" w:lineRule="auto"/>
              <w:rPr>
                <w:rFonts w:asciiTheme="majorBidi" w:eastAsia="Times New Roman" w:hAnsiTheme="majorBidi" w:cstheme="majorBidi"/>
                <w:i/>
                <w:iCs/>
                <w:color w:val="000000"/>
                <w:lang w:eastAsia="zh-CN"/>
              </w:rPr>
            </w:pPr>
          </w:p>
        </w:tc>
        <w:tc>
          <w:tcPr>
            <w:tcW w:w="8577" w:type="dxa"/>
            <w:gridSpan w:val="7"/>
            <w:tcBorders>
              <w:top w:val="nil"/>
              <w:left w:val="nil"/>
              <w:bottom w:val="nil"/>
              <w:right w:val="nil"/>
            </w:tcBorders>
            <w:shd w:val="clear" w:color="auto" w:fill="auto"/>
            <w:noWrap/>
            <w:vAlign w:val="bottom"/>
            <w:hideMark/>
          </w:tcPr>
          <w:p w14:paraId="743D8E71" w14:textId="1CA8DC58" w:rsidR="002E032F" w:rsidRPr="00EA0E40" w:rsidRDefault="002E032F" w:rsidP="000F029C">
            <w:pPr>
              <w:spacing w:after="0" w:line="240" w:lineRule="auto"/>
              <w:rPr>
                <w:rFonts w:asciiTheme="majorBidi" w:eastAsia="Times New Roman" w:hAnsiTheme="majorBidi" w:cstheme="majorBidi"/>
                <w:lang w:eastAsia="zh-CN"/>
              </w:rPr>
            </w:pPr>
            <w:r w:rsidRPr="00EA0E40">
              <w:rPr>
                <w:rFonts w:asciiTheme="majorBidi" w:eastAsia="Times New Roman" w:hAnsiTheme="majorBidi" w:cstheme="majorBidi"/>
                <w:i/>
                <w:iCs/>
                <w:color w:val="000000"/>
                <w:lang w:eastAsia="zh-CN"/>
              </w:rPr>
              <w:t xml:space="preserve">* Reduced data with inconsistent observations removed </w:t>
            </w:r>
          </w:p>
        </w:tc>
      </w:tr>
      <w:tr w:rsidR="002E032F" w:rsidRPr="00EA0E40" w14:paraId="0CB1EAE1" w14:textId="77777777" w:rsidTr="00E617D9">
        <w:trPr>
          <w:trHeight w:val="12"/>
        </w:trPr>
        <w:tc>
          <w:tcPr>
            <w:tcW w:w="1678" w:type="dxa"/>
            <w:tcBorders>
              <w:top w:val="nil"/>
              <w:left w:val="nil"/>
              <w:bottom w:val="nil"/>
              <w:right w:val="nil"/>
            </w:tcBorders>
          </w:tcPr>
          <w:p w14:paraId="242A1BFC" w14:textId="77777777" w:rsidR="002E032F" w:rsidRPr="00EA0E40" w:rsidRDefault="002E032F" w:rsidP="000F029C">
            <w:pPr>
              <w:spacing w:after="0" w:line="240" w:lineRule="auto"/>
              <w:rPr>
                <w:rFonts w:asciiTheme="majorBidi" w:eastAsia="Times New Roman" w:hAnsiTheme="majorBidi" w:cstheme="majorBidi"/>
                <w:i/>
                <w:iCs/>
                <w:color w:val="000000"/>
                <w:lang w:eastAsia="zh-CN"/>
              </w:rPr>
            </w:pPr>
          </w:p>
        </w:tc>
        <w:tc>
          <w:tcPr>
            <w:tcW w:w="8577" w:type="dxa"/>
            <w:gridSpan w:val="7"/>
            <w:tcBorders>
              <w:top w:val="nil"/>
              <w:left w:val="nil"/>
              <w:bottom w:val="nil"/>
              <w:right w:val="nil"/>
            </w:tcBorders>
            <w:shd w:val="clear" w:color="auto" w:fill="auto"/>
            <w:noWrap/>
            <w:vAlign w:val="bottom"/>
            <w:hideMark/>
          </w:tcPr>
          <w:p w14:paraId="0EC8DE4B" w14:textId="1C9F3E6A" w:rsidR="002E032F" w:rsidRPr="00EA0E40" w:rsidRDefault="002E032F" w:rsidP="000F029C">
            <w:pPr>
              <w:spacing w:after="0" w:line="240" w:lineRule="auto"/>
              <w:rPr>
                <w:rFonts w:asciiTheme="majorBidi" w:eastAsia="Times New Roman" w:hAnsiTheme="majorBidi" w:cstheme="majorBidi"/>
                <w:i/>
                <w:iCs/>
                <w:color w:val="000000"/>
                <w:lang w:eastAsia="zh-CN"/>
              </w:rPr>
            </w:pPr>
            <w:r w:rsidRPr="00EA0E40">
              <w:rPr>
                <w:rFonts w:asciiTheme="majorBidi" w:eastAsia="Times New Roman" w:hAnsiTheme="majorBidi" w:cstheme="majorBidi"/>
                <w:i/>
                <w:iCs/>
                <w:color w:val="000000"/>
                <w:lang w:eastAsia="zh-CN"/>
              </w:rPr>
              <w:t>** Conducted using reduced dataset. Results using full data shown in appendices.</w:t>
            </w:r>
          </w:p>
          <w:p w14:paraId="04A22333" w14:textId="46869762" w:rsidR="002E032F" w:rsidRPr="00EA0E40" w:rsidRDefault="002E032F" w:rsidP="000F029C">
            <w:pPr>
              <w:spacing w:after="0" w:line="240" w:lineRule="auto"/>
              <w:rPr>
                <w:rFonts w:asciiTheme="majorBidi" w:eastAsia="Times New Roman" w:hAnsiTheme="majorBidi" w:cstheme="majorBidi"/>
                <w:i/>
                <w:iCs/>
                <w:color w:val="000000"/>
                <w:lang w:eastAsia="zh-CN"/>
              </w:rPr>
            </w:pPr>
            <w:r w:rsidRPr="00706762">
              <w:rPr>
                <w:rFonts w:asciiTheme="majorBidi" w:eastAsia="Times New Roman" w:hAnsiTheme="majorBidi" w:cstheme="majorBidi"/>
                <w:i/>
                <w:iCs/>
                <w:color w:val="000000"/>
                <w:lang w:eastAsia="zh-CN"/>
              </w:rPr>
              <w:t>***Analyses in bold used to inform the economic model.</w:t>
            </w:r>
          </w:p>
          <w:p w14:paraId="4B04A81B" w14:textId="318B2424" w:rsidR="002E032F" w:rsidRPr="00EA0E40" w:rsidRDefault="002E032F" w:rsidP="00C83FB7">
            <w:pPr>
              <w:spacing w:after="0" w:line="240" w:lineRule="auto"/>
              <w:rPr>
                <w:rFonts w:asciiTheme="majorBidi" w:eastAsia="Times New Roman" w:hAnsiTheme="majorBidi" w:cstheme="majorBidi"/>
                <w:i/>
                <w:iCs/>
                <w:lang w:eastAsia="zh-CN"/>
              </w:rPr>
            </w:pPr>
            <w:r w:rsidRPr="00EA0E40">
              <w:rPr>
                <w:rFonts w:asciiTheme="majorBidi" w:eastAsia="Times New Roman" w:hAnsiTheme="majorBidi" w:cstheme="majorBidi"/>
                <w:i/>
                <w:iCs/>
                <w:color w:val="000000"/>
                <w:lang w:eastAsia="zh-CN"/>
              </w:rPr>
              <w:t xml:space="preserve">**** The results of this analysis indicated that </w:t>
            </w:r>
            <w:r w:rsidRPr="00706762">
              <w:rPr>
                <w:rFonts w:asciiTheme="majorBidi" w:eastAsia="Times New Roman" w:hAnsiTheme="majorBidi" w:cstheme="majorBidi"/>
                <w:i/>
                <w:iCs/>
                <w:color w:val="000000"/>
                <w:lang w:eastAsia="zh-CN"/>
              </w:rPr>
              <w:t>the estimated odds ratio vs colistin was increased compared to the model with all studies included</w:t>
            </w:r>
            <w:r w:rsidRPr="00EA0E40">
              <w:rPr>
                <w:rFonts w:asciiTheme="majorBidi" w:hAnsiTheme="majorBidi" w:cstheme="majorBidi"/>
                <w:i/>
                <w:iCs/>
              </w:rPr>
              <w:t xml:space="preserve">, therefore an analysis was planned using studies </w:t>
            </w:r>
            <w:r>
              <w:rPr>
                <w:rFonts w:asciiTheme="majorBidi" w:hAnsiTheme="majorBidi" w:cstheme="majorBidi"/>
                <w:i/>
                <w:iCs/>
              </w:rPr>
              <w:t>with 0% MBLs and using E</w:t>
            </w:r>
            <w:r w:rsidRPr="00EA0E40">
              <w:rPr>
                <w:rFonts w:asciiTheme="majorBidi" w:hAnsiTheme="majorBidi" w:cstheme="majorBidi"/>
                <w:i/>
                <w:iCs/>
              </w:rPr>
              <w:t>U</w:t>
            </w:r>
            <w:r>
              <w:rPr>
                <w:rFonts w:asciiTheme="majorBidi" w:hAnsiTheme="majorBidi" w:cstheme="majorBidi"/>
                <w:i/>
                <w:iCs/>
              </w:rPr>
              <w:t>C</w:t>
            </w:r>
            <w:r w:rsidRPr="00EA0E40">
              <w:rPr>
                <w:rFonts w:asciiTheme="majorBidi" w:hAnsiTheme="majorBidi" w:cstheme="majorBidi"/>
                <w:i/>
                <w:iCs/>
              </w:rPr>
              <w:t>AST methods and breakpoints. This resulted in one study being selected (Vazquez-</w:t>
            </w:r>
            <w:proofErr w:type="spellStart"/>
            <w:r w:rsidRPr="00EA0E40">
              <w:rPr>
                <w:rFonts w:asciiTheme="majorBidi" w:hAnsiTheme="majorBidi" w:cstheme="majorBidi"/>
                <w:i/>
                <w:iCs/>
              </w:rPr>
              <w:t>Ucha</w:t>
            </w:r>
            <w:proofErr w:type="spellEnd"/>
            <w:r w:rsidRPr="00EA0E40">
              <w:rPr>
                <w:rFonts w:asciiTheme="majorBidi" w:hAnsiTheme="majorBidi" w:cstheme="majorBidi"/>
                <w:i/>
                <w:iCs/>
              </w:rPr>
              <w:t xml:space="preserve"> 2021) </w:t>
            </w:r>
            <w:r w:rsidRPr="00A83123">
              <w:rPr>
                <w:rFonts w:asciiTheme="majorBidi" w:hAnsiTheme="majorBidi" w:cstheme="majorBidi"/>
                <w:i/>
                <w:iCs/>
                <w:noProof/>
                <w:vertAlign w:val="superscript"/>
              </w:rPr>
              <w:t>1</w:t>
            </w:r>
            <w:r w:rsidRPr="00EA0E40">
              <w:rPr>
                <w:rFonts w:asciiTheme="majorBidi" w:hAnsiTheme="majorBidi" w:cstheme="majorBidi"/>
                <w:i/>
                <w:iCs/>
              </w:rPr>
              <w:t xml:space="preserve">. </w:t>
            </w:r>
          </w:p>
        </w:tc>
      </w:tr>
    </w:tbl>
    <w:p w14:paraId="208C6FC4" w14:textId="77777777" w:rsidR="00FE7A08" w:rsidRPr="00885DFB" w:rsidRDefault="00FE7A08" w:rsidP="00FE7A08">
      <w:pPr>
        <w:spacing w:after="120" w:line="360" w:lineRule="auto"/>
        <w:jc w:val="both"/>
        <w:rPr>
          <w:rFonts w:asciiTheme="majorBidi" w:hAnsiTheme="majorBidi" w:cstheme="majorBidi"/>
        </w:rPr>
      </w:pPr>
    </w:p>
    <w:p w14:paraId="46A86441" w14:textId="62F4B9F7" w:rsidR="00FE7A08" w:rsidRPr="00C03BFF" w:rsidRDefault="00EA0E40" w:rsidP="006E4E83">
      <w:pPr>
        <w:keepNext/>
        <w:keepLines/>
        <w:spacing w:before="240" w:after="120" w:line="360" w:lineRule="auto"/>
        <w:outlineLvl w:val="3"/>
        <w:rPr>
          <w:rFonts w:asciiTheme="majorBidi" w:eastAsiaTheme="majorEastAsia" w:hAnsiTheme="majorBidi" w:cs="Times New Roman"/>
          <w:b/>
          <w:sz w:val="26"/>
          <w:szCs w:val="26"/>
        </w:rPr>
      </w:pPr>
      <w:r w:rsidRPr="00C03BFF">
        <w:rPr>
          <w:rFonts w:asciiTheme="majorBidi" w:eastAsiaTheme="majorEastAsia" w:hAnsiTheme="majorBidi" w:cs="Times New Roman"/>
          <w:b/>
          <w:sz w:val="26"/>
          <w:szCs w:val="26"/>
        </w:rPr>
        <w:t xml:space="preserve">4.5.4.1 </w:t>
      </w:r>
      <w:r w:rsidR="00FE7A08" w:rsidRPr="00C03BFF">
        <w:rPr>
          <w:rFonts w:asciiTheme="majorBidi" w:eastAsiaTheme="majorEastAsia" w:hAnsiTheme="majorBidi" w:cs="Times New Roman"/>
          <w:b/>
          <w:sz w:val="26"/>
          <w:szCs w:val="26"/>
        </w:rPr>
        <w:t>NMA including all studies</w:t>
      </w:r>
    </w:p>
    <w:p w14:paraId="451AF857" w14:textId="2B536B37" w:rsidR="00FE7A08" w:rsidRPr="00885DFB" w:rsidRDefault="00FE7A08" w:rsidP="00A83123">
      <w:pPr>
        <w:spacing w:after="120" w:line="360" w:lineRule="auto"/>
        <w:jc w:val="both"/>
        <w:rPr>
          <w:rFonts w:asciiTheme="majorBidi" w:hAnsiTheme="majorBidi" w:cstheme="majorBidi"/>
        </w:rPr>
      </w:pPr>
      <w:r w:rsidRPr="00885DFB">
        <w:rPr>
          <w:rFonts w:asciiTheme="majorBidi" w:hAnsiTheme="majorBidi" w:cstheme="majorBidi"/>
        </w:rPr>
        <w:t xml:space="preserve">The analysis including the full data from all 16 studies indicated an extremely high amount of heterogeneity, with the between-study </w:t>
      </w:r>
      <w:r>
        <w:rPr>
          <w:rFonts w:asciiTheme="majorBidi" w:hAnsiTheme="majorBidi" w:cstheme="majorBidi"/>
        </w:rPr>
        <w:t>standard deviation (</w:t>
      </w:r>
      <w:r w:rsidRPr="00885DFB">
        <w:rPr>
          <w:rFonts w:asciiTheme="majorBidi" w:hAnsiTheme="majorBidi" w:cstheme="majorBidi"/>
        </w:rPr>
        <w:t>SD</w:t>
      </w:r>
      <w:r>
        <w:rPr>
          <w:rFonts w:asciiTheme="majorBidi" w:hAnsiTheme="majorBidi" w:cstheme="majorBidi"/>
        </w:rPr>
        <w:t>)</w:t>
      </w:r>
      <w:r w:rsidRPr="00885DFB">
        <w:rPr>
          <w:rFonts w:asciiTheme="majorBidi" w:hAnsiTheme="majorBidi" w:cstheme="majorBidi"/>
        </w:rPr>
        <w:t xml:space="preserve"> estimated to be 1.99 (95% </w:t>
      </w:r>
      <w:proofErr w:type="spellStart"/>
      <w:r w:rsidRPr="00885DFB">
        <w:rPr>
          <w:rFonts w:asciiTheme="majorBidi" w:hAnsiTheme="majorBidi" w:cstheme="majorBidi"/>
        </w:rPr>
        <w:t>CrI</w:t>
      </w:r>
      <w:proofErr w:type="spellEnd"/>
      <w:r w:rsidRPr="00885DFB">
        <w:rPr>
          <w:rFonts w:asciiTheme="majorBidi" w:hAnsiTheme="majorBidi" w:cstheme="majorBidi"/>
        </w:rPr>
        <w:t>: 1.64</w:t>
      </w:r>
      <w:r>
        <w:rPr>
          <w:rFonts w:asciiTheme="majorBidi" w:hAnsiTheme="majorBidi" w:cstheme="majorBidi"/>
        </w:rPr>
        <w:t xml:space="preserve"> to</w:t>
      </w:r>
      <w:r w:rsidRPr="00885DFB">
        <w:rPr>
          <w:rFonts w:asciiTheme="majorBidi" w:hAnsiTheme="majorBidi" w:cstheme="majorBidi"/>
        </w:rPr>
        <w:t xml:space="preserve"> 2.44). Results from the UME model suggested possible inconsistency in the network. </w:t>
      </w:r>
      <w:r w:rsidRPr="00885DFB">
        <w:rPr>
          <w:rFonts w:ascii="Times New Roman" w:hAnsi="Times New Roman" w:cs="Times New Roman"/>
        </w:rPr>
        <w:t>Although the DIC of the UME model was substantially higher than the NMA model, suggesting a poorer model fit, the between-study SD was smaller. Inconsistency was therefore explored further by inspecting the deviance contribution plot (</w:t>
      </w:r>
      <w:r w:rsidR="005452F3" w:rsidRPr="005452F3">
        <w:rPr>
          <w:rFonts w:asciiTheme="majorBidi" w:hAnsiTheme="majorBidi" w:cstheme="majorBidi"/>
        </w:rPr>
        <w:t>Appendix 7.3, Figure 33</w:t>
      </w:r>
      <w:r w:rsidRPr="005452F3">
        <w:rPr>
          <w:rFonts w:asciiTheme="majorBidi" w:hAnsiTheme="majorBidi" w:cstheme="majorBidi"/>
        </w:rPr>
        <w:t>). Two data points were highlighted as having substantially lower deviance contributions under the UME model: the tigecycline arm of Han 2020</w:t>
      </w:r>
      <w:r w:rsidR="00A83123" w:rsidRPr="00A83123">
        <w:rPr>
          <w:rFonts w:asciiTheme="majorBidi" w:hAnsiTheme="majorBidi" w:cstheme="majorBidi"/>
          <w:noProof/>
          <w:vertAlign w:val="superscript"/>
        </w:rPr>
        <w:t>52</w:t>
      </w:r>
      <w:r w:rsidRPr="005452F3">
        <w:rPr>
          <w:rFonts w:asciiTheme="majorBidi" w:hAnsiTheme="majorBidi" w:cstheme="majorBidi"/>
        </w:rPr>
        <w:t xml:space="preserve"> and the colistin arm of Johnston.</w:t>
      </w:r>
      <w:r w:rsidR="00A83123" w:rsidRPr="00A83123">
        <w:rPr>
          <w:rFonts w:asciiTheme="majorBidi" w:hAnsiTheme="majorBidi" w:cstheme="majorBidi"/>
          <w:noProof/>
          <w:vertAlign w:val="superscript"/>
        </w:rPr>
        <w:t>53</w:t>
      </w:r>
      <w:r w:rsidRPr="005452F3">
        <w:rPr>
          <w:rFonts w:asciiTheme="majorBidi" w:hAnsiTheme="majorBidi" w:cstheme="majorBidi"/>
        </w:rPr>
        <w:t xml:space="preserve"> </w:t>
      </w:r>
      <w:r w:rsidRPr="00885DFB">
        <w:rPr>
          <w:rFonts w:asciiTheme="majorBidi" w:hAnsiTheme="majorBidi" w:cstheme="majorBidi"/>
        </w:rPr>
        <w:t>The NMA model was re-fitted on a reduced data set with these two in</w:t>
      </w:r>
      <w:r>
        <w:rPr>
          <w:rFonts w:asciiTheme="majorBidi" w:hAnsiTheme="majorBidi" w:cstheme="majorBidi"/>
        </w:rPr>
        <w:t>c</w:t>
      </w:r>
      <w:r w:rsidRPr="00885DFB">
        <w:rPr>
          <w:rFonts w:asciiTheme="majorBidi" w:hAnsiTheme="majorBidi" w:cstheme="majorBidi"/>
        </w:rPr>
        <w:t>onsist</w:t>
      </w:r>
      <w:r>
        <w:rPr>
          <w:rFonts w:asciiTheme="majorBidi" w:hAnsiTheme="majorBidi" w:cstheme="majorBidi"/>
        </w:rPr>
        <w:t>e</w:t>
      </w:r>
      <w:r w:rsidRPr="00885DFB">
        <w:rPr>
          <w:rFonts w:asciiTheme="majorBidi" w:hAnsiTheme="majorBidi" w:cstheme="majorBidi"/>
        </w:rPr>
        <w:t xml:space="preserve">nt observations removed. No further inconsistency was detected following the removal of these data points </w:t>
      </w:r>
      <w:r w:rsidRPr="005452F3">
        <w:rPr>
          <w:rFonts w:asciiTheme="majorBidi" w:hAnsiTheme="majorBidi" w:cstheme="majorBidi"/>
        </w:rPr>
        <w:t>(</w:t>
      </w:r>
      <w:r w:rsidR="005452F3" w:rsidRPr="005452F3">
        <w:rPr>
          <w:rFonts w:asciiTheme="majorBidi" w:hAnsiTheme="majorBidi" w:cstheme="majorBidi"/>
        </w:rPr>
        <w:t xml:space="preserve">Appendix </w:t>
      </w:r>
      <w:r w:rsidR="00E74323" w:rsidRPr="005452F3">
        <w:rPr>
          <w:rFonts w:asciiTheme="majorBidi" w:hAnsiTheme="majorBidi" w:cstheme="majorBidi"/>
        </w:rPr>
        <w:t>7.3</w:t>
      </w:r>
      <w:r w:rsidR="00E74323">
        <w:rPr>
          <w:rFonts w:asciiTheme="majorBidi" w:hAnsiTheme="majorBidi" w:cstheme="majorBidi"/>
        </w:rPr>
        <w:t xml:space="preserve"> </w:t>
      </w:r>
      <w:r w:rsidR="005452F3" w:rsidRPr="005452F3">
        <w:rPr>
          <w:rFonts w:asciiTheme="majorBidi" w:hAnsiTheme="majorBidi" w:cstheme="majorBidi"/>
        </w:rPr>
        <w:t>Figure 34</w:t>
      </w:r>
      <w:r w:rsidRPr="005452F3">
        <w:rPr>
          <w:rFonts w:asciiTheme="majorBidi" w:hAnsiTheme="majorBidi" w:cstheme="majorBidi"/>
        </w:rPr>
        <w:t>)</w:t>
      </w:r>
      <w:r w:rsidRPr="00885DFB">
        <w:rPr>
          <w:rFonts w:asciiTheme="majorBidi" w:hAnsiTheme="majorBidi" w:cstheme="majorBidi"/>
        </w:rPr>
        <w:t xml:space="preserve">. </w:t>
      </w:r>
      <w:r w:rsidRPr="00007FF6">
        <w:rPr>
          <w:rFonts w:asciiTheme="majorBidi" w:hAnsiTheme="majorBidi" w:cstheme="majorBidi"/>
        </w:rPr>
        <w:t xml:space="preserve"> </w:t>
      </w:r>
    </w:p>
    <w:p w14:paraId="36B5FC92" w14:textId="0C1FCE46" w:rsidR="00FE7A08" w:rsidRDefault="00FE7A08" w:rsidP="00A83123">
      <w:pPr>
        <w:spacing w:after="120" w:line="360" w:lineRule="auto"/>
        <w:jc w:val="both"/>
        <w:rPr>
          <w:rFonts w:asciiTheme="majorBidi" w:hAnsiTheme="majorBidi" w:cstheme="majorBidi"/>
        </w:rPr>
      </w:pPr>
      <w:r w:rsidRPr="00885DFB">
        <w:rPr>
          <w:rFonts w:asciiTheme="majorBidi" w:hAnsiTheme="majorBidi" w:cstheme="majorBidi"/>
        </w:rPr>
        <w:t>Sixteen studies contributed to the NMA</w:t>
      </w:r>
      <w:r>
        <w:rPr>
          <w:rFonts w:asciiTheme="majorBidi" w:hAnsiTheme="majorBidi" w:cstheme="majorBidi"/>
        </w:rPr>
        <w:t xml:space="preserve"> using reduced data</w:t>
      </w:r>
      <w:r w:rsidRPr="00885DFB">
        <w:rPr>
          <w:rFonts w:asciiTheme="majorBidi" w:hAnsiTheme="majorBidi" w:cstheme="majorBidi"/>
        </w:rPr>
        <w:t xml:space="preserve">, considering a total of 14 comparators, and the full network </w:t>
      </w:r>
      <w:r w:rsidRPr="00C16779">
        <w:rPr>
          <w:rFonts w:asciiTheme="majorBidi" w:hAnsiTheme="majorBidi" w:cstheme="majorBidi"/>
        </w:rPr>
        <w:t xml:space="preserve">diagram is shown in Figure </w:t>
      </w:r>
      <w:r w:rsidRPr="00C16779">
        <w:rPr>
          <w:rFonts w:asciiTheme="majorBidi" w:hAnsiTheme="majorBidi" w:cstheme="majorBidi"/>
          <w:noProof/>
        </w:rPr>
        <w:t>3</w:t>
      </w:r>
      <w:r w:rsidRPr="00C16779">
        <w:rPr>
          <w:rFonts w:asciiTheme="majorBidi" w:hAnsiTheme="majorBidi" w:cstheme="majorBidi"/>
        </w:rPr>
        <w:t>. Nine of the</w:t>
      </w:r>
      <w:r w:rsidRPr="00885DFB">
        <w:rPr>
          <w:rFonts w:asciiTheme="majorBidi" w:hAnsiTheme="majorBidi" w:cstheme="majorBidi"/>
        </w:rPr>
        <w:t xml:space="preserve"> studies</w:t>
      </w:r>
      <w:r w:rsidR="007769B5">
        <w:rPr>
          <w:rFonts w:asciiTheme="majorBidi" w:hAnsiTheme="majorBidi" w:cstheme="majorBidi"/>
        </w:rPr>
        <w:t xml:space="preserve"> </w:t>
      </w:r>
      <w:r w:rsidR="00A83123" w:rsidRPr="00A83123">
        <w:rPr>
          <w:rFonts w:asciiTheme="majorBidi" w:hAnsiTheme="majorBidi" w:cstheme="majorBidi"/>
          <w:noProof/>
          <w:vertAlign w:val="superscript"/>
        </w:rPr>
        <w:t>37,50,51,60,65,78-81</w:t>
      </w:r>
      <w:r w:rsidRPr="00885DFB">
        <w:rPr>
          <w:rFonts w:asciiTheme="majorBidi" w:hAnsiTheme="majorBidi" w:cstheme="majorBidi"/>
        </w:rPr>
        <w:t xml:space="preserve"> </w:t>
      </w:r>
      <w:r w:rsidR="007769B5">
        <w:rPr>
          <w:rFonts w:asciiTheme="majorBidi" w:hAnsiTheme="majorBidi" w:cstheme="majorBidi"/>
        </w:rPr>
        <w:t>c</w:t>
      </w:r>
      <w:r w:rsidRPr="00885DFB">
        <w:rPr>
          <w:rFonts w:asciiTheme="majorBidi" w:hAnsiTheme="majorBidi" w:cstheme="majorBidi"/>
        </w:rPr>
        <w:t xml:space="preserve">ontained zero susceptibility counts for one or more of the included comparators and therefore had a </w:t>
      </w:r>
      <w:r>
        <w:rPr>
          <w:rFonts w:asciiTheme="majorBidi" w:hAnsiTheme="majorBidi" w:cstheme="majorBidi"/>
        </w:rPr>
        <w:t>continuity correction</w:t>
      </w:r>
      <w:r w:rsidRPr="00885DFB">
        <w:rPr>
          <w:rFonts w:asciiTheme="majorBidi" w:hAnsiTheme="majorBidi" w:cstheme="majorBidi"/>
        </w:rPr>
        <w:t xml:space="preserve"> applied prior to synthesis.</w:t>
      </w:r>
    </w:p>
    <w:p w14:paraId="4210262C" w14:textId="77777777" w:rsidR="007769B5" w:rsidRDefault="007769B5" w:rsidP="00FE7A08">
      <w:pPr>
        <w:pStyle w:val="Caption"/>
        <w:rPr>
          <w:rFonts w:asciiTheme="majorBidi" w:hAnsiTheme="majorBidi" w:cstheme="majorBidi"/>
          <w:b/>
          <w:bCs/>
          <w:i w:val="0"/>
          <w:iCs w:val="0"/>
          <w:color w:val="auto"/>
          <w:sz w:val="20"/>
          <w:szCs w:val="20"/>
        </w:rPr>
      </w:pPr>
      <w:bookmarkStart w:id="180" w:name="_Ref84922656"/>
      <w:bookmarkStart w:id="181" w:name="_Toc85022485"/>
    </w:p>
    <w:p w14:paraId="7FAA7128" w14:textId="77777777" w:rsidR="007769B5" w:rsidRDefault="007769B5" w:rsidP="00FE7A08">
      <w:pPr>
        <w:pStyle w:val="Caption"/>
        <w:rPr>
          <w:rFonts w:asciiTheme="majorBidi" w:hAnsiTheme="majorBidi" w:cstheme="majorBidi"/>
          <w:b/>
          <w:bCs/>
          <w:i w:val="0"/>
          <w:iCs w:val="0"/>
          <w:color w:val="auto"/>
          <w:sz w:val="20"/>
          <w:szCs w:val="20"/>
        </w:rPr>
      </w:pPr>
    </w:p>
    <w:p w14:paraId="5B409FDE" w14:textId="77777777" w:rsidR="007769B5" w:rsidRDefault="007769B5" w:rsidP="00FE7A08">
      <w:pPr>
        <w:pStyle w:val="Caption"/>
        <w:rPr>
          <w:rFonts w:asciiTheme="majorBidi" w:hAnsiTheme="majorBidi" w:cstheme="majorBidi"/>
          <w:b/>
          <w:bCs/>
          <w:i w:val="0"/>
          <w:iCs w:val="0"/>
          <w:color w:val="auto"/>
          <w:sz w:val="20"/>
          <w:szCs w:val="20"/>
        </w:rPr>
      </w:pPr>
    </w:p>
    <w:p w14:paraId="1C0BF7BE" w14:textId="77777777" w:rsidR="005E61DF" w:rsidRDefault="005E61DF" w:rsidP="00FE7A08">
      <w:pPr>
        <w:pStyle w:val="Caption"/>
        <w:rPr>
          <w:rFonts w:asciiTheme="majorBidi" w:hAnsiTheme="majorBidi" w:cstheme="majorBidi"/>
          <w:b/>
          <w:bCs/>
          <w:i w:val="0"/>
          <w:iCs w:val="0"/>
          <w:color w:val="auto"/>
          <w:sz w:val="20"/>
          <w:szCs w:val="20"/>
        </w:rPr>
      </w:pPr>
    </w:p>
    <w:p w14:paraId="3A206261" w14:textId="77777777" w:rsidR="005E61DF" w:rsidRDefault="005E61DF" w:rsidP="00FE7A08">
      <w:pPr>
        <w:pStyle w:val="Caption"/>
        <w:rPr>
          <w:rFonts w:asciiTheme="majorBidi" w:hAnsiTheme="majorBidi" w:cstheme="majorBidi"/>
          <w:b/>
          <w:bCs/>
          <w:i w:val="0"/>
          <w:iCs w:val="0"/>
          <w:color w:val="auto"/>
          <w:sz w:val="20"/>
          <w:szCs w:val="20"/>
        </w:rPr>
      </w:pPr>
    </w:p>
    <w:p w14:paraId="7EA73424" w14:textId="33011FFA" w:rsidR="00FE7A08" w:rsidRPr="00C16779" w:rsidRDefault="00FE7A08" w:rsidP="00FE7A08">
      <w:pPr>
        <w:pStyle w:val="Caption"/>
        <w:rPr>
          <w:rFonts w:asciiTheme="majorBidi" w:hAnsiTheme="majorBidi" w:cstheme="majorBidi"/>
          <w:b/>
          <w:bCs/>
          <w:i w:val="0"/>
          <w:iCs w:val="0"/>
          <w:color w:val="auto"/>
          <w:sz w:val="20"/>
          <w:szCs w:val="20"/>
        </w:rPr>
      </w:pPr>
      <w:bookmarkStart w:id="182" w:name="_Toc86419048"/>
      <w:r w:rsidRPr="00C16779">
        <w:rPr>
          <w:rFonts w:asciiTheme="majorBidi" w:hAnsiTheme="majorBidi" w:cstheme="majorBidi"/>
          <w:b/>
          <w:bCs/>
          <w:i w:val="0"/>
          <w:iCs w:val="0"/>
          <w:color w:val="auto"/>
          <w:sz w:val="20"/>
          <w:szCs w:val="20"/>
        </w:rPr>
        <w:t xml:space="preserve">Figure </w:t>
      </w:r>
      <w:r w:rsidR="0021430F">
        <w:rPr>
          <w:rFonts w:asciiTheme="majorBidi" w:hAnsiTheme="majorBidi" w:cstheme="majorBidi"/>
          <w:b/>
          <w:bCs/>
          <w:i w:val="0"/>
          <w:iCs w:val="0"/>
          <w:noProof/>
          <w:color w:val="auto"/>
          <w:sz w:val="20"/>
          <w:szCs w:val="20"/>
        </w:rPr>
        <w:t>3</w:t>
      </w:r>
      <w:bookmarkEnd w:id="180"/>
      <w:r w:rsidRPr="00C16779">
        <w:rPr>
          <w:rFonts w:asciiTheme="majorBidi" w:hAnsiTheme="majorBidi" w:cstheme="majorBidi"/>
          <w:b/>
          <w:bCs/>
          <w:i w:val="0"/>
          <w:iCs w:val="0"/>
          <w:color w:val="auto"/>
          <w:sz w:val="20"/>
          <w:szCs w:val="20"/>
        </w:rPr>
        <w:t xml:space="preserve">: Network diagram of </w:t>
      </w:r>
      <w:r>
        <w:rPr>
          <w:rFonts w:asciiTheme="majorBidi" w:hAnsiTheme="majorBidi" w:cstheme="majorBidi"/>
          <w:b/>
          <w:bCs/>
          <w:i w:val="0"/>
          <w:iCs w:val="0"/>
          <w:color w:val="auto"/>
          <w:sz w:val="20"/>
          <w:szCs w:val="20"/>
        </w:rPr>
        <w:t>using reduced dataset</w:t>
      </w:r>
      <w:r w:rsidRPr="00C16779">
        <w:rPr>
          <w:rFonts w:asciiTheme="majorBidi" w:hAnsiTheme="majorBidi" w:cstheme="majorBidi"/>
          <w:b/>
          <w:bCs/>
          <w:i w:val="0"/>
          <w:iCs w:val="0"/>
          <w:color w:val="auto"/>
          <w:sz w:val="20"/>
          <w:szCs w:val="20"/>
        </w:rPr>
        <w:t xml:space="preserve"> contributing to the NMA</w:t>
      </w:r>
      <w:bookmarkEnd w:id="181"/>
      <w:bookmarkEnd w:id="182"/>
    </w:p>
    <w:p w14:paraId="6F8857BD" w14:textId="77777777" w:rsidR="00FE7A08" w:rsidRDefault="00FE7A08" w:rsidP="00FE7A08">
      <w:pPr>
        <w:spacing w:after="120" w:line="360" w:lineRule="auto"/>
        <w:jc w:val="both"/>
        <w:rPr>
          <w:rFonts w:asciiTheme="majorBidi" w:hAnsiTheme="majorBidi" w:cstheme="majorBidi"/>
        </w:rPr>
      </w:pPr>
      <w:r>
        <w:rPr>
          <w:rFonts w:asciiTheme="majorBidi" w:hAnsiTheme="majorBidi" w:cstheme="majorBidi"/>
          <w:noProof/>
          <w:lang w:eastAsia="en-GB"/>
        </w:rPr>
        <w:drawing>
          <wp:inline distT="0" distB="0" distL="0" distR="0" wp14:anchorId="7F0BC40C" wp14:editId="74C1BDBE">
            <wp:extent cx="4109421" cy="4366260"/>
            <wp:effectExtent l="0" t="0" r="5715" b="0"/>
            <wp:docPr id="10" name="Picture 10" descr="Network diagram depicting the connections between the 14 comparators, using a reduced dataset contributing to the NMA. Figure 3 is described in section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twork diagram depicting the connections between the 14 comparators, using a reduced dataset contributing to the NMA. Figure 3 is described in section 4.5.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355" cy="4381065"/>
                    </a:xfrm>
                    <a:prstGeom prst="rect">
                      <a:avLst/>
                    </a:prstGeom>
                    <a:noFill/>
                    <a:ln>
                      <a:noFill/>
                    </a:ln>
                  </pic:spPr>
                </pic:pic>
              </a:graphicData>
            </a:graphic>
          </wp:inline>
        </w:drawing>
      </w:r>
    </w:p>
    <w:p w14:paraId="5C9AE7DE" w14:textId="048AA8CD" w:rsidR="00FE7A08" w:rsidRPr="00885DFB" w:rsidRDefault="00FE7A08" w:rsidP="00FE7A08">
      <w:pPr>
        <w:spacing w:after="120" w:line="360" w:lineRule="auto"/>
        <w:jc w:val="both"/>
        <w:rPr>
          <w:rFonts w:asciiTheme="majorBidi" w:hAnsiTheme="majorBidi" w:cstheme="majorBidi"/>
        </w:rPr>
      </w:pPr>
      <w:r w:rsidRPr="00885DFB">
        <w:rPr>
          <w:rFonts w:asciiTheme="majorBidi" w:hAnsiTheme="majorBidi" w:cstheme="majorBidi"/>
        </w:rPr>
        <w:t xml:space="preserve">The relative susceptibility for each comparator relative to colistin are </w:t>
      </w:r>
      <w:r w:rsidRPr="005452F3">
        <w:rPr>
          <w:rFonts w:asciiTheme="majorBidi" w:hAnsiTheme="majorBidi" w:cstheme="majorBidi"/>
        </w:rPr>
        <w:t xml:space="preserve">shown in </w:t>
      </w:r>
      <w:r w:rsidR="005452F3" w:rsidRPr="005452F3">
        <w:rPr>
          <w:rFonts w:ascii="Times New Roman" w:hAnsi="Times New Roman" w:cs="Times New Roman"/>
          <w:iCs/>
        </w:rPr>
        <w:t xml:space="preserve">Figure </w:t>
      </w:r>
      <w:r w:rsidR="005452F3" w:rsidRPr="005452F3">
        <w:rPr>
          <w:rFonts w:ascii="Times New Roman" w:hAnsi="Times New Roman" w:cs="Times New Roman"/>
          <w:iCs/>
          <w:noProof/>
        </w:rPr>
        <w:t>4</w:t>
      </w:r>
      <w:r w:rsidRPr="005452F3">
        <w:rPr>
          <w:rFonts w:asciiTheme="majorBidi" w:hAnsiTheme="majorBidi" w:cstheme="majorBidi"/>
        </w:rPr>
        <w:t>. The model</w:t>
      </w:r>
      <w:r w:rsidRPr="00885DFB">
        <w:rPr>
          <w:rFonts w:asciiTheme="majorBidi" w:hAnsiTheme="majorBidi" w:cstheme="majorBidi"/>
        </w:rPr>
        <w:t xml:space="preserve"> fitted the data well, with a total residual deviance of 109.9</w:t>
      </w:r>
      <w:r>
        <w:rPr>
          <w:rFonts w:asciiTheme="majorBidi" w:hAnsiTheme="majorBidi" w:cstheme="majorBidi"/>
        </w:rPr>
        <w:t xml:space="preserve">, which was </w:t>
      </w:r>
      <w:r w:rsidRPr="00885DFB">
        <w:rPr>
          <w:rFonts w:asciiTheme="majorBidi" w:hAnsiTheme="majorBidi" w:cstheme="majorBidi"/>
        </w:rPr>
        <w:t>close to the number of data points included in the analysis</w:t>
      </w:r>
      <w:r>
        <w:rPr>
          <w:rFonts w:asciiTheme="majorBidi" w:hAnsiTheme="majorBidi" w:cstheme="majorBidi"/>
        </w:rPr>
        <w:t xml:space="preserve"> of</w:t>
      </w:r>
      <w:r w:rsidRPr="00885DFB">
        <w:rPr>
          <w:rFonts w:asciiTheme="majorBidi" w:hAnsiTheme="majorBidi" w:cstheme="majorBidi"/>
        </w:rPr>
        <w:t xml:space="preserve"> 109. The between-study SD was 1.56 (95% </w:t>
      </w:r>
      <w:proofErr w:type="spellStart"/>
      <w:r w:rsidRPr="00885DFB">
        <w:rPr>
          <w:rFonts w:asciiTheme="majorBidi" w:hAnsiTheme="majorBidi" w:cstheme="majorBidi"/>
        </w:rPr>
        <w:t>CrI</w:t>
      </w:r>
      <w:proofErr w:type="spellEnd"/>
      <w:r w:rsidRPr="00885DFB">
        <w:rPr>
          <w:rFonts w:asciiTheme="majorBidi" w:hAnsiTheme="majorBidi" w:cstheme="majorBidi"/>
        </w:rPr>
        <w:t>: 1.28</w:t>
      </w:r>
      <w:r>
        <w:rPr>
          <w:rFonts w:asciiTheme="majorBidi" w:hAnsiTheme="majorBidi" w:cstheme="majorBidi"/>
        </w:rPr>
        <w:t xml:space="preserve"> to</w:t>
      </w:r>
      <w:r w:rsidRPr="00885DFB">
        <w:rPr>
          <w:rFonts w:asciiTheme="majorBidi" w:hAnsiTheme="majorBidi" w:cstheme="majorBidi"/>
        </w:rPr>
        <w:t xml:space="preserve"> 1.93) which, while still indicating extremely high heterogeneity, offers a noticeable reduction compared to the full analysis including the inconsistent data points. CAZ-AVI was associated with a statistically significant higher susceptibility relative to colistin (OR 7.24</w:t>
      </w:r>
      <w:r>
        <w:rPr>
          <w:rFonts w:asciiTheme="majorBidi" w:hAnsiTheme="majorBidi" w:cstheme="majorBidi"/>
        </w:rPr>
        <w:t>,</w:t>
      </w:r>
      <w:r w:rsidRPr="00885DFB">
        <w:rPr>
          <w:rFonts w:asciiTheme="majorBidi" w:hAnsiTheme="majorBidi" w:cstheme="majorBidi"/>
        </w:rPr>
        <w:t xml:space="preserve"> 95% </w:t>
      </w:r>
      <w:proofErr w:type="spellStart"/>
      <w:r w:rsidRPr="00885DFB">
        <w:rPr>
          <w:rFonts w:asciiTheme="majorBidi" w:hAnsiTheme="majorBidi" w:cstheme="majorBidi"/>
        </w:rPr>
        <w:t>CrI</w:t>
      </w:r>
      <w:proofErr w:type="spellEnd"/>
      <w:r w:rsidRPr="00885DFB">
        <w:rPr>
          <w:rFonts w:asciiTheme="majorBidi" w:hAnsiTheme="majorBidi" w:cstheme="majorBidi"/>
        </w:rPr>
        <w:t>: 2.58</w:t>
      </w:r>
      <w:r>
        <w:rPr>
          <w:rFonts w:asciiTheme="majorBidi" w:hAnsiTheme="majorBidi" w:cstheme="majorBidi"/>
        </w:rPr>
        <w:t xml:space="preserve"> to</w:t>
      </w:r>
      <w:r w:rsidRPr="00885DFB">
        <w:rPr>
          <w:rFonts w:asciiTheme="majorBidi" w:hAnsiTheme="majorBidi" w:cstheme="majorBidi"/>
        </w:rPr>
        <w:t xml:space="preserve"> 20.94) with probability 1</w:t>
      </w:r>
      <w:r>
        <w:rPr>
          <w:rFonts w:asciiTheme="majorBidi" w:hAnsiTheme="majorBidi" w:cstheme="majorBidi"/>
        </w:rPr>
        <w:t>00%</w:t>
      </w:r>
      <w:r w:rsidRPr="00885DFB">
        <w:rPr>
          <w:rFonts w:asciiTheme="majorBidi" w:hAnsiTheme="majorBidi" w:cstheme="majorBidi"/>
        </w:rPr>
        <w:t xml:space="preserve"> of being the most effective treatment; median rank 1. The remainder of the treatments were associated with lower susceptibility than colistin (OR &lt;1) although this was not statistically significant for </w:t>
      </w:r>
      <w:proofErr w:type="gramStart"/>
      <w:r w:rsidRPr="00885DFB">
        <w:rPr>
          <w:rFonts w:asciiTheme="majorBidi" w:hAnsiTheme="majorBidi" w:cstheme="majorBidi"/>
        </w:rPr>
        <w:t>tigecy</w:t>
      </w:r>
      <w:r>
        <w:rPr>
          <w:rFonts w:asciiTheme="majorBidi" w:hAnsiTheme="majorBidi" w:cstheme="majorBidi"/>
        </w:rPr>
        <w:t>c</w:t>
      </w:r>
      <w:r w:rsidRPr="00885DFB">
        <w:rPr>
          <w:rFonts w:asciiTheme="majorBidi" w:hAnsiTheme="majorBidi" w:cstheme="majorBidi"/>
        </w:rPr>
        <w:t>line</w:t>
      </w:r>
      <w:proofErr w:type="gramEnd"/>
      <w:r w:rsidRPr="00885DFB">
        <w:rPr>
          <w:rFonts w:asciiTheme="majorBidi" w:hAnsiTheme="majorBidi" w:cstheme="majorBidi"/>
        </w:rPr>
        <w:t xml:space="preserve"> or amikacin based on the 95% </w:t>
      </w:r>
      <w:proofErr w:type="spellStart"/>
      <w:r w:rsidRPr="00885DFB">
        <w:rPr>
          <w:rFonts w:asciiTheme="majorBidi" w:hAnsiTheme="majorBidi" w:cstheme="majorBidi"/>
        </w:rPr>
        <w:t>CrI</w:t>
      </w:r>
      <w:proofErr w:type="spellEnd"/>
      <w:r w:rsidRPr="00885DFB">
        <w:rPr>
          <w:rFonts w:asciiTheme="majorBidi" w:hAnsiTheme="majorBidi" w:cstheme="majorBidi"/>
        </w:rPr>
        <w:t xml:space="preserve">. For all comparators the extremely high between-study SD results in wide 95% </w:t>
      </w:r>
      <w:proofErr w:type="spellStart"/>
      <w:r w:rsidRPr="00885DFB">
        <w:rPr>
          <w:rFonts w:asciiTheme="majorBidi" w:hAnsiTheme="majorBidi" w:cstheme="majorBidi"/>
        </w:rPr>
        <w:t>PrI</w:t>
      </w:r>
      <w:proofErr w:type="spellEnd"/>
      <w:r w:rsidRPr="00885DFB">
        <w:rPr>
          <w:rFonts w:asciiTheme="majorBidi" w:hAnsiTheme="majorBidi" w:cstheme="majorBidi"/>
        </w:rPr>
        <w:t>.</w:t>
      </w:r>
    </w:p>
    <w:p w14:paraId="3DBE1361" w14:textId="33C15D35" w:rsidR="00FE7A08" w:rsidRDefault="00FE7A08" w:rsidP="00FE7A08">
      <w:pPr>
        <w:spacing w:after="120" w:line="360" w:lineRule="auto"/>
        <w:jc w:val="both"/>
        <w:rPr>
          <w:rFonts w:ascii="Times New Roman" w:hAnsi="Times New Roman" w:cs="Times New Roman"/>
        </w:rPr>
      </w:pPr>
      <w:r w:rsidRPr="00885DFB">
        <w:rPr>
          <w:rFonts w:asciiTheme="majorBidi" w:hAnsiTheme="majorBidi" w:cstheme="majorBidi"/>
        </w:rPr>
        <w:lastRenderedPageBreak/>
        <w:t xml:space="preserve">Selection of the reduced data set (with inconsistent observations removed) was based on the statistical identification of inconsistency in the network. Inclusion of these observations resulted in extremely high heterogeneity and unfeasibly large uncertainty estimates for the relative effects. </w:t>
      </w:r>
      <w:r w:rsidRPr="00885DFB">
        <w:rPr>
          <w:rFonts w:ascii="Times New Roman" w:hAnsi="Times New Roman" w:cs="Times New Roman"/>
        </w:rPr>
        <w:t xml:space="preserve"> No data extraction errors, or reasons to exclude the entire studies (rather than individual arms) based on the inclusion/exclusion criteria were identified. The planned meta-regression and subgroup analyses were therefore conducted using both the full dataset as planned (</w:t>
      </w:r>
      <w:proofErr w:type="gramStart"/>
      <w:r w:rsidRPr="00885DFB">
        <w:rPr>
          <w:rFonts w:ascii="Times New Roman" w:hAnsi="Times New Roman" w:cs="Times New Roman"/>
        </w:rPr>
        <w:t>in an attempt to</w:t>
      </w:r>
      <w:proofErr w:type="gramEnd"/>
      <w:r w:rsidRPr="00885DFB">
        <w:rPr>
          <w:rFonts w:ascii="Times New Roman" w:hAnsi="Times New Roman" w:cs="Times New Roman"/>
        </w:rPr>
        <w:t xml:space="preserve"> explain the identified inconsistency, results shown in </w:t>
      </w:r>
      <w:r w:rsidRPr="00706762">
        <w:rPr>
          <w:rFonts w:ascii="Times New Roman" w:hAnsi="Times New Roman" w:cs="Times New Roman"/>
        </w:rPr>
        <w:t xml:space="preserve">Appendix </w:t>
      </w:r>
      <w:r w:rsidR="00DC41F5">
        <w:rPr>
          <w:rFonts w:ascii="Times New Roman" w:hAnsi="Times New Roman" w:cs="Times New Roman"/>
        </w:rPr>
        <w:t>7.3</w:t>
      </w:r>
      <w:r w:rsidRPr="00885DFB">
        <w:rPr>
          <w:rFonts w:ascii="Times New Roman" w:hAnsi="Times New Roman" w:cs="Times New Roman"/>
        </w:rPr>
        <w:t>) and the reduced dataset. The conclusions of the analyses were consistent</w:t>
      </w:r>
      <w:r>
        <w:rPr>
          <w:rFonts w:ascii="Times New Roman" w:hAnsi="Times New Roman" w:cs="Times New Roman"/>
        </w:rPr>
        <w:t xml:space="preserve"> between using the full dataset and reduced dataset</w:t>
      </w:r>
      <w:r w:rsidRPr="00885DFB">
        <w:rPr>
          <w:rFonts w:ascii="Times New Roman" w:hAnsi="Times New Roman" w:cs="Times New Roman"/>
        </w:rPr>
        <w:t xml:space="preserve">.  </w:t>
      </w:r>
      <w:r w:rsidR="0048404A" w:rsidRPr="00885DFB">
        <w:rPr>
          <w:rFonts w:asciiTheme="majorBidi" w:hAnsiTheme="majorBidi" w:cstheme="majorBidi"/>
        </w:rPr>
        <w:t>The reduced data set was selected for</w:t>
      </w:r>
      <w:r w:rsidR="0048404A">
        <w:rPr>
          <w:rFonts w:asciiTheme="majorBidi" w:hAnsiTheme="majorBidi" w:cstheme="majorBidi"/>
        </w:rPr>
        <w:t xml:space="preserve"> use</w:t>
      </w:r>
      <w:r w:rsidR="0048404A" w:rsidRPr="00885DFB">
        <w:rPr>
          <w:rFonts w:asciiTheme="majorBidi" w:hAnsiTheme="majorBidi" w:cstheme="majorBidi"/>
        </w:rPr>
        <w:t xml:space="preserve"> in the </w:t>
      </w:r>
      <w:r w:rsidR="0048404A">
        <w:rPr>
          <w:rFonts w:asciiTheme="majorBidi" w:hAnsiTheme="majorBidi" w:cstheme="majorBidi"/>
        </w:rPr>
        <w:t xml:space="preserve">decision analytic </w:t>
      </w:r>
      <w:r w:rsidR="0048404A" w:rsidRPr="00885DFB">
        <w:rPr>
          <w:rFonts w:asciiTheme="majorBidi" w:hAnsiTheme="majorBidi" w:cstheme="majorBidi"/>
        </w:rPr>
        <w:t>model scenario an</w:t>
      </w:r>
      <w:r w:rsidR="0048404A">
        <w:rPr>
          <w:rFonts w:asciiTheme="majorBidi" w:hAnsiTheme="majorBidi" w:cstheme="majorBidi"/>
        </w:rPr>
        <w:t>a</w:t>
      </w:r>
      <w:r w:rsidR="0048404A" w:rsidRPr="00885DFB">
        <w:rPr>
          <w:rFonts w:asciiTheme="majorBidi" w:hAnsiTheme="majorBidi" w:cstheme="majorBidi"/>
        </w:rPr>
        <w:t>lyses.</w:t>
      </w:r>
    </w:p>
    <w:p w14:paraId="3FFA4103" w14:textId="77777777" w:rsidR="00FE7A08" w:rsidRPr="00885DFB" w:rsidRDefault="00FE7A08" w:rsidP="00FE7A08">
      <w:pPr>
        <w:spacing w:after="120" w:line="360" w:lineRule="auto"/>
        <w:jc w:val="both"/>
        <w:rPr>
          <w:rFonts w:ascii="Times New Roman" w:hAnsi="Times New Roman" w:cs="Times New Roman"/>
        </w:rPr>
      </w:pPr>
    </w:p>
    <w:p w14:paraId="7E9CE295" w14:textId="35011EC2" w:rsidR="00FE7A08" w:rsidRPr="00885DFB" w:rsidRDefault="00FE7A08" w:rsidP="00FE7A08">
      <w:pPr>
        <w:keepNext/>
        <w:spacing w:before="360" w:after="200" w:line="240" w:lineRule="auto"/>
        <w:jc w:val="both"/>
        <w:rPr>
          <w:rFonts w:ascii="Times New Roman" w:hAnsi="Times New Roman" w:cs="Times New Roman"/>
          <w:b/>
          <w:iCs/>
          <w:sz w:val="20"/>
          <w:szCs w:val="18"/>
        </w:rPr>
      </w:pPr>
      <w:bookmarkStart w:id="183" w:name="_Ref82606239"/>
      <w:bookmarkStart w:id="184" w:name="_Toc83300885"/>
      <w:bookmarkStart w:id="185" w:name="_Toc83821918"/>
      <w:bookmarkStart w:id="186" w:name="_Toc85022486"/>
      <w:bookmarkStart w:id="187" w:name="_Toc86419049"/>
      <w:r w:rsidRPr="00885DFB">
        <w:rPr>
          <w:rFonts w:ascii="Times New Roman" w:hAnsi="Times New Roman" w:cs="Times New Roman"/>
          <w:b/>
          <w:iCs/>
          <w:sz w:val="20"/>
          <w:szCs w:val="18"/>
        </w:rPr>
        <w:lastRenderedPageBreak/>
        <w:t xml:space="preserve">Figure </w:t>
      </w:r>
      <w:r w:rsidR="0021430F">
        <w:rPr>
          <w:rFonts w:ascii="Times New Roman" w:hAnsi="Times New Roman" w:cs="Times New Roman"/>
          <w:b/>
          <w:iCs/>
          <w:noProof/>
          <w:sz w:val="20"/>
          <w:szCs w:val="18"/>
        </w:rPr>
        <w:t>4</w:t>
      </w:r>
      <w:bookmarkEnd w:id="183"/>
      <w:r w:rsidRPr="00885DFB">
        <w:rPr>
          <w:rFonts w:ascii="Times New Roman" w:hAnsi="Times New Roman" w:cs="Times New Roman"/>
          <w:b/>
          <w:iCs/>
          <w:sz w:val="20"/>
          <w:szCs w:val="18"/>
        </w:rPr>
        <w:t>: Forest plot of OR vs colistin for reduced data</w:t>
      </w:r>
      <w:r>
        <w:rPr>
          <w:rFonts w:ascii="Times New Roman" w:hAnsi="Times New Roman" w:cs="Times New Roman"/>
          <w:b/>
          <w:iCs/>
          <w:sz w:val="20"/>
          <w:szCs w:val="18"/>
        </w:rPr>
        <w:t xml:space="preserve"> set</w:t>
      </w:r>
      <w:r w:rsidRPr="00885DFB">
        <w:rPr>
          <w:rFonts w:ascii="Times New Roman" w:hAnsi="Times New Roman" w:cs="Times New Roman"/>
          <w:b/>
          <w:iCs/>
          <w:sz w:val="20"/>
          <w:szCs w:val="18"/>
        </w:rPr>
        <w:t>, NMA model</w:t>
      </w:r>
      <w:bookmarkEnd w:id="184"/>
      <w:bookmarkEnd w:id="185"/>
      <w:bookmarkEnd w:id="186"/>
      <w:bookmarkEnd w:id="187"/>
    </w:p>
    <w:p w14:paraId="63AD6DCE" w14:textId="77777777" w:rsidR="00FE7A08" w:rsidRPr="00885DFB" w:rsidRDefault="00FE7A08" w:rsidP="00FE7A08">
      <w:pPr>
        <w:spacing w:after="120" w:line="360" w:lineRule="auto"/>
        <w:jc w:val="both"/>
        <w:rPr>
          <w:rFonts w:asciiTheme="majorBidi" w:hAnsiTheme="majorBidi" w:cstheme="majorBidi"/>
          <w:u w:val="single"/>
        </w:rPr>
      </w:pPr>
      <w:r w:rsidRPr="00885DFB">
        <w:rPr>
          <w:rFonts w:asciiTheme="majorBidi" w:hAnsiTheme="majorBidi" w:cstheme="majorBidi"/>
          <w:noProof/>
          <w:lang w:eastAsia="en-GB"/>
        </w:rPr>
        <w:drawing>
          <wp:inline distT="0" distB="0" distL="0" distR="0" wp14:anchorId="4A8B0ACA" wp14:editId="7D42449E">
            <wp:extent cx="5731510" cy="5731510"/>
            <wp:effectExtent l="0" t="0" r="2540" b="2540"/>
            <wp:docPr id="32" name="Picture 32" descr="Forest plot of OR vs colistin for reduced data set, NMA model. Figure 4 is described in section 4.5.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est plot of OR vs colistin for reduced data set, NMA model. Figure 4 is described in section 4.5.4.1.&#10;"/>
                    <pic:cNvPicPr/>
                  </pic:nvPicPr>
                  <pic:blipFill>
                    <a:blip r:embed="rId1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E0FBDF3" w14:textId="77777777" w:rsidR="001E5A41" w:rsidRDefault="001E5A41" w:rsidP="00FE7A08">
      <w:pPr>
        <w:spacing w:after="120" w:line="360" w:lineRule="auto"/>
        <w:jc w:val="both"/>
        <w:rPr>
          <w:rFonts w:asciiTheme="majorBidi" w:hAnsiTheme="majorBidi" w:cstheme="majorBidi"/>
          <w:b/>
          <w:bCs/>
        </w:rPr>
      </w:pPr>
    </w:p>
    <w:p w14:paraId="0F5A6576" w14:textId="27B74CF3" w:rsidR="00FE7A08" w:rsidRPr="00A275B5" w:rsidRDefault="00FE7A08" w:rsidP="00FE7A08">
      <w:pPr>
        <w:spacing w:after="120" w:line="360" w:lineRule="auto"/>
        <w:jc w:val="both"/>
        <w:rPr>
          <w:rFonts w:asciiTheme="majorBidi" w:hAnsiTheme="majorBidi" w:cstheme="majorBidi"/>
          <w:b/>
          <w:bCs/>
        </w:rPr>
      </w:pPr>
      <w:r w:rsidRPr="00A275B5">
        <w:rPr>
          <w:rFonts w:asciiTheme="majorBidi" w:hAnsiTheme="majorBidi" w:cstheme="majorBidi"/>
          <w:b/>
          <w:bCs/>
        </w:rPr>
        <w:t>Sensitivity analyses</w:t>
      </w:r>
    </w:p>
    <w:p w14:paraId="19F30961" w14:textId="33AB4329" w:rsidR="00FE7A08" w:rsidRDefault="00FE7A08" w:rsidP="00FE7A08">
      <w:pPr>
        <w:spacing w:after="120" w:line="360" w:lineRule="auto"/>
        <w:jc w:val="both"/>
        <w:rPr>
          <w:rFonts w:asciiTheme="majorBidi" w:hAnsiTheme="majorBidi" w:cstheme="majorBidi"/>
        </w:rPr>
      </w:pPr>
      <w:r>
        <w:rPr>
          <w:rFonts w:asciiTheme="majorBidi" w:hAnsiTheme="majorBidi" w:cstheme="majorBidi"/>
        </w:rPr>
        <w:t xml:space="preserve">The meta-regression and/or subgroup analysis investigating the potential </w:t>
      </w:r>
      <w:r w:rsidRPr="00E32F0E">
        <w:rPr>
          <w:rFonts w:asciiTheme="majorBidi" w:hAnsiTheme="majorBidi" w:cstheme="majorBidi"/>
        </w:rPr>
        <w:t>sources of heterogeneity</w:t>
      </w:r>
      <w:r>
        <w:rPr>
          <w:rFonts w:asciiTheme="majorBidi" w:hAnsiTheme="majorBidi" w:cstheme="majorBidi"/>
        </w:rPr>
        <w:t xml:space="preserve"> due to studies with unusual inclusion criteria, MBL co-carriage, proportion with carbapenem susceptibility, consecutive sample recruitment and l</w:t>
      </w:r>
      <w:r w:rsidRPr="00954BAD">
        <w:rPr>
          <w:rFonts w:asciiTheme="majorBidi" w:hAnsiTheme="majorBidi" w:cstheme="majorBidi"/>
        </w:rPr>
        <w:t xml:space="preserve">aboratory methodology and breakpoints used </w:t>
      </w:r>
      <w:r>
        <w:rPr>
          <w:rFonts w:asciiTheme="majorBidi" w:hAnsiTheme="majorBidi" w:cstheme="majorBidi"/>
        </w:rPr>
        <w:t xml:space="preserve">shows that 1) there was </w:t>
      </w:r>
      <w:r w:rsidRPr="00A275B5">
        <w:rPr>
          <w:rFonts w:asciiTheme="majorBidi" w:hAnsiTheme="majorBidi" w:cstheme="majorBidi"/>
        </w:rPr>
        <w:t>no evidence to suggest that the relative treatment effects differ according to the identified unusual inclusion criteria</w:t>
      </w:r>
      <w:r>
        <w:rPr>
          <w:rFonts w:asciiTheme="majorBidi" w:hAnsiTheme="majorBidi" w:cstheme="majorBidi"/>
        </w:rPr>
        <w:t xml:space="preserve">; 2) there was no </w:t>
      </w:r>
      <w:r w:rsidRPr="00B01D40">
        <w:rPr>
          <w:rFonts w:asciiTheme="majorBidi" w:hAnsiTheme="majorBidi" w:cstheme="majorBidi"/>
        </w:rPr>
        <w:t>conclusive evidence that co-carriage of MBLs has a statistically significant effect on the resulting relative effects</w:t>
      </w:r>
      <w:r>
        <w:rPr>
          <w:rFonts w:asciiTheme="majorBidi" w:hAnsiTheme="majorBidi" w:cstheme="majorBidi"/>
        </w:rPr>
        <w:t>, but the e</w:t>
      </w:r>
      <w:r w:rsidRPr="00B01D40">
        <w:rPr>
          <w:rFonts w:asciiTheme="majorBidi" w:hAnsiTheme="majorBidi" w:cstheme="majorBidi"/>
        </w:rPr>
        <w:t xml:space="preserve">stimated OR vs colistin </w:t>
      </w:r>
      <w:r>
        <w:rPr>
          <w:rFonts w:asciiTheme="majorBidi" w:hAnsiTheme="majorBidi" w:cstheme="majorBidi"/>
        </w:rPr>
        <w:t>was</w:t>
      </w:r>
      <w:r w:rsidRPr="00B01D40">
        <w:rPr>
          <w:rFonts w:asciiTheme="majorBidi" w:hAnsiTheme="majorBidi" w:cstheme="majorBidi"/>
        </w:rPr>
        <w:t xml:space="preserve"> increased compared to the model with all studies included</w:t>
      </w:r>
      <w:r w:rsidR="00D42213">
        <w:rPr>
          <w:rFonts w:asciiTheme="majorBidi" w:hAnsiTheme="majorBidi" w:cstheme="majorBidi"/>
        </w:rPr>
        <w:t>,</w:t>
      </w:r>
      <w:r w:rsidR="0048404A">
        <w:rPr>
          <w:rFonts w:asciiTheme="majorBidi" w:hAnsiTheme="majorBidi" w:cstheme="majorBidi"/>
        </w:rPr>
        <w:t xml:space="preserve"> and the heterogeneity SD was decreased</w:t>
      </w:r>
      <w:r>
        <w:rPr>
          <w:rFonts w:asciiTheme="majorBidi" w:hAnsiTheme="majorBidi" w:cstheme="majorBidi"/>
        </w:rPr>
        <w:t xml:space="preserve">; 3) there was </w:t>
      </w:r>
      <w:r w:rsidRPr="00885DFB">
        <w:rPr>
          <w:rFonts w:asciiTheme="majorBidi" w:hAnsiTheme="majorBidi" w:cstheme="majorBidi"/>
        </w:rPr>
        <w:t xml:space="preserve">no evidence to suggest that the relative treatment effects differ according to the proportion with </w:t>
      </w:r>
      <w:r w:rsidRPr="00885DFB">
        <w:rPr>
          <w:rFonts w:asciiTheme="majorBidi" w:hAnsiTheme="majorBidi" w:cstheme="majorBidi"/>
        </w:rPr>
        <w:lastRenderedPageBreak/>
        <w:t>carbapenem</w:t>
      </w:r>
      <w:r>
        <w:rPr>
          <w:rFonts w:asciiTheme="majorBidi" w:hAnsiTheme="majorBidi" w:cstheme="majorBidi"/>
        </w:rPr>
        <w:t xml:space="preserve"> </w:t>
      </w:r>
      <w:r w:rsidRPr="00885DFB">
        <w:rPr>
          <w:rFonts w:asciiTheme="majorBidi" w:hAnsiTheme="majorBidi" w:cstheme="majorBidi"/>
        </w:rPr>
        <w:t>susceptibility</w:t>
      </w:r>
      <w:r>
        <w:rPr>
          <w:rFonts w:asciiTheme="majorBidi" w:hAnsiTheme="majorBidi" w:cstheme="majorBidi"/>
        </w:rPr>
        <w:t>; 4)</w:t>
      </w:r>
      <w:r w:rsidRPr="00954BAD">
        <w:rPr>
          <w:rFonts w:asciiTheme="majorBidi" w:hAnsiTheme="majorBidi" w:cstheme="majorBidi"/>
        </w:rPr>
        <w:t xml:space="preserve"> </w:t>
      </w:r>
      <w:r>
        <w:rPr>
          <w:rFonts w:asciiTheme="majorBidi" w:hAnsiTheme="majorBidi" w:cstheme="majorBidi"/>
        </w:rPr>
        <w:t xml:space="preserve">there was no </w:t>
      </w:r>
      <w:r w:rsidRPr="00B01D40">
        <w:rPr>
          <w:rFonts w:asciiTheme="majorBidi" w:hAnsiTheme="majorBidi" w:cstheme="majorBidi"/>
        </w:rPr>
        <w:t xml:space="preserve">conclusive evidence that </w:t>
      </w:r>
      <w:r>
        <w:rPr>
          <w:rFonts w:asciiTheme="majorBidi" w:hAnsiTheme="majorBidi" w:cstheme="majorBidi"/>
        </w:rPr>
        <w:t>l</w:t>
      </w:r>
      <w:r w:rsidRPr="00954BAD">
        <w:rPr>
          <w:rFonts w:asciiTheme="majorBidi" w:hAnsiTheme="majorBidi" w:cstheme="majorBidi"/>
        </w:rPr>
        <w:t>aboratory methodology and breakpoints used</w:t>
      </w:r>
      <w:r w:rsidRPr="00B01D40">
        <w:rPr>
          <w:rFonts w:asciiTheme="majorBidi" w:hAnsiTheme="majorBidi" w:cstheme="majorBidi"/>
        </w:rPr>
        <w:t xml:space="preserve"> </w:t>
      </w:r>
      <w:r w:rsidR="00D42213" w:rsidRPr="00B01D40">
        <w:rPr>
          <w:rFonts w:asciiTheme="majorBidi" w:hAnsiTheme="majorBidi" w:cstheme="majorBidi"/>
        </w:rPr>
        <w:t>ha</w:t>
      </w:r>
      <w:r w:rsidR="00D42213">
        <w:rPr>
          <w:rFonts w:asciiTheme="majorBidi" w:hAnsiTheme="majorBidi" w:cstheme="majorBidi"/>
        </w:rPr>
        <w:t>d</w:t>
      </w:r>
      <w:r w:rsidR="00D42213" w:rsidRPr="00B01D40">
        <w:rPr>
          <w:rFonts w:asciiTheme="majorBidi" w:hAnsiTheme="majorBidi" w:cstheme="majorBidi"/>
        </w:rPr>
        <w:t xml:space="preserve"> </w:t>
      </w:r>
      <w:r w:rsidRPr="00B01D40">
        <w:rPr>
          <w:rFonts w:asciiTheme="majorBidi" w:hAnsiTheme="majorBidi" w:cstheme="majorBidi"/>
        </w:rPr>
        <w:t>a statistically significant effect on the resulting relative effects</w:t>
      </w:r>
      <w:r>
        <w:rPr>
          <w:rFonts w:asciiTheme="majorBidi" w:hAnsiTheme="majorBidi" w:cstheme="majorBidi"/>
        </w:rPr>
        <w:t>, but the e</w:t>
      </w:r>
      <w:r w:rsidRPr="00B01D40">
        <w:rPr>
          <w:rFonts w:asciiTheme="majorBidi" w:hAnsiTheme="majorBidi" w:cstheme="majorBidi"/>
        </w:rPr>
        <w:t xml:space="preserve">stimated OR vs colistin </w:t>
      </w:r>
      <w:r>
        <w:rPr>
          <w:rFonts w:asciiTheme="majorBidi" w:hAnsiTheme="majorBidi" w:cstheme="majorBidi"/>
        </w:rPr>
        <w:t>was</w:t>
      </w:r>
      <w:r w:rsidRPr="00B01D40">
        <w:rPr>
          <w:rFonts w:asciiTheme="majorBidi" w:hAnsiTheme="majorBidi" w:cstheme="majorBidi"/>
        </w:rPr>
        <w:t xml:space="preserve"> </w:t>
      </w:r>
      <w:r>
        <w:rPr>
          <w:rFonts w:asciiTheme="majorBidi" w:hAnsiTheme="majorBidi" w:cstheme="majorBidi"/>
        </w:rPr>
        <w:t>decreased</w:t>
      </w:r>
      <w:r w:rsidRPr="00B01D40">
        <w:rPr>
          <w:rFonts w:asciiTheme="majorBidi" w:hAnsiTheme="majorBidi" w:cstheme="majorBidi"/>
        </w:rPr>
        <w:t xml:space="preserve"> compared to the model with all studies included</w:t>
      </w:r>
      <w:r>
        <w:rPr>
          <w:rFonts w:asciiTheme="majorBidi" w:hAnsiTheme="majorBidi" w:cstheme="majorBidi"/>
        </w:rPr>
        <w:t xml:space="preserve"> (see details of the results below)</w:t>
      </w:r>
      <w:r w:rsidR="0048404A">
        <w:rPr>
          <w:rFonts w:asciiTheme="majorBidi" w:hAnsiTheme="majorBidi" w:cstheme="majorBidi"/>
        </w:rPr>
        <w:t xml:space="preserve"> and the heterogeneity SD was decreased</w:t>
      </w:r>
      <w:r>
        <w:rPr>
          <w:rFonts w:asciiTheme="majorBidi" w:hAnsiTheme="majorBidi" w:cstheme="majorBidi"/>
        </w:rPr>
        <w:t xml:space="preserve">. </w:t>
      </w:r>
    </w:p>
    <w:p w14:paraId="1BBB99D8" w14:textId="309D80C5" w:rsidR="00FE7A08" w:rsidRDefault="00FE7A08" w:rsidP="00A83123">
      <w:pPr>
        <w:spacing w:after="120" w:line="360" w:lineRule="auto"/>
        <w:jc w:val="both"/>
        <w:rPr>
          <w:rFonts w:asciiTheme="majorBidi" w:hAnsiTheme="majorBidi" w:cstheme="majorBidi"/>
        </w:rPr>
      </w:pPr>
      <w:r>
        <w:rPr>
          <w:rFonts w:asciiTheme="majorBidi" w:hAnsiTheme="majorBidi" w:cstheme="majorBidi"/>
        </w:rPr>
        <w:t xml:space="preserve">Based on the findings from the sensitivity analyses, </w:t>
      </w:r>
      <w:r w:rsidR="00F61E75">
        <w:rPr>
          <w:rFonts w:ascii="Times New Roman" w:hAnsi="Times New Roman" w:cs="Times New Roman"/>
        </w:rPr>
        <w:t>for</w:t>
      </w:r>
      <w:r>
        <w:rPr>
          <w:rFonts w:ascii="Times New Roman" w:hAnsi="Times New Roman" w:cs="Times New Roman"/>
        </w:rPr>
        <w:t xml:space="preserve"> the cost-effectiveness </w:t>
      </w:r>
      <w:r w:rsidR="00F61E75">
        <w:rPr>
          <w:rFonts w:asciiTheme="majorBidi" w:hAnsiTheme="majorBidi" w:cstheme="majorBidi"/>
        </w:rPr>
        <w:t>modelling</w:t>
      </w:r>
      <w:r w:rsidRPr="00885DFB">
        <w:rPr>
          <w:rFonts w:ascii="Times New Roman" w:hAnsi="Times New Roman" w:cs="Times New Roman"/>
        </w:rPr>
        <w:t xml:space="preserve"> </w:t>
      </w:r>
      <w:r w:rsidR="00F61E75">
        <w:rPr>
          <w:rFonts w:ascii="Times New Roman" w:hAnsi="Times New Roman" w:cs="Times New Roman"/>
        </w:rPr>
        <w:t>it was decided to use the</w:t>
      </w:r>
      <w:r>
        <w:rPr>
          <w:rFonts w:ascii="Times New Roman" w:hAnsi="Times New Roman" w:cs="Times New Roman"/>
        </w:rPr>
        <w:t xml:space="preserve"> EUCAST subgroup results</w:t>
      </w:r>
      <w:r w:rsidR="00F61E75">
        <w:rPr>
          <w:rFonts w:ascii="Times New Roman" w:hAnsi="Times New Roman" w:cs="Times New Roman"/>
        </w:rPr>
        <w:t xml:space="preserve"> in the base-case and to include a scenario analysis</w:t>
      </w:r>
      <w:r>
        <w:rPr>
          <w:rFonts w:ascii="Times New Roman" w:hAnsi="Times New Roman" w:cs="Times New Roman"/>
        </w:rPr>
        <w:t xml:space="preserve"> </w:t>
      </w:r>
      <w:r w:rsidRPr="00885DFB">
        <w:rPr>
          <w:rFonts w:ascii="Times New Roman" w:hAnsi="Times New Roman" w:cs="Times New Roman"/>
        </w:rPr>
        <w:t>based on</w:t>
      </w:r>
      <w:r>
        <w:rPr>
          <w:rFonts w:ascii="Times New Roman" w:hAnsi="Times New Roman" w:cs="Times New Roman"/>
        </w:rPr>
        <w:t xml:space="preserve"> studies</w:t>
      </w:r>
      <w:r w:rsidRPr="00885DFB">
        <w:rPr>
          <w:rFonts w:ascii="Times New Roman" w:hAnsi="Times New Roman" w:cs="Times New Roman"/>
        </w:rPr>
        <w:t xml:space="preserve"> </w:t>
      </w:r>
      <w:r w:rsidR="0048404A">
        <w:rPr>
          <w:rFonts w:ascii="Times New Roman" w:hAnsi="Times New Roman" w:cs="Times New Roman"/>
        </w:rPr>
        <w:t>which recruited</w:t>
      </w:r>
      <w:r w:rsidRPr="00885DFB">
        <w:rPr>
          <w:rFonts w:ascii="Times New Roman" w:hAnsi="Times New Roman" w:cs="Times New Roman"/>
        </w:rPr>
        <w:t xml:space="preserve"> 0% MBL</w:t>
      </w:r>
      <w:r w:rsidR="0048404A">
        <w:rPr>
          <w:rFonts w:ascii="Times New Roman" w:hAnsi="Times New Roman" w:cs="Times New Roman"/>
        </w:rPr>
        <w:t xml:space="preserve"> co-carriage</w:t>
      </w:r>
      <w:r w:rsidRPr="00885DFB">
        <w:rPr>
          <w:rFonts w:ascii="Times New Roman" w:hAnsi="Times New Roman" w:cs="Times New Roman"/>
        </w:rPr>
        <w:t xml:space="preserve"> and used EUCAST methods and breakpoints</w:t>
      </w:r>
      <w:r w:rsidRPr="00947412">
        <w:rPr>
          <w:rFonts w:ascii="Times New Roman" w:hAnsi="Times New Roman" w:cs="Times New Roman"/>
        </w:rPr>
        <w:t xml:space="preserve"> </w:t>
      </w:r>
      <w:r>
        <w:rPr>
          <w:rFonts w:ascii="Times New Roman" w:hAnsi="Times New Roman" w:cs="Times New Roman"/>
        </w:rPr>
        <w:t xml:space="preserve">to inform the relative effectiveness on </w:t>
      </w:r>
      <w:r w:rsidRPr="00885DFB">
        <w:rPr>
          <w:rFonts w:asciiTheme="majorBidi" w:hAnsiTheme="majorBidi" w:cstheme="majorBidi"/>
        </w:rPr>
        <w:t>susceptibility</w:t>
      </w:r>
      <w:r w:rsidR="00F61E75">
        <w:rPr>
          <w:rFonts w:asciiTheme="majorBidi" w:hAnsiTheme="majorBidi" w:cstheme="majorBidi"/>
        </w:rPr>
        <w:t xml:space="preserve"> (see Section </w:t>
      </w:r>
      <w:r w:rsidR="00853E88">
        <w:rPr>
          <w:rFonts w:asciiTheme="majorBidi" w:hAnsiTheme="majorBidi" w:cstheme="majorBidi"/>
        </w:rPr>
        <w:t>7.2.3</w:t>
      </w:r>
      <w:r w:rsidR="00F61E75">
        <w:rPr>
          <w:rFonts w:asciiTheme="majorBidi" w:hAnsiTheme="majorBidi" w:cstheme="majorBidi"/>
        </w:rPr>
        <w:t xml:space="preserve"> for details of further sensitivity analyses undertaken for the cost-effectiveness modelling)</w:t>
      </w:r>
      <w:r w:rsidRPr="00DE0E7E">
        <w:rPr>
          <w:rFonts w:asciiTheme="majorBidi" w:hAnsiTheme="majorBidi" w:cstheme="majorBidi"/>
        </w:rPr>
        <w:t>. This resulted in one study being selected (Vazquez-</w:t>
      </w:r>
      <w:proofErr w:type="spellStart"/>
      <w:r w:rsidRPr="00DE0E7E">
        <w:rPr>
          <w:rFonts w:asciiTheme="majorBidi" w:hAnsiTheme="majorBidi" w:cstheme="majorBidi"/>
        </w:rPr>
        <w:t>Ucha</w:t>
      </w:r>
      <w:proofErr w:type="spellEnd"/>
      <w:r w:rsidRPr="00DE0E7E">
        <w:rPr>
          <w:rFonts w:asciiTheme="majorBidi" w:hAnsiTheme="majorBidi" w:cstheme="majorBidi"/>
        </w:rPr>
        <w:t xml:space="preserve"> 2021</w:t>
      </w:r>
      <w:r w:rsidR="00593E66" w:rsidRPr="00DE0E7E">
        <w:rPr>
          <w:rFonts w:asciiTheme="majorBidi" w:hAnsiTheme="majorBidi" w:cstheme="majorBidi"/>
        </w:rPr>
        <w:t xml:space="preserve">) </w:t>
      </w:r>
      <w:r w:rsidR="00A83123" w:rsidRPr="00A83123">
        <w:rPr>
          <w:rFonts w:asciiTheme="majorBidi" w:hAnsiTheme="majorBidi" w:cstheme="majorBidi"/>
          <w:noProof/>
          <w:vertAlign w:val="superscript"/>
        </w:rPr>
        <w:t>1</w:t>
      </w:r>
      <w:r w:rsidR="00FD01AE">
        <w:rPr>
          <w:rFonts w:asciiTheme="majorBidi" w:hAnsiTheme="majorBidi" w:cstheme="majorBidi"/>
        </w:rPr>
        <w:t xml:space="preserve"> </w:t>
      </w:r>
      <w:r w:rsidR="00706762">
        <w:rPr>
          <w:rFonts w:asciiTheme="majorBidi" w:hAnsiTheme="majorBidi" w:cstheme="majorBidi"/>
        </w:rPr>
        <w:t xml:space="preserve">for this scenario analysis </w:t>
      </w:r>
      <w:r w:rsidR="00FD01AE">
        <w:rPr>
          <w:rFonts w:asciiTheme="majorBidi" w:hAnsiTheme="majorBidi" w:cstheme="majorBidi"/>
        </w:rPr>
        <w:t xml:space="preserve">– </w:t>
      </w:r>
      <w:r w:rsidR="00FD01AE" w:rsidRPr="00853E88">
        <w:rPr>
          <w:rFonts w:asciiTheme="majorBidi" w:hAnsiTheme="majorBidi" w:cstheme="majorBidi"/>
        </w:rPr>
        <w:t xml:space="preserve">see </w:t>
      </w:r>
      <w:r w:rsidR="00FD01AE" w:rsidRPr="00853E88">
        <w:rPr>
          <w:rFonts w:ascii="Times New Roman" w:hAnsi="Times New Roman" w:cs="Times New Roman"/>
          <w:iCs/>
        </w:rPr>
        <w:t xml:space="preserve">Table </w:t>
      </w:r>
      <w:r w:rsidR="00FD01AE" w:rsidRPr="00853E88">
        <w:rPr>
          <w:rFonts w:ascii="Times New Roman" w:hAnsi="Times New Roman" w:cs="Times New Roman"/>
          <w:iCs/>
          <w:noProof/>
        </w:rPr>
        <w:t>9</w:t>
      </w:r>
      <w:r w:rsidR="00FD01AE" w:rsidRPr="00853E88">
        <w:rPr>
          <w:rFonts w:asciiTheme="majorBidi" w:hAnsiTheme="majorBidi" w:cstheme="majorBidi"/>
        </w:rPr>
        <w:t xml:space="preserve"> for the evidence</w:t>
      </w:r>
      <w:r w:rsidR="00FD01AE">
        <w:rPr>
          <w:rFonts w:asciiTheme="majorBidi" w:hAnsiTheme="majorBidi" w:cstheme="majorBidi"/>
        </w:rPr>
        <w:t xml:space="preserve"> used</w:t>
      </w:r>
      <w:r>
        <w:rPr>
          <w:rFonts w:asciiTheme="majorBidi" w:hAnsiTheme="majorBidi" w:cstheme="majorBidi"/>
        </w:rPr>
        <w:t>.</w:t>
      </w:r>
      <w:r w:rsidRPr="00DE0E7E">
        <w:rPr>
          <w:rFonts w:asciiTheme="majorBidi" w:hAnsiTheme="majorBidi" w:cstheme="majorBidi"/>
        </w:rPr>
        <w:t xml:space="preserve"> </w:t>
      </w:r>
      <w:r w:rsidR="0048404A">
        <w:rPr>
          <w:rFonts w:asciiTheme="majorBidi" w:hAnsiTheme="majorBidi" w:cstheme="majorBidi"/>
        </w:rPr>
        <w:t>The details of the sensitivity analysis relating to laboratory methods and breakpoints (which produced the EUCAST subgroup analysis) are described next, whilst the details of the other sensitivity analyses</w:t>
      </w:r>
      <w:r w:rsidR="00D42213">
        <w:rPr>
          <w:rFonts w:asciiTheme="majorBidi" w:hAnsiTheme="majorBidi" w:cstheme="majorBidi"/>
        </w:rPr>
        <w:t>, including the MBL co-carriage analysis,</w:t>
      </w:r>
      <w:r w:rsidR="0048404A">
        <w:rPr>
          <w:rFonts w:asciiTheme="majorBidi" w:hAnsiTheme="majorBidi" w:cstheme="majorBidi"/>
        </w:rPr>
        <w:t xml:space="preserve"> are reported in Appendix </w:t>
      </w:r>
      <w:r w:rsidR="00DC41F5">
        <w:rPr>
          <w:rFonts w:asciiTheme="majorBidi" w:hAnsiTheme="majorBidi" w:cstheme="majorBidi"/>
        </w:rPr>
        <w:t>7.2</w:t>
      </w:r>
      <w:r w:rsidR="0048404A">
        <w:rPr>
          <w:rFonts w:asciiTheme="majorBidi" w:hAnsiTheme="majorBidi" w:cstheme="majorBidi"/>
        </w:rPr>
        <w:t xml:space="preserve">. </w:t>
      </w:r>
    </w:p>
    <w:p w14:paraId="0709B183" w14:textId="77777777" w:rsidR="00FE7A08" w:rsidRPr="00EF351A" w:rsidRDefault="00FE7A08" w:rsidP="00FE7A08">
      <w:pPr>
        <w:spacing w:after="120" w:line="360" w:lineRule="auto"/>
        <w:jc w:val="both"/>
        <w:rPr>
          <w:rFonts w:asciiTheme="majorBidi" w:hAnsiTheme="majorBidi" w:cstheme="majorBidi"/>
        </w:rPr>
      </w:pPr>
    </w:p>
    <w:p w14:paraId="19EBB15B" w14:textId="62BEFCF4" w:rsidR="00FE7A08" w:rsidRPr="00C03BFF" w:rsidRDefault="00EA0E40" w:rsidP="006E4E83">
      <w:pPr>
        <w:keepNext/>
        <w:keepLines/>
        <w:spacing w:before="240" w:after="120" w:line="360" w:lineRule="auto"/>
        <w:outlineLvl w:val="3"/>
        <w:rPr>
          <w:rFonts w:asciiTheme="majorBidi" w:eastAsiaTheme="majorEastAsia" w:hAnsiTheme="majorBidi" w:cs="Times New Roman"/>
          <w:b/>
          <w:sz w:val="26"/>
          <w:szCs w:val="26"/>
        </w:rPr>
      </w:pPr>
      <w:r w:rsidRPr="00C03BFF">
        <w:rPr>
          <w:rFonts w:asciiTheme="majorBidi" w:eastAsiaTheme="majorEastAsia" w:hAnsiTheme="majorBidi" w:cs="Times New Roman"/>
          <w:b/>
          <w:sz w:val="26"/>
          <w:szCs w:val="26"/>
        </w:rPr>
        <w:t xml:space="preserve">4.5.4.2 </w:t>
      </w:r>
      <w:r w:rsidR="00FE7A08" w:rsidRPr="00C03BFF">
        <w:rPr>
          <w:rFonts w:asciiTheme="majorBidi" w:eastAsiaTheme="majorEastAsia" w:hAnsiTheme="majorBidi" w:cs="Times New Roman"/>
          <w:b/>
          <w:sz w:val="26"/>
          <w:szCs w:val="26"/>
        </w:rPr>
        <w:t>NMA using EUCAST subgroup</w:t>
      </w:r>
    </w:p>
    <w:p w14:paraId="01FF9D78" w14:textId="223E5A64" w:rsidR="00FE7A08" w:rsidRPr="00885DFB" w:rsidRDefault="00FE7A08" w:rsidP="00A83123">
      <w:pPr>
        <w:spacing w:after="120" w:line="360" w:lineRule="auto"/>
        <w:jc w:val="both"/>
        <w:rPr>
          <w:rFonts w:asciiTheme="majorBidi" w:hAnsiTheme="majorBidi" w:cstheme="majorBidi"/>
        </w:rPr>
      </w:pPr>
      <w:r w:rsidRPr="00885DFB">
        <w:rPr>
          <w:rFonts w:asciiTheme="majorBidi" w:hAnsiTheme="majorBidi" w:cstheme="majorBidi"/>
        </w:rPr>
        <w:t>Six studies</w:t>
      </w:r>
      <w:r w:rsidR="00A83123" w:rsidRPr="00A83123">
        <w:rPr>
          <w:rFonts w:asciiTheme="majorBidi" w:hAnsiTheme="majorBidi" w:cstheme="majorBidi"/>
          <w:noProof/>
          <w:vertAlign w:val="superscript"/>
        </w:rPr>
        <w:t>45,52,53,56,57,65</w:t>
      </w:r>
      <w:r w:rsidRPr="00885DFB">
        <w:rPr>
          <w:rFonts w:asciiTheme="majorBidi" w:hAnsiTheme="majorBidi" w:cstheme="majorBidi"/>
        </w:rPr>
        <w:t xml:space="preserve"> used CLSI breakpoints and methodologies, two</w:t>
      </w:r>
      <w:r w:rsidR="00A83123" w:rsidRPr="00A83123">
        <w:rPr>
          <w:rFonts w:asciiTheme="majorBidi" w:hAnsiTheme="majorBidi" w:cstheme="majorBidi"/>
          <w:noProof/>
          <w:vertAlign w:val="superscript"/>
        </w:rPr>
        <w:t>1,62</w:t>
      </w:r>
      <w:r w:rsidRPr="00885DFB">
        <w:rPr>
          <w:rFonts w:asciiTheme="majorBidi" w:hAnsiTheme="majorBidi" w:cstheme="majorBidi"/>
        </w:rPr>
        <w:t xml:space="preserve"> used EUCAST or BSAC breakpoints and methodologies, three </w:t>
      </w:r>
      <w:r w:rsidR="00A83123" w:rsidRPr="00A83123">
        <w:rPr>
          <w:rFonts w:asciiTheme="majorBidi" w:hAnsiTheme="majorBidi" w:cstheme="majorBidi"/>
          <w:noProof/>
          <w:vertAlign w:val="superscript"/>
        </w:rPr>
        <w:t>50,60,61</w:t>
      </w:r>
      <w:r w:rsidRPr="00885DFB">
        <w:rPr>
          <w:rFonts w:asciiTheme="majorBidi" w:hAnsiTheme="majorBidi" w:cstheme="majorBidi"/>
        </w:rPr>
        <w:t xml:space="preserve"> used CLSI methods, but EUCAST breakpoints</w:t>
      </w:r>
      <w:r w:rsidR="0048404A">
        <w:rPr>
          <w:rFonts w:asciiTheme="majorBidi" w:hAnsiTheme="majorBidi" w:cstheme="majorBidi"/>
        </w:rPr>
        <w:t xml:space="preserve">, </w:t>
      </w:r>
      <w:r w:rsidRPr="00885DFB">
        <w:rPr>
          <w:rFonts w:asciiTheme="majorBidi" w:hAnsiTheme="majorBidi" w:cstheme="majorBidi"/>
        </w:rPr>
        <w:t>one</w:t>
      </w:r>
      <w:r w:rsidR="00A83123" w:rsidRPr="00A83123">
        <w:rPr>
          <w:rFonts w:asciiTheme="majorBidi" w:hAnsiTheme="majorBidi" w:cstheme="majorBidi"/>
          <w:noProof/>
          <w:vertAlign w:val="superscript"/>
        </w:rPr>
        <w:t>46</w:t>
      </w:r>
      <w:r w:rsidRPr="00885DFB">
        <w:rPr>
          <w:rFonts w:asciiTheme="majorBidi" w:hAnsiTheme="majorBidi" w:cstheme="majorBidi"/>
        </w:rPr>
        <w:t xml:space="preserve"> used CLSI methods and EEPRU applied EUCAST breakpoints and three</w:t>
      </w:r>
      <w:r w:rsidR="00A83123" w:rsidRPr="00A83123">
        <w:rPr>
          <w:rFonts w:asciiTheme="majorBidi" w:hAnsiTheme="majorBidi" w:cstheme="majorBidi"/>
          <w:noProof/>
          <w:vertAlign w:val="superscript"/>
        </w:rPr>
        <w:t>37,51,66</w:t>
      </w:r>
      <w:r w:rsidRPr="00885DFB">
        <w:rPr>
          <w:rFonts w:asciiTheme="majorBidi" w:hAnsiTheme="majorBidi" w:cstheme="majorBidi"/>
        </w:rPr>
        <w:t xml:space="preserve"> did not report one or both elements. As already noted, it was unclear what methods were used by the submitting laboratories in the PHE data,</w:t>
      </w:r>
      <w:r w:rsidR="00A83123" w:rsidRPr="00A83123">
        <w:rPr>
          <w:rFonts w:asciiTheme="majorBidi" w:hAnsiTheme="majorBidi" w:cstheme="majorBidi"/>
          <w:noProof/>
          <w:vertAlign w:val="superscript"/>
        </w:rPr>
        <w:t>44</w:t>
      </w:r>
      <w:r w:rsidRPr="00885DFB">
        <w:rPr>
          <w:rFonts w:asciiTheme="majorBidi" w:hAnsiTheme="majorBidi" w:cstheme="majorBidi"/>
        </w:rPr>
        <w:t xml:space="preserve"> it was assumed that the majority would comply with BSAC recommendations and use EUCAST methods and breakpoints. </w:t>
      </w:r>
    </w:p>
    <w:p w14:paraId="4648BAEB" w14:textId="542CDA31" w:rsidR="00FE7A08" w:rsidRPr="00885DFB" w:rsidRDefault="00FE7A08" w:rsidP="00FE7A08">
      <w:pPr>
        <w:spacing w:after="120" w:line="360" w:lineRule="auto"/>
        <w:jc w:val="both"/>
        <w:rPr>
          <w:rFonts w:asciiTheme="majorBidi" w:hAnsiTheme="majorBidi" w:cstheme="majorBidi"/>
        </w:rPr>
      </w:pPr>
      <w:r w:rsidRPr="00885DFB">
        <w:rPr>
          <w:rFonts w:asciiTheme="majorBidi" w:hAnsiTheme="majorBidi" w:cstheme="majorBidi"/>
        </w:rPr>
        <w:t xml:space="preserve">A subgroup analysis containing only the two EUCAST and one PHE study </w:t>
      </w:r>
      <w:r>
        <w:rPr>
          <w:rFonts w:asciiTheme="majorBidi" w:hAnsiTheme="majorBidi" w:cstheme="majorBidi"/>
        </w:rPr>
        <w:t>was performed</w:t>
      </w:r>
      <w:r w:rsidRPr="00885DFB">
        <w:rPr>
          <w:rFonts w:asciiTheme="majorBidi" w:hAnsiTheme="majorBidi" w:cstheme="majorBidi"/>
        </w:rPr>
        <w:t>.  The network diagram for this subgroup of studies shown in</w:t>
      </w:r>
      <w:r w:rsidR="005452F3">
        <w:rPr>
          <w:rFonts w:asciiTheme="majorBidi" w:hAnsiTheme="majorBidi" w:cstheme="majorBidi"/>
        </w:rPr>
        <w:t xml:space="preserve"> </w:t>
      </w:r>
      <w:r w:rsidR="005452F3" w:rsidRPr="005452F3">
        <w:rPr>
          <w:rFonts w:asciiTheme="majorBidi" w:hAnsiTheme="majorBidi" w:cstheme="majorBidi"/>
        </w:rPr>
        <w:t>Figure 5</w:t>
      </w:r>
      <w:r w:rsidR="005452F3">
        <w:rPr>
          <w:rFonts w:asciiTheme="majorBidi" w:hAnsiTheme="majorBidi" w:cstheme="majorBidi"/>
        </w:rPr>
        <w:t>.</w:t>
      </w:r>
      <w:r w:rsidRPr="00885DFB">
        <w:rPr>
          <w:rFonts w:asciiTheme="majorBidi" w:hAnsiTheme="majorBidi" w:cstheme="majorBidi"/>
        </w:rPr>
        <w:t xml:space="preserve"> The susceptibility to each comparator relative to colistin are shown in </w:t>
      </w:r>
      <w:r w:rsidR="005452F3" w:rsidRPr="005452F3">
        <w:rPr>
          <w:rFonts w:asciiTheme="majorBidi" w:hAnsiTheme="majorBidi" w:cstheme="majorBidi"/>
        </w:rPr>
        <w:t>Figure 6.</w:t>
      </w:r>
      <w:r w:rsidRPr="00885DFB">
        <w:rPr>
          <w:rFonts w:asciiTheme="majorBidi" w:hAnsiTheme="majorBidi" w:cstheme="majorBidi"/>
        </w:rPr>
        <w:t xml:space="preserve"> The model fitted the data well, with a total residual deviance of 28.21</w:t>
      </w:r>
      <w:r>
        <w:rPr>
          <w:rFonts w:asciiTheme="majorBidi" w:hAnsiTheme="majorBidi" w:cstheme="majorBidi"/>
        </w:rPr>
        <w:t>, which was</w:t>
      </w:r>
      <w:r w:rsidRPr="00885DFB">
        <w:rPr>
          <w:rFonts w:asciiTheme="majorBidi" w:hAnsiTheme="majorBidi" w:cstheme="majorBidi"/>
        </w:rPr>
        <w:t xml:space="preserve"> close to the number of data points included in the analysis</w:t>
      </w:r>
      <w:r>
        <w:rPr>
          <w:rFonts w:asciiTheme="majorBidi" w:hAnsiTheme="majorBidi" w:cstheme="majorBidi"/>
        </w:rPr>
        <w:t xml:space="preserve"> of</w:t>
      </w:r>
      <w:r w:rsidRPr="00885DFB">
        <w:rPr>
          <w:rFonts w:asciiTheme="majorBidi" w:hAnsiTheme="majorBidi" w:cstheme="majorBidi"/>
        </w:rPr>
        <w:t xml:space="preserve"> 28. The between-study SD was 0.98 (95% </w:t>
      </w:r>
      <w:proofErr w:type="spellStart"/>
      <w:r w:rsidRPr="00885DFB">
        <w:rPr>
          <w:rFonts w:asciiTheme="majorBidi" w:hAnsiTheme="majorBidi" w:cstheme="majorBidi"/>
        </w:rPr>
        <w:t>CrI</w:t>
      </w:r>
      <w:proofErr w:type="spellEnd"/>
      <w:r w:rsidRPr="00885DFB">
        <w:rPr>
          <w:rFonts w:asciiTheme="majorBidi" w:hAnsiTheme="majorBidi" w:cstheme="majorBidi"/>
        </w:rPr>
        <w:t>: 0.62</w:t>
      </w:r>
      <w:r>
        <w:rPr>
          <w:rFonts w:asciiTheme="majorBidi" w:hAnsiTheme="majorBidi" w:cstheme="majorBidi"/>
        </w:rPr>
        <w:t xml:space="preserve"> to</w:t>
      </w:r>
      <w:r w:rsidRPr="00885DFB">
        <w:rPr>
          <w:rFonts w:asciiTheme="majorBidi" w:hAnsiTheme="majorBidi" w:cstheme="majorBidi"/>
        </w:rPr>
        <w:t xml:space="preserve"> 1.63) indicating high, but noticeably reduced, heterogeneity compared to the analysis including all 16 studies. </w:t>
      </w:r>
    </w:p>
    <w:p w14:paraId="6F37974C" w14:textId="77777777" w:rsidR="00FE7A08" w:rsidRPr="00885DFB" w:rsidRDefault="00FE7A08" w:rsidP="00FE7A08">
      <w:pPr>
        <w:spacing w:after="120" w:line="360" w:lineRule="auto"/>
        <w:jc w:val="both"/>
        <w:rPr>
          <w:rFonts w:asciiTheme="majorBidi" w:hAnsiTheme="majorBidi" w:cstheme="majorBidi"/>
        </w:rPr>
      </w:pPr>
      <w:r w:rsidRPr="00885DFB">
        <w:rPr>
          <w:rFonts w:asciiTheme="majorBidi" w:hAnsiTheme="majorBidi" w:cstheme="majorBidi"/>
        </w:rPr>
        <w:t>CAZ-AVI was associated with a higher susceptibility relative to colistin (OR 2.15</w:t>
      </w:r>
      <w:r>
        <w:rPr>
          <w:rFonts w:asciiTheme="majorBidi" w:hAnsiTheme="majorBidi" w:cstheme="majorBidi"/>
        </w:rPr>
        <w:t>,</w:t>
      </w:r>
      <w:r w:rsidRPr="00885DFB">
        <w:rPr>
          <w:rFonts w:asciiTheme="majorBidi" w:hAnsiTheme="majorBidi" w:cstheme="majorBidi"/>
        </w:rPr>
        <w:t xml:space="preserve"> 95% </w:t>
      </w:r>
      <w:proofErr w:type="spellStart"/>
      <w:r w:rsidRPr="00885DFB">
        <w:rPr>
          <w:rFonts w:asciiTheme="majorBidi" w:hAnsiTheme="majorBidi" w:cstheme="majorBidi"/>
        </w:rPr>
        <w:t>CrI</w:t>
      </w:r>
      <w:proofErr w:type="spellEnd"/>
      <w:r w:rsidRPr="00885DFB">
        <w:rPr>
          <w:rFonts w:asciiTheme="majorBidi" w:hAnsiTheme="majorBidi" w:cstheme="majorBidi"/>
        </w:rPr>
        <w:t>: 0.60</w:t>
      </w:r>
      <w:r>
        <w:rPr>
          <w:rFonts w:asciiTheme="majorBidi" w:hAnsiTheme="majorBidi" w:cstheme="majorBidi"/>
        </w:rPr>
        <w:t xml:space="preserve"> to</w:t>
      </w:r>
      <w:r w:rsidRPr="00885DFB">
        <w:rPr>
          <w:rFonts w:asciiTheme="majorBidi" w:hAnsiTheme="majorBidi" w:cstheme="majorBidi"/>
        </w:rPr>
        <w:t xml:space="preserve"> 8.01), however the magnitude of the point estimate is lower than that of the full analysis and the result is not statistically significant. The remainder of the treatments were associated with lower susceptibility than colistin (OR &lt;1) although this was not statistically significant for amikacin or meropenem based on the 95% </w:t>
      </w:r>
      <w:proofErr w:type="spellStart"/>
      <w:r w:rsidRPr="00885DFB">
        <w:rPr>
          <w:rFonts w:asciiTheme="majorBidi" w:hAnsiTheme="majorBidi" w:cstheme="majorBidi"/>
        </w:rPr>
        <w:t>CrI</w:t>
      </w:r>
      <w:proofErr w:type="spellEnd"/>
      <w:r w:rsidRPr="00885DFB">
        <w:rPr>
          <w:rFonts w:asciiTheme="majorBidi" w:hAnsiTheme="majorBidi" w:cstheme="majorBidi"/>
        </w:rPr>
        <w:t xml:space="preserve">. </w:t>
      </w:r>
    </w:p>
    <w:p w14:paraId="42B42BDB" w14:textId="69CEBB37" w:rsidR="00FE7A08" w:rsidRPr="00885DFB" w:rsidRDefault="00FE7A08" w:rsidP="00FE7A08">
      <w:pPr>
        <w:keepNext/>
        <w:spacing w:before="360" w:after="200" w:line="240" w:lineRule="auto"/>
        <w:rPr>
          <w:rFonts w:ascii="Times New Roman" w:hAnsi="Times New Roman" w:cs="Times New Roman"/>
          <w:b/>
          <w:iCs/>
          <w:sz w:val="20"/>
          <w:szCs w:val="18"/>
        </w:rPr>
      </w:pPr>
      <w:bookmarkStart w:id="188" w:name="_Ref85649516"/>
      <w:bookmarkStart w:id="189" w:name="_Toc85022487"/>
      <w:bookmarkStart w:id="190" w:name="_Toc86419050"/>
      <w:r w:rsidRPr="00885DFB">
        <w:rPr>
          <w:rFonts w:ascii="Times New Roman" w:hAnsi="Times New Roman" w:cs="Times New Roman"/>
          <w:b/>
          <w:iCs/>
          <w:sz w:val="20"/>
          <w:szCs w:val="18"/>
        </w:rPr>
        <w:lastRenderedPageBreak/>
        <w:t xml:space="preserve">Figure </w:t>
      </w:r>
      <w:r w:rsidR="0021430F">
        <w:rPr>
          <w:rFonts w:ascii="Times New Roman" w:hAnsi="Times New Roman" w:cs="Times New Roman"/>
          <w:b/>
          <w:iCs/>
          <w:noProof/>
          <w:sz w:val="20"/>
          <w:szCs w:val="18"/>
        </w:rPr>
        <w:t>5</w:t>
      </w:r>
      <w:bookmarkEnd w:id="188"/>
      <w:r w:rsidRPr="00885DFB">
        <w:rPr>
          <w:rFonts w:ascii="Times New Roman" w:hAnsi="Times New Roman" w:cs="Times New Roman"/>
          <w:b/>
          <w:iCs/>
          <w:sz w:val="20"/>
          <w:szCs w:val="18"/>
        </w:rPr>
        <w:t>: Network diagram studies contributing to the NMA restricted to EUCAST breakpoints</w:t>
      </w:r>
      <w:bookmarkEnd w:id="189"/>
      <w:bookmarkEnd w:id="190"/>
    </w:p>
    <w:p w14:paraId="1503441B" w14:textId="77777777" w:rsidR="00FE7A08" w:rsidRPr="00885DFB" w:rsidRDefault="00FE7A08" w:rsidP="00FE7A08">
      <w:pPr>
        <w:spacing w:after="120" w:line="360" w:lineRule="auto"/>
        <w:rPr>
          <w:rFonts w:asciiTheme="majorBidi" w:hAnsiTheme="majorBidi" w:cstheme="majorBidi"/>
        </w:rPr>
      </w:pPr>
      <w:r w:rsidRPr="00885DFB">
        <w:rPr>
          <w:rFonts w:asciiTheme="majorBidi" w:hAnsiTheme="majorBidi" w:cstheme="majorBidi"/>
          <w:noProof/>
          <w:lang w:eastAsia="en-GB"/>
        </w:rPr>
        <w:drawing>
          <wp:inline distT="0" distB="0" distL="0" distR="0" wp14:anchorId="020C3A30" wp14:editId="722F8AC8">
            <wp:extent cx="4207490" cy="4470400"/>
            <wp:effectExtent l="0" t="0" r="3175" b="6350"/>
            <wp:docPr id="11" name="Picture 11" descr="Network diagram of studies contributing to the NMA restricted to EUCAST breakpoints. Figure 5 is described in section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etwork diagram of studies contributing to the NMA restricted to EUCAST breakpoints. Figure 5 is described in section 4.5.4.2."/>
                    <pic:cNvPicPr/>
                  </pic:nvPicPr>
                  <pic:blipFill>
                    <a:blip r:embed="rId19">
                      <a:extLst>
                        <a:ext uri="{28A0092B-C50C-407E-A947-70E740481C1C}">
                          <a14:useLocalDpi xmlns:a14="http://schemas.microsoft.com/office/drawing/2010/main" val="0"/>
                        </a:ext>
                      </a:extLst>
                    </a:blip>
                    <a:stretch>
                      <a:fillRect/>
                    </a:stretch>
                  </pic:blipFill>
                  <pic:spPr>
                    <a:xfrm>
                      <a:off x="0" y="0"/>
                      <a:ext cx="4211488" cy="4474647"/>
                    </a:xfrm>
                    <a:prstGeom prst="rect">
                      <a:avLst/>
                    </a:prstGeom>
                  </pic:spPr>
                </pic:pic>
              </a:graphicData>
            </a:graphic>
          </wp:inline>
        </w:drawing>
      </w:r>
    </w:p>
    <w:p w14:paraId="39588797" w14:textId="77777777" w:rsidR="00FE7A08" w:rsidRPr="00885DFB" w:rsidRDefault="00FE7A08" w:rsidP="00FE7A08">
      <w:pPr>
        <w:spacing w:after="120" w:line="360" w:lineRule="auto"/>
        <w:rPr>
          <w:rFonts w:asciiTheme="majorBidi" w:hAnsiTheme="majorBidi" w:cstheme="majorBidi"/>
        </w:rPr>
      </w:pPr>
    </w:p>
    <w:p w14:paraId="14568626" w14:textId="1CBF1122" w:rsidR="00FE7A08" w:rsidRPr="00885DFB" w:rsidRDefault="00FE7A08" w:rsidP="00FE7A08">
      <w:pPr>
        <w:keepNext/>
        <w:spacing w:before="360" w:after="200" w:line="240" w:lineRule="auto"/>
        <w:rPr>
          <w:rFonts w:ascii="Times New Roman" w:hAnsi="Times New Roman" w:cs="Times New Roman"/>
          <w:b/>
          <w:iCs/>
          <w:sz w:val="20"/>
          <w:szCs w:val="18"/>
        </w:rPr>
      </w:pPr>
      <w:bookmarkStart w:id="191" w:name="_Ref85649547"/>
      <w:bookmarkStart w:id="192" w:name="_Toc85022488"/>
      <w:bookmarkStart w:id="193" w:name="_Toc86419051"/>
      <w:r w:rsidRPr="00885DFB">
        <w:rPr>
          <w:rFonts w:ascii="Times New Roman" w:hAnsi="Times New Roman" w:cs="Times New Roman"/>
          <w:b/>
          <w:iCs/>
          <w:sz w:val="20"/>
          <w:szCs w:val="18"/>
        </w:rPr>
        <w:lastRenderedPageBreak/>
        <w:t xml:space="preserve">Figure </w:t>
      </w:r>
      <w:r w:rsidR="0021430F">
        <w:rPr>
          <w:rFonts w:ascii="Times New Roman" w:hAnsi="Times New Roman" w:cs="Times New Roman"/>
          <w:b/>
          <w:iCs/>
          <w:noProof/>
          <w:sz w:val="20"/>
          <w:szCs w:val="18"/>
        </w:rPr>
        <w:t>6</w:t>
      </w:r>
      <w:bookmarkEnd w:id="191"/>
      <w:r w:rsidRPr="00885DFB">
        <w:rPr>
          <w:rFonts w:ascii="Times New Roman" w:hAnsi="Times New Roman" w:cs="Times New Roman"/>
          <w:b/>
          <w:iCs/>
          <w:sz w:val="20"/>
          <w:szCs w:val="18"/>
        </w:rPr>
        <w:t>: Forest plot of OR vs colistin for EUCAST studies subgroup</w:t>
      </w:r>
      <w:bookmarkEnd w:id="192"/>
      <w:bookmarkEnd w:id="193"/>
    </w:p>
    <w:p w14:paraId="56650E8F" w14:textId="77777777" w:rsidR="00FE7A08" w:rsidRPr="00885DFB" w:rsidRDefault="00FE7A08" w:rsidP="00FE7A08">
      <w:pPr>
        <w:spacing w:after="120" w:line="360" w:lineRule="auto"/>
        <w:rPr>
          <w:rFonts w:asciiTheme="majorBidi" w:hAnsiTheme="majorBidi" w:cstheme="majorBidi"/>
        </w:rPr>
      </w:pPr>
      <w:r w:rsidRPr="00885DFB">
        <w:rPr>
          <w:rFonts w:asciiTheme="majorBidi" w:hAnsiTheme="majorBidi" w:cstheme="majorBidi"/>
          <w:noProof/>
          <w:lang w:eastAsia="en-GB"/>
        </w:rPr>
        <w:drawing>
          <wp:inline distT="0" distB="0" distL="0" distR="0" wp14:anchorId="4AD32188" wp14:editId="4520BE13">
            <wp:extent cx="5731510" cy="5731510"/>
            <wp:effectExtent l="0" t="0" r="2540" b="2540"/>
            <wp:docPr id="12" name="Picture 12" descr="Forest plot of OR vs colistin for EUCAST studies subgroup. Figure 6 is described in section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est plot of OR vs colistin for EUCAST studies subgroup. Figure 6 is described in section 4.5.4.2."/>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EC6AF9" w14:textId="77777777" w:rsidR="00FE7A08" w:rsidRDefault="00FE7A08" w:rsidP="00FE7A08"/>
    <w:p w14:paraId="42D23A8F" w14:textId="77777777" w:rsidR="008D0C90" w:rsidRPr="00885DFB" w:rsidRDefault="008D0C90" w:rsidP="008D0C90">
      <w:pPr>
        <w:spacing w:after="120" w:line="360" w:lineRule="auto"/>
        <w:rPr>
          <w:rFonts w:asciiTheme="majorBidi" w:hAnsiTheme="majorBidi" w:cstheme="majorBidi"/>
        </w:rPr>
        <w:sectPr w:rsidR="008D0C90" w:rsidRPr="00885DFB" w:rsidSect="00885DFB">
          <w:pgSz w:w="11906" w:h="16838"/>
          <w:pgMar w:top="1440" w:right="1440" w:bottom="1440" w:left="1440" w:header="709" w:footer="709" w:gutter="0"/>
          <w:cols w:space="708"/>
          <w:docGrid w:linePitch="360"/>
        </w:sectPr>
      </w:pPr>
    </w:p>
    <w:p w14:paraId="6127BD04" w14:textId="603627C8" w:rsidR="00C07A38" w:rsidRPr="00C35BFA" w:rsidRDefault="00C35BFA" w:rsidP="00B674A1">
      <w:pPr>
        <w:pStyle w:val="EEPRUnumberedstylelevel3"/>
        <w:ind w:left="851" w:hanging="567"/>
      </w:pPr>
      <w:bookmarkStart w:id="194" w:name="_Toc87462997"/>
      <w:r>
        <w:lastRenderedPageBreak/>
        <w:t>4.6</w:t>
      </w:r>
      <w:r>
        <w:tab/>
      </w:r>
      <w:r w:rsidR="00C07A38" w:rsidRPr="00C35BFA">
        <w:t>Additional review questions for Approach 3</w:t>
      </w:r>
      <w:bookmarkEnd w:id="194"/>
    </w:p>
    <w:p w14:paraId="35331E09" w14:textId="088717FD" w:rsidR="003B6FAD" w:rsidRDefault="00D42213" w:rsidP="00AD709F">
      <w:pPr>
        <w:spacing w:before="240" w:line="360" w:lineRule="auto"/>
        <w:jc w:val="both"/>
        <w:rPr>
          <w:rFonts w:asciiTheme="majorBidi" w:eastAsia="Calibri" w:hAnsiTheme="majorBidi" w:cstheme="majorBidi"/>
        </w:rPr>
      </w:pPr>
      <w:r>
        <w:rPr>
          <w:rFonts w:asciiTheme="majorBidi" w:eastAsia="Calibri" w:hAnsiTheme="majorBidi" w:cstheme="majorBidi"/>
        </w:rPr>
        <w:t>R</w:t>
      </w:r>
      <w:r w:rsidR="00C07A38" w:rsidRPr="00885DFB">
        <w:rPr>
          <w:rFonts w:asciiTheme="majorBidi" w:eastAsia="Calibri" w:hAnsiTheme="majorBidi" w:cstheme="majorBidi"/>
        </w:rPr>
        <w:t xml:space="preserve">eview questions </w:t>
      </w:r>
      <w:r w:rsidR="00C07A38">
        <w:rPr>
          <w:rFonts w:asciiTheme="majorBidi" w:eastAsia="Calibri" w:hAnsiTheme="majorBidi" w:cstheme="majorBidi"/>
        </w:rPr>
        <w:t>4-6</w:t>
      </w:r>
      <w:r w:rsidR="00C07A38" w:rsidRPr="00885DFB">
        <w:rPr>
          <w:rFonts w:asciiTheme="majorBidi" w:eastAsia="Calibri" w:hAnsiTheme="majorBidi" w:cstheme="majorBidi"/>
        </w:rPr>
        <w:t xml:space="preserve"> were defined </w:t>
      </w:r>
      <w:proofErr w:type="gramStart"/>
      <w:r w:rsidR="00C07A38" w:rsidRPr="00885DFB">
        <w:rPr>
          <w:rFonts w:asciiTheme="majorBidi" w:eastAsia="Calibri" w:hAnsiTheme="majorBidi" w:cstheme="majorBidi"/>
        </w:rPr>
        <w:t>in order to</w:t>
      </w:r>
      <w:proofErr w:type="gramEnd"/>
      <w:r w:rsidR="00C07A38" w:rsidRPr="00885DFB">
        <w:rPr>
          <w:rFonts w:asciiTheme="majorBidi" w:eastAsia="Calibri" w:hAnsiTheme="majorBidi" w:cstheme="majorBidi"/>
        </w:rPr>
        <w:t xml:space="preserve"> supply estimates to populate the </w:t>
      </w:r>
      <w:r w:rsidR="00C07A38">
        <w:rPr>
          <w:rFonts w:asciiTheme="majorBidi" w:eastAsia="Calibri" w:hAnsiTheme="majorBidi" w:cstheme="majorBidi"/>
        </w:rPr>
        <w:t>decision-analytic</w:t>
      </w:r>
      <w:r w:rsidR="00C07A38" w:rsidRPr="00885DFB">
        <w:rPr>
          <w:rFonts w:asciiTheme="majorBidi" w:eastAsia="Calibri" w:hAnsiTheme="majorBidi" w:cstheme="majorBidi"/>
        </w:rPr>
        <w:t xml:space="preserve"> model. </w:t>
      </w:r>
      <w:r w:rsidR="003B6FAD">
        <w:rPr>
          <w:rFonts w:asciiTheme="majorBidi" w:eastAsia="Calibri" w:hAnsiTheme="majorBidi" w:cstheme="majorBidi"/>
        </w:rPr>
        <w:t xml:space="preserve">Section </w:t>
      </w:r>
      <w:r w:rsidR="00AD709F">
        <w:rPr>
          <w:rFonts w:asciiTheme="majorBidi" w:eastAsia="Calibri" w:hAnsiTheme="majorBidi" w:cstheme="majorBidi"/>
        </w:rPr>
        <w:t>4.6.1</w:t>
      </w:r>
      <w:r w:rsidR="003B6FAD">
        <w:rPr>
          <w:rFonts w:asciiTheme="majorBidi" w:eastAsia="Calibri" w:hAnsiTheme="majorBidi" w:cstheme="majorBidi"/>
        </w:rPr>
        <w:t xml:space="preserve"> describes the rationale for and requirements of each additional question, whilst sections </w:t>
      </w:r>
      <w:r w:rsidR="00AD709F">
        <w:rPr>
          <w:rFonts w:asciiTheme="majorBidi" w:eastAsia="Calibri" w:hAnsiTheme="majorBidi" w:cstheme="majorBidi"/>
        </w:rPr>
        <w:t>4.6.2</w:t>
      </w:r>
      <w:r w:rsidR="003B6FAD">
        <w:rPr>
          <w:rFonts w:asciiTheme="majorBidi" w:eastAsia="Calibri" w:hAnsiTheme="majorBidi" w:cstheme="majorBidi"/>
        </w:rPr>
        <w:t xml:space="preserve"> to </w:t>
      </w:r>
      <w:r w:rsidR="00AD709F">
        <w:rPr>
          <w:rFonts w:asciiTheme="majorBidi" w:eastAsia="Calibri" w:hAnsiTheme="majorBidi" w:cstheme="majorBidi"/>
        </w:rPr>
        <w:t>4.6.4</w:t>
      </w:r>
      <w:r w:rsidR="003B6FAD">
        <w:rPr>
          <w:rFonts w:asciiTheme="majorBidi" w:eastAsia="Calibri" w:hAnsiTheme="majorBidi" w:cstheme="majorBidi"/>
        </w:rPr>
        <w:t xml:space="preserve"> describe the methods and results for each question. </w:t>
      </w:r>
      <w:r w:rsidR="003B6FAD" w:rsidRPr="00885DFB">
        <w:rPr>
          <w:rFonts w:asciiTheme="majorBidi" w:eastAsia="Calibri" w:hAnsiTheme="majorBidi" w:cstheme="majorBidi"/>
        </w:rPr>
        <w:t xml:space="preserve">The approach to evidence </w:t>
      </w:r>
      <w:r w:rsidR="003B6FAD">
        <w:rPr>
          <w:rFonts w:asciiTheme="majorBidi" w:eastAsia="Calibri" w:hAnsiTheme="majorBidi" w:cstheme="majorBidi"/>
        </w:rPr>
        <w:t>identification and selection</w:t>
      </w:r>
      <w:r w:rsidR="003B6FAD" w:rsidRPr="00885DFB">
        <w:rPr>
          <w:rFonts w:asciiTheme="majorBidi" w:eastAsia="Calibri" w:hAnsiTheme="majorBidi" w:cstheme="majorBidi"/>
        </w:rPr>
        <w:t xml:space="preserve"> differed for each of these three questions, due to their perceived importance to the model, time constraints, and the availability of existing reviews.</w:t>
      </w:r>
      <w:r w:rsidR="00A46A6C">
        <w:rPr>
          <w:rFonts w:asciiTheme="majorBidi" w:eastAsia="Calibri" w:hAnsiTheme="majorBidi" w:cstheme="majorBidi"/>
        </w:rPr>
        <w:t xml:space="preserve"> </w:t>
      </w:r>
    </w:p>
    <w:p w14:paraId="1DF372A1" w14:textId="3D6A8F64" w:rsidR="003B6FAD" w:rsidRPr="00B674A1" w:rsidRDefault="003B6FAD" w:rsidP="00B674A1">
      <w:pPr>
        <w:pStyle w:val="Heading3"/>
        <w:ind w:left="1276" w:hanging="567"/>
        <w:rPr>
          <w:rFonts w:asciiTheme="majorBidi" w:hAnsiTheme="majorBidi"/>
          <w:sz w:val="26"/>
          <w:szCs w:val="26"/>
        </w:rPr>
      </w:pPr>
      <w:bookmarkStart w:id="195" w:name="_Toc87462998"/>
      <w:r w:rsidRPr="00B674A1">
        <w:rPr>
          <w:rFonts w:asciiTheme="majorBidi" w:hAnsiTheme="majorBidi"/>
          <w:sz w:val="26"/>
          <w:szCs w:val="26"/>
        </w:rPr>
        <w:t>4.6.1</w:t>
      </w:r>
      <w:r w:rsidRPr="00B674A1">
        <w:rPr>
          <w:rFonts w:asciiTheme="majorBidi" w:hAnsiTheme="majorBidi"/>
          <w:sz w:val="26"/>
          <w:szCs w:val="26"/>
        </w:rPr>
        <w:tab/>
        <w:t>The additional review questions</w:t>
      </w:r>
      <w:bookmarkEnd w:id="195"/>
    </w:p>
    <w:p w14:paraId="4C8B2FEC" w14:textId="0514113F" w:rsidR="00C07A38" w:rsidRPr="00885DFB" w:rsidRDefault="00C07A38" w:rsidP="00C07A38">
      <w:pPr>
        <w:spacing w:before="240" w:line="360" w:lineRule="auto"/>
        <w:jc w:val="both"/>
        <w:rPr>
          <w:rFonts w:asciiTheme="majorBidi" w:eastAsia="Calibri" w:hAnsiTheme="majorBidi" w:cstheme="majorBidi"/>
        </w:rPr>
      </w:pPr>
      <w:r w:rsidRPr="00885DFB">
        <w:rPr>
          <w:rFonts w:asciiTheme="majorBidi" w:eastAsia="Calibri" w:hAnsiTheme="majorBidi" w:cstheme="majorBidi"/>
        </w:rPr>
        <w:t xml:space="preserve">Additional questions generated by Approach 3 were: </w:t>
      </w:r>
    </w:p>
    <w:p w14:paraId="12BA590A" w14:textId="3CDB4E25" w:rsidR="00C07A38" w:rsidRPr="00885DFB" w:rsidRDefault="00C07A38" w:rsidP="005E61DF">
      <w:pPr>
        <w:spacing w:before="240" w:line="360" w:lineRule="auto"/>
        <w:rPr>
          <w:rFonts w:asciiTheme="majorBidi" w:eastAsia="Calibri" w:hAnsiTheme="majorBidi" w:cstheme="majorBidi"/>
        </w:rPr>
      </w:pPr>
      <w:r w:rsidRPr="00F957B9">
        <w:rPr>
          <w:rFonts w:ascii="Times New Roman" w:hAnsi="Times New Roman"/>
          <w:b/>
        </w:rPr>
        <w:t xml:space="preserve">Review </w:t>
      </w:r>
      <w:r>
        <w:rPr>
          <w:rFonts w:ascii="Times New Roman" w:hAnsi="Times New Roman"/>
          <w:b/>
        </w:rPr>
        <w:t>4</w:t>
      </w:r>
      <w:r w:rsidRPr="00F957B9">
        <w:rPr>
          <w:rFonts w:ascii="Times New Roman" w:hAnsi="Times New Roman"/>
          <w:b/>
          <w:sz w:val="24"/>
        </w:rPr>
        <w:t>.</w:t>
      </w:r>
      <w:r w:rsidRPr="00885DFB">
        <w:rPr>
          <w:rFonts w:asciiTheme="majorBidi" w:eastAsia="Calibri" w:hAnsiTheme="majorBidi" w:cstheme="majorBidi"/>
        </w:rPr>
        <w:t xml:space="preserve"> </w:t>
      </w:r>
      <w:r w:rsidRPr="00F957B9">
        <w:rPr>
          <w:rFonts w:asciiTheme="majorBidi" w:hAnsiTheme="majorBidi"/>
          <w:b/>
        </w:rPr>
        <w:t xml:space="preserve">What is the link between </w:t>
      </w:r>
      <w:r w:rsidR="00D86E3D" w:rsidRPr="00D86E3D">
        <w:rPr>
          <w:rFonts w:asciiTheme="majorBidi" w:hAnsiTheme="majorBidi"/>
          <w:b/>
          <w:i/>
          <w:iCs/>
        </w:rPr>
        <w:t>in vitro</w:t>
      </w:r>
      <w:r w:rsidRPr="00F957B9">
        <w:rPr>
          <w:rFonts w:asciiTheme="majorBidi" w:hAnsiTheme="majorBidi"/>
          <w:b/>
        </w:rPr>
        <w:t xml:space="preserve"> susceptibility and clinical outcomes</w:t>
      </w:r>
      <w:r w:rsidRPr="00F957B9">
        <w:rPr>
          <w:rFonts w:ascii="Times New Roman" w:hAnsi="Times New Roman"/>
          <w:b/>
        </w:rPr>
        <w:t xml:space="preserve"> </w:t>
      </w:r>
      <w:r w:rsidRPr="00F957B9">
        <w:rPr>
          <w:rFonts w:asciiTheme="majorBidi" w:hAnsiTheme="majorBidi"/>
          <w:b/>
        </w:rPr>
        <w:t xml:space="preserve">from </w:t>
      </w:r>
      <w:r>
        <w:rPr>
          <w:rFonts w:asciiTheme="majorBidi" w:hAnsiTheme="majorBidi"/>
          <w:b/>
        </w:rPr>
        <w:t xml:space="preserve">the </w:t>
      </w:r>
      <w:r w:rsidRPr="00F957B9">
        <w:rPr>
          <w:rFonts w:asciiTheme="majorBidi" w:hAnsiTheme="majorBidi"/>
          <w:b/>
        </w:rPr>
        <w:t>published literature</w:t>
      </w:r>
      <w:r>
        <w:rPr>
          <w:rFonts w:asciiTheme="majorBidi" w:hAnsiTheme="majorBidi"/>
          <w:b/>
        </w:rPr>
        <w:t>, in the sites of relevance,</w:t>
      </w:r>
      <w:r w:rsidR="00853E88" w:rsidRPr="00853E88">
        <w:rPr>
          <w:rFonts w:asciiTheme="majorBidi" w:hAnsiTheme="majorBidi"/>
          <w:b/>
        </w:rPr>
        <w:t xml:space="preserve"> </w:t>
      </w:r>
      <w:r w:rsidR="00853E88">
        <w:rPr>
          <w:rFonts w:asciiTheme="majorBidi" w:hAnsiTheme="majorBidi"/>
          <w:b/>
        </w:rPr>
        <w:t>i</w:t>
      </w:r>
      <w:r w:rsidR="00853E88">
        <w:rPr>
          <w:rFonts w:ascii="Times New Roman" w:hAnsi="Times New Roman"/>
          <w:b/>
        </w:rPr>
        <w:t>n patients according to their susceptibility to the treatment they were given</w:t>
      </w:r>
      <w:r>
        <w:rPr>
          <w:rFonts w:ascii="Times New Roman" w:hAnsi="Times New Roman"/>
          <w:b/>
        </w:rPr>
        <w:t>?</w:t>
      </w:r>
    </w:p>
    <w:p w14:paraId="797BBC90" w14:textId="19204563" w:rsidR="00820CB7" w:rsidRDefault="00C07A38" w:rsidP="00C07A38">
      <w:pPr>
        <w:spacing w:before="240" w:line="360" w:lineRule="auto"/>
        <w:jc w:val="both"/>
        <w:rPr>
          <w:rFonts w:asciiTheme="majorBidi" w:eastAsia="Calibri" w:hAnsiTheme="majorBidi" w:cstheme="majorBidi"/>
        </w:rPr>
      </w:pPr>
      <w:r w:rsidRPr="00885DFB">
        <w:rPr>
          <w:rFonts w:asciiTheme="majorBidi" w:eastAsia="Calibri" w:hAnsiTheme="majorBidi" w:cstheme="majorBidi"/>
        </w:rPr>
        <w:t>As described above</w:t>
      </w:r>
      <w:r>
        <w:rPr>
          <w:rFonts w:asciiTheme="majorBidi" w:eastAsia="Calibri" w:hAnsiTheme="majorBidi" w:cstheme="majorBidi"/>
        </w:rPr>
        <w:t xml:space="preserve"> in section 4.1.1.</w:t>
      </w:r>
      <w:r w:rsidR="00AD709F">
        <w:rPr>
          <w:rFonts w:asciiTheme="majorBidi" w:eastAsia="Calibri" w:hAnsiTheme="majorBidi" w:cstheme="majorBidi"/>
        </w:rPr>
        <w:t>1</w:t>
      </w:r>
      <w:r w:rsidRPr="00885DFB">
        <w:rPr>
          <w:rFonts w:asciiTheme="majorBidi" w:eastAsia="Calibri" w:hAnsiTheme="majorBidi" w:cstheme="majorBidi"/>
        </w:rPr>
        <w:t>, susceptibility studies do not report clinical outcomes, therefore it was necessary to establish th</w:t>
      </w:r>
      <w:r w:rsidR="00A46A6C">
        <w:rPr>
          <w:rFonts w:asciiTheme="majorBidi" w:eastAsia="Calibri" w:hAnsiTheme="majorBidi" w:cstheme="majorBidi"/>
        </w:rPr>
        <w:t>e</w:t>
      </w:r>
      <w:r w:rsidRPr="00885DFB">
        <w:rPr>
          <w:rFonts w:asciiTheme="majorBidi" w:eastAsia="Calibri" w:hAnsiTheme="majorBidi" w:cstheme="majorBidi"/>
        </w:rPr>
        <w:t xml:space="preserve"> link</w:t>
      </w:r>
      <w:r w:rsidR="00A46A6C">
        <w:rPr>
          <w:rFonts w:asciiTheme="majorBidi" w:eastAsia="Calibri" w:hAnsiTheme="majorBidi" w:cstheme="majorBidi"/>
        </w:rPr>
        <w:t xml:space="preserve"> between susceptibility </w:t>
      </w:r>
      <w:r w:rsidR="00A46A6C" w:rsidRPr="00A46A6C">
        <w:rPr>
          <w:rFonts w:asciiTheme="majorBidi" w:eastAsia="Calibri" w:hAnsiTheme="majorBidi" w:cstheme="majorBidi"/>
          <w:i/>
          <w:iCs/>
        </w:rPr>
        <w:t>in vitro</w:t>
      </w:r>
      <w:r w:rsidR="00A46A6C">
        <w:rPr>
          <w:rFonts w:asciiTheme="majorBidi" w:eastAsia="Calibri" w:hAnsiTheme="majorBidi" w:cstheme="majorBidi"/>
        </w:rPr>
        <w:t>, and clinical outcomes</w:t>
      </w:r>
      <w:r w:rsidRPr="00885DFB">
        <w:rPr>
          <w:rFonts w:asciiTheme="majorBidi" w:eastAsia="Calibri" w:hAnsiTheme="majorBidi" w:cstheme="majorBidi"/>
        </w:rPr>
        <w:t xml:space="preserve">. </w:t>
      </w:r>
      <w:r>
        <w:rPr>
          <w:rFonts w:asciiTheme="majorBidi" w:eastAsia="Calibri" w:hAnsiTheme="majorBidi" w:cstheme="majorBidi"/>
        </w:rPr>
        <w:t xml:space="preserve">Two approaches to evidencing this link were proposed: </w:t>
      </w:r>
    </w:p>
    <w:p w14:paraId="109A1303" w14:textId="43455F6F" w:rsidR="00820CB7" w:rsidRDefault="00C07A38" w:rsidP="005A3BE6">
      <w:pPr>
        <w:pStyle w:val="ListParagraph"/>
        <w:numPr>
          <w:ilvl w:val="1"/>
          <w:numId w:val="26"/>
        </w:numPr>
        <w:spacing w:before="240" w:line="360" w:lineRule="auto"/>
        <w:jc w:val="both"/>
        <w:rPr>
          <w:rFonts w:asciiTheme="majorBidi" w:eastAsia="Calibri" w:hAnsiTheme="majorBidi" w:cstheme="majorBidi"/>
        </w:rPr>
      </w:pPr>
      <w:r w:rsidRPr="00820CB7">
        <w:rPr>
          <w:rFonts w:asciiTheme="majorBidi" w:eastAsia="Calibri" w:hAnsiTheme="majorBidi" w:cstheme="majorBidi"/>
        </w:rPr>
        <w:t xml:space="preserve">assume that </w:t>
      </w:r>
      <w:r w:rsidR="00356608" w:rsidRPr="00356608">
        <w:rPr>
          <w:rFonts w:asciiTheme="majorBidi" w:eastAsia="Calibri" w:hAnsiTheme="majorBidi" w:cstheme="majorBidi"/>
        </w:rPr>
        <w:t>clinical outcomes do not differ according to the specific antibiotic used or the specific pathogen-mechanism causing the infection</w:t>
      </w:r>
      <w:r w:rsidR="00356608">
        <w:rPr>
          <w:rFonts w:asciiTheme="majorBidi" w:eastAsia="Calibri" w:hAnsiTheme="majorBidi" w:cstheme="majorBidi"/>
        </w:rPr>
        <w:t>,</w:t>
      </w:r>
      <w:r w:rsidR="00356608" w:rsidRPr="00356608">
        <w:rPr>
          <w:rFonts w:asciiTheme="majorBidi" w:eastAsia="Calibri" w:hAnsiTheme="majorBidi" w:cstheme="majorBidi"/>
        </w:rPr>
        <w:t xml:space="preserve"> conditional upon susceptibility</w:t>
      </w:r>
      <w:r w:rsidR="00356608">
        <w:rPr>
          <w:rFonts w:asciiTheme="majorBidi" w:eastAsia="Calibri" w:hAnsiTheme="majorBidi" w:cstheme="majorBidi"/>
        </w:rPr>
        <w:t xml:space="preserve"> to that antibiotic. </w:t>
      </w:r>
      <w:r w:rsidR="00820CB7" w:rsidRPr="00820CB7">
        <w:rPr>
          <w:rFonts w:asciiTheme="majorBidi" w:eastAsia="Calibri" w:hAnsiTheme="majorBidi" w:cstheme="majorBidi"/>
        </w:rPr>
        <w:t xml:space="preserve">This assumption was validated by our clinical experts. </w:t>
      </w:r>
    </w:p>
    <w:p w14:paraId="079E42E7" w14:textId="62473F87" w:rsidR="00820CB7" w:rsidRDefault="00C07A38" w:rsidP="005A3BE6">
      <w:pPr>
        <w:pStyle w:val="ListParagraph"/>
        <w:numPr>
          <w:ilvl w:val="1"/>
          <w:numId w:val="26"/>
        </w:numPr>
        <w:spacing w:before="240" w:line="360" w:lineRule="auto"/>
        <w:jc w:val="both"/>
        <w:rPr>
          <w:rFonts w:asciiTheme="majorBidi" w:eastAsia="Calibri" w:hAnsiTheme="majorBidi" w:cstheme="majorBidi"/>
        </w:rPr>
      </w:pPr>
      <w:r w:rsidRPr="00820CB7">
        <w:rPr>
          <w:rFonts w:asciiTheme="majorBidi" w:eastAsia="Calibri" w:hAnsiTheme="majorBidi" w:cstheme="majorBidi"/>
        </w:rPr>
        <w:t>assume that different treatments may result in different outcomes</w:t>
      </w:r>
      <w:r w:rsidR="00356608">
        <w:rPr>
          <w:rFonts w:asciiTheme="majorBidi" w:eastAsia="Calibri" w:hAnsiTheme="majorBidi" w:cstheme="majorBidi"/>
        </w:rPr>
        <w:t>,</w:t>
      </w:r>
      <w:r w:rsidR="00356608" w:rsidRPr="00356608">
        <w:rPr>
          <w:rFonts w:asciiTheme="majorBidi" w:eastAsia="Calibri" w:hAnsiTheme="majorBidi" w:cstheme="majorBidi"/>
        </w:rPr>
        <w:t xml:space="preserve"> </w:t>
      </w:r>
      <w:r w:rsidR="00356608">
        <w:rPr>
          <w:rFonts w:asciiTheme="majorBidi" w:eastAsia="Calibri" w:hAnsiTheme="majorBidi" w:cstheme="majorBidi"/>
        </w:rPr>
        <w:t>conditional on susceptibility</w:t>
      </w:r>
      <w:r w:rsidR="00356608" w:rsidRPr="00356608">
        <w:rPr>
          <w:rFonts w:asciiTheme="majorBidi" w:eastAsia="Calibri" w:hAnsiTheme="majorBidi" w:cstheme="majorBidi"/>
        </w:rPr>
        <w:t xml:space="preserve"> </w:t>
      </w:r>
      <w:r w:rsidR="00356608">
        <w:rPr>
          <w:rFonts w:asciiTheme="majorBidi" w:eastAsia="Calibri" w:hAnsiTheme="majorBidi" w:cstheme="majorBidi"/>
        </w:rPr>
        <w:t>to the antibiotic given.</w:t>
      </w:r>
      <w:r w:rsidRPr="00820CB7">
        <w:rPr>
          <w:rFonts w:asciiTheme="majorBidi" w:eastAsia="Calibri" w:hAnsiTheme="majorBidi" w:cstheme="majorBidi"/>
        </w:rPr>
        <w:t xml:space="preserve"> </w:t>
      </w:r>
    </w:p>
    <w:p w14:paraId="11F6821E" w14:textId="5B6B0321" w:rsidR="00C07A38" w:rsidRDefault="00C07A38" w:rsidP="00A83123">
      <w:pPr>
        <w:spacing w:before="240" w:line="360" w:lineRule="auto"/>
        <w:jc w:val="both"/>
        <w:rPr>
          <w:rFonts w:asciiTheme="majorBidi" w:eastAsia="Calibri" w:hAnsiTheme="majorBidi" w:cstheme="majorBidi"/>
        </w:rPr>
      </w:pPr>
      <w:r w:rsidRPr="00820CB7">
        <w:rPr>
          <w:rFonts w:asciiTheme="majorBidi" w:eastAsia="Calibri" w:hAnsiTheme="majorBidi" w:cstheme="majorBidi"/>
        </w:rPr>
        <w:t xml:space="preserve">In both approaches, studies should have tested the susceptibility of a patient to the treatment they were given, and report clinical outcomes for those susceptible or not in </w:t>
      </w:r>
      <w:proofErr w:type="spellStart"/>
      <w:r w:rsidRPr="00820CB7">
        <w:rPr>
          <w:rFonts w:asciiTheme="majorBidi" w:eastAsia="Calibri" w:hAnsiTheme="majorBidi" w:cstheme="majorBidi"/>
        </w:rPr>
        <w:t>cUTI</w:t>
      </w:r>
      <w:proofErr w:type="spellEnd"/>
      <w:r w:rsidRPr="00820CB7">
        <w:rPr>
          <w:rFonts w:asciiTheme="majorBidi" w:eastAsia="Calibri" w:hAnsiTheme="majorBidi" w:cstheme="majorBidi"/>
        </w:rPr>
        <w:t xml:space="preserve"> and HAP/VAP separately. In approach b) </w:t>
      </w:r>
      <w:r w:rsidR="00F444C4" w:rsidRPr="00F444C4">
        <w:rPr>
          <w:rFonts w:asciiTheme="majorBidi" w:eastAsia="Calibri" w:hAnsiTheme="majorBidi" w:cstheme="majorBidi"/>
        </w:rPr>
        <w:t xml:space="preserve">data on effectiveness conditional upon susceptibility would be required </w:t>
      </w:r>
      <w:r w:rsidRPr="00820CB7">
        <w:rPr>
          <w:rFonts w:asciiTheme="majorBidi" w:eastAsia="Calibri" w:hAnsiTheme="majorBidi" w:cstheme="majorBidi"/>
        </w:rPr>
        <w:t xml:space="preserve">for the intervention and </w:t>
      </w:r>
      <w:proofErr w:type="gramStart"/>
      <w:r w:rsidRPr="00820CB7">
        <w:rPr>
          <w:rFonts w:asciiTheme="majorBidi" w:eastAsia="Calibri" w:hAnsiTheme="majorBidi" w:cstheme="majorBidi"/>
        </w:rPr>
        <w:t>comparators, and</w:t>
      </w:r>
      <w:proofErr w:type="gramEnd"/>
      <w:r w:rsidRPr="00820CB7">
        <w:rPr>
          <w:rFonts w:asciiTheme="majorBidi" w:eastAsia="Calibri" w:hAnsiTheme="majorBidi" w:cstheme="majorBidi"/>
        </w:rPr>
        <w:t xml:space="preserve"> would need to comprise a viable </w:t>
      </w:r>
      <w:r w:rsidR="00F444C4">
        <w:rPr>
          <w:rFonts w:asciiTheme="majorBidi" w:eastAsia="Calibri" w:hAnsiTheme="majorBidi" w:cstheme="majorBidi"/>
        </w:rPr>
        <w:t>NMA</w:t>
      </w:r>
      <w:r w:rsidRPr="00820CB7">
        <w:rPr>
          <w:rFonts w:asciiTheme="majorBidi" w:eastAsia="Calibri" w:hAnsiTheme="majorBidi" w:cstheme="majorBidi"/>
        </w:rPr>
        <w:t xml:space="preserve">. </w:t>
      </w:r>
      <w:r w:rsidR="003E35C1">
        <w:rPr>
          <w:rFonts w:ascii="Times New Roman" w:eastAsia="Times New Roman" w:hAnsi="Times New Roman" w:cs="Times New Roman"/>
        </w:rPr>
        <w:t>I</w:t>
      </w:r>
      <w:r w:rsidR="003E35C1" w:rsidRPr="007B01C1">
        <w:rPr>
          <w:rFonts w:ascii="Times New Roman" w:eastAsia="Times New Roman" w:hAnsi="Times New Roman" w:cs="Times New Roman"/>
        </w:rPr>
        <w:t xml:space="preserve">nitial scoping work based on </w:t>
      </w:r>
      <w:r w:rsidR="003E35C1">
        <w:rPr>
          <w:rFonts w:ascii="Times New Roman" w:eastAsia="Times New Roman" w:hAnsi="Times New Roman" w:cs="Times New Roman"/>
        </w:rPr>
        <w:t xml:space="preserve">a </w:t>
      </w:r>
      <w:r w:rsidR="003E35C1" w:rsidRPr="007B01C1">
        <w:rPr>
          <w:rFonts w:ascii="Times New Roman" w:eastAsia="Times New Roman" w:hAnsi="Times New Roman" w:cs="Times New Roman"/>
        </w:rPr>
        <w:t>previous systematic review</w:t>
      </w:r>
      <w:r w:rsidR="00563D5B">
        <w:rPr>
          <w:rFonts w:ascii="Times New Roman" w:eastAsia="Times New Roman" w:hAnsi="Times New Roman" w:cs="Times New Roman"/>
        </w:rPr>
        <w:t xml:space="preserve"> (reported </w:t>
      </w:r>
      <w:r w:rsidR="00563D5B" w:rsidRPr="004A12CB">
        <w:rPr>
          <w:rFonts w:asciiTheme="majorBidi" w:hAnsiTheme="majorBidi" w:cstheme="majorBidi"/>
        </w:rPr>
        <w:t xml:space="preserve">as part of Shionogi’s application to </w:t>
      </w:r>
      <w:r w:rsidR="00785C3A">
        <w:rPr>
          <w:rFonts w:asciiTheme="majorBidi" w:hAnsiTheme="majorBidi" w:cstheme="majorBidi"/>
        </w:rPr>
        <w:t>European Network for Health Technology Assessment (</w:t>
      </w:r>
      <w:r w:rsidR="00563D5B" w:rsidRPr="004A12CB">
        <w:rPr>
          <w:rFonts w:asciiTheme="majorBidi" w:hAnsiTheme="majorBidi" w:cstheme="majorBidi"/>
        </w:rPr>
        <w:t>EUNETHTA</w:t>
      </w:r>
      <w:r w:rsidR="00785C3A">
        <w:rPr>
          <w:rFonts w:asciiTheme="majorBidi" w:hAnsiTheme="majorBidi" w:cstheme="majorBidi"/>
        </w:rPr>
        <w:t>)</w:t>
      </w:r>
      <w:r w:rsidR="00563D5B" w:rsidRPr="004A12CB">
        <w:rPr>
          <w:rFonts w:asciiTheme="majorBidi" w:hAnsiTheme="majorBidi" w:cstheme="majorBidi"/>
        </w:rPr>
        <w:t xml:space="preserve"> (Project PTJA11)</w:t>
      </w:r>
      <w:r w:rsidR="00563D5B">
        <w:rPr>
          <w:rFonts w:asciiTheme="majorBidi" w:hAnsiTheme="majorBidi" w:cstheme="majorBidi"/>
        </w:rPr>
        <w:t>)</w:t>
      </w:r>
      <w:r w:rsidR="00A83123" w:rsidRPr="00A83123">
        <w:rPr>
          <w:rFonts w:asciiTheme="majorBidi" w:hAnsiTheme="majorBidi" w:cstheme="majorBidi"/>
          <w:noProof/>
          <w:vertAlign w:val="superscript"/>
        </w:rPr>
        <w:t>82</w:t>
      </w:r>
      <w:r w:rsidR="007769B5">
        <w:rPr>
          <w:rFonts w:asciiTheme="majorBidi" w:hAnsiTheme="majorBidi" w:cstheme="majorBidi"/>
        </w:rPr>
        <w:t xml:space="preserve"> </w:t>
      </w:r>
      <w:r w:rsidR="003E35C1" w:rsidRPr="007B01C1">
        <w:rPr>
          <w:rFonts w:ascii="Times New Roman" w:eastAsia="Times New Roman" w:hAnsi="Times New Roman" w:cs="Times New Roman"/>
        </w:rPr>
        <w:t>indicated that the RCTs in the HVCS sites provided poor coverage of the comparators of</w:t>
      </w:r>
      <w:r w:rsidR="003E35C1">
        <w:rPr>
          <w:rFonts w:ascii="Times New Roman" w:eastAsia="Times New Roman" w:hAnsi="Times New Roman" w:cs="Times New Roman"/>
        </w:rPr>
        <w:t xml:space="preserve"> interest</w:t>
      </w:r>
      <w:r w:rsidR="00D42213">
        <w:rPr>
          <w:rFonts w:asciiTheme="majorBidi" w:eastAsia="Calibri" w:hAnsiTheme="majorBidi" w:cstheme="majorBidi"/>
        </w:rPr>
        <w:t>.</w:t>
      </w:r>
      <w:r w:rsidR="003B6FAD">
        <w:rPr>
          <w:rFonts w:asciiTheme="majorBidi" w:eastAsia="Calibri" w:hAnsiTheme="majorBidi" w:cstheme="majorBidi"/>
        </w:rPr>
        <w:t xml:space="preserve"> </w:t>
      </w:r>
      <w:r w:rsidR="00D42213">
        <w:rPr>
          <w:rFonts w:asciiTheme="majorBidi" w:eastAsia="Calibri" w:hAnsiTheme="majorBidi" w:cstheme="majorBidi"/>
        </w:rPr>
        <w:t xml:space="preserve">Clinical advisors were also supportive of approach </w:t>
      </w:r>
      <w:r w:rsidR="001A6FB8">
        <w:rPr>
          <w:rFonts w:asciiTheme="majorBidi" w:eastAsia="Calibri" w:hAnsiTheme="majorBidi" w:cstheme="majorBidi"/>
        </w:rPr>
        <w:t>a</w:t>
      </w:r>
      <w:r w:rsidR="00D42213">
        <w:rPr>
          <w:rFonts w:asciiTheme="majorBidi" w:eastAsia="Calibri" w:hAnsiTheme="majorBidi" w:cstheme="majorBidi"/>
        </w:rPr>
        <w:t xml:space="preserve">), </w:t>
      </w:r>
      <w:r w:rsidR="003B6FAD">
        <w:rPr>
          <w:rFonts w:asciiTheme="majorBidi" w:eastAsia="Calibri" w:hAnsiTheme="majorBidi" w:cstheme="majorBidi"/>
        </w:rPr>
        <w:t xml:space="preserve">and consequently approach </w:t>
      </w:r>
      <w:r w:rsidR="001A6FB8">
        <w:rPr>
          <w:rFonts w:asciiTheme="majorBidi" w:eastAsia="Calibri" w:hAnsiTheme="majorBidi" w:cstheme="majorBidi"/>
        </w:rPr>
        <w:t>b</w:t>
      </w:r>
      <w:r w:rsidR="00D42213">
        <w:rPr>
          <w:rFonts w:asciiTheme="majorBidi" w:eastAsia="Calibri" w:hAnsiTheme="majorBidi" w:cstheme="majorBidi"/>
        </w:rPr>
        <w:t xml:space="preserve">) </w:t>
      </w:r>
      <w:r w:rsidR="003B6FAD">
        <w:rPr>
          <w:rFonts w:asciiTheme="majorBidi" w:eastAsia="Calibri" w:hAnsiTheme="majorBidi" w:cstheme="majorBidi"/>
        </w:rPr>
        <w:t xml:space="preserve">was not pursued further. </w:t>
      </w:r>
    </w:p>
    <w:p w14:paraId="38EA7631" w14:textId="32C187C4" w:rsidR="00C07A38" w:rsidRPr="00F957B9" w:rsidRDefault="00C07A38" w:rsidP="005E61DF">
      <w:pPr>
        <w:spacing w:before="240" w:line="360" w:lineRule="auto"/>
        <w:rPr>
          <w:rFonts w:asciiTheme="majorBidi" w:hAnsiTheme="majorBidi"/>
          <w:b/>
        </w:rPr>
      </w:pPr>
      <w:r w:rsidRPr="00F957B9">
        <w:rPr>
          <w:rFonts w:ascii="Times New Roman" w:hAnsi="Times New Roman"/>
          <w:b/>
        </w:rPr>
        <w:t xml:space="preserve">Review </w:t>
      </w:r>
      <w:r>
        <w:rPr>
          <w:rFonts w:ascii="Times New Roman" w:hAnsi="Times New Roman"/>
          <w:b/>
        </w:rPr>
        <w:t>5</w:t>
      </w:r>
      <w:r w:rsidRPr="00F957B9">
        <w:rPr>
          <w:rFonts w:ascii="Times New Roman" w:hAnsi="Times New Roman"/>
          <w:b/>
          <w:sz w:val="24"/>
        </w:rPr>
        <w:t>.</w:t>
      </w:r>
      <w:r w:rsidRPr="00F957B9">
        <w:rPr>
          <w:rFonts w:asciiTheme="majorBidi" w:hAnsiTheme="majorBidi"/>
          <w:b/>
        </w:rPr>
        <w:t xml:space="preserve"> What is the long-term risk of mortality (and other outcomes) for patients with carbapenem-resistant </w:t>
      </w:r>
      <w:proofErr w:type="spellStart"/>
      <w:r w:rsidRPr="00F957B9">
        <w:rPr>
          <w:rFonts w:asciiTheme="majorBidi" w:hAnsiTheme="majorBidi"/>
          <w:b/>
        </w:rPr>
        <w:t>cUTI</w:t>
      </w:r>
      <w:proofErr w:type="spellEnd"/>
      <w:r w:rsidRPr="00F957B9">
        <w:rPr>
          <w:rFonts w:asciiTheme="majorBidi" w:hAnsiTheme="majorBidi"/>
          <w:b/>
        </w:rPr>
        <w:t xml:space="preserve"> or HAP/</w:t>
      </w:r>
      <w:r w:rsidR="00593E66" w:rsidRPr="00F957B9">
        <w:rPr>
          <w:rFonts w:asciiTheme="majorBidi" w:hAnsiTheme="majorBidi"/>
          <w:b/>
        </w:rPr>
        <w:t>VAP?</w:t>
      </w:r>
    </w:p>
    <w:p w14:paraId="15C4FF9C" w14:textId="0A3F02F8" w:rsidR="00C07A38" w:rsidRPr="00F901D1" w:rsidRDefault="00C07A38" w:rsidP="00C07A38">
      <w:pPr>
        <w:spacing w:before="24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 xml:space="preserve">This question became necessary since review question </w:t>
      </w:r>
      <w:r>
        <w:rPr>
          <w:rFonts w:ascii="Times New Roman" w:eastAsia="Calibri" w:hAnsi="Times New Roman" w:cs="Times New Roman"/>
        </w:rPr>
        <w:t>4</w:t>
      </w:r>
      <w:r w:rsidRPr="00885DFB">
        <w:rPr>
          <w:rFonts w:ascii="Times New Roman" w:eastAsia="Calibri" w:hAnsi="Times New Roman" w:cs="Times New Roman"/>
        </w:rPr>
        <w:t xml:space="preserve"> did not identify any studies that reported long term clinical outcomes. </w:t>
      </w:r>
      <w:bookmarkStart w:id="196" w:name="_Hlk78128062"/>
      <w:r w:rsidRPr="00885DFB">
        <w:rPr>
          <w:rFonts w:ascii="Times New Roman" w:eastAsia="Calibri" w:hAnsi="Times New Roman" w:cs="Times New Roman"/>
        </w:rPr>
        <w:t>The question was widened to include any carbapenem-resistant</w:t>
      </w:r>
      <w:r>
        <w:rPr>
          <w:rFonts w:ascii="Times New Roman" w:eastAsia="Calibri" w:hAnsi="Times New Roman" w:cs="Times New Roman"/>
        </w:rPr>
        <w:t xml:space="preserve"> infections</w:t>
      </w:r>
      <w:r w:rsidRPr="00F901D1">
        <w:rPr>
          <w:rFonts w:ascii="Times New Roman" w:eastAsia="Calibri" w:hAnsi="Times New Roman" w:cs="Times New Roman"/>
        </w:rPr>
        <w:t xml:space="preserve">. </w:t>
      </w:r>
      <w:bookmarkEnd w:id="196"/>
    </w:p>
    <w:p w14:paraId="418EB3ED" w14:textId="45822A0B" w:rsidR="00C07A38" w:rsidRPr="00F957B9" w:rsidRDefault="00C07A38" w:rsidP="005E61DF">
      <w:pPr>
        <w:spacing w:before="240" w:line="360" w:lineRule="auto"/>
        <w:rPr>
          <w:rFonts w:asciiTheme="majorBidi" w:hAnsiTheme="majorBidi"/>
          <w:b/>
        </w:rPr>
      </w:pPr>
      <w:r w:rsidRPr="00F957B9">
        <w:rPr>
          <w:rFonts w:ascii="Times New Roman" w:hAnsi="Times New Roman"/>
          <w:b/>
        </w:rPr>
        <w:lastRenderedPageBreak/>
        <w:t xml:space="preserve">Review </w:t>
      </w:r>
      <w:r>
        <w:rPr>
          <w:rFonts w:ascii="Times New Roman" w:hAnsi="Times New Roman"/>
          <w:b/>
        </w:rPr>
        <w:t>6</w:t>
      </w:r>
      <w:r w:rsidRPr="00F957B9">
        <w:rPr>
          <w:rFonts w:ascii="Times New Roman" w:hAnsi="Times New Roman"/>
          <w:b/>
        </w:rPr>
        <w:t>.</w:t>
      </w:r>
      <w:r w:rsidRPr="00F957B9">
        <w:rPr>
          <w:rFonts w:asciiTheme="majorBidi" w:hAnsiTheme="majorBidi"/>
          <w:b/>
        </w:rPr>
        <w:t xml:space="preserve"> What are the important safety implications of CAZ-AVI?</w:t>
      </w:r>
    </w:p>
    <w:p w14:paraId="1A99640A" w14:textId="39F549E0" w:rsidR="00C07A38" w:rsidRDefault="00C07A38" w:rsidP="00C07A38">
      <w:pPr>
        <w:spacing w:before="240" w:line="360" w:lineRule="auto"/>
        <w:rPr>
          <w:rFonts w:asciiTheme="majorBidi" w:eastAsia="Calibri" w:hAnsiTheme="majorBidi" w:cstheme="majorBidi"/>
          <w:iCs/>
        </w:rPr>
      </w:pPr>
      <w:r w:rsidRPr="0037519F">
        <w:rPr>
          <w:rFonts w:asciiTheme="majorBidi" w:eastAsia="Calibri" w:hAnsiTheme="majorBidi" w:cstheme="majorBidi"/>
          <w:iCs/>
        </w:rPr>
        <w:t>This question was required to inform the modell</w:t>
      </w:r>
      <w:r w:rsidR="00E74323">
        <w:rPr>
          <w:rFonts w:asciiTheme="majorBidi" w:eastAsia="Calibri" w:hAnsiTheme="majorBidi" w:cstheme="majorBidi"/>
          <w:iCs/>
        </w:rPr>
        <w:t>ing of important adverse events (AE</w:t>
      </w:r>
      <w:r w:rsidR="00785C3A">
        <w:rPr>
          <w:rFonts w:asciiTheme="majorBidi" w:eastAsia="Calibri" w:hAnsiTheme="majorBidi" w:cstheme="majorBidi"/>
          <w:iCs/>
        </w:rPr>
        <w:t>s</w:t>
      </w:r>
      <w:r w:rsidR="00E74323">
        <w:rPr>
          <w:rFonts w:asciiTheme="majorBidi" w:eastAsia="Calibri" w:hAnsiTheme="majorBidi" w:cstheme="majorBidi"/>
          <w:iCs/>
        </w:rPr>
        <w:t>).</w:t>
      </w:r>
    </w:p>
    <w:p w14:paraId="720939BF" w14:textId="03D9FF41" w:rsidR="00885DFB" w:rsidRPr="00B674A1" w:rsidRDefault="00E55098" w:rsidP="00B674A1">
      <w:pPr>
        <w:pStyle w:val="Heading3"/>
        <w:ind w:left="1276" w:hanging="567"/>
        <w:rPr>
          <w:rFonts w:asciiTheme="majorBidi" w:hAnsiTheme="majorBidi"/>
          <w:sz w:val="26"/>
          <w:szCs w:val="26"/>
        </w:rPr>
      </w:pPr>
      <w:bookmarkStart w:id="197" w:name="_Toc87462999"/>
      <w:r w:rsidRPr="00B674A1">
        <w:rPr>
          <w:rFonts w:asciiTheme="majorBidi" w:hAnsiTheme="majorBidi"/>
          <w:sz w:val="26"/>
          <w:szCs w:val="26"/>
        </w:rPr>
        <w:t>4.6.</w:t>
      </w:r>
      <w:r w:rsidR="003B6FAD" w:rsidRPr="00B674A1">
        <w:rPr>
          <w:rFonts w:asciiTheme="majorBidi" w:hAnsiTheme="majorBidi"/>
          <w:sz w:val="26"/>
          <w:szCs w:val="26"/>
        </w:rPr>
        <w:t>2</w:t>
      </w:r>
      <w:r w:rsidRPr="00B674A1">
        <w:rPr>
          <w:rFonts w:asciiTheme="majorBidi" w:hAnsiTheme="majorBidi"/>
          <w:sz w:val="26"/>
          <w:szCs w:val="26"/>
        </w:rPr>
        <w:tab/>
      </w:r>
      <w:bookmarkEnd w:id="126"/>
      <w:bookmarkEnd w:id="127"/>
      <w:r w:rsidR="003B6FAD" w:rsidRPr="00B674A1">
        <w:rPr>
          <w:rFonts w:asciiTheme="majorBidi" w:hAnsiTheme="majorBidi"/>
          <w:sz w:val="26"/>
          <w:szCs w:val="26"/>
        </w:rPr>
        <w:t>Review 4</w:t>
      </w:r>
      <w:bookmarkEnd w:id="197"/>
    </w:p>
    <w:p w14:paraId="20DB344C" w14:textId="20B8406D" w:rsidR="00356608" w:rsidRDefault="0093357A" w:rsidP="00356608">
      <w:pPr>
        <w:rPr>
          <w:rFonts w:asciiTheme="majorBidi" w:hAnsiTheme="majorBidi" w:cstheme="majorBidi"/>
          <w:b/>
          <w:bCs/>
          <w:i/>
          <w:iCs/>
        </w:rPr>
      </w:pPr>
      <w:r w:rsidRPr="003B6FAD">
        <w:rPr>
          <w:rFonts w:asciiTheme="majorBidi" w:hAnsiTheme="majorBidi" w:cstheme="majorBidi"/>
          <w:b/>
          <w:bCs/>
          <w:i/>
          <w:iCs/>
        </w:rPr>
        <w:t>What is the link between in vitro susceptibility and clinical outcomes from the published literature, in the sites of relevance,</w:t>
      </w:r>
      <w:r w:rsidR="00853E88" w:rsidRPr="00853E88">
        <w:rPr>
          <w:rFonts w:asciiTheme="majorBidi" w:hAnsiTheme="majorBidi" w:cstheme="majorBidi"/>
          <w:b/>
          <w:bCs/>
          <w:i/>
          <w:iCs/>
        </w:rPr>
        <w:t xml:space="preserve"> in patients according to their susceptibility to the treatment they were given</w:t>
      </w:r>
      <w:r w:rsidRPr="003B6FAD">
        <w:rPr>
          <w:rFonts w:asciiTheme="majorBidi" w:hAnsiTheme="majorBidi" w:cstheme="majorBidi"/>
          <w:b/>
          <w:bCs/>
          <w:i/>
          <w:iCs/>
        </w:rPr>
        <w:t>?</w:t>
      </w:r>
    </w:p>
    <w:p w14:paraId="408CC232" w14:textId="483AED10" w:rsidR="00356608" w:rsidRPr="00EA0E40" w:rsidRDefault="00356608" w:rsidP="00F74C2C">
      <w:pPr>
        <w:keepNext/>
        <w:keepLines/>
        <w:spacing w:before="240" w:after="120" w:line="360" w:lineRule="auto"/>
        <w:outlineLvl w:val="3"/>
        <w:rPr>
          <w:rFonts w:asciiTheme="majorBidi" w:eastAsiaTheme="majorEastAsia" w:hAnsiTheme="majorBidi" w:cs="Times New Roman"/>
          <w:b/>
          <w:sz w:val="26"/>
          <w:szCs w:val="26"/>
        </w:rPr>
      </w:pPr>
      <w:r w:rsidRPr="00EA0E40">
        <w:rPr>
          <w:rFonts w:asciiTheme="majorBidi" w:eastAsiaTheme="majorEastAsia" w:hAnsiTheme="majorBidi" w:cs="Times New Roman"/>
          <w:b/>
          <w:sz w:val="26"/>
          <w:szCs w:val="26"/>
        </w:rPr>
        <w:t>4.6.2.1 Methods</w:t>
      </w:r>
    </w:p>
    <w:p w14:paraId="0C3CB9C5" w14:textId="65E54C01" w:rsidR="00885DFB" w:rsidRPr="00A46A6C" w:rsidRDefault="00A46A6C" w:rsidP="00820CB7">
      <w:pPr>
        <w:spacing w:before="240" w:line="360" w:lineRule="auto"/>
        <w:jc w:val="both"/>
        <w:rPr>
          <w:rFonts w:asciiTheme="majorBidi" w:eastAsia="Calibri" w:hAnsiTheme="majorBidi" w:cstheme="majorBidi"/>
        </w:rPr>
      </w:pPr>
      <w:r>
        <w:rPr>
          <w:rFonts w:asciiTheme="majorBidi" w:eastAsia="Calibri" w:hAnsiTheme="majorBidi" w:cstheme="majorBidi"/>
        </w:rPr>
        <w:t>As detailed in Section 4.6.</w:t>
      </w:r>
      <w:r w:rsidR="00AD709F">
        <w:rPr>
          <w:rFonts w:asciiTheme="majorBidi" w:eastAsia="Calibri" w:hAnsiTheme="majorBidi" w:cstheme="majorBidi"/>
        </w:rPr>
        <w:t>2</w:t>
      </w:r>
      <w:r>
        <w:rPr>
          <w:rFonts w:asciiTheme="majorBidi" w:eastAsia="Calibri" w:hAnsiTheme="majorBidi" w:cstheme="majorBidi"/>
        </w:rPr>
        <w:t>, o</w:t>
      </w:r>
      <w:r w:rsidR="003B6FAD" w:rsidRPr="00EB5910">
        <w:rPr>
          <w:rFonts w:asciiTheme="majorBidi" w:eastAsia="Calibri" w:hAnsiTheme="majorBidi" w:cstheme="majorBidi"/>
        </w:rPr>
        <w:t xml:space="preserve">f the two proposed approaches, only approach a. was taken forward. </w:t>
      </w:r>
      <w:r w:rsidR="00302DD9" w:rsidRPr="00EB5910">
        <w:rPr>
          <w:rFonts w:asciiTheme="majorBidi" w:eastAsia="Calibri" w:hAnsiTheme="majorBidi" w:cstheme="majorBidi"/>
        </w:rPr>
        <w:t>In this approach, it is</w:t>
      </w:r>
      <w:r w:rsidR="00302DD9" w:rsidRPr="00EB5910">
        <w:rPr>
          <w:rFonts w:asciiTheme="majorBidi" w:eastAsia="Calibri" w:hAnsiTheme="majorBidi" w:cstheme="majorBidi"/>
          <w:b/>
          <w:bCs/>
        </w:rPr>
        <w:t xml:space="preserve"> </w:t>
      </w:r>
      <w:r w:rsidR="00302DD9" w:rsidRPr="00EB5910">
        <w:rPr>
          <w:rFonts w:asciiTheme="majorBidi" w:eastAsia="Calibri" w:hAnsiTheme="majorBidi" w:cstheme="majorBidi"/>
        </w:rPr>
        <w:t>assumed that</w:t>
      </w:r>
      <w:r w:rsidR="00356608" w:rsidRPr="00EB5910">
        <w:rPr>
          <w:rFonts w:asciiTheme="majorBidi" w:eastAsia="Calibri" w:hAnsiTheme="majorBidi" w:cstheme="majorBidi"/>
        </w:rPr>
        <w:t xml:space="preserve"> </w:t>
      </w:r>
      <w:r w:rsidR="00302DD9" w:rsidRPr="00EB5910">
        <w:rPr>
          <w:rFonts w:asciiTheme="majorBidi" w:eastAsia="Calibri" w:hAnsiTheme="majorBidi" w:cstheme="majorBidi"/>
        </w:rPr>
        <w:t>clinical outcomes would be similar regardless of the treatment received</w:t>
      </w:r>
      <w:r w:rsidR="00356608" w:rsidRPr="00EB5910">
        <w:rPr>
          <w:rFonts w:asciiTheme="majorBidi" w:eastAsia="Calibri" w:hAnsiTheme="majorBidi" w:cstheme="majorBidi"/>
        </w:rPr>
        <w:t xml:space="preserve">, </w:t>
      </w:r>
      <w:r w:rsidR="00356608" w:rsidRPr="00EB5910">
        <w:rPr>
          <w:rFonts w:asciiTheme="majorBidi" w:eastAsia="Calibri" w:hAnsiTheme="majorBidi" w:cstheme="majorBidi"/>
          <w:color w:val="000000"/>
        </w:rPr>
        <w:t>conditional upon susceptibility</w:t>
      </w:r>
      <w:r w:rsidR="00302DD9" w:rsidRPr="00EB5910">
        <w:rPr>
          <w:rFonts w:asciiTheme="majorBidi" w:eastAsia="Calibri" w:hAnsiTheme="majorBidi" w:cstheme="majorBidi"/>
          <w:b/>
          <w:bCs/>
        </w:rPr>
        <w:t>.</w:t>
      </w:r>
      <w:r w:rsidR="00820CB7" w:rsidRPr="00EB5910">
        <w:rPr>
          <w:rFonts w:asciiTheme="majorBidi" w:eastAsia="Calibri" w:hAnsiTheme="majorBidi" w:cstheme="majorBidi"/>
        </w:rPr>
        <w:t xml:space="preserve"> </w:t>
      </w:r>
      <w:r w:rsidR="00356608" w:rsidRPr="00EB5910">
        <w:rPr>
          <w:rFonts w:asciiTheme="majorBidi" w:eastAsia="Calibri" w:hAnsiTheme="majorBidi" w:cstheme="majorBidi"/>
        </w:rPr>
        <w:t>This</w:t>
      </w:r>
      <w:r w:rsidR="00356608" w:rsidRPr="00356608">
        <w:rPr>
          <w:rFonts w:asciiTheme="majorBidi" w:eastAsia="Calibri" w:hAnsiTheme="majorBidi" w:cstheme="majorBidi"/>
        </w:rPr>
        <w:t xml:space="preserve"> review included studies of any design linking susceptibility (to any anti</w:t>
      </w:r>
      <w:r w:rsidR="00356608">
        <w:rPr>
          <w:rFonts w:asciiTheme="majorBidi" w:eastAsia="Calibri" w:hAnsiTheme="majorBidi" w:cstheme="majorBidi"/>
        </w:rPr>
        <w:t>biotic</w:t>
      </w:r>
      <w:r w:rsidR="00356608" w:rsidRPr="00356608">
        <w:rPr>
          <w:rFonts w:asciiTheme="majorBidi" w:eastAsia="Calibri" w:hAnsiTheme="majorBidi" w:cstheme="majorBidi"/>
        </w:rPr>
        <w:t xml:space="preserve">) to clinical outcomes in </w:t>
      </w:r>
      <w:proofErr w:type="spellStart"/>
      <w:r w:rsidR="00356608" w:rsidRPr="00356608">
        <w:rPr>
          <w:rFonts w:asciiTheme="majorBidi" w:eastAsia="Calibri" w:hAnsiTheme="majorBidi" w:cstheme="majorBidi"/>
        </w:rPr>
        <w:t>cUTI</w:t>
      </w:r>
      <w:proofErr w:type="spellEnd"/>
      <w:r w:rsidR="00356608" w:rsidRPr="00356608">
        <w:rPr>
          <w:rFonts w:asciiTheme="majorBidi" w:eastAsia="Calibri" w:hAnsiTheme="majorBidi" w:cstheme="majorBidi"/>
        </w:rPr>
        <w:t xml:space="preserve"> or HAP/VAP caused by any pathogen-mechanism</w:t>
      </w:r>
      <w:r>
        <w:rPr>
          <w:rFonts w:asciiTheme="majorBidi" w:eastAsia="Calibri" w:hAnsiTheme="majorBidi" w:cstheme="majorBidi"/>
        </w:rPr>
        <w:t xml:space="preserve"> (</w:t>
      </w:r>
      <w:r w:rsidR="00EE4C38" w:rsidRPr="00EE4C38">
        <w:rPr>
          <w:rFonts w:asciiTheme="majorBidi" w:eastAsia="Calibri" w:hAnsiTheme="majorBidi" w:cstheme="majorBidi"/>
        </w:rPr>
        <w:t>Table 11</w:t>
      </w:r>
      <w:r w:rsidRPr="00A46A6C">
        <w:rPr>
          <w:rFonts w:asciiTheme="majorBidi" w:eastAsia="Calibri" w:hAnsiTheme="majorBidi" w:cstheme="majorBidi"/>
        </w:rPr>
        <w:t>)</w:t>
      </w:r>
      <w:r w:rsidR="00356608" w:rsidRPr="00A46A6C">
        <w:rPr>
          <w:rFonts w:asciiTheme="majorBidi" w:eastAsia="Calibri" w:hAnsiTheme="majorBidi" w:cstheme="majorBidi"/>
        </w:rPr>
        <w:t xml:space="preserve">. </w:t>
      </w:r>
      <w:r w:rsidR="00885DFB" w:rsidRPr="00A46A6C">
        <w:rPr>
          <w:rFonts w:asciiTheme="majorBidi" w:eastAsia="Calibri" w:hAnsiTheme="majorBidi" w:cstheme="majorBidi"/>
        </w:rPr>
        <w:t>Three approaches were used to identify evidence relating to this question.</w:t>
      </w:r>
    </w:p>
    <w:p w14:paraId="10AF82BA" w14:textId="5D129E95" w:rsidR="00885DFB" w:rsidRPr="00820CB7" w:rsidRDefault="00885DFB" w:rsidP="00A83123">
      <w:pPr>
        <w:pStyle w:val="ListParagraph"/>
        <w:numPr>
          <w:ilvl w:val="0"/>
          <w:numId w:val="25"/>
        </w:numPr>
        <w:spacing w:before="240" w:line="360" w:lineRule="auto"/>
        <w:jc w:val="both"/>
        <w:rPr>
          <w:rFonts w:asciiTheme="majorBidi" w:eastAsia="Calibri" w:hAnsiTheme="majorBidi" w:cstheme="majorBidi"/>
        </w:rPr>
      </w:pPr>
      <w:r w:rsidRPr="00820CB7">
        <w:rPr>
          <w:rFonts w:asciiTheme="majorBidi" w:eastAsia="Calibri" w:hAnsiTheme="majorBidi" w:cstheme="majorBidi"/>
        </w:rPr>
        <w:t xml:space="preserve">A systematic review update of </w:t>
      </w:r>
      <w:proofErr w:type="spellStart"/>
      <w:r w:rsidRPr="00820CB7">
        <w:rPr>
          <w:rFonts w:asciiTheme="majorBidi" w:eastAsia="Calibri" w:hAnsiTheme="majorBidi" w:cstheme="majorBidi"/>
        </w:rPr>
        <w:t>Bassetti</w:t>
      </w:r>
      <w:proofErr w:type="spellEnd"/>
      <w:r w:rsidRPr="00820CB7">
        <w:rPr>
          <w:rFonts w:asciiTheme="majorBidi" w:eastAsia="Calibri" w:hAnsiTheme="majorBidi" w:cstheme="majorBidi"/>
        </w:rPr>
        <w:t xml:space="preserve"> </w:t>
      </w:r>
      <w:r w:rsidRPr="00F95622">
        <w:rPr>
          <w:rFonts w:asciiTheme="majorBidi" w:eastAsia="Calibri" w:hAnsiTheme="majorBidi" w:cstheme="majorBidi"/>
          <w:i/>
          <w:iCs/>
        </w:rPr>
        <w:t>et al</w:t>
      </w:r>
      <w:r w:rsidR="00F95622">
        <w:rPr>
          <w:rFonts w:asciiTheme="majorBidi" w:eastAsia="Calibri" w:hAnsiTheme="majorBidi" w:cstheme="majorBidi"/>
          <w:i/>
          <w:iCs/>
        </w:rPr>
        <w:t>.</w:t>
      </w:r>
      <w:r w:rsidRPr="00820CB7">
        <w:rPr>
          <w:rFonts w:asciiTheme="majorBidi" w:eastAsia="Calibri" w:hAnsiTheme="majorBidi" w:cstheme="majorBidi"/>
        </w:rPr>
        <w:t xml:space="preserve"> 2020.</w:t>
      </w:r>
      <w:r w:rsidR="00A83123" w:rsidRPr="00A83123">
        <w:rPr>
          <w:rFonts w:asciiTheme="majorBidi" w:eastAsia="Calibri" w:hAnsiTheme="majorBidi" w:cstheme="majorBidi"/>
          <w:noProof/>
          <w:vertAlign w:val="superscript"/>
        </w:rPr>
        <w:t>83</w:t>
      </w:r>
    </w:p>
    <w:p w14:paraId="434751EA" w14:textId="2CC3226D" w:rsidR="003841B7" w:rsidRDefault="00885DFB" w:rsidP="003E0308">
      <w:pPr>
        <w:pStyle w:val="ListParagraph"/>
        <w:numPr>
          <w:ilvl w:val="0"/>
          <w:numId w:val="25"/>
        </w:numPr>
        <w:spacing w:before="240" w:line="360" w:lineRule="auto"/>
        <w:jc w:val="both"/>
        <w:rPr>
          <w:rFonts w:asciiTheme="majorBidi" w:eastAsia="Calibri" w:hAnsiTheme="majorBidi" w:cstheme="majorBidi"/>
        </w:rPr>
      </w:pPr>
      <w:r w:rsidRPr="003841B7">
        <w:rPr>
          <w:rFonts w:asciiTheme="majorBidi" w:eastAsia="Calibri" w:hAnsiTheme="majorBidi" w:cstheme="majorBidi"/>
        </w:rPr>
        <w:t xml:space="preserve">Searching and screening </w:t>
      </w:r>
      <w:r w:rsidR="00785819" w:rsidRPr="003841B7">
        <w:rPr>
          <w:rFonts w:asciiTheme="majorBidi" w:eastAsia="Calibri" w:hAnsiTheme="majorBidi" w:cstheme="majorBidi"/>
        </w:rPr>
        <w:t xml:space="preserve">of </w:t>
      </w:r>
      <w:r w:rsidRPr="003841B7">
        <w:rPr>
          <w:rFonts w:asciiTheme="majorBidi" w:eastAsia="Calibri" w:hAnsiTheme="majorBidi" w:cstheme="majorBidi"/>
        </w:rPr>
        <w:t>additional databases</w:t>
      </w:r>
      <w:r w:rsidR="003841B7" w:rsidRPr="003841B7">
        <w:rPr>
          <w:rFonts w:asciiTheme="majorBidi" w:eastAsia="Calibri" w:hAnsiTheme="majorBidi" w:cstheme="majorBidi"/>
        </w:rPr>
        <w:t xml:space="preserve"> and review of studies included within </w:t>
      </w:r>
      <w:proofErr w:type="spellStart"/>
      <w:r w:rsidR="003841B7" w:rsidRPr="00820CB7">
        <w:rPr>
          <w:rFonts w:asciiTheme="majorBidi" w:eastAsia="Calibri" w:hAnsiTheme="majorBidi" w:cstheme="majorBidi"/>
        </w:rPr>
        <w:t>Bassetti</w:t>
      </w:r>
      <w:proofErr w:type="spellEnd"/>
      <w:r w:rsidR="003841B7" w:rsidRPr="00820CB7">
        <w:rPr>
          <w:rFonts w:asciiTheme="majorBidi" w:eastAsia="Calibri" w:hAnsiTheme="majorBidi" w:cstheme="majorBidi"/>
        </w:rPr>
        <w:t xml:space="preserve"> </w:t>
      </w:r>
      <w:r w:rsidR="003841B7" w:rsidRPr="00F95622">
        <w:rPr>
          <w:rFonts w:asciiTheme="majorBidi" w:eastAsia="Calibri" w:hAnsiTheme="majorBidi" w:cstheme="majorBidi"/>
          <w:i/>
          <w:iCs/>
        </w:rPr>
        <w:t>et al</w:t>
      </w:r>
      <w:r w:rsidR="003841B7">
        <w:rPr>
          <w:rFonts w:asciiTheme="majorBidi" w:eastAsia="Calibri" w:hAnsiTheme="majorBidi" w:cstheme="majorBidi"/>
          <w:i/>
          <w:iCs/>
        </w:rPr>
        <w:t>.</w:t>
      </w:r>
      <w:r w:rsidR="003841B7" w:rsidRPr="00820CB7">
        <w:rPr>
          <w:rFonts w:asciiTheme="majorBidi" w:eastAsia="Calibri" w:hAnsiTheme="majorBidi" w:cstheme="majorBidi"/>
        </w:rPr>
        <w:t xml:space="preserve"> 2020.</w:t>
      </w:r>
      <w:r w:rsidR="003841B7" w:rsidRPr="00A83123">
        <w:rPr>
          <w:rFonts w:asciiTheme="majorBidi" w:eastAsia="Calibri" w:hAnsiTheme="majorBidi" w:cstheme="majorBidi"/>
          <w:noProof/>
          <w:vertAlign w:val="superscript"/>
        </w:rPr>
        <w:t>83</w:t>
      </w:r>
    </w:p>
    <w:p w14:paraId="28EF3C56" w14:textId="14E57F0A" w:rsidR="00885DFB" w:rsidRPr="003841B7" w:rsidRDefault="00EB5910" w:rsidP="003E0308">
      <w:pPr>
        <w:pStyle w:val="ListParagraph"/>
        <w:numPr>
          <w:ilvl w:val="0"/>
          <w:numId w:val="25"/>
        </w:numPr>
        <w:spacing w:before="240" w:line="360" w:lineRule="auto"/>
        <w:jc w:val="both"/>
        <w:rPr>
          <w:rFonts w:asciiTheme="majorBidi" w:eastAsia="Calibri" w:hAnsiTheme="majorBidi" w:cstheme="majorBidi"/>
        </w:rPr>
      </w:pPr>
      <w:r w:rsidRPr="003841B7">
        <w:rPr>
          <w:rFonts w:asciiTheme="majorBidi" w:eastAsia="Calibri" w:hAnsiTheme="majorBidi" w:cstheme="majorBidi"/>
        </w:rPr>
        <w:t>Review</w:t>
      </w:r>
      <w:r w:rsidR="00785819" w:rsidRPr="003841B7">
        <w:rPr>
          <w:rFonts w:asciiTheme="majorBidi" w:eastAsia="Calibri" w:hAnsiTheme="majorBidi" w:cstheme="majorBidi"/>
        </w:rPr>
        <w:t xml:space="preserve"> of</w:t>
      </w:r>
      <w:r w:rsidR="00885DFB" w:rsidRPr="003841B7">
        <w:rPr>
          <w:rFonts w:asciiTheme="majorBidi" w:eastAsia="Calibri" w:hAnsiTheme="majorBidi" w:cstheme="majorBidi"/>
        </w:rPr>
        <w:t xml:space="preserve"> the RCTs</w:t>
      </w:r>
      <w:r w:rsidRPr="003841B7">
        <w:rPr>
          <w:rFonts w:asciiTheme="majorBidi" w:eastAsia="Calibri" w:hAnsiTheme="majorBidi" w:cstheme="majorBidi"/>
        </w:rPr>
        <w:t xml:space="preserve"> </w:t>
      </w:r>
      <w:r w:rsidR="00805F82" w:rsidRPr="003841B7">
        <w:rPr>
          <w:rFonts w:asciiTheme="majorBidi" w:eastAsia="Calibri" w:hAnsiTheme="majorBidi" w:cstheme="majorBidi"/>
        </w:rPr>
        <w:t xml:space="preserve">identified in Review 1 </w:t>
      </w:r>
      <w:r w:rsidRPr="003841B7">
        <w:rPr>
          <w:rFonts w:asciiTheme="majorBidi" w:eastAsia="Calibri" w:hAnsiTheme="majorBidi" w:cstheme="majorBidi"/>
        </w:rPr>
        <w:t>for any subgroup data</w:t>
      </w:r>
      <w:r w:rsidR="00885DFB" w:rsidRPr="003841B7">
        <w:rPr>
          <w:rFonts w:asciiTheme="majorBidi" w:eastAsia="Calibri" w:hAnsiTheme="majorBidi" w:cstheme="majorBidi"/>
        </w:rPr>
        <w:t xml:space="preserve">. </w:t>
      </w:r>
    </w:p>
    <w:p w14:paraId="7CEA71C6" w14:textId="77777777" w:rsidR="00885DFB" w:rsidRPr="00885DFB" w:rsidRDefault="00885DFB" w:rsidP="00885DFB">
      <w:pPr>
        <w:spacing w:before="240" w:line="360" w:lineRule="auto"/>
        <w:ind w:left="360"/>
        <w:contextualSpacing/>
        <w:jc w:val="both"/>
        <w:rPr>
          <w:rFonts w:ascii="Times New Roman" w:eastAsia="Calibri" w:hAnsi="Times New Roman" w:cs="Times New Roman"/>
        </w:rPr>
      </w:pPr>
    </w:p>
    <w:p w14:paraId="491BC485" w14:textId="2A90A301" w:rsidR="00885DFB" w:rsidRPr="00885DFB" w:rsidRDefault="00885DFB" w:rsidP="00A83123">
      <w:pPr>
        <w:numPr>
          <w:ilvl w:val="0"/>
          <w:numId w:val="18"/>
        </w:numPr>
        <w:spacing w:before="240" w:after="120" w:line="360" w:lineRule="auto"/>
        <w:contextualSpacing/>
        <w:jc w:val="both"/>
        <w:rPr>
          <w:rFonts w:ascii="Times New Roman" w:eastAsia="Calibri" w:hAnsi="Times New Roman" w:cs="Times New Roman"/>
        </w:rPr>
      </w:pPr>
      <w:proofErr w:type="spellStart"/>
      <w:r w:rsidRPr="00885DFB">
        <w:rPr>
          <w:rFonts w:asciiTheme="majorBidi" w:hAnsiTheme="majorBidi" w:cstheme="majorBidi"/>
        </w:rPr>
        <w:t>Bassetti</w:t>
      </w:r>
      <w:proofErr w:type="spellEnd"/>
      <w:r w:rsidRPr="00885DFB">
        <w:rPr>
          <w:rFonts w:asciiTheme="majorBidi" w:hAnsiTheme="majorBidi" w:cstheme="majorBidi"/>
        </w:rPr>
        <w:t xml:space="preserve"> et al 2020</w:t>
      </w:r>
      <w:r w:rsidR="00A83123" w:rsidRPr="00A83123">
        <w:rPr>
          <w:rFonts w:ascii="Times New Roman" w:eastAsia="Calibri" w:hAnsi="Times New Roman" w:cs="Times New Roman"/>
          <w:noProof/>
          <w:vertAlign w:val="superscript"/>
        </w:rPr>
        <w:t>83</w:t>
      </w:r>
      <w:r w:rsidRPr="00885DFB">
        <w:rPr>
          <w:rFonts w:ascii="Times New Roman" w:eastAsia="Calibri" w:hAnsi="Times New Roman" w:cs="Times New Roman"/>
        </w:rPr>
        <w:t xml:space="preserve"> </w:t>
      </w:r>
      <w:r w:rsidRPr="00885DFB">
        <w:rPr>
          <w:rFonts w:asciiTheme="majorBidi" w:hAnsiTheme="majorBidi" w:cstheme="majorBidi"/>
        </w:rPr>
        <w:t>systematically reviewed</w:t>
      </w:r>
      <w:r w:rsidRPr="00885DFB">
        <w:rPr>
          <w:rFonts w:ascii="Times New Roman" w:eastAsia="Calibri" w:hAnsi="Times New Roman" w:cs="Times New Roman"/>
        </w:rPr>
        <w:t xml:space="preserve"> the impact of appropriate and inappropriate antibacterial therapy on clinical outcomes of patients with severe bacterial infections, where appropriate therapy was </w:t>
      </w:r>
      <w:r w:rsidR="00805F82">
        <w:rPr>
          <w:rFonts w:ascii="Times New Roman" w:eastAsia="Calibri" w:hAnsi="Times New Roman" w:cs="Times New Roman"/>
        </w:rPr>
        <w:t xml:space="preserve">defined as </w:t>
      </w:r>
      <w:r w:rsidRPr="00885DFB">
        <w:rPr>
          <w:rFonts w:ascii="Times New Roman" w:eastAsia="Calibri" w:hAnsi="Times New Roman" w:cs="Times New Roman"/>
        </w:rPr>
        <w:t xml:space="preserve">treatment with an antibiotic the isolate was susceptible to. The review was assessed for quality and relevance (see </w:t>
      </w:r>
      <w:r w:rsidRPr="00885DFB">
        <w:rPr>
          <w:rFonts w:ascii="Times New Roman" w:hAnsi="Times New Roman" w:cs="Times New Roman"/>
        </w:rPr>
        <w:t xml:space="preserve">Appendix </w:t>
      </w:r>
      <w:r w:rsidR="00DC41F5">
        <w:rPr>
          <w:rFonts w:ascii="Times New Roman" w:hAnsi="Times New Roman" w:cs="Times New Roman"/>
        </w:rPr>
        <w:t>8.1</w:t>
      </w:r>
      <w:r w:rsidRPr="00885DFB">
        <w:rPr>
          <w:rFonts w:ascii="Times New Roman" w:eastAsia="Calibri" w:hAnsi="Times New Roman" w:cs="Times New Roman"/>
        </w:rPr>
        <w:t xml:space="preserve">) and was judged to be of good quality and suitable for updating. The original review covered the period from 2007 (to ensure clinical practices were contemporary) and the searches were performed in 2018. </w:t>
      </w:r>
      <w:r w:rsidR="00805F82" w:rsidRPr="00805F82">
        <w:rPr>
          <w:rFonts w:ascii="Times New Roman" w:eastAsia="Calibri" w:hAnsi="Times New Roman" w:cs="Times New Roman"/>
        </w:rPr>
        <w:t xml:space="preserve">For the update, given resource and time constraints </w:t>
      </w:r>
      <w:r w:rsidR="00805F82">
        <w:rPr>
          <w:rFonts w:ascii="Times New Roman" w:eastAsia="Calibri" w:hAnsi="Times New Roman" w:cs="Times New Roman"/>
        </w:rPr>
        <w:t>t</w:t>
      </w:r>
      <w:r w:rsidR="00805F82" w:rsidRPr="00805F82">
        <w:rPr>
          <w:rFonts w:ascii="Times New Roman" w:eastAsia="Calibri" w:hAnsi="Times New Roman" w:cs="Times New Roman"/>
        </w:rPr>
        <w:t xml:space="preserve">he search strategy was restricted </w:t>
      </w:r>
      <w:r w:rsidR="00805F82">
        <w:rPr>
          <w:rFonts w:ascii="Times New Roman" w:eastAsia="Calibri" w:hAnsi="Times New Roman" w:cs="Times New Roman"/>
        </w:rPr>
        <w:t xml:space="preserve">to </w:t>
      </w:r>
      <w:r w:rsidRPr="00885DFB">
        <w:rPr>
          <w:rFonts w:ascii="Times New Roman" w:eastAsia="Calibri" w:hAnsi="Times New Roman" w:cs="Times New Roman"/>
        </w:rPr>
        <w:t>terms relating to the UK (since clinical practice may differ in other countries), the sites of interest (</w:t>
      </w:r>
      <w:proofErr w:type="spellStart"/>
      <w:r w:rsidRPr="00885DFB">
        <w:rPr>
          <w:rFonts w:ascii="Times New Roman" w:eastAsia="Calibri" w:hAnsi="Times New Roman" w:cs="Times New Roman"/>
        </w:rPr>
        <w:t>cUTI</w:t>
      </w:r>
      <w:proofErr w:type="spellEnd"/>
      <w:r w:rsidRPr="00885DFB">
        <w:rPr>
          <w:rFonts w:ascii="Times New Roman" w:eastAsia="Calibri" w:hAnsi="Times New Roman" w:cs="Times New Roman"/>
        </w:rPr>
        <w:t xml:space="preserve">, HAP/VAP), and to remove terms relating to treatment delay, which were included in </w:t>
      </w:r>
      <w:proofErr w:type="spellStart"/>
      <w:r w:rsidRPr="00885DFB">
        <w:rPr>
          <w:rFonts w:ascii="Times New Roman" w:eastAsia="Calibri" w:hAnsi="Times New Roman" w:cs="Times New Roman"/>
        </w:rPr>
        <w:t>Bassetti</w:t>
      </w:r>
      <w:proofErr w:type="spellEnd"/>
      <w:r w:rsidRPr="00885DFB">
        <w:rPr>
          <w:rFonts w:ascii="Times New Roman" w:eastAsia="Calibri" w:hAnsi="Times New Roman" w:cs="Times New Roman"/>
        </w:rPr>
        <w:t xml:space="preserve"> et al 2020</w:t>
      </w:r>
      <w:r w:rsidR="00A83123" w:rsidRPr="00A83123">
        <w:rPr>
          <w:rFonts w:ascii="Times New Roman" w:eastAsia="Calibri" w:hAnsi="Times New Roman" w:cs="Times New Roman"/>
          <w:noProof/>
          <w:vertAlign w:val="superscript"/>
        </w:rPr>
        <w:t>83</w:t>
      </w:r>
      <w:r w:rsidRPr="00885DFB">
        <w:rPr>
          <w:rFonts w:ascii="Times New Roman" w:eastAsia="Calibri" w:hAnsi="Times New Roman" w:cs="Times New Roman"/>
        </w:rPr>
        <w:t xml:space="preserve"> </w:t>
      </w:r>
      <w:r w:rsidRPr="00885DFB">
        <w:rPr>
          <w:rFonts w:asciiTheme="majorBidi" w:hAnsiTheme="majorBidi" w:cstheme="majorBidi"/>
        </w:rPr>
        <w:t xml:space="preserve">to address a separate review question </w:t>
      </w:r>
      <w:r w:rsidR="00785819">
        <w:rPr>
          <w:rFonts w:asciiTheme="majorBidi" w:hAnsiTheme="majorBidi" w:cstheme="majorBidi"/>
        </w:rPr>
        <w:t xml:space="preserve">(the effect of delayed appropriate antibiotic therapy) </w:t>
      </w:r>
      <w:r w:rsidRPr="00885DFB">
        <w:rPr>
          <w:rFonts w:asciiTheme="majorBidi" w:hAnsiTheme="majorBidi" w:cstheme="majorBidi"/>
        </w:rPr>
        <w:t xml:space="preserve">addressed in </w:t>
      </w:r>
      <w:proofErr w:type="spellStart"/>
      <w:r w:rsidRPr="00885DFB">
        <w:rPr>
          <w:rFonts w:asciiTheme="majorBidi" w:hAnsiTheme="majorBidi" w:cstheme="majorBidi"/>
        </w:rPr>
        <w:t>Zasowski</w:t>
      </w:r>
      <w:proofErr w:type="spellEnd"/>
      <w:r w:rsidRPr="00885DFB">
        <w:rPr>
          <w:rFonts w:asciiTheme="majorBidi" w:hAnsiTheme="majorBidi" w:cstheme="majorBidi"/>
        </w:rPr>
        <w:t xml:space="preserve"> et al 2020</w:t>
      </w:r>
      <w:r w:rsidRPr="00885DFB">
        <w:rPr>
          <w:rFonts w:ascii="Times New Roman" w:eastAsia="Calibri" w:hAnsi="Times New Roman" w:cs="Times New Roman"/>
        </w:rPr>
        <w:t>.</w:t>
      </w:r>
      <w:r w:rsidR="00A83123" w:rsidRPr="00A83123">
        <w:rPr>
          <w:rFonts w:ascii="Times New Roman" w:eastAsia="Calibri" w:hAnsi="Times New Roman" w:cs="Times New Roman"/>
          <w:noProof/>
          <w:vertAlign w:val="superscript"/>
        </w:rPr>
        <w:t>84</w:t>
      </w:r>
      <w:r w:rsidRPr="00885DFB">
        <w:rPr>
          <w:rFonts w:ascii="Times New Roman" w:eastAsia="Calibri" w:hAnsi="Times New Roman" w:cs="Times New Roman"/>
        </w:rPr>
        <w:t xml:space="preserve"> The adapted search </w:t>
      </w:r>
      <w:r w:rsidR="00805F82">
        <w:rPr>
          <w:rFonts w:ascii="Times New Roman" w:eastAsia="Calibri" w:hAnsi="Times New Roman" w:cs="Times New Roman"/>
        </w:rPr>
        <w:t xml:space="preserve">strategy </w:t>
      </w:r>
      <w:r w:rsidRPr="00885DFB">
        <w:rPr>
          <w:rFonts w:ascii="Times New Roman" w:eastAsia="Calibri" w:hAnsi="Times New Roman" w:cs="Times New Roman"/>
        </w:rPr>
        <w:t xml:space="preserve">was run from 2007 to June 2021, to capture any </w:t>
      </w:r>
      <w:r w:rsidR="00805F82">
        <w:rPr>
          <w:rFonts w:ascii="Times New Roman" w:eastAsia="Calibri" w:hAnsi="Times New Roman" w:cs="Times New Roman"/>
        </w:rPr>
        <w:t xml:space="preserve">new studies, as well as any </w:t>
      </w:r>
      <w:r w:rsidRPr="00885DFB">
        <w:rPr>
          <w:rFonts w:ascii="Times New Roman" w:eastAsia="Calibri" w:hAnsi="Times New Roman" w:cs="Times New Roman"/>
        </w:rPr>
        <w:t>studies the adapted strategy identified</w:t>
      </w:r>
      <w:r w:rsidR="00805F82">
        <w:rPr>
          <w:rFonts w:ascii="Times New Roman" w:eastAsia="Calibri" w:hAnsi="Times New Roman" w:cs="Times New Roman"/>
        </w:rPr>
        <w:t xml:space="preserve"> that were missed by the previous review (between 2007-2018)</w:t>
      </w:r>
      <w:r w:rsidRPr="00885DFB">
        <w:rPr>
          <w:rFonts w:ascii="Times New Roman" w:eastAsia="Calibri" w:hAnsi="Times New Roman" w:cs="Times New Roman"/>
        </w:rPr>
        <w:t xml:space="preserve">. It was </w:t>
      </w:r>
      <w:r w:rsidR="00A46A6C">
        <w:rPr>
          <w:rFonts w:ascii="Times New Roman" w:eastAsia="Calibri" w:hAnsi="Times New Roman" w:cs="Times New Roman"/>
        </w:rPr>
        <w:t xml:space="preserve">further </w:t>
      </w:r>
      <w:r w:rsidRPr="00885DFB">
        <w:rPr>
          <w:rFonts w:ascii="Times New Roman" w:eastAsia="Calibri" w:hAnsi="Times New Roman" w:cs="Times New Roman"/>
        </w:rPr>
        <w:t xml:space="preserve">noted that the </w:t>
      </w:r>
      <w:r w:rsidR="00805F82">
        <w:rPr>
          <w:rFonts w:ascii="Times New Roman" w:eastAsia="Calibri" w:hAnsi="Times New Roman" w:cs="Times New Roman"/>
        </w:rPr>
        <w:t xml:space="preserve">original </w:t>
      </w:r>
      <w:r w:rsidRPr="00885DFB">
        <w:rPr>
          <w:rFonts w:ascii="Times New Roman" w:eastAsia="Calibri" w:hAnsi="Times New Roman" w:cs="Times New Roman"/>
        </w:rPr>
        <w:t>search strategy did not include search terms relating to susceptibility, and therefore an additional search</w:t>
      </w:r>
      <w:r w:rsidR="00805F82">
        <w:rPr>
          <w:rFonts w:ascii="Times New Roman" w:eastAsia="Calibri" w:hAnsi="Times New Roman" w:cs="Times New Roman"/>
        </w:rPr>
        <w:t>, using this search term,</w:t>
      </w:r>
      <w:r w:rsidRPr="00885DFB">
        <w:rPr>
          <w:rFonts w:ascii="Times New Roman" w:eastAsia="Calibri" w:hAnsi="Times New Roman" w:cs="Times New Roman"/>
        </w:rPr>
        <w:t xml:space="preserve"> was conducted to capture any additional studies from 2007 onwards. The search strategies are presented in </w:t>
      </w:r>
      <w:r w:rsidRPr="00885DFB">
        <w:rPr>
          <w:rFonts w:ascii="Times New Roman" w:hAnsi="Times New Roman" w:cs="Times New Roman"/>
        </w:rPr>
        <w:t xml:space="preserve">Appendix </w:t>
      </w:r>
      <w:r w:rsidR="000574E4">
        <w:rPr>
          <w:rFonts w:ascii="Times New Roman" w:hAnsi="Times New Roman" w:cs="Times New Roman"/>
        </w:rPr>
        <w:t>1.3.4</w:t>
      </w:r>
      <w:r w:rsidRPr="00885DFB">
        <w:rPr>
          <w:rFonts w:ascii="Times New Roman" w:eastAsia="Calibri" w:hAnsi="Times New Roman" w:cs="Times New Roman"/>
        </w:rPr>
        <w:t xml:space="preserve"> and were run in Ovid MEDLINE and </w:t>
      </w:r>
      <w:proofErr w:type="spellStart"/>
      <w:r w:rsidRPr="00885DFB">
        <w:rPr>
          <w:rFonts w:ascii="Times New Roman" w:eastAsia="Calibri" w:hAnsi="Times New Roman" w:cs="Times New Roman"/>
        </w:rPr>
        <w:t>Epub</w:t>
      </w:r>
      <w:proofErr w:type="spellEnd"/>
      <w:r w:rsidRPr="00885DFB">
        <w:rPr>
          <w:rFonts w:ascii="Times New Roman" w:eastAsia="Calibri" w:hAnsi="Times New Roman" w:cs="Times New Roman"/>
        </w:rPr>
        <w:t xml:space="preserve"> Ahead of Print, In-Process, </w:t>
      </w:r>
      <w:r w:rsidRPr="00885DFB">
        <w:rPr>
          <w:rFonts w:ascii="Times New Roman" w:eastAsia="Calibri" w:hAnsi="Times New Roman" w:cs="Times New Roman"/>
        </w:rPr>
        <w:lastRenderedPageBreak/>
        <w:t>In-Data-Review &amp; Other Non-Indexed Citations, Daily and Versions: Ovid, 1946 to Present. Studies included in the original review and citations identified by the search strategy were assessed for relevance against pre-specified inclusion criteria listed in</w:t>
      </w:r>
      <w:r w:rsidR="00853E88">
        <w:rPr>
          <w:rFonts w:ascii="Times New Roman" w:eastAsia="Calibri" w:hAnsi="Times New Roman" w:cs="Times New Roman"/>
        </w:rPr>
        <w:t xml:space="preserve"> </w:t>
      </w:r>
      <w:r w:rsidR="00A04653" w:rsidRPr="004C77FF">
        <w:rPr>
          <w:rFonts w:ascii="Times New Roman" w:eastAsia="Calibri" w:hAnsi="Times New Roman" w:cs="Times New Roman"/>
        </w:rPr>
        <w:t>Table 11</w:t>
      </w:r>
      <w:r w:rsidRPr="00885DFB">
        <w:rPr>
          <w:rFonts w:ascii="Times New Roman" w:eastAsia="Calibri" w:hAnsi="Times New Roman" w:cs="Times New Roman"/>
        </w:rPr>
        <w:t xml:space="preserve">. </w:t>
      </w:r>
    </w:p>
    <w:p w14:paraId="494F0B71" w14:textId="77777777" w:rsidR="00885DFB" w:rsidRPr="00885DFB" w:rsidRDefault="00885DFB" w:rsidP="00885DFB">
      <w:pPr>
        <w:spacing w:before="240" w:line="360" w:lineRule="auto"/>
        <w:ind w:left="360"/>
        <w:contextualSpacing/>
        <w:jc w:val="both"/>
        <w:rPr>
          <w:rFonts w:ascii="Times New Roman" w:eastAsia="Calibri" w:hAnsi="Times New Roman" w:cs="Times New Roman"/>
        </w:rPr>
      </w:pPr>
    </w:p>
    <w:p w14:paraId="7876C1D1" w14:textId="2CC99381" w:rsidR="00885DFB" w:rsidRPr="00885DFB" w:rsidRDefault="00885DFB" w:rsidP="00A83123">
      <w:pPr>
        <w:numPr>
          <w:ilvl w:val="0"/>
          <w:numId w:val="18"/>
        </w:numPr>
        <w:spacing w:before="240" w:after="120" w:line="360" w:lineRule="auto"/>
        <w:contextualSpacing/>
        <w:jc w:val="both"/>
        <w:rPr>
          <w:rFonts w:ascii="Times New Roman" w:eastAsia="Calibri" w:hAnsi="Times New Roman" w:cs="Times New Roman"/>
        </w:rPr>
      </w:pPr>
      <w:r w:rsidRPr="00885DFB">
        <w:rPr>
          <w:rFonts w:ascii="Times New Roman" w:eastAsia="Calibri" w:hAnsi="Times New Roman" w:cs="Times New Roman"/>
        </w:rPr>
        <w:t xml:space="preserve">In addition to the update of </w:t>
      </w:r>
      <w:proofErr w:type="spellStart"/>
      <w:r w:rsidRPr="00885DFB">
        <w:rPr>
          <w:rFonts w:ascii="Times New Roman" w:eastAsia="Calibri" w:hAnsi="Times New Roman" w:cs="Times New Roman"/>
        </w:rPr>
        <w:t>Bassetti</w:t>
      </w:r>
      <w:proofErr w:type="spellEnd"/>
      <w:r w:rsidR="00F95622">
        <w:rPr>
          <w:rFonts w:ascii="Times New Roman" w:eastAsia="Calibri" w:hAnsi="Times New Roman" w:cs="Times New Roman"/>
        </w:rPr>
        <w:t xml:space="preserve"> </w:t>
      </w:r>
      <w:r w:rsidR="00F95622" w:rsidRPr="00F95622">
        <w:rPr>
          <w:rFonts w:ascii="Times New Roman" w:eastAsia="Calibri" w:hAnsi="Times New Roman" w:cs="Times New Roman"/>
          <w:i/>
          <w:iCs/>
        </w:rPr>
        <w:t>et al.</w:t>
      </w:r>
      <w:r w:rsidRPr="00885DFB">
        <w:rPr>
          <w:rFonts w:ascii="Times New Roman" w:eastAsia="Calibri" w:hAnsi="Times New Roman" w:cs="Times New Roman"/>
        </w:rPr>
        <w:t>,</w:t>
      </w:r>
      <w:r w:rsidR="00A83123" w:rsidRPr="00A83123">
        <w:rPr>
          <w:rFonts w:ascii="Times New Roman" w:eastAsia="Calibri" w:hAnsi="Times New Roman" w:cs="Times New Roman"/>
          <w:noProof/>
          <w:vertAlign w:val="superscript"/>
        </w:rPr>
        <w:t>83</w:t>
      </w:r>
      <w:r w:rsidRPr="00885DFB">
        <w:rPr>
          <w:rFonts w:ascii="Times New Roman" w:eastAsia="Calibri" w:hAnsi="Times New Roman" w:cs="Times New Roman"/>
        </w:rPr>
        <w:t xml:space="preserve"> </w:t>
      </w:r>
      <w:proofErr w:type="gramStart"/>
      <w:r w:rsidRPr="00885DFB">
        <w:rPr>
          <w:rFonts w:ascii="Times New Roman" w:eastAsia="Calibri" w:hAnsi="Times New Roman" w:cs="Times New Roman"/>
        </w:rPr>
        <w:t>a number of</w:t>
      </w:r>
      <w:proofErr w:type="gramEnd"/>
      <w:r w:rsidRPr="00885DFB">
        <w:rPr>
          <w:rFonts w:ascii="Times New Roman" w:eastAsia="Calibri" w:hAnsi="Times New Roman" w:cs="Times New Roman"/>
        </w:rPr>
        <w:t xml:space="preserve"> other approaches were taken to identify relevant studies (more detail is provided in </w:t>
      </w:r>
      <w:r w:rsidRPr="00885DFB">
        <w:rPr>
          <w:rFonts w:ascii="Times New Roman" w:hAnsi="Times New Roman" w:cs="Times New Roman"/>
        </w:rPr>
        <w:t xml:space="preserve">Appendix </w:t>
      </w:r>
      <w:r w:rsidR="00DC41F5">
        <w:rPr>
          <w:rFonts w:ascii="Times New Roman" w:hAnsi="Times New Roman" w:cs="Times New Roman"/>
        </w:rPr>
        <w:t>8.</w:t>
      </w:r>
      <w:r w:rsidR="000574E4">
        <w:rPr>
          <w:rFonts w:ascii="Times New Roman" w:hAnsi="Times New Roman" w:cs="Times New Roman"/>
        </w:rPr>
        <w:t>2</w:t>
      </w:r>
      <w:r w:rsidRPr="00885DFB">
        <w:rPr>
          <w:rFonts w:ascii="Times New Roman" w:eastAsia="Calibri" w:hAnsi="Times New Roman" w:cs="Times New Roman"/>
        </w:rPr>
        <w:t xml:space="preserve">): </w:t>
      </w:r>
    </w:p>
    <w:p w14:paraId="7EF671F9" w14:textId="14791D4F" w:rsidR="00885DFB" w:rsidRPr="00885DFB" w:rsidRDefault="00885DFB" w:rsidP="00EE6004">
      <w:pPr>
        <w:numPr>
          <w:ilvl w:val="0"/>
          <w:numId w:val="3"/>
        </w:numPr>
        <w:spacing w:before="240" w:after="120" w:line="360" w:lineRule="auto"/>
        <w:contextualSpacing/>
        <w:jc w:val="both"/>
        <w:rPr>
          <w:rFonts w:asciiTheme="majorBidi" w:hAnsiTheme="majorBidi" w:cstheme="majorBidi"/>
        </w:rPr>
      </w:pPr>
      <w:r w:rsidRPr="00885DFB">
        <w:rPr>
          <w:rFonts w:asciiTheme="majorBidi" w:hAnsiTheme="majorBidi" w:cstheme="majorBidi"/>
        </w:rPr>
        <w:t xml:space="preserve">A large database (3172 references) was created, based on search terms for the mechanisms of resistance relevant to the two concurrent EEPRU </w:t>
      </w:r>
      <w:r w:rsidR="00785819" w:rsidRPr="00885DFB">
        <w:rPr>
          <w:rFonts w:asciiTheme="majorBidi" w:hAnsiTheme="majorBidi" w:cstheme="majorBidi"/>
        </w:rPr>
        <w:t>evaluations</w:t>
      </w:r>
      <w:r w:rsidRPr="00885DFB">
        <w:rPr>
          <w:rFonts w:asciiTheme="majorBidi" w:hAnsiTheme="majorBidi" w:cstheme="majorBidi"/>
        </w:rPr>
        <w:t xml:space="preserve"> relating to </w:t>
      </w:r>
      <w:r w:rsidRPr="000056E1">
        <w:rPr>
          <w:rFonts w:asciiTheme="majorBidi" w:hAnsiTheme="majorBidi" w:cstheme="majorBidi"/>
        </w:rPr>
        <w:t>CAZ-AVI</w:t>
      </w:r>
      <w:r w:rsidRPr="00885DFB">
        <w:rPr>
          <w:rFonts w:asciiTheme="majorBidi" w:hAnsiTheme="majorBidi" w:cstheme="majorBidi"/>
        </w:rPr>
        <w:t xml:space="preserve"> and </w:t>
      </w:r>
      <w:proofErr w:type="spellStart"/>
      <w:r w:rsidR="00785819">
        <w:rPr>
          <w:rFonts w:asciiTheme="majorBidi" w:hAnsiTheme="majorBidi" w:cstheme="majorBidi"/>
        </w:rPr>
        <w:t>cefiderocol</w:t>
      </w:r>
      <w:proofErr w:type="spellEnd"/>
      <w:r w:rsidRPr="00885DFB">
        <w:rPr>
          <w:rFonts w:asciiTheme="majorBidi" w:hAnsiTheme="majorBidi" w:cstheme="majorBidi"/>
        </w:rPr>
        <w:t xml:space="preserve"> (namely MLB, NDM, VIM and IMP). This database was then </w:t>
      </w:r>
      <w:r w:rsidR="00785819">
        <w:rPr>
          <w:rFonts w:asciiTheme="majorBidi" w:hAnsiTheme="majorBidi" w:cstheme="majorBidi"/>
        </w:rPr>
        <w:t>searched</w:t>
      </w:r>
      <w:r w:rsidRPr="00885DFB">
        <w:rPr>
          <w:rFonts w:asciiTheme="majorBidi" w:hAnsiTheme="majorBidi" w:cstheme="majorBidi"/>
        </w:rPr>
        <w:t xml:space="preserve"> using a series of keywords and phrases to identify relevant studies. The search strategy is presented in </w:t>
      </w:r>
      <w:r w:rsidR="00DC41F5">
        <w:rPr>
          <w:rFonts w:asciiTheme="majorBidi" w:hAnsiTheme="majorBidi" w:cstheme="majorBidi"/>
        </w:rPr>
        <w:t>Appendix 1.3.2.</w:t>
      </w:r>
    </w:p>
    <w:p w14:paraId="4F7F51D2" w14:textId="3A9D3BC2" w:rsidR="00885DFB" w:rsidRPr="00885DFB" w:rsidRDefault="00885DFB" w:rsidP="00EE6004">
      <w:pPr>
        <w:numPr>
          <w:ilvl w:val="0"/>
          <w:numId w:val="3"/>
        </w:numPr>
        <w:spacing w:before="240" w:after="120" w:line="360" w:lineRule="auto"/>
        <w:contextualSpacing/>
        <w:jc w:val="both"/>
        <w:rPr>
          <w:rFonts w:asciiTheme="majorBidi" w:hAnsiTheme="majorBidi" w:cstheme="majorBidi"/>
        </w:rPr>
      </w:pPr>
      <w:r w:rsidRPr="00885DFB">
        <w:rPr>
          <w:rFonts w:asciiTheme="majorBidi" w:hAnsiTheme="majorBidi" w:cstheme="majorBidi"/>
        </w:rPr>
        <w:t xml:space="preserve">Screening, citation </w:t>
      </w:r>
      <w:proofErr w:type="gramStart"/>
      <w:r w:rsidRPr="00885DFB">
        <w:rPr>
          <w:rFonts w:asciiTheme="majorBidi" w:hAnsiTheme="majorBidi" w:cstheme="majorBidi"/>
        </w:rPr>
        <w:t>searching</w:t>
      </w:r>
      <w:proofErr w:type="gramEnd"/>
      <w:r w:rsidRPr="00885DFB">
        <w:rPr>
          <w:rFonts w:asciiTheme="majorBidi" w:hAnsiTheme="majorBidi" w:cstheme="majorBidi"/>
        </w:rPr>
        <w:t xml:space="preserve"> and reference checking of studies retrieved by a search for cost-effectiveness models (66 references) (see Section</w:t>
      </w:r>
      <w:r w:rsidR="00AD709F">
        <w:rPr>
          <w:rFonts w:asciiTheme="majorBidi" w:hAnsiTheme="majorBidi" w:cstheme="majorBidi"/>
        </w:rPr>
        <w:t xml:space="preserve"> 6.1</w:t>
      </w:r>
      <w:r w:rsidRPr="00885DFB">
        <w:rPr>
          <w:rFonts w:asciiTheme="majorBidi" w:hAnsiTheme="majorBidi" w:cstheme="majorBidi"/>
        </w:rPr>
        <w:t>)</w:t>
      </w:r>
    </w:p>
    <w:p w14:paraId="6272C293" w14:textId="5BED6AE5" w:rsidR="00885DFB" w:rsidRPr="00885DFB" w:rsidRDefault="00785819" w:rsidP="00EE6004">
      <w:pPr>
        <w:numPr>
          <w:ilvl w:val="0"/>
          <w:numId w:val="3"/>
        </w:numPr>
        <w:spacing w:before="240" w:after="120" w:line="360" w:lineRule="auto"/>
        <w:contextualSpacing/>
        <w:jc w:val="both"/>
        <w:rPr>
          <w:rFonts w:asciiTheme="majorBidi" w:hAnsiTheme="majorBidi" w:cstheme="majorBidi"/>
        </w:rPr>
      </w:pPr>
      <w:r>
        <w:rPr>
          <w:rFonts w:asciiTheme="majorBidi" w:hAnsiTheme="majorBidi" w:cstheme="majorBidi"/>
        </w:rPr>
        <w:t>Keyword search</w:t>
      </w:r>
      <w:r w:rsidR="00885DFB" w:rsidRPr="00885DFB">
        <w:rPr>
          <w:rFonts w:asciiTheme="majorBidi" w:hAnsiTheme="majorBidi" w:cstheme="majorBidi"/>
        </w:rPr>
        <w:t xml:space="preserve"> of the Endnote library provided by Shionogi as part the EEPRU evaluation of </w:t>
      </w:r>
      <w:proofErr w:type="spellStart"/>
      <w:r w:rsidR="00885DFB" w:rsidRPr="00885DFB">
        <w:rPr>
          <w:rFonts w:asciiTheme="majorBidi" w:hAnsiTheme="majorBidi" w:cstheme="majorBidi"/>
        </w:rPr>
        <w:t>cefiderocol</w:t>
      </w:r>
      <w:proofErr w:type="spellEnd"/>
      <w:r w:rsidR="00885DFB" w:rsidRPr="00885DFB">
        <w:rPr>
          <w:rFonts w:asciiTheme="majorBidi" w:hAnsiTheme="majorBidi" w:cstheme="majorBidi"/>
        </w:rPr>
        <w:t xml:space="preserve"> (1261 references), </w:t>
      </w:r>
    </w:p>
    <w:p w14:paraId="679F60B6" w14:textId="77777777" w:rsidR="00885DFB" w:rsidRPr="00885DFB" w:rsidRDefault="00885DFB" w:rsidP="00EE6004">
      <w:pPr>
        <w:numPr>
          <w:ilvl w:val="0"/>
          <w:numId w:val="3"/>
        </w:numPr>
        <w:spacing w:before="240" w:after="120" w:line="360" w:lineRule="auto"/>
        <w:contextualSpacing/>
        <w:jc w:val="both"/>
        <w:rPr>
          <w:rFonts w:asciiTheme="majorBidi" w:hAnsiTheme="majorBidi" w:cstheme="majorBidi"/>
        </w:rPr>
      </w:pPr>
      <w:r w:rsidRPr="00885DFB">
        <w:rPr>
          <w:rFonts w:asciiTheme="majorBidi" w:hAnsiTheme="majorBidi" w:cstheme="majorBidi"/>
        </w:rPr>
        <w:t xml:space="preserve">Screening the list of key references provided by Shionogi as part the EEPRU evaluation of </w:t>
      </w:r>
      <w:proofErr w:type="spellStart"/>
      <w:r w:rsidRPr="00885DFB">
        <w:rPr>
          <w:rFonts w:asciiTheme="majorBidi" w:hAnsiTheme="majorBidi" w:cstheme="majorBidi"/>
        </w:rPr>
        <w:t>cefiderocol</w:t>
      </w:r>
      <w:proofErr w:type="spellEnd"/>
      <w:r w:rsidRPr="00885DFB">
        <w:rPr>
          <w:rFonts w:asciiTheme="majorBidi" w:hAnsiTheme="majorBidi" w:cstheme="majorBidi"/>
        </w:rPr>
        <w:t xml:space="preserve"> (45 references), </w:t>
      </w:r>
    </w:p>
    <w:p w14:paraId="684E01C1" w14:textId="10D92CE4" w:rsidR="00885DFB" w:rsidRPr="00885DFB" w:rsidRDefault="00785819" w:rsidP="00EE6004">
      <w:pPr>
        <w:numPr>
          <w:ilvl w:val="0"/>
          <w:numId w:val="3"/>
        </w:numPr>
        <w:spacing w:before="240" w:after="120" w:line="360" w:lineRule="auto"/>
        <w:contextualSpacing/>
        <w:jc w:val="both"/>
        <w:rPr>
          <w:rFonts w:asciiTheme="majorBidi" w:hAnsiTheme="majorBidi" w:cstheme="majorBidi"/>
        </w:rPr>
      </w:pPr>
      <w:r>
        <w:rPr>
          <w:rFonts w:asciiTheme="majorBidi" w:hAnsiTheme="majorBidi" w:cstheme="majorBidi"/>
        </w:rPr>
        <w:t>Keyword search</w:t>
      </w:r>
      <w:r w:rsidR="00885DFB" w:rsidRPr="00885DFB">
        <w:rPr>
          <w:rFonts w:asciiTheme="majorBidi" w:hAnsiTheme="majorBidi" w:cstheme="majorBidi"/>
        </w:rPr>
        <w:t xml:space="preserve"> of references provided by Pfizer as part of the EEPRU evaluation of CAZ-AVI (299 references), </w:t>
      </w:r>
    </w:p>
    <w:p w14:paraId="13A62893" w14:textId="3E4D461B" w:rsidR="00885DFB" w:rsidRPr="00885DFB" w:rsidRDefault="00885DFB" w:rsidP="00A83123">
      <w:pPr>
        <w:numPr>
          <w:ilvl w:val="0"/>
          <w:numId w:val="3"/>
        </w:numPr>
        <w:spacing w:before="240" w:after="120" w:line="360" w:lineRule="auto"/>
        <w:contextualSpacing/>
        <w:jc w:val="both"/>
        <w:rPr>
          <w:rFonts w:asciiTheme="majorBidi" w:hAnsiTheme="majorBidi" w:cstheme="majorBidi"/>
        </w:rPr>
      </w:pPr>
      <w:r w:rsidRPr="00885DFB">
        <w:rPr>
          <w:rFonts w:asciiTheme="majorBidi" w:hAnsiTheme="majorBidi" w:cstheme="majorBidi"/>
        </w:rPr>
        <w:t xml:space="preserve">Screening the studies included in two systematic review articles provided by Shionogi as part the EEPRU evaluation of </w:t>
      </w:r>
      <w:proofErr w:type="spellStart"/>
      <w:r w:rsidRPr="00885DFB">
        <w:rPr>
          <w:rFonts w:asciiTheme="majorBidi" w:hAnsiTheme="majorBidi" w:cstheme="majorBidi"/>
        </w:rPr>
        <w:t>cefiderocol</w:t>
      </w:r>
      <w:proofErr w:type="spellEnd"/>
      <w:r w:rsidRPr="00885DFB">
        <w:rPr>
          <w:rFonts w:asciiTheme="majorBidi" w:hAnsiTheme="majorBidi" w:cstheme="majorBidi"/>
        </w:rPr>
        <w:t xml:space="preserve"> (</w:t>
      </w:r>
      <w:proofErr w:type="spellStart"/>
      <w:r w:rsidRPr="00885DFB">
        <w:rPr>
          <w:rFonts w:asciiTheme="majorBidi" w:hAnsiTheme="majorBidi" w:cstheme="majorBidi"/>
        </w:rPr>
        <w:t>Zasowski</w:t>
      </w:r>
      <w:proofErr w:type="spellEnd"/>
      <w:r w:rsidRPr="00885DFB">
        <w:rPr>
          <w:rFonts w:asciiTheme="majorBidi" w:hAnsiTheme="majorBidi" w:cstheme="majorBidi"/>
        </w:rPr>
        <w:t xml:space="preserve"> et al., 2020;</w:t>
      </w:r>
      <w:r w:rsidR="00A83123" w:rsidRPr="00A83123">
        <w:rPr>
          <w:rFonts w:asciiTheme="majorBidi" w:hAnsiTheme="majorBidi" w:cstheme="majorBidi"/>
          <w:noProof/>
          <w:vertAlign w:val="superscript"/>
        </w:rPr>
        <w:t>84</w:t>
      </w:r>
      <w:r w:rsidRPr="00885DFB">
        <w:rPr>
          <w:rFonts w:asciiTheme="majorBidi" w:hAnsiTheme="majorBidi" w:cstheme="majorBidi"/>
        </w:rPr>
        <w:t xml:space="preserve"> </w:t>
      </w:r>
      <w:proofErr w:type="spellStart"/>
      <w:r w:rsidRPr="00885DFB">
        <w:rPr>
          <w:rFonts w:asciiTheme="majorBidi" w:hAnsiTheme="majorBidi" w:cstheme="majorBidi"/>
        </w:rPr>
        <w:t>Bassetti</w:t>
      </w:r>
      <w:proofErr w:type="spellEnd"/>
      <w:r w:rsidRPr="00885DFB">
        <w:rPr>
          <w:rFonts w:asciiTheme="majorBidi" w:hAnsiTheme="majorBidi" w:cstheme="majorBidi"/>
        </w:rPr>
        <w:t xml:space="preserve"> et al., 2020).</w:t>
      </w:r>
      <w:r w:rsidR="00A83123" w:rsidRPr="00A83123">
        <w:rPr>
          <w:rFonts w:ascii="Times New Roman" w:eastAsia="Calibri" w:hAnsi="Times New Roman" w:cs="Times New Roman"/>
          <w:noProof/>
          <w:vertAlign w:val="superscript"/>
        </w:rPr>
        <w:t>83</w:t>
      </w:r>
      <w:r w:rsidRPr="00885DFB">
        <w:rPr>
          <w:rFonts w:asciiTheme="majorBidi" w:hAnsiTheme="majorBidi" w:cstheme="majorBidi"/>
        </w:rPr>
        <w:t xml:space="preserve"> </w:t>
      </w:r>
    </w:p>
    <w:p w14:paraId="686F529C" w14:textId="77777777" w:rsidR="00885DFB" w:rsidRPr="00885DFB" w:rsidRDefault="00885DFB" w:rsidP="00885DFB">
      <w:pPr>
        <w:spacing w:before="240" w:after="120" w:line="360" w:lineRule="auto"/>
        <w:contextualSpacing/>
        <w:jc w:val="both"/>
        <w:rPr>
          <w:rFonts w:asciiTheme="majorBidi" w:hAnsiTheme="majorBidi" w:cstheme="majorBidi"/>
        </w:rPr>
      </w:pPr>
    </w:p>
    <w:p w14:paraId="11C12841" w14:textId="79413038" w:rsidR="00885DFB" w:rsidRPr="00885DFB" w:rsidRDefault="00885DFB" w:rsidP="005A3BE6">
      <w:pPr>
        <w:numPr>
          <w:ilvl w:val="0"/>
          <w:numId w:val="18"/>
        </w:numPr>
        <w:spacing w:after="0" w:line="360" w:lineRule="auto"/>
        <w:contextualSpacing/>
        <w:jc w:val="both"/>
        <w:rPr>
          <w:rFonts w:ascii="Times New Roman" w:eastAsia="Calibri" w:hAnsi="Times New Roman" w:cs="Times New Roman"/>
        </w:rPr>
      </w:pPr>
      <w:bookmarkStart w:id="198" w:name="_Hlk85831833"/>
      <w:r w:rsidRPr="00885DFB">
        <w:rPr>
          <w:rFonts w:ascii="Times New Roman" w:eastAsia="Calibri" w:hAnsi="Times New Roman" w:cs="Times New Roman"/>
        </w:rPr>
        <w:t>In addition to the two previous approaches, the RCTs identified for the intervention were examined for any additional data relating to this question</w:t>
      </w:r>
      <w:r w:rsidR="001648C3">
        <w:rPr>
          <w:rFonts w:ascii="Times New Roman" w:eastAsia="Calibri" w:hAnsi="Times New Roman" w:cs="Times New Roman"/>
        </w:rPr>
        <w:t xml:space="preserve"> (see Appendix 6.1 </w:t>
      </w:r>
      <w:r w:rsidR="001648C3" w:rsidRPr="001648C3">
        <w:rPr>
          <w:rFonts w:ascii="Times New Roman" w:eastAsia="Calibri" w:hAnsi="Times New Roman" w:cs="Times New Roman"/>
        </w:rPr>
        <w:t xml:space="preserve">and </w:t>
      </w:r>
      <w:r w:rsidR="001648C3" w:rsidRPr="002B12D8">
        <w:rPr>
          <w:rFonts w:asciiTheme="majorBidi" w:hAnsiTheme="majorBidi" w:cstheme="majorBidi"/>
          <w:iCs/>
          <w:sz w:val="20"/>
          <w:szCs w:val="20"/>
        </w:rPr>
        <w:t xml:space="preserve">Table </w:t>
      </w:r>
      <w:r w:rsidR="001648C3" w:rsidRPr="002B12D8">
        <w:rPr>
          <w:rFonts w:asciiTheme="majorBidi" w:hAnsiTheme="majorBidi" w:cstheme="majorBidi"/>
          <w:iCs/>
          <w:noProof/>
          <w:sz w:val="20"/>
          <w:szCs w:val="20"/>
        </w:rPr>
        <w:t>46</w:t>
      </w:r>
      <w:r w:rsidR="001648C3">
        <w:rPr>
          <w:rFonts w:ascii="Times New Roman" w:eastAsia="Calibri" w:hAnsi="Times New Roman" w:cs="Times New Roman"/>
        </w:rPr>
        <w:t>)</w:t>
      </w:r>
      <w:r w:rsidRPr="001648C3">
        <w:rPr>
          <w:rFonts w:ascii="Times New Roman" w:eastAsia="Calibri" w:hAnsi="Times New Roman" w:cs="Times New Roman"/>
        </w:rPr>
        <w:t>.</w:t>
      </w:r>
    </w:p>
    <w:p w14:paraId="3A320993" w14:textId="062404D4" w:rsidR="00885DFB" w:rsidRPr="00885DFB" w:rsidRDefault="00885DFB" w:rsidP="00885DFB">
      <w:pPr>
        <w:keepNext/>
        <w:spacing w:before="360" w:after="200" w:line="360" w:lineRule="auto"/>
        <w:rPr>
          <w:rFonts w:ascii="Times New Roman" w:hAnsi="Times New Roman" w:cs="Times New Roman"/>
          <w:b/>
          <w:iCs/>
          <w:sz w:val="20"/>
          <w:szCs w:val="18"/>
        </w:rPr>
      </w:pPr>
      <w:bookmarkStart w:id="199" w:name="_Ref78195196"/>
      <w:bookmarkStart w:id="200" w:name="_Toc77848057"/>
      <w:bookmarkStart w:id="201" w:name="_Toc83300846"/>
      <w:bookmarkStart w:id="202" w:name="_Toc83821905"/>
      <w:bookmarkStart w:id="203" w:name="_Toc86418988"/>
      <w:bookmarkEnd w:id="198"/>
      <w:r w:rsidRPr="00885DFB">
        <w:rPr>
          <w:rFonts w:ascii="Times New Roman" w:hAnsi="Times New Roman" w:cs="Times New Roman"/>
          <w:b/>
          <w:iCs/>
          <w:sz w:val="20"/>
          <w:szCs w:val="18"/>
        </w:rPr>
        <w:t xml:space="preserve">Table </w:t>
      </w:r>
      <w:r w:rsidR="00F10F0A">
        <w:rPr>
          <w:rFonts w:ascii="Times New Roman" w:hAnsi="Times New Roman" w:cs="Times New Roman"/>
          <w:b/>
          <w:iCs/>
          <w:noProof/>
          <w:sz w:val="20"/>
          <w:szCs w:val="18"/>
        </w:rPr>
        <w:t>11</w:t>
      </w:r>
      <w:bookmarkEnd w:id="199"/>
      <w:r w:rsidRPr="00885DFB">
        <w:rPr>
          <w:rFonts w:ascii="Times New Roman" w:hAnsi="Times New Roman" w:cs="Times New Roman"/>
          <w:b/>
          <w:iCs/>
          <w:sz w:val="20"/>
          <w:szCs w:val="18"/>
        </w:rPr>
        <w:t>: Inclusion criteria for the review of susceptibility and clinical outcomes</w:t>
      </w:r>
      <w:bookmarkEnd w:id="200"/>
      <w:bookmarkEnd w:id="201"/>
      <w:bookmarkEnd w:id="202"/>
      <w:bookmarkEnd w:id="203"/>
    </w:p>
    <w:tbl>
      <w:tblPr>
        <w:tblStyle w:val="TableGrid1"/>
        <w:tblW w:w="0" w:type="auto"/>
        <w:tblInd w:w="0" w:type="dxa"/>
        <w:tblLook w:val="04A0" w:firstRow="1" w:lastRow="0" w:firstColumn="1" w:lastColumn="0" w:noHBand="0" w:noVBand="1"/>
      </w:tblPr>
      <w:tblGrid>
        <w:gridCol w:w="3005"/>
        <w:gridCol w:w="2660"/>
        <w:gridCol w:w="3351"/>
      </w:tblGrid>
      <w:tr w:rsidR="00885DFB" w:rsidRPr="005E61DF" w14:paraId="46F200A7"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2CA61C94" w14:textId="77777777" w:rsidR="00885DFB" w:rsidRPr="005E61DF" w:rsidRDefault="00885DFB" w:rsidP="00885DFB">
            <w:pPr>
              <w:spacing w:line="360" w:lineRule="auto"/>
              <w:rPr>
                <w:rFonts w:asciiTheme="majorBidi" w:hAnsiTheme="majorBidi" w:cstheme="majorBidi"/>
                <w:b/>
              </w:rPr>
            </w:pPr>
            <w:r w:rsidRPr="005E61DF">
              <w:rPr>
                <w:rFonts w:asciiTheme="majorBidi" w:eastAsiaTheme="minorHAnsi" w:hAnsiTheme="majorBidi" w:cstheme="majorBidi"/>
                <w:b/>
              </w:rPr>
              <w:t>Item</w:t>
            </w:r>
          </w:p>
        </w:tc>
        <w:tc>
          <w:tcPr>
            <w:tcW w:w="2660" w:type="dxa"/>
            <w:tcBorders>
              <w:top w:val="single" w:sz="4" w:space="0" w:color="auto"/>
              <w:left w:val="single" w:sz="4" w:space="0" w:color="auto"/>
              <w:bottom w:val="single" w:sz="4" w:space="0" w:color="auto"/>
              <w:right w:val="single" w:sz="4" w:space="0" w:color="auto"/>
            </w:tcBorders>
            <w:hideMark/>
          </w:tcPr>
          <w:p w14:paraId="7BA31AE0" w14:textId="77777777" w:rsidR="00885DFB" w:rsidRPr="005E61DF" w:rsidRDefault="00885DFB" w:rsidP="00885DFB">
            <w:pPr>
              <w:spacing w:line="360" w:lineRule="auto"/>
              <w:rPr>
                <w:rFonts w:asciiTheme="majorBidi" w:hAnsiTheme="majorBidi" w:cstheme="majorBidi"/>
                <w:b/>
              </w:rPr>
            </w:pPr>
            <w:r w:rsidRPr="005E61DF">
              <w:rPr>
                <w:rFonts w:asciiTheme="majorBidi" w:eastAsiaTheme="minorHAnsi" w:hAnsiTheme="majorBidi" w:cstheme="majorBidi"/>
                <w:b/>
              </w:rPr>
              <w:t>Inclusion criteria</w:t>
            </w:r>
          </w:p>
        </w:tc>
        <w:tc>
          <w:tcPr>
            <w:tcW w:w="3351" w:type="dxa"/>
            <w:tcBorders>
              <w:top w:val="single" w:sz="4" w:space="0" w:color="auto"/>
              <w:left w:val="single" w:sz="4" w:space="0" w:color="auto"/>
              <w:bottom w:val="single" w:sz="4" w:space="0" w:color="auto"/>
              <w:right w:val="single" w:sz="4" w:space="0" w:color="auto"/>
            </w:tcBorders>
            <w:hideMark/>
          </w:tcPr>
          <w:p w14:paraId="3B4AFDA9" w14:textId="77777777" w:rsidR="00885DFB" w:rsidRPr="005E61DF" w:rsidRDefault="00885DFB" w:rsidP="00885DFB">
            <w:pPr>
              <w:spacing w:line="360" w:lineRule="auto"/>
              <w:rPr>
                <w:rFonts w:asciiTheme="majorBidi" w:hAnsiTheme="majorBidi" w:cstheme="majorBidi"/>
                <w:b/>
              </w:rPr>
            </w:pPr>
            <w:r w:rsidRPr="005E61DF">
              <w:rPr>
                <w:rFonts w:asciiTheme="majorBidi" w:eastAsiaTheme="minorHAnsi" w:hAnsiTheme="majorBidi" w:cstheme="majorBidi"/>
                <w:b/>
              </w:rPr>
              <w:t>Exclusion criteria</w:t>
            </w:r>
          </w:p>
        </w:tc>
      </w:tr>
      <w:tr w:rsidR="00885DFB" w:rsidRPr="005E61DF" w14:paraId="398B557F"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4D0FF2B7"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Population</w:t>
            </w:r>
          </w:p>
        </w:tc>
        <w:tc>
          <w:tcPr>
            <w:tcW w:w="2660" w:type="dxa"/>
            <w:tcBorders>
              <w:top w:val="single" w:sz="4" w:space="0" w:color="auto"/>
              <w:left w:val="single" w:sz="4" w:space="0" w:color="auto"/>
              <w:bottom w:val="single" w:sz="4" w:space="0" w:color="auto"/>
              <w:right w:val="single" w:sz="4" w:space="0" w:color="auto"/>
            </w:tcBorders>
            <w:hideMark/>
          </w:tcPr>
          <w:p w14:paraId="77DF2D78" w14:textId="77777777" w:rsidR="00885DFB" w:rsidRPr="005E61DF" w:rsidRDefault="00885DFB" w:rsidP="00885DFB">
            <w:pPr>
              <w:spacing w:line="360" w:lineRule="auto"/>
              <w:rPr>
                <w:rFonts w:asciiTheme="majorBidi" w:hAnsiTheme="majorBidi" w:cstheme="majorBidi"/>
                <w:color w:val="000000"/>
              </w:rPr>
            </w:pPr>
            <w:proofErr w:type="spellStart"/>
            <w:r w:rsidRPr="005E61DF">
              <w:rPr>
                <w:rFonts w:asciiTheme="majorBidi" w:eastAsiaTheme="minorHAnsi" w:hAnsiTheme="majorBidi" w:cstheme="majorBidi"/>
                <w:color w:val="000000"/>
              </w:rPr>
              <w:t>cUTI</w:t>
            </w:r>
            <w:proofErr w:type="spellEnd"/>
            <w:r w:rsidRPr="005E61DF">
              <w:rPr>
                <w:rFonts w:asciiTheme="majorBidi" w:eastAsiaTheme="minorHAnsi" w:hAnsiTheme="majorBidi" w:cstheme="majorBidi"/>
                <w:color w:val="000000"/>
              </w:rPr>
              <w:t xml:space="preserve"> or HAP/VAP</w:t>
            </w:r>
          </w:p>
          <w:p w14:paraId="47E05060"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Any infective pathogen</w:t>
            </w:r>
          </w:p>
        </w:tc>
        <w:tc>
          <w:tcPr>
            <w:tcW w:w="3351" w:type="dxa"/>
            <w:tcBorders>
              <w:top w:val="single" w:sz="4" w:space="0" w:color="auto"/>
              <w:left w:val="single" w:sz="4" w:space="0" w:color="auto"/>
              <w:bottom w:val="single" w:sz="4" w:space="0" w:color="auto"/>
              <w:right w:val="single" w:sz="4" w:space="0" w:color="auto"/>
            </w:tcBorders>
            <w:hideMark/>
          </w:tcPr>
          <w:p w14:paraId="03784F6A"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Other sites</w:t>
            </w:r>
          </w:p>
        </w:tc>
      </w:tr>
      <w:tr w:rsidR="00885DFB" w:rsidRPr="005E61DF" w14:paraId="35D4C70E"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315BC79F"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Exposure</w:t>
            </w:r>
          </w:p>
        </w:tc>
        <w:tc>
          <w:tcPr>
            <w:tcW w:w="2660" w:type="dxa"/>
            <w:tcBorders>
              <w:top w:val="single" w:sz="4" w:space="0" w:color="auto"/>
              <w:left w:val="single" w:sz="4" w:space="0" w:color="auto"/>
              <w:bottom w:val="single" w:sz="4" w:space="0" w:color="auto"/>
              <w:right w:val="single" w:sz="4" w:space="0" w:color="auto"/>
            </w:tcBorders>
            <w:hideMark/>
          </w:tcPr>
          <w:p w14:paraId="2905FA7A"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color w:val="000000"/>
              </w:rPr>
              <w:t>Treatment with any antibiotic that the isolate is susceptible to</w:t>
            </w:r>
          </w:p>
        </w:tc>
        <w:tc>
          <w:tcPr>
            <w:tcW w:w="3351" w:type="dxa"/>
            <w:tcBorders>
              <w:top w:val="single" w:sz="4" w:space="0" w:color="auto"/>
              <w:left w:val="single" w:sz="4" w:space="0" w:color="auto"/>
              <w:bottom w:val="single" w:sz="4" w:space="0" w:color="auto"/>
              <w:right w:val="single" w:sz="4" w:space="0" w:color="auto"/>
            </w:tcBorders>
            <w:hideMark/>
          </w:tcPr>
          <w:p w14:paraId="6566DA62"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color w:val="000000"/>
              </w:rPr>
              <w:t>Treatment with an</w:t>
            </w:r>
            <w:r w:rsidRPr="005E61DF">
              <w:rPr>
                <w:rFonts w:asciiTheme="majorBidi" w:eastAsiaTheme="minorHAnsi" w:hAnsiTheme="majorBidi" w:cstheme="majorBidi"/>
              </w:rPr>
              <w:t xml:space="preserve"> antibiotic that the isolate has intermediate susceptibility to</w:t>
            </w:r>
          </w:p>
        </w:tc>
      </w:tr>
      <w:tr w:rsidR="00885DFB" w:rsidRPr="005E61DF" w14:paraId="6C6E3338"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3EE53BAD"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Comparison</w:t>
            </w:r>
          </w:p>
        </w:tc>
        <w:tc>
          <w:tcPr>
            <w:tcW w:w="2660" w:type="dxa"/>
            <w:tcBorders>
              <w:top w:val="single" w:sz="4" w:space="0" w:color="auto"/>
              <w:left w:val="single" w:sz="4" w:space="0" w:color="auto"/>
              <w:bottom w:val="single" w:sz="4" w:space="0" w:color="auto"/>
              <w:right w:val="single" w:sz="4" w:space="0" w:color="auto"/>
            </w:tcBorders>
            <w:hideMark/>
          </w:tcPr>
          <w:p w14:paraId="7B2F42A5"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color w:val="000000"/>
              </w:rPr>
              <w:t xml:space="preserve">Treatment with any antibiotic that the isolate is not susceptible to (resistant </w:t>
            </w:r>
            <w:r w:rsidRPr="005E61DF">
              <w:rPr>
                <w:rFonts w:asciiTheme="majorBidi" w:eastAsiaTheme="minorHAnsi" w:hAnsiTheme="majorBidi" w:cstheme="majorBidi"/>
                <w:color w:val="000000"/>
              </w:rPr>
              <w:lastRenderedPageBreak/>
              <w:t>or intermediate/increased exposure)</w:t>
            </w:r>
          </w:p>
        </w:tc>
        <w:tc>
          <w:tcPr>
            <w:tcW w:w="3351" w:type="dxa"/>
            <w:tcBorders>
              <w:top w:val="single" w:sz="4" w:space="0" w:color="auto"/>
              <w:left w:val="single" w:sz="4" w:space="0" w:color="auto"/>
              <w:bottom w:val="single" w:sz="4" w:space="0" w:color="auto"/>
              <w:right w:val="single" w:sz="4" w:space="0" w:color="auto"/>
            </w:tcBorders>
            <w:hideMark/>
          </w:tcPr>
          <w:p w14:paraId="5F1CBC3C" w14:textId="23EEE1BF" w:rsidR="00885DFB" w:rsidRPr="005E61DF" w:rsidRDefault="000A3434" w:rsidP="00885DFB">
            <w:pPr>
              <w:spacing w:line="360" w:lineRule="auto"/>
              <w:rPr>
                <w:rFonts w:asciiTheme="majorBidi" w:hAnsiTheme="majorBidi" w:cstheme="majorBidi"/>
              </w:rPr>
            </w:pPr>
            <w:r w:rsidRPr="005E61DF">
              <w:rPr>
                <w:rFonts w:asciiTheme="majorBidi" w:hAnsiTheme="majorBidi" w:cstheme="majorBidi"/>
              </w:rPr>
              <w:lastRenderedPageBreak/>
              <w:t>No comparison provided</w:t>
            </w:r>
          </w:p>
        </w:tc>
      </w:tr>
      <w:tr w:rsidR="00885DFB" w:rsidRPr="005E61DF" w14:paraId="43B1CC4E"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5AAFDAFC"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Outcomes</w:t>
            </w:r>
          </w:p>
        </w:tc>
        <w:tc>
          <w:tcPr>
            <w:tcW w:w="2660" w:type="dxa"/>
            <w:tcBorders>
              <w:top w:val="single" w:sz="4" w:space="0" w:color="auto"/>
              <w:left w:val="single" w:sz="4" w:space="0" w:color="auto"/>
              <w:bottom w:val="single" w:sz="4" w:space="0" w:color="auto"/>
              <w:right w:val="single" w:sz="4" w:space="0" w:color="auto"/>
            </w:tcBorders>
            <w:hideMark/>
          </w:tcPr>
          <w:p w14:paraId="2770E844" w14:textId="70572D91"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color w:val="000000"/>
              </w:rPr>
              <w:t xml:space="preserve">Mortality, hospitalization, length of stay (LOS), bloodstream infections (BSI) or other subsequent infections, </w:t>
            </w:r>
            <w:r w:rsidR="00785819" w:rsidRPr="005E61DF">
              <w:rPr>
                <w:rFonts w:asciiTheme="majorBidi" w:eastAsiaTheme="minorHAnsi" w:hAnsiTheme="majorBidi" w:cstheme="majorBidi"/>
                <w:color w:val="000000"/>
              </w:rPr>
              <w:t>health related quality of life (</w:t>
            </w:r>
            <w:proofErr w:type="spellStart"/>
            <w:r w:rsidRPr="005E61DF">
              <w:rPr>
                <w:rFonts w:asciiTheme="majorBidi" w:eastAsiaTheme="minorHAnsi" w:hAnsiTheme="majorBidi" w:cstheme="majorBidi"/>
                <w:color w:val="000000"/>
              </w:rPr>
              <w:t>HRQoL</w:t>
            </w:r>
            <w:proofErr w:type="spellEnd"/>
            <w:r w:rsidR="00785819" w:rsidRPr="005E61DF">
              <w:rPr>
                <w:rFonts w:asciiTheme="majorBidi" w:eastAsiaTheme="minorHAnsi" w:hAnsiTheme="majorBidi" w:cstheme="majorBidi"/>
                <w:color w:val="000000"/>
              </w:rPr>
              <w:t>)</w:t>
            </w:r>
          </w:p>
        </w:tc>
        <w:tc>
          <w:tcPr>
            <w:tcW w:w="3351" w:type="dxa"/>
            <w:tcBorders>
              <w:top w:val="single" w:sz="4" w:space="0" w:color="auto"/>
              <w:left w:val="single" w:sz="4" w:space="0" w:color="auto"/>
              <w:bottom w:val="single" w:sz="4" w:space="0" w:color="auto"/>
              <w:right w:val="single" w:sz="4" w:space="0" w:color="auto"/>
            </w:tcBorders>
            <w:hideMark/>
          </w:tcPr>
          <w:p w14:paraId="318B2FB4" w14:textId="1F84F23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Short term outcomes such as clinical cure</w:t>
            </w:r>
          </w:p>
        </w:tc>
      </w:tr>
      <w:tr w:rsidR="00885DFB" w:rsidRPr="005E61DF" w14:paraId="4B04FFFF"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16F7A3DB"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Setting</w:t>
            </w:r>
          </w:p>
        </w:tc>
        <w:tc>
          <w:tcPr>
            <w:tcW w:w="2660" w:type="dxa"/>
            <w:tcBorders>
              <w:top w:val="single" w:sz="4" w:space="0" w:color="auto"/>
              <w:left w:val="single" w:sz="4" w:space="0" w:color="auto"/>
              <w:bottom w:val="single" w:sz="4" w:space="0" w:color="auto"/>
              <w:right w:val="single" w:sz="4" w:space="0" w:color="auto"/>
            </w:tcBorders>
            <w:hideMark/>
          </w:tcPr>
          <w:p w14:paraId="3555C208"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MDS or ES</w:t>
            </w:r>
          </w:p>
          <w:p w14:paraId="36016C99" w14:textId="0BC8C9C1"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UK studies</w:t>
            </w:r>
          </w:p>
        </w:tc>
        <w:tc>
          <w:tcPr>
            <w:tcW w:w="3351" w:type="dxa"/>
            <w:tcBorders>
              <w:top w:val="single" w:sz="4" w:space="0" w:color="auto"/>
              <w:left w:val="single" w:sz="4" w:space="0" w:color="auto"/>
              <w:bottom w:val="single" w:sz="4" w:space="0" w:color="auto"/>
              <w:right w:val="single" w:sz="4" w:space="0" w:color="auto"/>
            </w:tcBorders>
            <w:hideMark/>
          </w:tcPr>
          <w:p w14:paraId="6FAFEC31" w14:textId="5FB8AE67" w:rsidR="00885DFB" w:rsidRPr="005E61DF" w:rsidRDefault="000A3434" w:rsidP="00885DFB">
            <w:pPr>
              <w:spacing w:line="360" w:lineRule="auto"/>
              <w:rPr>
                <w:rFonts w:asciiTheme="majorBidi" w:hAnsiTheme="majorBidi" w:cstheme="majorBidi"/>
              </w:rPr>
            </w:pPr>
            <w:r w:rsidRPr="005E61DF">
              <w:rPr>
                <w:rFonts w:asciiTheme="majorBidi" w:eastAsiaTheme="minorHAnsi" w:hAnsiTheme="majorBidi" w:cstheme="majorBidi"/>
              </w:rPr>
              <w:t>N</w:t>
            </w:r>
            <w:r w:rsidR="00885DFB" w:rsidRPr="005E61DF">
              <w:rPr>
                <w:rFonts w:asciiTheme="majorBidi" w:eastAsiaTheme="minorHAnsi" w:hAnsiTheme="majorBidi" w:cstheme="majorBidi"/>
              </w:rPr>
              <w:t xml:space="preserve">ot UK </w:t>
            </w:r>
            <w:r w:rsidR="004C77FF">
              <w:rPr>
                <w:rFonts w:asciiTheme="majorBidi" w:eastAsiaTheme="minorHAnsi" w:hAnsiTheme="majorBidi" w:cstheme="majorBidi"/>
              </w:rPr>
              <w:t>(only applied to search update)</w:t>
            </w:r>
          </w:p>
        </w:tc>
      </w:tr>
      <w:tr w:rsidR="00885DFB" w:rsidRPr="005E61DF" w14:paraId="19656B12"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19DDBE91"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Study design</w:t>
            </w:r>
          </w:p>
        </w:tc>
        <w:tc>
          <w:tcPr>
            <w:tcW w:w="2660" w:type="dxa"/>
            <w:tcBorders>
              <w:top w:val="single" w:sz="4" w:space="0" w:color="auto"/>
              <w:left w:val="single" w:sz="4" w:space="0" w:color="auto"/>
              <w:bottom w:val="single" w:sz="4" w:space="0" w:color="auto"/>
              <w:right w:val="single" w:sz="4" w:space="0" w:color="auto"/>
            </w:tcBorders>
            <w:hideMark/>
          </w:tcPr>
          <w:p w14:paraId="6AE48DDA" w14:textId="77777777" w:rsidR="00885DFB" w:rsidRPr="005E61DF" w:rsidRDefault="00885DFB" w:rsidP="00885DFB">
            <w:pPr>
              <w:spacing w:line="360" w:lineRule="auto"/>
              <w:rPr>
                <w:rFonts w:asciiTheme="majorBidi" w:hAnsiTheme="majorBidi" w:cstheme="majorBidi"/>
              </w:rPr>
            </w:pPr>
            <w:r w:rsidRPr="005E61DF">
              <w:rPr>
                <w:rFonts w:asciiTheme="majorBidi" w:eastAsiaTheme="minorHAnsi" w:hAnsiTheme="majorBidi" w:cstheme="majorBidi"/>
              </w:rPr>
              <w:t xml:space="preserve">Experimental or observational studies that assessed susceptibility to treatment prospectively or retrospectively </w:t>
            </w:r>
          </w:p>
        </w:tc>
        <w:tc>
          <w:tcPr>
            <w:tcW w:w="3351" w:type="dxa"/>
            <w:tcBorders>
              <w:top w:val="single" w:sz="4" w:space="0" w:color="auto"/>
              <w:left w:val="single" w:sz="4" w:space="0" w:color="auto"/>
              <w:bottom w:val="single" w:sz="4" w:space="0" w:color="auto"/>
              <w:right w:val="single" w:sz="4" w:space="0" w:color="auto"/>
            </w:tcBorders>
          </w:tcPr>
          <w:p w14:paraId="5D22C17B" w14:textId="29F0612C" w:rsidR="00885DFB" w:rsidRPr="005E61DF" w:rsidRDefault="000A3434" w:rsidP="00885DFB">
            <w:pPr>
              <w:spacing w:line="360" w:lineRule="auto"/>
              <w:rPr>
                <w:rFonts w:asciiTheme="majorBidi" w:hAnsiTheme="majorBidi" w:cstheme="majorBidi"/>
              </w:rPr>
            </w:pPr>
            <w:r w:rsidRPr="005E61DF">
              <w:rPr>
                <w:rFonts w:asciiTheme="majorBidi" w:eastAsiaTheme="minorHAnsi" w:hAnsiTheme="majorBidi" w:cstheme="majorBidi"/>
              </w:rPr>
              <w:t>P</w:t>
            </w:r>
            <w:r w:rsidR="00885DFB" w:rsidRPr="005E61DF">
              <w:rPr>
                <w:rFonts w:asciiTheme="majorBidi" w:eastAsiaTheme="minorHAnsi" w:hAnsiTheme="majorBidi" w:cstheme="majorBidi"/>
              </w:rPr>
              <w:t>ublished prior to 2010</w:t>
            </w:r>
          </w:p>
        </w:tc>
      </w:tr>
    </w:tbl>
    <w:p w14:paraId="5FB9CCFE" w14:textId="069E2E72" w:rsidR="00885DFB" w:rsidRDefault="008E04F8" w:rsidP="00117B7D">
      <w:pPr>
        <w:pStyle w:val="EEPRUtextundertables"/>
      </w:pPr>
      <w:proofErr w:type="spellStart"/>
      <w:r>
        <w:t>cUTI</w:t>
      </w:r>
      <w:proofErr w:type="spellEnd"/>
      <w:r>
        <w:t>, complicated urinary tract infection; ES, empiric setting; HAP/VAP, hospital-acquired pneumonia/ventilator-associated pneumonia; MDS, microbiology-directed setting</w:t>
      </w:r>
    </w:p>
    <w:p w14:paraId="7D68888D" w14:textId="77777777" w:rsidR="00117B7D" w:rsidRDefault="00117B7D" w:rsidP="00117B7D">
      <w:pPr>
        <w:pStyle w:val="EEPRUtextundertables"/>
      </w:pPr>
    </w:p>
    <w:p w14:paraId="4AD61805" w14:textId="21221775" w:rsidR="00805F82" w:rsidRPr="00EA0E40" w:rsidRDefault="00805F82" w:rsidP="00F74C2C">
      <w:pPr>
        <w:keepNext/>
        <w:keepLines/>
        <w:spacing w:before="240" w:after="120" w:line="360" w:lineRule="auto"/>
        <w:outlineLvl w:val="3"/>
        <w:rPr>
          <w:rFonts w:asciiTheme="majorBidi" w:eastAsiaTheme="majorEastAsia" w:hAnsiTheme="majorBidi" w:cs="Times New Roman"/>
          <w:b/>
          <w:sz w:val="26"/>
          <w:szCs w:val="26"/>
        </w:rPr>
      </w:pPr>
      <w:r w:rsidRPr="00EA0E40">
        <w:rPr>
          <w:rFonts w:asciiTheme="majorBidi" w:eastAsiaTheme="majorEastAsia" w:hAnsiTheme="majorBidi" w:cs="Times New Roman"/>
          <w:b/>
          <w:sz w:val="26"/>
          <w:szCs w:val="26"/>
        </w:rPr>
        <w:t xml:space="preserve">4.6.2.2 Results </w:t>
      </w:r>
    </w:p>
    <w:p w14:paraId="641BC78A" w14:textId="41010FF0" w:rsidR="00805F82" w:rsidRPr="004A12CB" w:rsidRDefault="000A3434" w:rsidP="00805F82">
      <w:pPr>
        <w:spacing w:before="240" w:line="360" w:lineRule="auto"/>
        <w:jc w:val="both"/>
        <w:rPr>
          <w:rFonts w:ascii="Times New Roman" w:eastAsia="Calibri" w:hAnsi="Times New Roman" w:cs="Times New Roman"/>
          <w:b/>
          <w:bCs/>
          <w:i/>
          <w:iCs/>
        </w:rPr>
      </w:pPr>
      <w:r>
        <w:rPr>
          <w:rFonts w:ascii="Times New Roman" w:eastAsia="Calibri" w:hAnsi="Times New Roman" w:cs="Times New Roman"/>
          <w:b/>
          <w:bCs/>
          <w:i/>
          <w:iCs/>
        </w:rPr>
        <w:t>1.</w:t>
      </w:r>
      <w:r w:rsidR="00805F82">
        <w:rPr>
          <w:rFonts w:ascii="Times New Roman" w:eastAsia="Calibri" w:hAnsi="Times New Roman" w:cs="Times New Roman"/>
          <w:b/>
          <w:bCs/>
          <w:i/>
          <w:iCs/>
        </w:rPr>
        <w:t xml:space="preserve"> </w:t>
      </w:r>
      <w:r w:rsidR="00805F82" w:rsidRPr="004A12CB">
        <w:rPr>
          <w:rFonts w:ascii="Times New Roman" w:eastAsia="Calibri" w:hAnsi="Times New Roman" w:cs="Times New Roman"/>
          <w:b/>
          <w:bCs/>
          <w:i/>
          <w:iCs/>
        </w:rPr>
        <w:t xml:space="preserve">Systematic review update of </w:t>
      </w:r>
      <w:proofErr w:type="spellStart"/>
      <w:r w:rsidR="00805F82" w:rsidRPr="004A12CB">
        <w:rPr>
          <w:rFonts w:ascii="Times New Roman" w:eastAsia="Calibri" w:hAnsi="Times New Roman" w:cs="Times New Roman"/>
          <w:b/>
          <w:bCs/>
          <w:i/>
          <w:iCs/>
        </w:rPr>
        <w:t>Bassetti</w:t>
      </w:r>
      <w:proofErr w:type="spellEnd"/>
      <w:r w:rsidR="00805F82" w:rsidRPr="004A12CB">
        <w:rPr>
          <w:rFonts w:ascii="Times New Roman" w:eastAsia="Calibri" w:hAnsi="Times New Roman" w:cs="Times New Roman"/>
          <w:b/>
          <w:bCs/>
          <w:i/>
          <w:iCs/>
        </w:rPr>
        <w:t xml:space="preserve"> et al. (2020)</w:t>
      </w:r>
    </w:p>
    <w:p w14:paraId="18C2E542" w14:textId="4C2A4759" w:rsidR="00805F82" w:rsidRPr="004A12CB" w:rsidRDefault="00805F82" w:rsidP="00805F82">
      <w:pPr>
        <w:spacing w:before="240" w:line="360" w:lineRule="auto"/>
        <w:jc w:val="both"/>
        <w:rPr>
          <w:rFonts w:ascii="Times New Roman" w:eastAsia="Calibri" w:hAnsi="Times New Roman" w:cs="Times New Roman"/>
        </w:rPr>
      </w:pPr>
      <w:r w:rsidRPr="004A12CB">
        <w:rPr>
          <w:rFonts w:ascii="Times New Roman" w:eastAsia="Calibri" w:hAnsi="Times New Roman" w:cs="Times New Roman"/>
        </w:rPr>
        <w:t>The searches for the systematic review update yielded 172 citations, the screening process did not result in any studies that met the inclusion criteria</w:t>
      </w:r>
      <w:r>
        <w:rPr>
          <w:rFonts w:ascii="Times New Roman" w:eastAsia="Calibri" w:hAnsi="Times New Roman" w:cs="Times New Roman"/>
        </w:rPr>
        <w:t>.</w:t>
      </w:r>
    </w:p>
    <w:p w14:paraId="07E1CC94" w14:textId="198DF72C" w:rsidR="00805F82" w:rsidRPr="004A12CB" w:rsidRDefault="00805F82" w:rsidP="00805F82">
      <w:pPr>
        <w:spacing w:before="240" w:line="360" w:lineRule="auto"/>
        <w:jc w:val="both"/>
        <w:rPr>
          <w:rFonts w:ascii="Times New Roman" w:eastAsia="Calibri" w:hAnsi="Times New Roman" w:cs="Times New Roman"/>
          <w:b/>
          <w:bCs/>
          <w:i/>
          <w:iCs/>
        </w:rPr>
      </w:pPr>
      <w:bookmarkStart w:id="204" w:name="_Hlk85831928"/>
      <w:r>
        <w:rPr>
          <w:rFonts w:ascii="Times New Roman" w:eastAsia="Calibri" w:hAnsi="Times New Roman" w:cs="Times New Roman"/>
          <w:b/>
          <w:bCs/>
          <w:i/>
          <w:iCs/>
        </w:rPr>
        <w:t>2</w:t>
      </w:r>
      <w:r w:rsidR="000A3434">
        <w:rPr>
          <w:rFonts w:ascii="Times New Roman" w:eastAsia="Calibri" w:hAnsi="Times New Roman" w:cs="Times New Roman"/>
          <w:b/>
          <w:bCs/>
          <w:i/>
          <w:iCs/>
        </w:rPr>
        <w:t>.</w:t>
      </w:r>
      <w:r>
        <w:rPr>
          <w:rFonts w:ascii="Times New Roman" w:eastAsia="Calibri" w:hAnsi="Times New Roman" w:cs="Times New Roman"/>
          <w:b/>
          <w:bCs/>
          <w:i/>
          <w:iCs/>
        </w:rPr>
        <w:t xml:space="preserve"> </w:t>
      </w:r>
      <w:r w:rsidRPr="004A12CB">
        <w:rPr>
          <w:rFonts w:ascii="Times New Roman" w:eastAsia="Calibri" w:hAnsi="Times New Roman" w:cs="Times New Roman"/>
          <w:b/>
          <w:bCs/>
          <w:i/>
          <w:iCs/>
        </w:rPr>
        <w:t>Searching and screening additional databases</w:t>
      </w:r>
    </w:p>
    <w:bookmarkEnd w:id="204"/>
    <w:p w14:paraId="7C71F4B2" w14:textId="5DC30BAC" w:rsidR="00805F82" w:rsidRDefault="00805F82" w:rsidP="00A83123">
      <w:pPr>
        <w:spacing w:after="120" w:line="360" w:lineRule="auto"/>
        <w:jc w:val="both"/>
        <w:rPr>
          <w:rFonts w:ascii="Times New Roman" w:hAnsi="Times New Roman" w:cs="Times New Roman"/>
        </w:rPr>
      </w:pPr>
      <w:r w:rsidRPr="004A12CB">
        <w:rPr>
          <w:rFonts w:ascii="Times New Roman" w:hAnsi="Times New Roman" w:cs="Times New Roman"/>
        </w:rPr>
        <w:t xml:space="preserve">Eight studies were extracted in total, of which four and five studies reported outcomes in patients with </w:t>
      </w:r>
      <w:proofErr w:type="spellStart"/>
      <w:r w:rsidRPr="004A12CB">
        <w:rPr>
          <w:rFonts w:ascii="Times New Roman" w:hAnsi="Times New Roman" w:cs="Times New Roman"/>
        </w:rPr>
        <w:t>cUTIs</w:t>
      </w:r>
      <w:proofErr w:type="spellEnd"/>
      <w:r w:rsidRPr="004A12CB">
        <w:rPr>
          <w:rFonts w:ascii="Times New Roman" w:hAnsi="Times New Roman" w:cs="Times New Roman"/>
        </w:rPr>
        <w:t xml:space="preserve"> and HAP/VAP, respectively. None of the studies were conducted in the UK. None of the studies on patients with </w:t>
      </w:r>
      <w:proofErr w:type="spellStart"/>
      <w:r w:rsidRPr="004A12CB">
        <w:rPr>
          <w:rFonts w:ascii="Times New Roman" w:hAnsi="Times New Roman" w:cs="Times New Roman"/>
        </w:rPr>
        <w:t>cUTIs</w:t>
      </w:r>
      <w:proofErr w:type="spellEnd"/>
      <w:r w:rsidRPr="004A12CB">
        <w:rPr>
          <w:rFonts w:ascii="Times New Roman" w:hAnsi="Times New Roman" w:cs="Times New Roman"/>
        </w:rPr>
        <w:t xml:space="preserve"> included patients who received microbiology-directed treatment. In studies on patients with HAP/VAP, three studies only included patients on empiric treatment </w:t>
      </w:r>
      <w:r w:rsidR="00A83123" w:rsidRPr="00A83123">
        <w:rPr>
          <w:rFonts w:ascii="Times New Roman" w:hAnsi="Times New Roman" w:cs="Times New Roman"/>
          <w:noProof/>
          <w:vertAlign w:val="superscript"/>
        </w:rPr>
        <w:t>85-87</w:t>
      </w:r>
      <w:r w:rsidRPr="004A12CB">
        <w:rPr>
          <w:rFonts w:ascii="Times New Roman" w:hAnsi="Times New Roman" w:cs="Times New Roman"/>
        </w:rPr>
        <w:t xml:space="preserve">, one study </w:t>
      </w:r>
      <w:r w:rsidR="00A83123" w:rsidRPr="00A83123">
        <w:rPr>
          <w:rFonts w:ascii="Times New Roman" w:hAnsi="Times New Roman" w:cs="Times New Roman"/>
          <w:noProof/>
          <w:vertAlign w:val="superscript"/>
        </w:rPr>
        <w:t>88</w:t>
      </w:r>
      <w:r w:rsidR="00941A0F" w:rsidRPr="00941A0F">
        <w:rPr>
          <w:rFonts w:ascii="Times New Roman" w:hAnsi="Times New Roman" w:cs="Times New Roman"/>
        </w:rPr>
        <w:t xml:space="preserve"> </w:t>
      </w:r>
      <w:r w:rsidRPr="004A12CB">
        <w:rPr>
          <w:rFonts w:ascii="Times New Roman" w:hAnsi="Times New Roman" w:cs="Times New Roman"/>
        </w:rPr>
        <w:t>include</w:t>
      </w:r>
      <w:r w:rsidR="004C77FF">
        <w:rPr>
          <w:rFonts w:ascii="Times New Roman" w:hAnsi="Times New Roman" w:cs="Times New Roman"/>
        </w:rPr>
        <w:t>d patients both on microbiology-</w:t>
      </w:r>
      <w:r w:rsidRPr="004A12CB">
        <w:rPr>
          <w:rFonts w:ascii="Times New Roman" w:hAnsi="Times New Roman" w:cs="Times New Roman"/>
        </w:rPr>
        <w:t xml:space="preserve">directed and empiric treatment (it did not report outcomes conditional on </w:t>
      </w:r>
      <w:r w:rsidR="00A04653">
        <w:rPr>
          <w:rFonts w:ascii="Times New Roman" w:hAnsi="Times New Roman" w:cs="Times New Roman"/>
        </w:rPr>
        <w:t>this factor</w:t>
      </w:r>
      <w:r w:rsidRPr="004A12CB">
        <w:rPr>
          <w:rFonts w:ascii="Times New Roman" w:hAnsi="Times New Roman" w:cs="Times New Roman"/>
        </w:rPr>
        <w:t xml:space="preserve">), and one study </w:t>
      </w:r>
      <w:r w:rsidR="00A83123" w:rsidRPr="00A83123">
        <w:rPr>
          <w:rFonts w:ascii="Times New Roman" w:hAnsi="Times New Roman" w:cs="Times New Roman"/>
          <w:noProof/>
          <w:vertAlign w:val="superscript"/>
        </w:rPr>
        <w:t>89</w:t>
      </w:r>
      <w:r w:rsidRPr="004A12CB">
        <w:rPr>
          <w:rFonts w:ascii="Times New Roman" w:hAnsi="Times New Roman" w:cs="Times New Roman"/>
        </w:rPr>
        <w:t xml:space="preserve"> did not report whether treatment was microbiology-directed o</w:t>
      </w:r>
      <w:r w:rsidR="004C77FF">
        <w:rPr>
          <w:rFonts w:ascii="Times New Roman" w:hAnsi="Times New Roman" w:cs="Times New Roman"/>
        </w:rPr>
        <w:t>r</w:t>
      </w:r>
      <w:r w:rsidRPr="004A12CB">
        <w:rPr>
          <w:rFonts w:ascii="Times New Roman" w:hAnsi="Times New Roman" w:cs="Times New Roman"/>
        </w:rPr>
        <w:t xml:space="preserve"> empiric. Of the three studies conducted in empiric setting, one </w:t>
      </w:r>
      <w:r w:rsidR="00A83123" w:rsidRPr="00A83123">
        <w:rPr>
          <w:rFonts w:ascii="Times New Roman" w:hAnsi="Times New Roman" w:cs="Times New Roman"/>
          <w:noProof/>
          <w:vertAlign w:val="superscript"/>
        </w:rPr>
        <w:t>85</w:t>
      </w:r>
      <w:r w:rsidR="00941A0F" w:rsidRPr="004A12CB">
        <w:rPr>
          <w:rFonts w:ascii="Times New Roman" w:hAnsi="Times New Roman" w:cs="Times New Roman"/>
        </w:rPr>
        <w:t xml:space="preserve"> </w:t>
      </w:r>
      <w:r w:rsidRPr="004A12CB">
        <w:rPr>
          <w:rFonts w:ascii="Times New Roman" w:hAnsi="Times New Roman" w:cs="Times New Roman"/>
        </w:rPr>
        <w:t xml:space="preserve">reported ICU mortality, hospital mortality, mechanical ventilation, </w:t>
      </w:r>
      <w:proofErr w:type="gramStart"/>
      <w:r w:rsidRPr="004A12CB">
        <w:rPr>
          <w:rFonts w:ascii="Times New Roman" w:hAnsi="Times New Roman" w:cs="Times New Roman"/>
        </w:rPr>
        <w:t>LOS</w:t>
      </w:r>
      <w:proofErr w:type="gramEnd"/>
      <w:r w:rsidRPr="004A12CB">
        <w:rPr>
          <w:rFonts w:ascii="Times New Roman" w:hAnsi="Times New Roman" w:cs="Times New Roman"/>
        </w:rPr>
        <w:t xml:space="preserve"> and ICU LOS, one study </w:t>
      </w:r>
      <w:r w:rsidR="00A83123" w:rsidRPr="00A83123">
        <w:rPr>
          <w:rFonts w:ascii="Times New Roman" w:hAnsi="Times New Roman" w:cs="Times New Roman"/>
          <w:noProof/>
          <w:vertAlign w:val="superscript"/>
        </w:rPr>
        <w:t>86</w:t>
      </w:r>
      <w:r w:rsidR="00941A0F">
        <w:rPr>
          <w:rFonts w:ascii="Times New Roman" w:hAnsi="Times New Roman" w:cs="Times New Roman"/>
        </w:rPr>
        <w:t xml:space="preserve"> </w:t>
      </w:r>
      <w:r w:rsidRPr="004A12CB">
        <w:rPr>
          <w:rFonts w:ascii="Times New Roman" w:hAnsi="Times New Roman" w:cs="Times New Roman"/>
        </w:rPr>
        <w:t>rep</w:t>
      </w:r>
      <w:r w:rsidR="00941A0F">
        <w:rPr>
          <w:rFonts w:ascii="Times New Roman" w:hAnsi="Times New Roman" w:cs="Times New Roman"/>
        </w:rPr>
        <w:t>orted 30-day mortality only</w:t>
      </w:r>
      <w:r w:rsidRPr="004A12CB">
        <w:rPr>
          <w:rFonts w:ascii="Times New Roman" w:hAnsi="Times New Roman" w:cs="Times New Roman"/>
        </w:rPr>
        <w:t xml:space="preserve">, and one </w:t>
      </w:r>
      <w:r w:rsidR="00A83123" w:rsidRPr="00A83123">
        <w:rPr>
          <w:rFonts w:ascii="Times New Roman" w:hAnsi="Times New Roman" w:cs="Times New Roman"/>
          <w:noProof/>
          <w:vertAlign w:val="superscript"/>
        </w:rPr>
        <w:t>87</w:t>
      </w:r>
      <w:r w:rsidR="00941A0F">
        <w:rPr>
          <w:rFonts w:ascii="Times New Roman" w:hAnsi="Times New Roman" w:cs="Times New Roman"/>
        </w:rPr>
        <w:t xml:space="preserve"> </w:t>
      </w:r>
      <w:r w:rsidRPr="004A12CB">
        <w:rPr>
          <w:rFonts w:ascii="Times New Roman" w:hAnsi="Times New Roman" w:cs="Times New Roman"/>
        </w:rPr>
        <w:t xml:space="preserve">reported Kaplan-Meyer curves for 30-day mortality.  </w:t>
      </w:r>
    </w:p>
    <w:p w14:paraId="27B70C4A" w14:textId="77777777" w:rsidR="001E5A41" w:rsidRDefault="001E5A41" w:rsidP="00731154">
      <w:pPr>
        <w:spacing w:after="120" w:line="360" w:lineRule="auto"/>
        <w:jc w:val="both"/>
        <w:rPr>
          <w:rFonts w:ascii="Times New Roman" w:hAnsi="Times New Roman" w:cs="Times New Roman"/>
          <w:b/>
          <w:bCs/>
          <w:i/>
          <w:iCs/>
        </w:rPr>
      </w:pPr>
      <w:bookmarkStart w:id="205" w:name="_Hlk85831891"/>
    </w:p>
    <w:p w14:paraId="402460B9" w14:textId="7CF6EB8A" w:rsidR="001648C3" w:rsidRPr="001648C3" w:rsidRDefault="001648C3" w:rsidP="00731154">
      <w:pPr>
        <w:spacing w:after="120" w:line="360" w:lineRule="auto"/>
        <w:jc w:val="both"/>
        <w:rPr>
          <w:rFonts w:ascii="Times New Roman" w:hAnsi="Times New Roman" w:cs="Times New Roman"/>
          <w:b/>
          <w:bCs/>
          <w:i/>
          <w:iCs/>
        </w:rPr>
      </w:pPr>
      <w:r w:rsidRPr="001648C3">
        <w:rPr>
          <w:rFonts w:ascii="Times New Roman" w:hAnsi="Times New Roman" w:cs="Times New Roman"/>
          <w:b/>
          <w:bCs/>
          <w:i/>
          <w:iCs/>
        </w:rPr>
        <w:lastRenderedPageBreak/>
        <w:t xml:space="preserve">3. Review of RCTs. </w:t>
      </w:r>
    </w:p>
    <w:p w14:paraId="0EED95DC" w14:textId="003A7C46" w:rsidR="001648C3" w:rsidRPr="001648C3" w:rsidRDefault="001648C3" w:rsidP="00731154">
      <w:pPr>
        <w:spacing w:after="120" w:line="360" w:lineRule="auto"/>
        <w:jc w:val="both"/>
        <w:rPr>
          <w:rFonts w:ascii="Times New Roman" w:hAnsi="Times New Roman" w:cs="Times New Roman"/>
        </w:rPr>
      </w:pPr>
      <w:r w:rsidRPr="001648C3">
        <w:rPr>
          <w:rFonts w:ascii="Times New Roman" w:hAnsi="Times New Roman" w:cs="Times New Roman"/>
        </w:rPr>
        <w:t xml:space="preserve">No data was identified relating to </w:t>
      </w:r>
      <w:r w:rsidR="004C77FF">
        <w:rPr>
          <w:rFonts w:asciiTheme="majorBidi" w:hAnsiTheme="majorBidi" w:cstheme="majorBidi"/>
        </w:rPr>
        <w:t>variation in clinical outcomes according to susceptibility</w:t>
      </w:r>
      <w:r>
        <w:rPr>
          <w:rFonts w:asciiTheme="majorBidi" w:hAnsiTheme="majorBidi" w:cstheme="majorBidi"/>
        </w:rPr>
        <w:t xml:space="preserve"> </w:t>
      </w:r>
      <w:r>
        <w:rPr>
          <w:rFonts w:ascii="Times New Roman" w:eastAsia="Calibri" w:hAnsi="Times New Roman" w:cs="Times New Roman"/>
        </w:rPr>
        <w:t xml:space="preserve">(see Appendix </w:t>
      </w:r>
      <w:r w:rsidRPr="001648C3">
        <w:rPr>
          <w:rFonts w:ascii="Times New Roman" w:eastAsia="Calibri" w:hAnsi="Times New Roman" w:cs="Times New Roman"/>
        </w:rPr>
        <w:t xml:space="preserve">6.1 and </w:t>
      </w:r>
      <w:r w:rsidRPr="001648C3">
        <w:rPr>
          <w:rFonts w:asciiTheme="majorBidi" w:hAnsiTheme="majorBidi" w:cstheme="majorBidi"/>
          <w:iCs/>
        </w:rPr>
        <w:t xml:space="preserve">Table </w:t>
      </w:r>
      <w:r w:rsidRPr="001648C3">
        <w:rPr>
          <w:rFonts w:asciiTheme="majorBidi" w:hAnsiTheme="majorBidi" w:cstheme="majorBidi"/>
          <w:iCs/>
          <w:noProof/>
        </w:rPr>
        <w:t>46</w:t>
      </w:r>
      <w:r w:rsidRPr="001648C3">
        <w:rPr>
          <w:rFonts w:ascii="Times New Roman" w:eastAsia="Calibri" w:hAnsi="Times New Roman" w:cs="Times New Roman"/>
        </w:rPr>
        <w:t>).</w:t>
      </w:r>
    </w:p>
    <w:p w14:paraId="4279C8A1" w14:textId="580DB56B" w:rsidR="00885DFB" w:rsidRPr="00B674A1" w:rsidRDefault="000A3434" w:rsidP="00B674A1">
      <w:pPr>
        <w:pStyle w:val="Heading3"/>
        <w:ind w:left="1276" w:hanging="567"/>
        <w:rPr>
          <w:rFonts w:asciiTheme="majorBidi" w:hAnsiTheme="majorBidi"/>
          <w:sz w:val="26"/>
          <w:szCs w:val="26"/>
        </w:rPr>
      </w:pPr>
      <w:bookmarkStart w:id="206" w:name="_Hlk78195636"/>
      <w:bookmarkStart w:id="207" w:name="_Toc87463000"/>
      <w:bookmarkEnd w:id="205"/>
      <w:r w:rsidRPr="00B674A1">
        <w:rPr>
          <w:rFonts w:asciiTheme="majorBidi" w:hAnsiTheme="majorBidi"/>
          <w:sz w:val="26"/>
          <w:szCs w:val="26"/>
        </w:rPr>
        <w:t>4.6.3</w:t>
      </w:r>
      <w:r w:rsidR="00885DFB" w:rsidRPr="00B674A1">
        <w:rPr>
          <w:rFonts w:asciiTheme="majorBidi" w:hAnsiTheme="majorBidi"/>
          <w:sz w:val="26"/>
          <w:szCs w:val="26"/>
        </w:rPr>
        <w:t xml:space="preserve"> Review </w:t>
      </w:r>
      <w:r w:rsidRPr="00B674A1">
        <w:rPr>
          <w:rFonts w:asciiTheme="majorBidi" w:hAnsiTheme="majorBidi"/>
          <w:sz w:val="26"/>
          <w:szCs w:val="26"/>
        </w:rPr>
        <w:t>5</w:t>
      </w:r>
      <w:bookmarkStart w:id="208" w:name="_Hlk80698984"/>
      <w:bookmarkEnd w:id="206"/>
      <w:bookmarkEnd w:id="207"/>
    </w:p>
    <w:p w14:paraId="3B198D1C" w14:textId="29D568BC" w:rsidR="00C150CE" w:rsidRDefault="00C150CE" w:rsidP="000056E1">
      <w:pPr>
        <w:spacing w:before="240" w:line="360" w:lineRule="auto"/>
        <w:jc w:val="both"/>
        <w:rPr>
          <w:rFonts w:ascii="Times New Roman" w:eastAsia="Calibri" w:hAnsi="Times New Roman" w:cs="Times New Roman"/>
        </w:rPr>
      </w:pPr>
      <w:bookmarkStart w:id="209" w:name="_Hlk78200441"/>
      <w:bookmarkEnd w:id="208"/>
      <w:r w:rsidRPr="00C150CE">
        <w:rPr>
          <w:rFonts w:asciiTheme="majorBidi" w:hAnsiTheme="majorBidi" w:cstheme="majorBidi"/>
          <w:b/>
          <w:bCs/>
          <w:i/>
          <w:iCs/>
        </w:rPr>
        <w:t xml:space="preserve">What is the long-term risk of mortality (and other outcomes) for patients with carbapenem-resistant </w:t>
      </w:r>
      <w:proofErr w:type="spellStart"/>
      <w:r w:rsidRPr="00C150CE">
        <w:rPr>
          <w:rFonts w:asciiTheme="majorBidi" w:hAnsiTheme="majorBidi" w:cstheme="majorBidi"/>
          <w:b/>
          <w:bCs/>
          <w:i/>
          <w:iCs/>
        </w:rPr>
        <w:t>cUTI</w:t>
      </w:r>
      <w:proofErr w:type="spellEnd"/>
      <w:r w:rsidRPr="00C150CE">
        <w:rPr>
          <w:rFonts w:asciiTheme="majorBidi" w:hAnsiTheme="majorBidi" w:cstheme="majorBidi"/>
          <w:b/>
          <w:bCs/>
          <w:i/>
          <w:iCs/>
        </w:rPr>
        <w:t xml:space="preserve"> or HAP/VAP?</w:t>
      </w:r>
      <w:bookmarkEnd w:id="209"/>
    </w:p>
    <w:p w14:paraId="72821637" w14:textId="37662696" w:rsidR="00C150CE" w:rsidRPr="00EA0E40" w:rsidRDefault="00C150CE" w:rsidP="00F74C2C">
      <w:pPr>
        <w:keepNext/>
        <w:keepLines/>
        <w:spacing w:before="240" w:after="120" w:line="360" w:lineRule="auto"/>
        <w:outlineLvl w:val="3"/>
        <w:rPr>
          <w:rFonts w:asciiTheme="majorBidi" w:eastAsiaTheme="majorEastAsia" w:hAnsiTheme="majorBidi" w:cs="Times New Roman"/>
          <w:b/>
          <w:sz w:val="26"/>
          <w:szCs w:val="26"/>
        </w:rPr>
      </w:pPr>
      <w:bookmarkStart w:id="210" w:name="_Hlk85831958"/>
      <w:r w:rsidRPr="00EA0E40">
        <w:rPr>
          <w:rFonts w:asciiTheme="majorBidi" w:eastAsiaTheme="majorEastAsia" w:hAnsiTheme="majorBidi" w:cs="Times New Roman"/>
          <w:b/>
          <w:sz w:val="26"/>
          <w:szCs w:val="26"/>
        </w:rPr>
        <w:t>4.6.3.1 Methods</w:t>
      </w:r>
    </w:p>
    <w:p w14:paraId="5512A4BA" w14:textId="6367F703" w:rsidR="00885DFB" w:rsidRPr="00885DFB" w:rsidRDefault="000A3434" w:rsidP="000056E1">
      <w:pPr>
        <w:spacing w:before="240" w:line="360" w:lineRule="auto"/>
        <w:jc w:val="both"/>
        <w:rPr>
          <w:rFonts w:asciiTheme="majorBidi" w:hAnsiTheme="majorBidi" w:cstheme="majorBidi"/>
        </w:rPr>
      </w:pPr>
      <w:r w:rsidRPr="000A3434">
        <w:rPr>
          <w:rFonts w:ascii="Times New Roman" w:eastAsia="Calibri" w:hAnsi="Times New Roman" w:cs="Times New Roman"/>
        </w:rPr>
        <w:t xml:space="preserve">The previous reviews did not identify </w:t>
      </w:r>
      <w:r w:rsidR="00A04653" w:rsidRPr="000A3434">
        <w:rPr>
          <w:rFonts w:ascii="Times New Roman" w:eastAsia="Calibri" w:hAnsi="Times New Roman" w:cs="Times New Roman"/>
        </w:rPr>
        <w:t>an</w:t>
      </w:r>
      <w:r w:rsidR="00A04653">
        <w:rPr>
          <w:rFonts w:ascii="Times New Roman" w:eastAsia="Calibri" w:hAnsi="Times New Roman" w:cs="Times New Roman"/>
        </w:rPr>
        <w:t>y</w:t>
      </w:r>
      <w:r w:rsidR="00A04653" w:rsidRPr="000A3434">
        <w:rPr>
          <w:rFonts w:ascii="Times New Roman" w:eastAsia="Calibri" w:hAnsi="Times New Roman" w:cs="Times New Roman"/>
        </w:rPr>
        <w:t xml:space="preserve"> </w:t>
      </w:r>
      <w:r w:rsidRPr="000A3434">
        <w:rPr>
          <w:rFonts w:ascii="Times New Roman" w:eastAsia="Calibri" w:hAnsi="Times New Roman" w:cs="Times New Roman"/>
        </w:rPr>
        <w:t>long-term mortality data</w:t>
      </w:r>
      <w:bookmarkEnd w:id="210"/>
      <w:r w:rsidRPr="000A3434">
        <w:rPr>
          <w:rFonts w:ascii="Times New Roman" w:eastAsia="Calibri" w:hAnsi="Times New Roman" w:cs="Times New Roman"/>
        </w:rPr>
        <w:t>. Given the paucity of data in this area</w:t>
      </w:r>
      <w:r>
        <w:rPr>
          <w:rFonts w:ascii="Times New Roman" w:eastAsia="Calibri" w:hAnsi="Times New Roman" w:cs="Times New Roman"/>
        </w:rPr>
        <w:t xml:space="preserve">, </w:t>
      </w:r>
      <w:r w:rsidR="00885DFB" w:rsidRPr="000056E1">
        <w:rPr>
          <w:rFonts w:ascii="Times New Roman" w:eastAsia="Calibri" w:hAnsi="Times New Roman" w:cs="Times New Roman"/>
        </w:rPr>
        <w:t xml:space="preserve">the scope of this review question was widened to include any carbapenem-resistant infections treated with any treatment, under the assumption this data could be generalised to </w:t>
      </w:r>
      <w:r w:rsidR="00FE2007">
        <w:rPr>
          <w:rFonts w:ascii="Times New Roman" w:eastAsia="Calibri" w:hAnsi="Times New Roman" w:cs="Times New Roman"/>
        </w:rPr>
        <w:t xml:space="preserve">OXA-48 </w:t>
      </w:r>
      <w:proofErr w:type="spellStart"/>
      <w:r w:rsidR="00FE2007" w:rsidRPr="00FE2007">
        <w:rPr>
          <w:rFonts w:ascii="Times New Roman" w:eastAsia="Calibri" w:hAnsi="Times New Roman" w:cs="Times New Roman"/>
          <w:i/>
          <w:iCs/>
        </w:rPr>
        <w:t>Enterobacterales</w:t>
      </w:r>
      <w:proofErr w:type="spellEnd"/>
      <w:r w:rsidR="00885DFB" w:rsidRPr="000056E1">
        <w:rPr>
          <w:rFonts w:ascii="Times New Roman" w:eastAsia="Calibri" w:hAnsi="Times New Roman" w:cs="Times New Roman"/>
        </w:rPr>
        <w:t xml:space="preserve"> infections</w:t>
      </w:r>
      <w:r w:rsidR="00885DFB" w:rsidRPr="00885DFB">
        <w:rPr>
          <w:rFonts w:ascii="Times New Roman" w:eastAsia="Calibri" w:hAnsi="Times New Roman" w:cs="Times New Roman"/>
        </w:rPr>
        <w:t xml:space="preserve">. </w:t>
      </w:r>
      <w:r w:rsidR="00885DFB" w:rsidRPr="00885DFB">
        <w:rPr>
          <w:rFonts w:asciiTheme="majorBidi" w:hAnsiTheme="majorBidi" w:cstheme="majorBidi"/>
        </w:rPr>
        <w:t xml:space="preserve">A focussed search was conducted to identify UK studies reporting long-term (&gt;3 months) mortality and other outcomes such as hospitalisation, subsequent infection, </w:t>
      </w:r>
      <w:proofErr w:type="gramStart"/>
      <w:r w:rsidR="00885DFB" w:rsidRPr="00885DFB">
        <w:rPr>
          <w:rFonts w:asciiTheme="majorBidi" w:hAnsiTheme="majorBidi" w:cstheme="majorBidi"/>
        </w:rPr>
        <w:t>costs</w:t>
      </w:r>
      <w:proofErr w:type="gramEnd"/>
      <w:r w:rsidR="00885DFB" w:rsidRPr="00885DFB">
        <w:rPr>
          <w:rFonts w:asciiTheme="majorBidi" w:hAnsiTheme="majorBidi" w:cstheme="majorBidi"/>
        </w:rPr>
        <w:t xml:space="preserve"> and </w:t>
      </w:r>
      <w:r w:rsidR="00E74323">
        <w:rPr>
          <w:rFonts w:asciiTheme="majorBidi" w:hAnsiTheme="majorBidi" w:cstheme="majorBidi"/>
        </w:rPr>
        <w:t>AE</w:t>
      </w:r>
      <w:r w:rsidR="00785C3A">
        <w:rPr>
          <w:rFonts w:asciiTheme="majorBidi" w:hAnsiTheme="majorBidi" w:cstheme="majorBidi"/>
        </w:rPr>
        <w:t>s</w:t>
      </w:r>
      <w:r w:rsidR="00E74323">
        <w:rPr>
          <w:rFonts w:asciiTheme="majorBidi" w:hAnsiTheme="majorBidi" w:cstheme="majorBidi"/>
        </w:rPr>
        <w:t xml:space="preserve"> </w:t>
      </w:r>
      <w:r w:rsidR="00885DFB" w:rsidRPr="00885DFB">
        <w:rPr>
          <w:rFonts w:asciiTheme="majorBidi" w:hAnsiTheme="majorBidi" w:cstheme="majorBidi"/>
        </w:rPr>
        <w:t xml:space="preserve">for patients with carbapenem-resistant (including multi-drug resistant (MDR) and extensively-drug resistant (XDR)) </w:t>
      </w:r>
      <w:proofErr w:type="spellStart"/>
      <w:r w:rsidR="00885DFB" w:rsidRPr="00885DFB">
        <w:rPr>
          <w:rFonts w:asciiTheme="majorBidi" w:hAnsiTheme="majorBidi" w:cstheme="majorBidi"/>
        </w:rPr>
        <w:t>cUTI</w:t>
      </w:r>
      <w:proofErr w:type="spellEnd"/>
      <w:r w:rsidR="00885DFB" w:rsidRPr="00885DFB">
        <w:rPr>
          <w:rFonts w:asciiTheme="majorBidi" w:hAnsiTheme="majorBidi" w:cstheme="majorBidi"/>
        </w:rPr>
        <w:t xml:space="preserve"> or HAP/VAP. The search strategy comprised terms for (Carbapenem Resistance OR mechanisms) AND (sites [UTI/HAPVAP]) AND filters. The search </w:t>
      </w:r>
      <w:r>
        <w:rPr>
          <w:rFonts w:asciiTheme="majorBidi" w:hAnsiTheme="majorBidi" w:cstheme="majorBidi"/>
        </w:rPr>
        <w:t xml:space="preserve">scope </w:t>
      </w:r>
      <w:r w:rsidR="00885DFB" w:rsidRPr="00885DFB">
        <w:rPr>
          <w:rFonts w:asciiTheme="majorBidi" w:hAnsiTheme="majorBidi" w:cstheme="majorBidi"/>
        </w:rPr>
        <w:t xml:space="preserve">was limited using terms for the UK, and the search was run from 2010 to ensure clinical practices were contemporary. Since no UK studies were identified, the search was expanded to include studies from Europe. The search strategy is presented in </w:t>
      </w:r>
      <w:r w:rsidR="00E23D00">
        <w:rPr>
          <w:rFonts w:asciiTheme="majorBidi" w:hAnsiTheme="majorBidi" w:cstheme="majorBidi"/>
        </w:rPr>
        <w:t>Appendix 1.3.3</w:t>
      </w:r>
      <w:r w:rsidR="00885DFB" w:rsidRPr="00885DFB">
        <w:rPr>
          <w:rFonts w:asciiTheme="majorBidi" w:hAnsiTheme="majorBidi" w:cstheme="majorBidi"/>
        </w:rPr>
        <w:t>. The inclusion criteria for this review are reported in</w:t>
      </w:r>
      <w:r w:rsidR="00EE4C38">
        <w:rPr>
          <w:rFonts w:asciiTheme="majorBidi" w:hAnsiTheme="majorBidi" w:cstheme="majorBidi"/>
        </w:rPr>
        <w:t xml:space="preserve"> </w:t>
      </w:r>
      <w:r w:rsidR="00EE4C38" w:rsidRPr="00EE4C38">
        <w:rPr>
          <w:rFonts w:asciiTheme="majorBidi" w:hAnsiTheme="majorBidi" w:cstheme="majorBidi"/>
        </w:rPr>
        <w:t>Table 12</w:t>
      </w:r>
      <w:r w:rsidR="00885DFB" w:rsidRPr="00885DFB">
        <w:rPr>
          <w:rFonts w:asciiTheme="majorBidi" w:hAnsiTheme="majorBidi" w:cstheme="majorBidi"/>
        </w:rPr>
        <w:t xml:space="preserve">. Studies were assessed for eligibility against the inclusion criteria by one reviewer. </w:t>
      </w:r>
    </w:p>
    <w:p w14:paraId="47464983" w14:textId="12047FEE" w:rsidR="00885DFB" w:rsidRPr="00885DFB" w:rsidRDefault="00885DFB" w:rsidP="00885DFB">
      <w:pPr>
        <w:keepNext/>
        <w:spacing w:before="360" w:after="200" w:line="240" w:lineRule="auto"/>
        <w:rPr>
          <w:rFonts w:ascii="Times New Roman" w:hAnsi="Times New Roman" w:cs="Times New Roman"/>
          <w:b/>
          <w:iCs/>
          <w:sz w:val="20"/>
          <w:szCs w:val="18"/>
        </w:rPr>
      </w:pPr>
      <w:bookmarkStart w:id="211" w:name="_Ref78195176"/>
      <w:bookmarkStart w:id="212" w:name="_Toc77848056"/>
      <w:bookmarkStart w:id="213" w:name="_Toc83300847"/>
      <w:bookmarkStart w:id="214" w:name="_Toc83821906"/>
      <w:bookmarkStart w:id="215" w:name="_Toc86418989"/>
      <w:r w:rsidRPr="00885DFB">
        <w:rPr>
          <w:rFonts w:ascii="Times New Roman" w:hAnsi="Times New Roman" w:cs="Times New Roman"/>
          <w:b/>
          <w:iCs/>
          <w:sz w:val="20"/>
          <w:szCs w:val="18"/>
        </w:rPr>
        <w:t xml:space="preserve">Table </w:t>
      </w:r>
      <w:r w:rsidR="00F10F0A">
        <w:rPr>
          <w:rFonts w:ascii="Times New Roman" w:hAnsi="Times New Roman" w:cs="Times New Roman"/>
          <w:b/>
          <w:iCs/>
          <w:noProof/>
          <w:sz w:val="20"/>
          <w:szCs w:val="18"/>
        </w:rPr>
        <w:t>12</w:t>
      </w:r>
      <w:bookmarkEnd w:id="211"/>
      <w:r w:rsidRPr="00885DFB">
        <w:rPr>
          <w:rFonts w:ascii="Times New Roman" w:hAnsi="Times New Roman" w:cs="Times New Roman"/>
          <w:b/>
          <w:iCs/>
          <w:sz w:val="20"/>
          <w:szCs w:val="18"/>
        </w:rPr>
        <w:t xml:space="preserve">: Inclusion criteria for the review of the </w:t>
      </w:r>
      <w:proofErr w:type="gramStart"/>
      <w:r w:rsidRPr="00885DFB">
        <w:rPr>
          <w:rFonts w:ascii="Times New Roman" w:hAnsi="Times New Roman" w:cs="Times New Roman"/>
          <w:b/>
          <w:iCs/>
          <w:sz w:val="20"/>
          <w:szCs w:val="18"/>
        </w:rPr>
        <w:t>long term</w:t>
      </w:r>
      <w:proofErr w:type="gramEnd"/>
      <w:r w:rsidRPr="00885DFB">
        <w:rPr>
          <w:rFonts w:ascii="Times New Roman" w:hAnsi="Times New Roman" w:cs="Times New Roman"/>
          <w:b/>
          <w:iCs/>
          <w:sz w:val="20"/>
          <w:szCs w:val="18"/>
        </w:rPr>
        <w:t xml:space="preserve"> risk of mortality for patients with carbapenem-resistant </w:t>
      </w:r>
      <w:proofErr w:type="spellStart"/>
      <w:r w:rsidRPr="00885DFB">
        <w:rPr>
          <w:rFonts w:ascii="Times New Roman" w:hAnsi="Times New Roman" w:cs="Times New Roman"/>
          <w:b/>
          <w:iCs/>
          <w:sz w:val="20"/>
          <w:szCs w:val="18"/>
        </w:rPr>
        <w:t>cUTI</w:t>
      </w:r>
      <w:proofErr w:type="spellEnd"/>
      <w:r w:rsidRPr="00885DFB">
        <w:rPr>
          <w:rFonts w:ascii="Times New Roman" w:hAnsi="Times New Roman" w:cs="Times New Roman"/>
          <w:b/>
          <w:iCs/>
          <w:sz w:val="20"/>
          <w:szCs w:val="18"/>
        </w:rPr>
        <w:t xml:space="preserve"> or HAP/VAP</w:t>
      </w:r>
      <w:bookmarkEnd w:id="212"/>
      <w:bookmarkEnd w:id="213"/>
      <w:bookmarkEnd w:id="214"/>
      <w:bookmarkEnd w:id="215"/>
    </w:p>
    <w:tbl>
      <w:tblPr>
        <w:tblStyle w:val="TableGrid"/>
        <w:tblW w:w="0" w:type="auto"/>
        <w:tblLook w:val="04A0" w:firstRow="1" w:lastRow="0" w:firstColumn="1" w:lastColumn="0" w:noHBand="0" w:noVBand="1"/>
      </w:tblPr>
      <w:tblGrid>
        <w:gridCol w:w="3005"/>
        <w:gridCol w:w="3005"/>
        <w:gridCol w:w="3006"/>
      </w:tblGrid>
      <w:tr w:rsidR="00885DFB" w:rsidRPr="005E61DF" w14:paraId="7AD5E11A" w14:textId="77777777" w:rsidTr="00885DFB">
        <w:tc>
          <w:tcPr>
            <w:tcW w:w="3005" w:type="dxa"/>
          </w:tcPr>
          <w:p w14:paraId="6E7F0D8A"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b/>
              </w:rPr>
              <w:t>Item</w:t>
            </w:r>
          </w:p>
        </w:tc>
        <w:tc>
          <w:tcPr>
            <w:tcW w:w="3005" w:type="dxa"/>
          </w:tcPr>
          <w:p w14:paraId="1B375701"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b/>
              </w:rPr>
              <w:t>Inclusion criteria</w:t>
            </w:r>
          </w:p>
        </w:tc>
        <w:tc>
          <w:tcPr>
            <w:tcW w:w="3006" w:type="dxa"/>
          </w:tcPr>
          <w:p w14:paraId="35117C2F"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b/>
              </w:rPr>
              <w:t>Exclusion criteria</w:t>
            </w:r>
          </w:p>
        </w:tc>
      </w:tr>
      <w:tr w:rsidR="00885DFB" w:rsidRPr="005E61DF" w14:paraId="76E3EAA3" w14:textId="77777777" w:rsidTr="00885DFB">
        <w:tc>
          <w:tcPr>
            <w:tcW w:w="3005" w:type="dxa"/>
          </w:tcPr>
          <w:p w14:paraId="7A298DF7"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Population</w:t>
            </w:r>
          </w:p>
        </w:tc>
        <w:tc>
          <w:tcPr>
            <w:tcW w:w="3005" w:type="dxa"/>
          </w:tcPr>
          <w:p w14:paraId="27382FBF" w14:textId="1C61CC0C"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 xml:space="preserve">CR, XDR or MDR </w:t>
            </w:r>
            <w:proofErr w:type="spellStart"/>
            <w:r w:rsidRPr="005E61DF">
              <w:rPr>
                <w:rFonts w:asciiTheme="majorBidi" w:hAnsiTheme="majorBidi" w:cstheme="majorBidi"/>
              </w:rPr>
              <w:t>cUTI</w:t>
            </w:r>
            <w:proofErr w:type="spellEnd"/>
            <w:r w:rsidRPr="005E61DF">
              <w:rPr>
                <w:rFonts w:asciiTheme="majorBidi" w:hAnsiTheme="majorBidi" w:cstheme="majorBidi"/>
              </w:rPr>
              <w:t xml:space="preserve"> or HAP/VAP </w:t>
            </w:r>
            <w:r w:rsidR="000A3434" w:rsidRPr="005E61DF">
              <w:rPr>
                <w:rFonts w:asciiTheme="majorBidi" w:hAnsiTheme="majorBidi" w:cstheme="majorBidi"/>
              </w:rPr>
              <w:t>infections</w:t>
            </w:r>
          </w:p>
        </w:tc>
        <w:tc>
          <w:tcPr>
            <w:tcW w:w="3006" w:type="dxa"/>
          </w:tcPr>
          <w:p w14:paraId="318C8555" w14:textId="02B303D4" w:rsidR="00885DFB" w:rsidRPr="005E61DF" w:rsidRDefault="000A3434" w:rsidP="00885DFB">
            <w:pPr>
              <w:spacing w:after="120" w:line="360" w:lineRule="auto"/>
              <w:rPr>
                <w:rFonts w:asciiTheme="majorBidi" w:hAnsiTheme="majorBidi" w:cstheme="majorBidi"/>
              </w:rPr>
            </w:pPr>
            <w:r w:rsidRPr="005E61DF">
              <w:rPr>
                <w:rFonts w:asciiTheme="majorBidi" w:hAnsiTheme="majorBidi" w:cstheme="majorBidi"/>
              </w:rPr>
              <w:t>I</w:t>
            </w:r>
            <w:r w:rsidR="00885DFB" w:rsidRPr="005E61DF">
              <w:rPr>
                <w:rFonts w:asciiTheme="majorBidi" w:hAnsiTheme="majorBidi" w:cstheme="majorBidi"/>
              </w:rPr>
              <w:t xml:space="preserve">nfections at sites other than </w:t>
            </w:r>
            <w:proofErr w:type="spellStart"/>
            <w:r w:rsidR="00885DFB" w:rsidRPr="005E61DF">
              <w:rPr>
                <w:rFonts w:asciiTheme="majorBidi" w:hAnsiTheme="majorBidi" w:cstheme="majorBidi"/>
              </w:rPr>
              <w:t>cUTI</w:t>
            </w:r>
            <w:proofErr w:type="spellEnd"/>
            <w:r w:rsidR="00885DFB" w:rsidRPr="005E61DF">
              <w:rPr>
                <w:rFonts w:asciiTheme="majorBidi" w:hAnsiTheme="majorBidi" w:cstheme="majorBidi"/>
              </w:rPr>
              <w:t xml:space="preserve"> or HAP/VAP</w:t>
            </w:r>
          </w:p>
        </w:tc>
      </w:tr>
      <w:tr w:rsidR="00885DFB" w:rsidRPr="005E61DF" w14:paraId="6666BD32" w14:textId="77777777" w:rsidTr="00885DFB">
        <w:tc>
          <w:tcPr>
            <w:tcW w:w="3005" w:type="dxa"/>
          </w:tcPr>
          <w:p w14:paraId="20AD6A79"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Exposure</w:t>
            </w:r>
          </w:p>
        </w:tc>
        <w:tc>
          <w:tcPr>
            <w:tcW w:w="3005" w:type="dxa"/>
          </w:tcPr>
          <w:p w14:paraId="37DA7627"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Any treatment or no treatment</w:t>
            </w:r>
          </w:p>
        </w:tc>
        <w:tc>
          <w:tcPr>
            <w:tcW w:w="3006" w:type="dxa"/>
          </w:tcPr>
          <w:p w14:paraId="52F399F9" w14:textId="77777777" w:rsidR="00885DFB" w:rsidRPr="005E61DF" w:rsidRDefault="00885DFB" w:rsidP="00885DFB">
            <w:pPr>
              <w:spacing w:after="120" w:line="360" w:lineRule="auto"/>
              <w:rPr>
                <w:rFonts w:asciiTheme="majorBidi" w:hAnsiTheme="majorBidi" w:cstheme="majorBidi"/>
              </w:rPr>
            </w:pPr>
          </w:p>
        </w:tc>
      </w:tr>
      <w:tr w:rsidR="00885DFB" w:rsidRPr="005E61DF" w14:paraId="23835237" w14:textId="77777777" w:rsidTr="00885DFB">
        <w:tc>
          <w:tcPr>
            <w:tcW w:w="3005" w:type="dxa"/>
          </w:tcPr>
          <w:p w14:paraId="0E751BE8"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Outcomes</w:t>
            </w:r>
          </w:p>
        </w:tc>
        <w:tc>
          <w:tcPr>
            <w:tcW w:w="3005" w:type="dxa"/>
          </w:tcPr>
          <w:p w14:paraId="3DBC469C"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Mortality measured more than 3 months after treatment</w:t>
            </w:r>
          </w:p>
          <w:p w14:paraId="0716816B" w14:textId="47470939"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 xml:space="preserve">Other long-term outcomes such as hospitalisations, subsequent infections, costs, adverse events </w:t>
            </w:r>
          </w:p>
        </w:tc>
        <w:tc>
          <w:tcPr>
            <w:tcW w:w="3006" w:type="dxa"/>
          </w:tcPr>
          <w:p w14:paraId="056F8D10" w14:textId="1A9BFED3" w:rsidR="00885DFB" w:rsidRPr="005E61DF" w:rsidRDefault="000A3434" w:rsidP="00885DFB">
            <w:pPr>
              <w:spacing w:after="120" w:line="360" w:lineRule="auto"/>
              <w:rPr>
                <w:rFonts w:asciiTheme="majorBidi" w:hAnsiTheme="majorBidi" w:cstheme="majorBidi"/>
              </w:rPr>
            </w:pPr>
            <w:r w:rsidRPr="005E61DF">
              <w:rPr>
                <w:rFonts w:asciiTheme="majorBidi" w:hAnsiTheme="majorBidi" w:cstheme="majorBidi"/>
              </w:rPr>
              <w:t>Outcomes</w:t>
            </w:r>
            <w:r w:rsidR="00885DFB" w:rsidRPr="005E61DF">
              <w:rPr>
                <w:rFonts w:asciiTheme="majorBidi" w:hAnsiTheme="majorBidi" w:cstheme="majorBidi"/>
              </w:rPr>
              <w:t xml:space="preserve"> measured at or before 3 months after treatment</w:t>
            </w:r>
          </w:p>
        </w:tc>
      </w:tr>
      <w:tr w:rsidR="00885DFB" w:rsidRPr="005E61DF" w14:paraId="1E43389C" w14:textId="77777777" w:rsidTr="00885DFB">
        <w:tc>
          <w:tcPr>
            <w:tcW w:w="3005" w:type="dxa"/>
          </w:tcPr>
          <w:p w14:paraId="7FF5D2AE"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lastRenderedPageBreak/>
              <w:t>Setting</w:t>
            </w:r>
          </w:p>
        </w:tc>
        <w:tc>
          <w:tcPr>
            <w:tcW w:w="3005" w:type="dxa"/>
          </w:tcPr>
          <w:p w14:paraId="14A06116" w14:textId="77777777" w:rsidR="00885DFB" w:rsidRPr="005E61DF" w:rsidRDefault="00885DFB" w:rsidP="00885DFB">
            <w:pPr>
              <w:spacing w:after="120" w:line="360" w:lineRule="auto"/>
              <w:rPr>
                <w:rFonts w:asciiTheme="majorBidi" w:hAnsiTheme="majorBidi" w:cstheme="majorBidi"/>
              </w:rPr>
            </w:pPr>
            <w:r w:rsidRPr="005E61DF">
              <w:rPr>
                <w:rFonts w:asciiTheme="majorBidi" w:hAnsiTheme="majorBidi" w:cstheme="majorBidi"/>
              </w:rPr>
              <w:t>UK, expand to Europe if no UK studies</w:t>
            </w:r>
          </w:p>
        </w:tc>
        <w:tc>
          <w:tcPr>
            <w:tcW w:w="3006" w:type="dxa"/>
          </w:tcPr>
          <w:p w14:paraId="67B956D7" w14:textId="77777777" w:rsidR="00885DFB" w:rsidRPr="005E61DF" w:rsidRDefault="00885DFB" w:rsidP="00885DFB">
            <w:pPr>
              <w:spacing w:after="120" w:line="360" w:lineRule="auto"/>
              <w:rPr>
                <w:rFonts w:asciiTheme="majorBidi" w:hAnsiTheme="majorBidi" w:cstheme="majorBidi"/>
              </w:rPr>
            </w:pPr>
          </w:p>
          <w:p w14:paraId="4C456BBE" w14:textId="77777777" w:rsidR="00885DFB" w:rsidRPr="005E61DF" w:rsidRDefault="00885DFB" w:rsidP="00885DFB">
            <w:pPr>
              <w:spacing w:after="120" w:line="360" w:lineRule="auto"/>
              <w:rPr>
                <w:rFonts w:asciiTheme="majorBidi" w:hAnsiTheme="majorBidi" w:cstheme="majorBidi"/>
              </w:rPr>
            </w:pPr>
          </w:p>
        </w:tc>
      </w:tr>
      <w:tr w:rsidR="00885DFB" w:rsidRPr="008E04F8" w14:paraId="14EBA67C" w14:textId="77777777" w:rsidTr="00885DFB">
        <w:tc>
          <w:tcPr>
            <w:tcW w:w="3005" w:type="dxa"/>
          </w:tcPr>
          <w:p w14:paraId="13DF7152" w14:textId="77777777" w:rsidR="00885DFB" w:rsidRPr="008E04F8" w:rsidRDefault="00885DFB" w:rsidP="00885DFB">
            <w:pPr>
              <w:spacing w:after="120" w:line="360" w:lineRule="auto"/>
              <w:rPr>
                <w:rFonts w:asciiTheme="majorBidi" w:hAnsiTheme="majorBidi" w:cstheme="majorBidi"/>
              </w:rPr>
            </w:pPr>
            <w:r w:rsidRPr="008E04F8">
              <w:rPr>
                <w:rFonts w:asciiTheme="majorBidi" w:hAnsiTheme="majorBidi" w:cstheme="majorBidi"/>
              </w:rPr>
              <w:t>Study design</w:t>
            </w:r>
          </w:p>
        </w:tc>
        <w:tc>
          <w:tcPr>
            <w:tcW w:w="3005" w:type="dxa"/>
          </w:tcPr>
          <w:p w14:paraId="7E0B168D" w14:textId="77777777" w:rsidR="00885DFB" w:rsidRPr="008E04F8" w:rsidRDefault="00885DFB" w:rsidP="00885DFB">
            <w:pPr>
              <w:spacing w:after="120" w:line="360" w:lineRule="auto"/>
              <w:rPr>
                <w:rFonts w:asciiTheme="majorBidi" w:hAnsiTheme="majorBidi" w:cstheme="majorBidi"/>
              </w:rPr>
            </w:pPr>
            <w:r w:rsidRPr="008E04F8">
              <w:rPr>
                <w:rFonts w:asciiTheme="majorBidi" w:hAnsiTheme="majorBidi" w:cstheme="majorBidi"/>
              </w:rPr>
              <w:t>Experimental or observational studies or datasets</w:t>
            </w:r>
          </w:p>
        </w:tc>
        <w:tc>
          <w:tcPr>
            <w:tcW w:w="3006" w:type="dxa"/>
          </w:tcPr>
          <w:p w14:paraId="0A6D0F2B" w14:textId="77777777" w:rsidR="00885DFB" w:rsidRPr="008E04F8" w:rsidRDefault="00885DFB" w:rsidP="00885DFB">
            <w:pPr>
              <w:spacing w:after="120" w:line="360" w:lineRule="auto"/>
              <w:rPr>
                <w:rFonts w:asciiTheme="majorBidi" w:hAnsiTheme="majorBidi" w:cstheme="majorBidi"/>
              </w:rPr>
            </w:pPr>
            <w:r w:rsidRPr="008E04F8">
              <w:rPr>
                <w:rFonts w:asciiTheme="majorBidi" w:hAnsiTheme="majorBidi" w:cstheme="majorBidi"/>
              </w:rPr>
              <w:t>Studies published prior to 2010</w:t>
            </w:r>
          </w:p>
        </w:tc>
      </w:tr>
    </w:tbl>
    <w:p w14:paraId="268ADB26" w14:textId="4F2FD578" w:rsidR="008E04F8" w:rsidRPr="008E04F8" w:rsidRDefault="008E04F8" w:rsidP="008E04F8">
      <w:pPr>
        <w:spacing w:after="0" w:line="360" w:lineRule="auto"/>
        <w:jc w:val="both"/>
        <w:rPr>
          <w:rFonts w:asciiTheme="majorBidi" w:eastAsia="Calibri" w:hAnsiTheme="majorBidi" w:cstheme="majorBidi"/>
        </w:rPr>
      </w:pPr>
      <w:r w:rsidRPr="008E04F8">
        <w:rPr>
          <w:rFonts w:asciiTheme="majorBidi" w:hAnsiTheme="majorBidi" w:cstheme="majorBidi"/>
        </w:rPr>
        <w:t xml:space="preserve">CR, carbapenem-resistant; MDR, multi-drug resistant; </w:t>
      </w:r>
      <w:proofErr w:type="spellStart"/>
      <w:r w:rsidRPr="008E04F8">
        <w:rPr>
          <w:rFonts w:asciiTheme="majorBidi" w:eastAsia="Calibri" w:hAnsiTheme="majorBidi" w:cstheme="majorBidi"/>
        </w:rPr>
        <w:t>cUTI</w:t>
      </w:r>
      <w:proofErr w:type="spellEnd"/>
      <w:r w:rsidRPr="008E04F8">
        <w:rPr>
          <w:rFonts w:asciiTheme="majorBidi" w:eastAsia="Calibri" w:hAnsiTheme="majorBidi" w:cstheme="majorBidi"/>
        </w:rPr>
        <w:t>, complicated urinary tract infection; HAP/VAP, hospital-acquired pneumonia/ventilator-associated pneumonia</w:t>
      </w:r>
    </w:p>
    <w:p w14:paraId="5728F5DD" w14:textId="3806158D" w:rsidR="00C150CE" w:rsidRPr="008E04F8" w:rsidRDefault="00C150CE" w:rsidP="00C150CE"/>
    <w:p w14:paraId="42615FC5" w14:textId="77777777" w:rsidR="005E61DF" w:rsidRPr="00EA0E40" w:rsidRDefault="00C150CE" w:rsidP="00F74C2C">
      <w:pPr>
        <w:keepNext/>
        <w:keepLines/>
        <w:spacing w:before="240" w:after="120" w:line="360" w:lineRule="auto"/>
        <w:outlineLvl w:val="3"/>
        <w:rPr>
          <w:rFonts w:asciiTheme="majorBidi" w:eastAsiaTheme="majorEastAsia" w:hAnsiTheme="majorBidi" w:cs="Times New Roman"/>
          <w:b/>
          <w:sz w:val="26"/>
          <w:szCs w:val="26"/>
        </w:rPr>
      </w:pPr>
      <w:r w:rsidRPr="00EA0E40">
        <w:rPr>
          <w:rFonts w:asciiTheme="majorBidi" w:eastAsiaTheme="majorEastAsia" w:hAnsiTheme="majorBidi" w:cs="Times New Roman"/>
          <w:b/>
          <w:sz w:val="26"/>
          <w:szCs w:val="26"/>
        </w:rPr>
        <w:t>4.6.3.2 Results</w:t>
      </w:r>
    </w:p>
    <w:p w14:paraId="62BB3EE1" w14:textId="289DA220" w:rsidR="00346C15" w:rsidRPr="004A12CB" w:rsidRDefault="00346C15" w:rsidP="005E61DF">
      <w:pPr>
        <w:keepNext/>
        <w:keepLines/>
        <w:spacing w:before="240" w:after="120" w:line="360" w:lineRule="auto"/>
        <w:outlineLvl w:val="3"/>
        <w:rPr>
          <w:rFonts w:ascii="Times New Roman" w:hAnsi="Times New Roman" w:cs="Times New Roman"/>
          <w:i/>
          <w:iCs/>
        </w:rPr>
      </w:pPr>
      <w:r w:rsidRPr="004A12CB">
        <w:rPr>
          <w:rFonts w:ascii="Times New Roman" w:eastAsia="Times New Roman" w:hAnsi="Times New Roman" w:cs="Times New Roman"/>
          <w:color w:val="000000"/>
          <w:lang w:eastAsia="zh-CN"/>
        </w:rPr>
        <w:t xml:space="preserve">The electronic database searches, following the removal of duplicates, identified 76 records relating to long term outcomes for patients with carbapenem-resistant </w:t>
      </w:r>
      <w:proofErr w:type="spellStart"/>
      <w:r w:rsidRPr="004A12CB">
        <w:rPr>
          <w:rFonts w:ascii="Times New Roman" w:eastAsia="Times New Roman" w:hAnsi="Times New Roman" w:cs="Times New Roman"/>
          <w:color w:val="000000"/>
          <w:lang w:eastAsia="zh-CN"/>
        </w:rPr>
        <w:t>cUTI</w:t>
      </w:r>
      <w:proofErr w:type="spellEnd"/>
      <w:r w:rsidRPr="004A12CB">
        <w:rPr>
          <w:rFonts w:ascii="Times New Roman" w:eastAsia="Times New Roman" w:hAnsi="Times New Roman" w:cs="Times New Roman"/>
          <w:color w:val="000000"/>
          <w:lang w:eastAsia="zh-CN"/>
        </w:rPr>
        <w:t xml:space="preserve"> or HAP/VAP. After examination of the title and abstracts, 7</w:t>
      </w:r>
      <w:r w:rsidR="002F2CA3">
        <w:rPr>
          <w:rFonts w:ascii="Times New Roman" w:eastAsia="Times New Roman" w:hAnsi="Times New Roman" w:cs="Times New Roman"/>
          <w:color w:val="000000"/>
          <w:lang w:eastAsia="zh-CN"/>
        </w:rPr>
        <w:t>6</w:t>
      </w:r>
      <w:r w:rsidRPr="004A12CB">
        <w:rPr>
          <w:rFonts w:ascii="Times New Roman" w:eastAsia="Times New Roman" w:hAnsi="Times New Roman" w:cs="Times New Roman"/>
          <w:color w:val="000000"/>
          <w:lang w:eastAsia="zh-CN"/>
        </w:rPr>
        <w:t xml:space="preserve"> records were excluded because they did not meet the inclusion criteria</w:t>
      </w:r>
      <w:r w:rsidR="002F2CA3">
        <w:rPr>
          <w:rFonts w:ascii="Times New Roman" w:eastAsia="Times New Roman" w:hAnsi="Times New Roman" w:cs="Times New Roman"/>
          <w:color w:val="000000"/>
          <w:lang w:eastAsia="zh-CN"/>
        </w:rPr>
        <w:t xml:space="preserve">. </w:t>
      </w:r>
    </w:p>
    <w:p w14:paraId="476EBECD" w14:textId="0E594378" w:rsidR="00C150CE" w:rsidRPr="00B674A1" w:rsidRDefault="00885DFB" w:rsidP="00B674A1">
      <w:pPr>
        <w:pStyle w:val="Heading3"/>
        <w:ind w:left="1276" w:hanging="567"/>
        <w:rPr>
          <w:rFonts w:asciiTheme="majorBidi" w:hAnsiTheme="majorBidi"/>
          <w:sz w:val="26"/>
          <w:szCs w:val="26"/>
        </w:rPr>
      </w:pPr>
      <w:bookmarkStart w:id="216" w:name="_Toc87463001"/>
      <w:r w:rsidRPr="00B674A1">
        <w:rPr>
          <w:rFonts w:asciiTheme="majorBidi" w:hAnsiTheme="majorBidi"/>
          <w:sz w:val="26"/>
          <w:szCs w:val="26"/>
        </w:rPr>
        <w:t>4</w:t>
      </w:r>
      <w:r w:rsidR="00C150CE" w:rsidRPr="00B674A1">
        <w:rPr>
          <w:rFonts w:asciiTheme="majorBidi" w:hAnsiTheme="majorBidi"/>
          <w:sz w:val="26"/>
          <w:szCs w:val="26"/>
        </w:rPr>
        <w:t>.6.4</w:t>
      </w:r>
      <w:r w:rsidRPr="00B674A1">
        <w:rPr>
          <w:rFonts w:asciiTheme="majorBidi" w:hAnsiTheme="majorBidi"/>
          <w:sz w:val="26"/>
          <w:szCs w:val="26"/>
        </w:rPr>
        <w:t xml:space="preserve"> Review </w:t>
      </w:r>
      <w:r w:rsidR="00C150CE" w:rsidRPr="00B674A1">
        <w:rPr>
          <w:rFonts w:asciiTheme="majorBidi" w:hAnsiTheme="majorBidi"/>
          <w:sz w:val="26"/>
          <w:szCs w:val="26"/>
        </w:rPr>
        <w:t>6</w:t>
      </w:r>
      <w:bookmarkEnd w:id="216"/>
    </w:p>
    <w:p w14:paraId="2F5EAFED" w14:textId="67E3ED29" w:rsidR="00885DFB" w:rsidRDefault="00885DFB" w:rsidP="00C150CE">
      <w:pPr>
        <w:rPr>
          <w:rFonts w:asciiTheme="majorBidi" w:hAnsiTheme="majorBidi" w:cstheme="majorBidi"/>
          <w:b/>
          <w:bCs/>
          <w:i/>
          <w:iCs/>
        </w:rPr>
      </w:pPr>
      <w:r w:rsidRPr="00C150CE">
        <w:rPr>
          <w:rFonts w:asciiTheme="majorBidi" w:hAnsiTheme="majorBidi" w:cstheme="majorBidi"/>
          <w:b/>
          <w:bCs/>
          <w:i/>
          <w:iCs/>
        </w:rPr>
        <w:t xml:space="preserve">What are the important safety implications of </w:t>
      </w:r>
      <w:r w:rsidR="00031686" w:rsidRPr="00C150CE">
        <w:rPr>
          <w:rFonts w:asciiTheme="majorBidi" w:hAnsiTheme="majorBidi" w:cstheme="majorBidi"/>
          <w:b/>
          <w:bCs/>
          <w:i/>
          <w:iCs/>
        </w:rPr>
        <w:t>CAZ-AVI</w:t>
      </w:r>
      <w:r w:rsidRPr="00C150CE">
        <w:rPr>
          <w:rFonts w:asciiTheme="majorBidi" w:hAnsiTheme="majorBidi" w:cstheme="majorBidi"/>
          <w:b/>
          <w:bCs/>
          <w:i/>
          <w:iCs/>
        </w:rPr>
        <w:t>?</w:t>
      </w:r>
    </w:p>
    <w:p w14:paraId="16EE4977" w14:textId="3455D33F" w:rsidR="00C150CE" w:rsidRPr="00EA0E40" w:rsidRDefault="00C150CE" w:rsidP="00F74C2C">
      <w:pPr>
        <w:keepNext/>
        <w:keepLines/>
        <w:spacing w:before="240" w:after="120" w:line="360" w:lineRule="auto"/>
        <w:outlineLvl w:val="3"/>
        <w:rPr>
          <w:rFonts w:asciiTheme="majorBidi" w:eastAsiaTheme="majorEastAsia" w:hAnsiTheme="majorBidi" w:cs="Times New Roman"/>
          <w:b/>
          <w:sz w:val="26"/>
          <w:szCs w:val="26"/>
        </w:rPr>
      </w:pPr>
      <w:r w:rsidRPr="00EA0E40">
        <w:rPr>
          <w:rFonts w:asciiTheme="majorBidi" w:eastAsiaTheme="majorEastAsia" w:hAnsiTheme="majorBidi" w:cs="Times New Roman"/>
          <w:b/>
          <w:sz w:val="26"/>
          <w:szCs w:val="26"/>
        </w:rPr>
        <w:t>4.6.4.1 Methods</w:t>
      </w:r>
    </w:p>
    <w:p w14:paraId="5E8FD882" w14:textId="5AFCC578" w:rsidR="00885DFB" w:rsidRPr="00885DFB" w:rsidRDefault="00885DFB" w:rsidP="00731154">
      <w:pPr>
        <w:spacing w:before="240" w:line="360" w:lineRule="auto"/>
        <w:jc w:val="both"/>
        <w:rPr>
          <w:rFonts w:ascii="Times New Roman" w:eastAsia="Calibri" w:hAnsi="Times New Roman" w:cs="Times New Roman"/>
        </w:rPr>
      </w:pPr>
      <w:r w:rsidRPr="00885DFB">
        <w:rPr>
          <w:rFonts w:ascii="Times New Roman" w:eastAsia="Calibri" w:hAnsi="Times New Roman" w:cs="Times New Roman"/>
        </w:rPr>
        <w:t xml:space="preserve">A comprehensive review of the safety of comparators was not possible within the timeframe of this evaluation. </w:t>
      </w:r>
      <w:r w:rsidR="00C150CE" w:rsidRPr="00C150CE">
        <w:rPr>
          <w:rFonts w:ascii="Times New Roman" w:eastAsia="Calibri" w:hAnsi="Times New Roman" w:cs="Times New Roman"/>
        </w:rPr>
        <w:t xml:space="preserve">Adverse events included in the model for the intervention and comparators are described in Section </w:t>
      </w:r>
      <w:r w:rsidR="00AC40FF">
        <w:rPr>
          <w:rFonts w:ascii="Times New Roman" w:eastAsia="Calibri" w:hAnsi="Times New Roman" w:cs="Times New Roman"/>
        </w:rPr>
        <w:t>7.2</w:t>
      </w:r>
      <w:r w:rsidRPr="00885DFB">
        <w:rPr>
          <w:rFonts w:ascii="Times New Roman" w:eastAsia="Calibri" w:hAnsi="Times New Roman" w:cs="Times New Roman"/>
        </w:rPr>
        <w:t xml:space="preserve">. Clinical advisors to EEPRU indicated </w:t>
      </w:r>
      <w:r w:rsidRPr="000056E1">
        <w:rPr>
          <w:rFonts w:ascii="Times New Roman" w:eastAsia="Calibri" w:hAnsi="Times New Roman" w:cs="Times New Roman"/>
        </w:rPr>
        <w:t xml:space="preserve">that CAZ-AVI is </w:t>
      </w:r>
      <w:r w:rsidR="00C150CE">
        <w:rPr>
          <w:rFonts w:ascii="Times New Roman" w:eastAsia="Calibri" w:hAnsi="Times New Roman" w:cs="Times New Roman"/>
        </w:rPr>
        <w:t>predominantly a</w:t>
      </w:r>
      <w:r w:rsidRPr="00885DFB">
        <w:rPr>
          <w:rFonts w:ascii="Times New Roman" w:eastAsia="Calibri" w:hAnsi="Times New Roman" w:cs="Times New Roman"/>
        </w:rPr>
        <w:t xml:space="preserve"> safe treatment, but that colistin and aminoglycosides have significant </w:t>
      </w:r>
      <w:r w:rsidR="00785C3A">
        <w:rPr>
          <w:rFonts w:ascii="Times New Roman" w:eastAsia="Calibri" w:hAnsi="Times New Roman" w:cs="Times New Roman"/>
        </w:rPr>
        <w:t>AEs</w:t>
      </w:r>
      <w:r w:rsidRPr="00885DFB">
        <w:rPr>
          <w:rFonts w:ascii="Times New Roman" w:eastAsia="Calibri" w:hAnsi="Times New Roman" w:cs="Times New Roman"/>
        </w:rPr>
        <w:t xml:space="preserve"> relating to acute kidney injury (AKI). Another key </w:t>
      </w:r>
      <w:r w:rsidR="00785C3A">
        <w:rPr>
          <w:rFonts w:ascii="Times New Roman" w:eastAsia="Calibri" w:hAnsi="Times New Roman" w:cs="Times New Roman"/>
        </w:rPr>
        <w:t>AE</w:t>
      </w:r>
      <w:r w:rsidRPr="00885DFB">
        <w:rPr>
          <w:rFonts w:ascii="Times New Roman" w:eastAsia="Calibri" w:hAnsi="Times New Roman" w:cs="Times New Roman"/>
        </w:rPr>
        <w:t xml:space="preserve"> related to antibiotic use is the emergence of </w:t>
      </w:r>
      <w:proofErr w:type="spellStart"/>
      <w:proofErr w:type="gramStart"/>
      <w:r w:rsidR="000A3434">
        <w:rPr>
          <w:rFonts w:ascii="Times New Roman" w:eastAsia="Calibri" w:hAnsi="Times New Roman" w:cs="Times New Roman"/>
          <w:i/>
          <w:iCs/>
        </w:rPr>
        <w:t>C</w:t>
      </w:r>
      <w:r w:rsidRPr="000A3434">
        <w:rPr>
          <w:rFonts w:ascii="Times New Roman" w:eastAsia="Calibri" w:hAnsi="Times New Roman" w:cs="Times New Roman"/>
          <w:i/>
          <w:iCs/>
        </w:rPr>
        <w:t>.difficile</w:t>
      </w:r>
      <w:proofErr w:type="spellEnd"/>
      <w:proofErr w:type="gramEnd"/>
      <w:r w:rsidRPr="000A3434">
        <w:rPr>
          <w:rFonts w:ascii="Times New Roman" w:eastAsia="Calibri" w:hAnsi="Times New Roman" w:cs="Times New Roman"/>
          <w:i/>
          <w:iCs/>
        </w:rPr>
        <w:t xml:space="preserve"> </w:t>
      </w:r>
      <w:r w:rsidRPr="00885DFB">
        <w:rPr>
          <w:rFonts w:ascii="Times New Roman" w:eastAsia="Calibri" w:hAnsi="Times New Roman" w:cs="Times New Roman"/>
        </w:rPr>
        <w:t xml:space="preserve">in a patient’s digestive tract, which can lead to diarrhoea and serious damage to the colon. EEPRU conducted a review of the RCT trial evidence for </w:t>
      </w:r>
      <w:r w:rsidRPr="000056E1">
        <w:rPr>
          <w:rFonts w:ascii="Times New Roman" w:eastAsia="Calibri" w:hAnsi="Times New Roman" w:cs="Times New Roman"/>
        </w:rPr>
        <w:t>CAZ-AVI to establish whether it supported the clinical view that CAZ-AVI is a safe</w:t>
      </w:r>
      <w:r w:rsidRPr="00885DFB">
        <w:rPr>
          <w:rFonts w:ascii="Times New Roman" w:eastAsia="Calibri" w:hAnsi="Times New Roman" w:cs="Times New Roman"/>
        </w:rPr>
        <w:t xml:space="preserve"> treatment. EEPRU were especially interested in establishing safety comparative to toxic alternatives (colistin and aminoglycosides) and the other “safer” treatments </w:t>
      </w:r>
      <w:r w:rsidR="00C150CE">
        <w:rPr>
          <w:rFonts w:ascii="Times New Roman" w:eastAsia="Calibri" w:hAnsi="Times New Roman" w:cs="Times New Roman"/>
        </w:rPr>
        <w:t>used</w:t>
      </w:r>
      <w:r w:rsidRPr="00885DFB">
        <w:rPr>
          <w:rFonts w:ascii="Times New Roman" w:eastAsia="Calibri" w:hAnsi="Times New Roman" w:cs="Times New Roman"/>
        </w:rPr>
        <w:t xml:space="preserve"> in the HVCSs.  </w:t>
      </w:r>
    </w:p>
    <w:p w14:paraId="4F71E305" w14:textId="7D2EBF9A" w:rsidR="00885DFB" w:rsidRDefault="00C150CE" w:rsidP="00731154">
      <w:pPr>
        <w:spacing w:after="120" w:line="360" w:lineRule="auto"/>
        <w:jc w:val="both"/>
        <w:rPr>
          <w:rFonts w:ascii="Times New Roman" w:hAnsi="Times New Roman" w:cs="Times New Roman"/>
        </w:rPr>
      </w:pPr>
      <w:r>
        <w:rPr>
          <w:rFonts w:ascii="Times New Roman" w:hAnsi="Times New Roman" w:cs="Times New Roman"/>
        </w:rPr>
        <w:t>Rates of s</w:t>
      </w:r>
      <w:r w:rsidR="00885DFB" w:rsidRPr="00885DFB">
        <w:rPr>
          <w:rFonts w:ascii="Times New Roman" w:hAnsi="Times New Roman" w:cs="Times New Roman"/>
        </w:rPr>
        <w:t xml:space="preserve">erious treatment-related </w:t>
      </w:r>
      <w:r w:rsidR="00785C3A">
        <w:rPr>
          <w:rFonts w:ascii="Times New Roman" w:hAnsi="Times New Roman" w:cs="Times New Roman"/>
        </w:rPr>
        <w:t>AEs</w:t>
      </w:r>
      <w:r w:rsidR="00885DFB" w:rsidRPr="00885DFB">
        <w:rPr>
          <w:rFonts w:ascii="Times New Roman" w:hAnsi="Times New Roman" w:cs="Times New Roman"/>
        </w:rPr>
        <w:t xml:space="preserve">, nephrotoxicity </w:t>
      </w:r>
      <w:r w:rsidR="00785C3A">
        <w:rPr>
          <w:rFonts w:ascii="Times New Roman" w:hAnsi="Times New Roman" w:cs="Times New Roman"/>
        </w:rPr>
        <w:t>AEs</w:t>
      </w:r>
      <w:r w:rsidR="00885DFB" w:rsidRPr="00885DFB">
        <w:rPr>
          <w:rFonts w:ascii="Times New Roman" w:hAnsi="Times New Roman" w:cs="Times New Roman"/>
        </w:rPr>
        <w:t xml:space="preserve">, and </w:t>
      </w:r>
      <w:r w:rsidR="00885DFB" w:rsidRPr="00885DFB">
        <w:rPr>
          <w:rFonts w:ascii="Times New Roman" w:hAnsi="Times New Roman" w:cs="Times New Roman"/>
          <w:i/>
          <w:iCs/>
        </w:rPr>
        <w:t>C. difficile</w:t>
      </w:r>
      <w:r w:rsidR="00885DFB" w:rsidRPr="00885DFB">
        <w:rPr>
          <w:rFonts w:ascii="Times New Roman" w:hAnsi="Times New Roman" w:cs="Times New Roman"/>
        </w:rPr>
        <w:t xml:space="preserve"> infection</w:t>
      </w:r>
      <w:r>
        <w:rPr>
          <w:rFonts w:ascii="Times New Roman" w:hAnsi="Times New Roman" w:cs="Times New Roman"/>
        </w:rPr>
        <w:t>s</w:t>
      </w:r>
      <w:r w:rsidR="00885DFB" w:rsidRPr="00885DFB">
        <w:rPr>
          <w:rFonts w:ascii="Times New Roman" w:hAnsi="Times New Roman" w:cs="Times New Roman"/>
        </w:rPr>
        <w:t xml:space="preserve"> were extracted from the included RCT publications and/or their ClinicalTrials.gov NCT record. Only RCTs relating to the sites of interest were reviewed, </w:t>
      </w:r>
      <w:r>
        <w:rPr>
          <w:rFonts w:ascii="Times New Roman" w:hAnsi="Times New Roman" w:cs="Times New Roman"/>
        </w:rPr>
        <w:t>due to time and resource constraints</w:t>
      </w:r>
      <w:r w:rsidR="00885DFB" w:rsidRPr="00885DFB">
        <w:rPr>
          <w:rFonts w:ascii="Times New Roman" w:hAnsi="Times New Roman" w:cs="Times New Roman"/>
        </w:rPr>
        <w:t xml:space="preserve">. Only RCTs were considered as these give comparative data. In the absence of nephrotoxicity events, other kidney and renal </w:t>
      </w:r>
      <w:r w:rsidR="00785C3A">
        <w:rPr>
          <w:rFonts w:ascii="Times New Roman" w:hAnsi="Times New Roman" w:cs="Times New Roman"/>
        </w:rPr>
        <w:t>AEs</w:t>
      </w:r>
      <w:r w:rsidR="00885DFB" w:rsidRPr="00885DFB">
        <w:rPr>
          <w:rFonts w:ascii="Times New Roman" w:hAnsi="Times New Roman" w:cs="Times New Roman"/>
        </w:rPr>
        <w:t xml:space="preserve"> were extracted. </w:t>
      </w:r>
      <w:bookmarkStart w:id="217" w:name="_Hlk85832007"/>
      <w:r w:rsidR="00885DFB" w:rsidRPr="00885DFB">
        <w:rPr>
          <w:rFonts w:ascii="Times New Roman" w:hAnsi="Times New Roman" w:cs="Times New Roman"/>
        </w:rPr>
        <w:t xml:space="preserve">The data was then </w:t>
      </w:r>
      <w:r w:rsidR="00A04653">
        <w:rPr>
          <w:rFonts w:ascii="Times New Roman" w:hAnsi="Times New Roman" w:cs="Times New Roman"/>
        </w:rPr>
        <w:t>synthesised</w:t>
      </w:r>
      <w:r w:rsidR="00A04653" w:rsidRPr="00885DFB">
        <w:rPr>
          <w:rFonts w:ascii="Times New Roman" w:hAnsi="Times New Roman" w:cs="Times New Roman"/>
        </w:rPr>
        <w:t xml:space="preserve"> </w:t>
      </w:r>
      <w:r w:rsidR="00885DFB" w:rsidRPr="00885DFB">
        <w:rPr>
          <w:rFonts w:ascii="Times New Roman" w:hAnsi="Times New Roman" w:cs="Times New Roman"/>
        </w:rPr>
        <w:t xml:space="preserve">narratively for any important safety signals. </w:t>
      </w:r>
    </w:p>
    <w:bookmarkEnd w:id="217"/>
    <w:p w14:paraId="17FE2053" w14:textId="1F379A83" w:rsidR="00C150CE" w:rsidRDefault="00C150CE" w:rsidP="00885DFB">
      <w:pPr>
        <w:spacing w:after="120" w:line="360" w:lineRule="auto"/>
        <w:rPr>
          <w:rFonts w:ascii="Times New Roman" w:hAnsi="Times New Roman" w:cs="Times New Roman"/>
        </w:rPr>
      </w:pPr>
    </w:p>
    <w:p w14:paraId="5F936A09" w14:textId="60682456" w:rsidR="00C150CE" w:rsidRPr="00EA0E40" w:rsidRDefault="00C150CE" w:rsidP="00F74C2C">
      <w:pPr>
        <w:keepNext/>
        <w:keepLines/>
        <w:spacing w:before="240" w:after="120" w:line="360" w:lineRule="auto"/>
        <w:jc w:val="both"/>
        <w:outlineLvl w:val="3"/>
        <w:rPr>
          <w:rFonts w:asciiTheme="majorBidi" w:eastAsiaTheme="majorEastAsia" w:hAnsiTheme="majorBidi" w:cs="Times New Roman"/>
          <w:b/>
          <w:sz w:val="26"/>
          <w:szCs w:val="26"/>
        </w:rPr>
      </w:pPr>
      <w:r w:rsidRPr="00EA0E40">
        <w:rPr>
          <w:rFonts w:asciiTheme="majorBidi" w:eastAsiaTheme="majorEastAsia" w:hAnsiTheme="majorBidi" w:cs="Times New Roman"/>
          <w:b/>
          <w:sz w:val="26"/>
          <w:szCs w:val="26"/>
        </w:rPr>
        <w:lastRenderedPageBreak/>
        <w:t>4.6.4.2 Results</w:t>
      </w:r>
    </w:p>
    <w:p w14:paraId="503026B4" w14:textId="055742E7" w:rsidR="00346C15" w:rsidRPr="00885DFB" w:rsidRDefault="00346C15" w:rsidP="00731154">
      <w:pPr>
        <w:spacing w:after="120" w:line="360" w:lineRule="auto"/>
        <w:jc w:val="both"/>
        <w:rPr>
          <w:rFonts w:ascii="Times New Roman" w:hAnsi="Times New Roman" w:cs="Times New Roman"/>
        </w:rPr>
      </w:pPr>
      <w:r w:rsidRPr="00885DFB">
        <w:rPr>
          <w:rFonts w:ascii="Times New Roman" w:hAnsi="Times New Roman" w:cs="Times New Roman"/>
        </w:rPr>
        <w:t xml:space="preserve">The extracted </w:t>
      </w:r>
      <w:r w:rsidR="00785C3A">
        <w:rPr>
          <w:rFonts w:ascii="Times New Roman" w:hAnsi="Times New Roman" w:cs="Times New Roman"/>
        </w:rPr>
        <w:t>AE</w:t>
      </w:r>
      <w:r w:rsidRPr="00885DFB">
        <w:rPr>
          <w:rFonts w:ascii="Times New Roman" w:hAnsi="Times New Roman" w:cs="Times New Roman"/>
        </w:rPr>
        <w:t xml:space="preserve"> data in the RCTs for </w:t>
      </w:r>
      <w:r w:rsidR="00A04653">
        <w:rPr>
          <w:rFonts w:ascii="Times New Roman" w:hAnsi="Times New Roman" w:cs="Times New Roman"/>
        </w:rPr>
        <w:t>CAZ-AVI</w:t>
      </w:r>
      <w:r w:rsidR="00A04653" w:rsidRPr="00885DFB">
        <w:rPr>
          <w:rFonts w:ascii="Times New Roman" w:hAnsi="Times New Roman" w:cs="Times New Roman"/>
        </w:rPr>
        <w:t xml:space="preserve"> </w:t>
      </w:r>
      <w:r w:rsidRPr="00885DFB">
        <w:rPr>
          <w:rFonts w:ascii="Times New Roman" w:hAnsi="Times New Roman" w:cs="Times New Roman"/>
        </w:rPr>
        <w:t>are presented in</w:t>
      </w:r>
      <w:r w:rsidR="00EE4C38">
        <w:rPr>
          <w:rFonts w:ascii="Times New Roman" w:hAnsi="Times New Roman" w:cs="Times New Roman"/>
        </w:rPr>
        <w:t xml:space="preserve"> </w:t>
      </w:r>
      <w:r w:rsidR="00EE4C38" w:rsidRPr="00EE4C38">
        <w:rPr>
          <w:rFonts w:ascii="Times New Roman" w:hAnsi="Times New Roman" w:cs="Times New Roman"/>
        </w:rPr>
        <w:t>Table 13</w:t>
      </w:r>
      <w:r w:rsidRPr="00885DFB">
        <w:rPr>
          <w:rFonts w:ascii="Times New Roman" w:hAnsi="Times New Roman" w:cs="Times New Roman"/>
        </w:rPr>
        <w:t>.</w:t>
      </w:r>
    </w:p>
    <w:p w14:paraId="6249A799" w14:textId="0906DAC4" w:rsidR="00346C15" w:rsidRPr="00885DFB" w:rsidRDefault="00346C15" w:rsidP="00A83123">
      <w:pPr>
        <w:spacing w:after="120" w:line="360" w:lineRule="auto"/>
        <w:jc w:val="both"/>
        <w:rPr>
          <w:rFonts w:ascii="Times New Roman" w:hAnsi="Times New Roman" w:cs="Times New Roman"/>
        </w:rPr>
      </w:pPr>
      <w:r w:rsidRPr="00885DFB">
        <w:rPr>
          <w:rFonts w:ascii="Times New Roman" w:hAnsi="Times New Roman" w:cs="Times New Roman"/>
        </w:rPr>
        <w:t>As described in section 4.2.1, there were three RCTs in cUTI</w:t>
      </w:r>
      <w:r w:rsidR="00A83123" w:rsidRPr="00A83123">
        <w:rPr>
          <w:rFonts w:ascii="Times New Roman" w:hAnsi="Times New Roman" w:cs="Times New Roman"/>
          <w:noProof/>
          <w:vertAlign w:val="superscript"/>
        </w:rPr>
        <w:t>32,34,35</w:t>
      </w:r>
      <w:r w:rsidRPr="00885DFB">
        <w:rPr>
          <w:rFonts w:ascii="Times New Roman" w:hAnsi="Times New Roman" w:cs="Times New Roman"/>
        </w:rPr>
        <w:t xml:space="preserve"> and one in VAP.</w:t>
      </w:r>
      <w:r w:rsidR="00A83123" w:rsidRPr="00A83123">
        <w:rPr>
          <w:rFonts w:ascii="Times New Roman" w:hAnsi="Times New Roman" w:cs="Times New Roman"/>
          <w:noProof/>
          <w:vertAlign w:val="superscript"/>
        </w:rPr>
        <w:t>33</w:t>
      </w:r>
      <w:r w:rsidRPr="00885DFB">
        <w:rPr>
          <w:rFonts w:ascii="Times New Roman" w:hAnsi="Times New Roman" w:cs="Times New Roman"/>
        </w:rPr>
        <w:t xml:space="preserve"> Statistical comparisons were not reported for </w:t>
      </w:r>
      <w:r w:rsidR="00785C3A">
        <w:rPr>
          <w:rFonts w:ascii="Times New Roman" w:hAnsi="Times New Roman" w:cs="Times New Roman"/>
        </w:rPr>
        <w:t>AE</w:t>
      </w:r>
      <w:r w:rsidRPr="00885DFB">
        <w:rPr>
          <w:rFonts w:ascii="Times New Roman" w:hAnsi="Times New Roman" w:cs="Times New Roman"/>
        </w:rPr>
        <w:t xml:space="preserve"> rates in any of the trials.</w:t>
      </w:r>
    </w:p>
    <w:p w14:paraId="3EAF7B1D" w14:textId="436DFDA6" w:rsidR="00346C15" w:rsidRPr="00885DFB" w:rsidRDefault="00346C15" w:rsidP="00A83123">
      <w:pPr>
        <w:spacing w:after="120" w:line="360" w:lineRule="auto"/>
        <w:jc w:val="both"/>
        <w:rPr>
          <w:rFonts w:ascii="Times New Roman" w:hAnsi="Times New Roman" w:cs="Times New Roman"/>
        </w:rPr>
      </w:pPr>
      <w:r w:rsidRPr="00885DFB">
        <w:rPr>
          <w:rFonts w:ascii="Times New Roman" w:hAnsi="Times New Roman" w:cs="Times New Roman"/>
        </w:rPr>
        <w:t xml:space="preserve">The proportion of patients with </w:t>
      </w:r>
      <w:r w:rsidR="00F60D31">
        <w:rPr>
          <w:rFonts w:ascii="Times New Roman" w:hAnsi="Times New Roman" w:cs="Times New Roman"/>
        </w:rPr>
        <w:t>serious adverse events (</w:t>
      </w:r>
      <w:r w:rsidRPr="00885DFB">
        <w:rPr>
          <w:rFonts w:ascii="Times New Roman" w:hAnsi="Times New Roman" w:cs="Times New Roman"/>
        </w:rPr>
        <w:t>SAEs</w:t>
      </w:r>
      <w:r w:rsidR="00F60D31">
        <w:rPr>
          <w:rFonts w:ascii="Times New Roman" w:hAnsi="Times New Roman" w:cs="Times New Roman"/>
        </w:rPr>
        <w:t>)</w:t>
      </w:r>
      <w:r w:rsidRPr="00885DFB">
        <w:rPr>
          <w:rFonts w:ascii="Times New Roman" w:hAnsi="Times New Roman" w:cs="Times New Roman"/>
        </w:rPr>
        <w:t xml:space="preserve"> was numerically similar or slightly higher when compared to </w:t>
      </w:r>
      <w:r w:rsidR="00D26A23">
        <w:rPr>
          <w:rFonts w:ascii="Times New Roman" w:hAnsi="Times New Roman" w:cs="Times New Roman"/>
        </w:rPr>
        <w:t>best available therapy</w:t>
      </w:r>
      <w:r w:rsidRPr="00885DFB">
        <w:rPr>
          <w:rFonts w:ascii="Times New Roman" w:hAnsi="Times New Roman" w:cs="Times New Roman"/>
        </w:rPr>
        <w:t xml:space="preserve"> (4.61% and 3.27%),</w:t>
      </w:r>
      <w:r w:rsidR="00A83123" w:rsidRPr="00A83123">
        <w:rPr>
          <w:rFonts w:ascii="Times New Roman" w:hAnsi="Times New Roman" w:cs="Times New Roman"/>
          <w:noProof/>
          <w:vertAlign w:val="superscript"/>
        </w:rPr>
        <w:t>32</w:t>
      </w:r>
      <w:r w:rsidRPr="00885DFB">
        <w:rPr>
          <w:rFonts w:ascii="Times New Roman" w:hAnsi="Times New Roman" w:cs="Times New Roman"/>
        </w:rPr>
        <w:t xml:space="preserve"> </w:t>
      </w:r>
      <w:proofErr w:type="spellStart"/>
      <w:r w:rsidRPr="00885DFB">
        <w:rPr>
          <w:rFonts w:ascii="Times New Roman" w:hAnsi="Times New Roman" w:cs="Times New Roman"/>
        </w:rPr>
        <w:t>doripenem</w:t>
      </w:r>
      <w:proofErr w:type="spellEnd"/>
      <w:r w:rsidRPr="00885DFB">
        <w:rPr>
          <w:rFonts w:ascii="Times New Roman" w:hAnsi="Times New Roman" w:cs="Times New Roman"/>
        </w:rPr>
        <w:t xml:space="preserve"> (4.1% and 2.4%)</w:t>
      </w:r>
      <w:r w:rsidR="00A83123" w:rsidRPr="00A83123">
        <w:rPr>
          <w:rFonts w:ascii="Times New Roman" w:hAnsi="Times New Roman" w:cs="Times New Roman"/>
          <w:noProof/>
          <w:vertAlign w:val="superscript"/>
        </w:rPr>
        <w:t>35</w:t>
      </w:r>
      <w:r w:rsidRPr="00885DFB">
        <w:rPr>
          <w:rFonts w:ascii="Times New Roman" w:hAnsi="Times New Roman" w:cs="Times New Roman"/>
        </w:rPr>
        <w:t xml:space="preserve"> </w:t>
      </w:r>
      <w:r w:rsidR="00593E66" w:rsidRPr="00885DFB">
        <w:rPr>
          <w:rFonts w:ascii="Times New Roman" w:hAnsi="Times New Roman" w:cs="Times New Roman"/>
        </w:rPr>
        <w:t>And</w:t>
      </w:r>
      <w:r w:rsidRPr="00885DFB">
        <w:rPr>
          <w:rFonts w:ascii="Times New Roman" w:hAnsi="Times New Roman" w:cs="Times New Roman"/>
        </w:rPr>
        <w:t xml:space="preserve"> meropenem (19% and 13%)</w:t>
      </w:r>
      <w:r w:rsidR="00593E66" w:rsidRPr="00885DFB">
        <w:rPr>
          <w:rFonts w:ascii="Times New Roman" w:hAnsi="Times New Roman" w:cs="Times New Roman"/>
        </w:rPr>
        <w:t xml:space="preserve">, </w:t>
      </w:r>
      <w:r w:rsidR="00A83123" w:rsidRPr="00A83123">
        <w:rPr>
          <w:rFonts w:ascii="Times New Roman" w:hAnsi="Times New Roman" w:cs="Times New Roman"/>
          <w:noProof/>
          <w:vertAlign w:val="superscript"/>
        </w:rPr>
        <w:t>33</w:t>
      </w:r>
      <w:r w:rsidRPr="00885DFB">
        <w:rPr>
          <w:rFonts w:ascii="Times New Roman" w:hAnsi="Times New Roman" w:cs="Times New Roman"/>
        </w:rPr>
        <w:t xml:space="preserve"> and appeared numerically higher when compared to imipenem-</w:t>
      </w:r>
      <w:proofErr w:type="spellStart"/>
      <w:r w:rsidRPr="00885DFB">
        <w:rPr>
          <w:rFonts w:ascii="Times New Roman" w:hAnsi="Times New Roman" w:cs="Times New Roman"/>
        </w:rPr>
        <w:t>cilastatin</w:t>
      </w:r>
      <w:proofErr w:type="spellEnd"/>
      <w:r w:rsidRPr="00885DFB">
        <w:rPr>
          <w:rFonts w:ascii="Times New Roman" w:hAnsi="Times New Roman" w:cs="Times New Roman"/>
        </w:rPr>
        <w:t xml:space="preserve"> (8.82% and 2.99%).</w:t>
      </w:r>
      <w:r w:rsidR="00A83123" w:rsidRPr="00A83123">
        <w:rPr>
          <w:rFonts w:ascii="Times New Roman" w:hAnsi="Times New Roman" w:cs="Times New Roman"/>
          <w:noProof/>
          <w:vertAlign w:val="superscript"/>
        </w:rPr>
        <w:t>34</w:t>
      </w:r>
      <w:r w:rsidRPr="00885DFB">
        <w:rPr>
          <w:rFonts w:ascii="Times New Roman" w:hAnsi="Times New Roman" w:cs="Times New Roman"/>
        </w:rPr>
        <w:t xml:space="preserve"> However, </w:t>
      </w:r>
      <w:proofErr w:type="spellStart"/>
      <w:r w:rsidRPr="00885DFB">
        <w:rPr>
          <w:rFonts w:ascii="Times New Roman" w:hAnsi="Times New Roman" w:cs="Times New Roman"/>
        </w:rPr>
        <w:t>doripenem</w:t>
      </w:r>
      <w:proofErr w:type="spellEnd"/>
      <w:r w:rsidRPr="00885DFB">
        <w:rPr>
          <w:rFonts w:ascii="Times New Roman" w:hAnsi="Times New Roman" w:cs="Times New Roman"/>
        </w:rPr>
        <w:t xml:space="preserve"> and imipenem-</w:t>
      </w:r>
      <w:proofErr w:type="spellStart"/>
      <w:r w:rsidRPr="00885DFB">
        <w:rPr>
          <w:rFonts w:ascii="Times New Roman" w:hAnsi="Times New Roman" w:cs="Times New Roman"/>
        </w:rPr>
        <w:t>cilastatin</w:t>
      </w:r>
      <w:proofErr w:type="spellEnd"/>
      <w:r w:rsidRPr="00885DFB">
        <w:rPr>
          <w:rFonts w:ascii="Times New Roman" w:hAnsi="Times New Roman" w:cs="Times New Roman"/>
        </w:rPr>
        <w:t xml:space="preserve"> are not comparators within the HVCSs. </w:t>
      </w:r>
    </w:p>
    <w:p w14:paraId="6D12DBE7" w14:textId="4E180482" w:rsidR="00346C15" w:rsidRPr="00885DFB" w:rsidRDefault="00346C15" w:rsidP="00A83123">
      <w:pPr>
        <w:spacing w:after="120" w:line="360" w:lineRule="auto"/>
        <w:jc w:val="both"/>
        <w:rPr>
          <w:rFonts w:ascii="Times New Roman" w:hAnsi="Times New Roman" w:cs="Times New Roman"/>
        </w:rPr>
      </w:pPr>
      <w:r w:rsidRPr="00885DFB">
        <w:rPr>
          <w:rFonts w:ascii="Times New Roman" w:hAnsi="Times New Roman" w:cs="Times New Roman"/>
        </w:rPr>
        <w:t xml:space="preserve">Amongst renal </w:t>
      </w:r>
      <w:r w:rsidR="00785C3A">
        <w:rPr>
          <w:rFonts w:ascii="Times New Roman" w:hAnsi="Times New Roman" w:cs="Times New Roman"/>
        </w:rPr>
        <w:t>AEs</w:t>
      </w:r>
      <w:r w:rsidRPr="00885DFB">
        <w:rPr>
          <w:rFonts w:ascii="Times New Roman" w:hAnsi="Times New Roman" w:cs="Times New Roman"/>
        </w:rPr>
        <w:t>, rates were very low, and were in some studies a little higher in CAZ-AVI arms (see RECAPTURE 1 &amp; 2</w:t>
      </w:r>
      <w:r w:rsidR="002F2CA3">
        <w:rPr>
          <w:rFonts w:ascii="Times New Roman" w:hAnsi="Times New Roman" w:cs="Times New Roman"/>
        </w:rPr>
        <w:t xml:space="preserve"> </w:t>
      </w:r>
      <w:r w:rsidRPr="00885DFB">
        <w:rPr>
          <w:rFonts w:ascii="Times New Roman" w:hAnsi="Times New Roman" w:cs="Times New Roman"/>
        </w:rPr>
        <w:t xml:space="preserve">and REPROVE in Table </w:t>
      </w:r>
      <w:r w:rsidRPr="00885DFB">
        <w:rPr>
          <w:rFonts w:ascii="Times New Roman" w:hAnsi="Times New Roman" w:cs="Times New Roman"/>
          <w:noProof/>
        </w:rPr>
        <w:t>13</w:t>
      </w:r>
      <w:r w:rsidRPr="00885DFB">
        <w:rPr>
          <w:rFonts w:ascii="Times New Roman" w:hAnsi="Times New Roman" w:cs="Times New Roman"/>
        </w:rPr>
        <w:t xml:space="preserve">); whereas in one trial they were lower (see REPRISE in Table </w:t>
      </w:r>
      <w:r w:rsidRPr="00885DFB">
        <w:rPr>
          <w:rFonts w:ascii="Times New Roman" w:hAnsi="Times New Roman" w:cs="Times New Roman"/>
          <w:noProof/>
        </w:rPr>
        <w:t>13</w:t>
      </w:r>
      <w:r w:rsidRPr="00885DFB">
        <w:rPr>
          <w:rFonts w:ascii="Times New Roman" w:hAnsi="Times New Roman" w:cs="Times New Roman"/>
        </w:rPr>
        <w:t>).</w:t>
      </w:r>
      <w:r w:rsidR="00A83123" w:rsidRPr="00A83123">
        <w:rPr>
          <w:rFonts w:ascii="Times New Roman" w:hAnsi="Times New Roman" w:cs="Times New Roman"/>
          <w:noProof/>
          <w:vertAlign w:val="superscript"/>
        </w:rPr>
        <w:t>32</w:t>
      </w:r>
      <w:r w:rsidR="00D26A23">
        <w:rPr>
          <w:rFonts w:ascii="Times New Roman" w:hAnsi="Times New Roman" w:cs="Times New Roman"/>
        </w:rPr>
        <w:t xml:space="preserve"> This may be due to the small proportion of patients in the best available therapy arm who received colistin or aminoglycosides (3.6%). </w:t>
      </w:r>
    </w:p>
    <w:p w14:paraId="078B1AFE" w14:textId="1AB8E364" w:rsidR="00346C15" w:rsidRPr="00885DFB" w:rsidRDefault="00346C15" w:rsidP="00A83123">
      <w:pPr>
        <w:spacing w:after="120" w:line="360" w:lineRule="auto"/>
        <w:jc w:val="both"/>
        <w:rPr>
          <w:rFonts w:ascii="Times New Roman" w:hAnsi="Times New Roman" w:cs="Times New Roman"/>
        </w:rPr>
      </w:pPr>
      <w:r w:rsidRPr="00885DFB">
        <w:rPr>
          <w:rFonts w:ascii="Times New Roman" w:hAnsi="Times New Roman" w:cs="Times New Roman"/>
        </w:rPr>
        <w:t xml:space="preserve">Only one study reported </w:t>
      </w:r>
      <w:proofErr w:type="spellStart"/>
      <w:proofErr w:type="gramStart"/>
      <w:r w:rsidR="00D86E3D">
        <w:rPr>
          <w:rFonts w:ascii="Times New Roman" w:hAnsi="Times New Roman" w:cs="Times New Roman"/>
          <w:i/>
          <w:iCs/>
        </w:rPr>
        <w:t>C</w:t>
      </w:r>
      <w:r w:rsidRPr="00D86E3D">
        <w:rPr>
          <w:rFonts w:ascii="Times New Roman" w:hAnsi="Times New Roman" w:cs="Times New Roman"/>
          <w:i/>
          <w:iCs/>
        </w:rPr>
        <w:t>.difficile</w:t>
      </w:r>
      <w:proofErr w:type="spellEnd"/>
      <w:proofErr w:type="gramEnd"/>
      <w:r w:rsidRPr="00885DFB">
        <w:rPr>
          <w:rFonts w:ascii="Times New Roman" w:hAnsi="Times New Roman" w:cs="Times New Roman"/>
        </w:rPr>
        <w:t xml:space="preserve"> rates. Again, the event rates were extremely low, with one event (0.4%) in the CAZ-AVI arm, and zero in the </w:t>
      </w:r>
      <w:proofErr w:type="spellStart"/>
      <w:r w:rsidRPr="00885DFB">
        <w:rPr>
          <w:rFonts w:ascii="Times New Roman" w:hAnsi="Times New Roman" w:cs="Times New Roman"/>
        </w:rPr>
        <w:t>doripenem</w:t>
      </w:r>
      <w:proofErr w:type="spellEnd"/>
      <w:r w:rsidRPr="00885DFB">
        <w:rPr>
          <w:rFonts w:ascii="Times New Roman" w:hAnsi="Times New Roman" w:cs="Times New Roman"/>
        </w:rPr>
        <w:t xml:space="preserve"> arm.</w:t>
      </w:r>
      <w:r w:rsidR="00A83123" w:rsidRPr="00A83123">
        <w:rPr>
          <w:rFonts w:ascii="Times New Roman" w:hAnsi="Times New Roman" w:cs="Times New Roman"/>
          <w:noProof/>
          <w:vertAlign w:val="superscript"/>
        </w:rPr>
        <w:t>35</w:t>
      </w:r>
    </w:p>
    <w:p w14:paraId="7E972F4D" w14:textId="77777777" w:rsidR="00346C15" w:rsidRPr="00885DFB" w:rsidRDefault="00346C15" w:rsidP="00731154">
      <w:pPr>
        <w:spacing w:after="120" w:line="360" w:lineRule="auto"/>
        <w:jc w:val="both"/>
        <w:rPr>
          <w:rFonts w:ascii="Times New Roman" w:hAnsi="Times New Roman" w:cs="Times New Roman"/>
        </w:rPr>
      </w:pPr>
      <w:r w:rsidRPr="00885DFB">
        <w:rPr>
          <w:rFonts w:ascii="Times New Roman" w:hAnsi="Times New Roman" w:cs="Times New Roman"/>
        </w:rPr>
        <w:t xml:space="preserve">Event rates were generally low for other AEs in both arms. </w:t>
      </w:r>
    </w:p>
    <w:p w14:paraId="08FEA38C" w14:textId="040C8890" w:rsidR="00346C15" w:rsidRPr="00885DFB" w:rsidRDefault="00346C15" w:rsidP="00731154">
      <w:pPr>
        <w:spacing w:after="120" w:line="360" w:lineRule="auto"/>
        <w:jc w:val="both"/>
        <w:rPr>
          <w:rFonts w:ascii="Times New Roman" w:hAnsi="Times New Roman" w:cs="Times New Roman"/>
        </w:rPr>
      </w:pPr>
      <w:r w:rsidRPr="00885DFB">
        <w:rPr>
          <w:rFonts w:ascii="Times New Roman" w:hAnsi="Times New Roman" w:cs="Times New Roman"/>
        </w:rPr>
        <w:t xml:space="preserve">Overall, no strong signal for additional </w:t>
      </w:r>
      <w:r w:rsidR="00785C3A">
        <w:rPr>
          <w:rFonts w:ascii="Times New Roman" w:hAnsi="Times New Roman" w:cs="Times New Roman"/>
        </w:rPr>
        <w:t>AEs</w:t>
      </w:r>
      <w:r w:rsidRPr="00885DFB">
        <w:rPr>
          <w:rFonts w:ascii="Times New Roman" w:hAnsi="Times New Roman" w:cs="Times New Roman"/>
        </w:rPr>
        <w:t xml:space="preserve"> to be included in the modelling were identified. The data appeared to bear out the clinical view that CAZ-AVI is a largely safe treatment with no or extremely little effect on renal </w:t>
      </w:r>
      <w:r w:rsidR="00785C3A">
        <w:rPr>
          <w:rFonts w:ascii="Times New Roman" w:hAnsi="Times New Roman" w:cs="Times New Roman"/>
        </w:rPr>
        <w:t>AEs</w:t>
      </w:r>
      <w:r w:rsidRPr="00885DFB">
        <w:rPr>
          <w:rFonts w:ascii="Times New Roman" w:hAnsi="Times New Roman" w:cs="Times New Roman"/>
        </w:rPr>
        <w:t xml:space="preserve"> or on the emergence of </w:t>
      </w:r>
      <w:proofErr w:type="spellStart"/>
      <w:proofErr w:type="gramStart"/>
      <w:r w:rsidR="00D86E3D">
        <w:rPr>
          <w:rFonts w:ascii="Times New Roman" w:hAnsi="Times New Roman" w:cs="Times New Roman"/>
          <w:i/>
          <w:iCs/>
        </w:rPr>
        <w:t>C</w:t>
      </w:r>
      <w:r w:rsidRPr="00D86E3D">
        <w:rPr>
          <w:rFonts w:ascii="Times New Roman" w:hAnsi="Times New Roman" w:cs="Times New Roman"/>
          <w:i/>
          <w:iCs/>
        </w:rPr>
        <w:t>.difficile</w:t>
      </w:r>
      <w:proofErr w:type="spellEnd"/>
      <w:proofErr w:type="gramEnd"/>
      <w:r w:rsidRPr="00885DFB">
        <w:rPr>
          <w:rFonts w:ascii="Times New Roman" w:hAnsi="Times New Roman" w:cs="Times New Roman"/>
        </w:rPr>
        <w:t xml:space="preserve"> when used to treat infections at the sites of interest.</w:t>
      </w:r>
    </w:p>
    <w:p w14:paraId="2BD4EE07" w14:textId="2F096DB1" w:rsidR="00346C15" w:rsidRPr="00885DFB" w:rsidRDefault="00346C15" w:rsidP="00346C15">
      <w:pPr>
        <w:keepNext/>
        <w:spacing w:before="360" w:after="200" w:line="240" w:lineRule="auto"/>
        <w:rPr>
          <w:rFonts w:ascii="Times New Roman" w:hAnsi="Times New Roman" w:cs="Times New Roman"/>
          <w:b/>
          <w:iCs/>
          <w:sz w:val="20"/>
          <w:szCs w:val="18"/>
        </w:rPr>
      </w:pPr>
      <w:bookmarkStart w:id="218" w:name="_Ref82199465"/>
      <w:bookmarkStart w:id="219" w:name="_Toc83300858"/>
      <w:bookmarkStart w:id="220" w:name="_Toc83821915"/>
      <w:bookmarkStart w:id="221" w:name="_Toc86418990"/>
      <w:r w:rsidRPr="00885DFB">
        <w:rPr>
          <w:rFonts w:ascii="Times New Roman" w:hAnsi="Times New Roman" w:cs="Times New Roman"/>
          <w:b/>
          <w:iCs/>
          <w:sz w:val="20"/>
          <w:szCs w:val="18"/>
        </w:rPr>
        <w:t xml:space="preserve">Table </w:t>
      </w:r>
      <w:r w:rsidR="00F10F0A">
        <w:rPr>
          <w:rFonts w:ascii="Times New Roman" w:hAnsi="Times New Roman" w:cs="Times New Roman"/>
          <w:b/>
          <w:iCs/>
          <w:noProof/>
          <w:sz w:val="20"/>
          <w:szCs w:val="18"/>
        </w:rPr>
        <w:t>13</w:t>
      </w:r>
      <w:bookmarkEnd w:id="218"/>
      <w:r w:rsidR="005E61DF">
        <w:rPr>
          <w:rFonts w:ascii="Times New Roman" w:hAnsi="Times New Roman" w:cs="Times New Roman"/>
          <w:b/>
          <w:iCs/>
          <w:sz w:val="20"/>
          <w:szCs w:val="18"/>
        </w:rPr>
        <w:t xml:space="preserve"> </w:t>
      </w:r>
      <w:r w:rsidRPr="00885DFB">
        <w:rPr>
          <w:rFonts w:ascii="Times New Roman" w:hAnsi="Times New Roman" w:cs="Times New Roman"/>
          <w:b/>
          <w:iCs/>
          <w:sz w:val="20"/>
          <w:szCs w:val="18"/>
        </w:rPr>
        <w:t xml:space="preserve">Summary of adverse event data in RCTs of CAZ-AVI in </w:t>
      </w:r>
      <w:proofErr w:type="spellStart"/>
      <w:r w:rsidRPr="00885DFB">
        <w:rPr>
          <w:rFonts w:ascii="Times New Roman" w:hAnsi="Times New Roman" w:cs="Times New Roman"/>
          <w:b/>
          <w:iCs/>
          <w:sz w:val="20"/>
          <w:szCs w:val="18"/>
        </w:rPr>
        <w:t>cUTI</w:t>
      </w:r>
      <w:proofErr w:type="spellEnd"/>
      <w:r w:rsidRPr="00885DFB">
        <w:rPr>
          <w:rFonts w:ascii="Times New Roman" w:hAnsi="Times New Roman" w:cs="Times New Roman"/>
          <w:b/>
          <w:iCs/>
          <w:sz w:val="20"/>
          <w:szCs w:val="18"/>
        </w:rPr>
        <w:t xml:space="preserve"> and HAP/VAP</w:t>
      </w:r>
      <w:bookmarkEnd w:id="219"/>
      <w:bookmarkEnd w:id="220"/>
      <w:bookmarkEnd w:id="221"/>
    </w:p>
    <w:tbl>
      <w:tblPr>
        <w:tblW w:w="0" w:type="auto"/>
        <w:tblCellMar>
          <w:top w:w="15" w:type="dxa"/>
          <w:left w:w="15" w:type="dxa"/>
          <w:bottom w:w="15" w:type="dxa"/>
          <w:right w:w="15" w:type="dxa"/>
        </w:tblCellMar>
        <w:tblLook w:val="04A0" w:firstRow="1" w:lastRow="0" w:firstColumn="1" w:lastColumn="0" w:noHBand="0" w:noVBand="1"/>
      </w:tblPr>
      <w:tblGrid>
        <w:gridCol w:w="1547"/>
        <w:gridCol w:w="1362"/>
        <w:gridCol w:w="2956"/>
        <w:gridCol w:w="3141"/>
      </w:tblGrid>
      <w:tr w:rsidR="00346C15" w:rsidRPr="00885DFB" w14:paraId="61085FB6" w14:textId="77777777" w:rsidTr="005E6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56EA" w14:textId="77777777" w:rsidR="00346C15" w:rsidRPr="005E61DF" w:rsidRDefault="00346C15" w:rsidP="007111E6">
            <w:pPr>
              <w:spacing w:after="0" w:line="240" w:lineRule="auto"/>
              <w:rPr>
                <w:rFonts w:asciiTheme="majorBidi" w:hAnsiTheme="majorBidi" w:cstheme="majorBidi"/>
                <w:b/>
              </w:rPr>
            </w:pPr>
            <w:r w:rsidRPr="005E61DF">
              <w:rPr>
                <w:rFonts w:asciiTheme="majorBidi" w:hAnsiTheme="majorBidi" w:cstheme="majorBidi"/>
                <w:b/>
                <w:color w:val="000000"/>
              </w:rPr>
              <w:t>Author (date) Acronym</w:t>
            </w:r>
          </w:p>
        </w:tc>
        <w:tc>
          <w:tcPr>
            <w:tcW w:w="1237" w:type="dxa"/>
            <w:tcBorders>
              <w:top w:val="single" w:sz="8" w:space="0" w:color="000000"/>
              <w:left w:val="single" w:sz="8" w:space="0" w:color="000000"/>
              <w:bottom w:val="single" w:sz="8" w:space="0" w:color="000000"/>
              <w:right w:val="single" w:sz="8" w:space="0" w:color="000000"/>
            </w:tcBorders>
          </w:tcPr>
          <w:p w14:paraId="2E5F16B7" w14:textId="77777777" w:rsidR="00346C15" w:rsidRPr="005E61DF" w:rsidRDefault="00346C15" w:rsidP="007111E6">
            <w:pPr>
              <w:spacing w:after="0" w:line="240" w:lineRule="auto"/>
              <w:rPr>
                <w:rFonts w:asciiTheme="majorBidi" w:hAnsiTheme="majorBidi" w:cstheme="majorBidi"/>
                <w:b/>
                <w:color w:val="000000"/>
              </w:rPr>
            </w:pPr>
            <w:r w:rsidRPr="005E61DF">
              <w:rPr>
                <w:rFonts w:asciiTheme="majorBidi" w:hAnsiTheme="majorBidi" w:cstheme="majorBidi"/>
                <w:b/>
                <w:color w:val="000000"/>
              </w:rPr>
              <w:t>AE</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3DCE" w14:textId="77777777" w:rsidR="00346C15" w:rsidRPr="005E61DF" w:rsidRDefault="00346C15" w:rsidP="007111E6">
            <w:pPr>
              <w:spacing w:after="0" w:line="240" w:lineRule="auto"/>
              <w:rPr>
                <w:rFonts w:asciiTheme="majorBidi" w:hAnsiTheme="majorBidi" w:cstheme="majorBidi"/>
                <w:b/>
              </w:rPr>
            </w:pPr>
            <w:r w:rsidRPr="005E61DF">
              <w:rPr>
                <w:rFonts w:asciiTheme="majorBidi" w:hAnsiTheme="majorBidi" w:cstheme="majorBidi"/>
                <w:b/>
                <w:color w:val="000000"/>
              </w:rPr>
              <w:t>Intervention</w:t>
            </w:r>
          </w:p>
          <w:p w14:paraId="780ABAB6" w14:textId="77777777" w:rsidR="00346C15" w:rsidRPr="005E61DF" w:rsidRDefault="00346C15" w:rsidP="007111E6">
            <w:pPr>
              <w:spacing w:after="0" w:line="240" w:lineRule="auto"/>
              <w:rPr>
                <w:rFonts w:asciiTheme="majorBidi" w:hAnsiTheme="majorBidi" w:cstheme="majorBidi"/>
                <w:b/>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9BEC5" w14:textId="77777777" w:rsidR="00346C15" w:rsidRPr="005E61DF" w:rsidRDefault="00346C15" w:rsidP="007111E6">
            <w:pPr>
              <w:spacing w:after="0" w:line="240" w:lineRule="auto"/>
              <w:rPr>
                <w:rFonts w:asciiTheme="majorBidi" w:hAnsiTheme="majorBidi" w:cstheme="majorBidi"/>
                <w:b/>
              </w:rPr>
            </w:pPr>
            <w:r w:rsidRPr="005E61DF">
              <w:rPr>
                <w:rFonts w:asciiTheme="majorBidi" w:hAnsiTheme="majorBidi" w:cstheme="majorBidi"/>
                <w:b/>
                <w:color w:val="000000"/>
              </w:rPr>
              <w:t>Comparator</w:t>
            </w:r>
          </w:p>
        </w:tc>
      </w:tr>
      <w:tr w:rsidR="00346C15" w:rsidRPr="00885DFB" w14:paraId="0BDB0DE6" w14:textId="77777777" w:rsidTr="005E61DF">
        <w:tc>
          <w:tcPr>
            <w:tcW w:w="0" w:type="auto"/>
            <w:vMerge w:val="restart"/>
            <w:tcBorders>
              <w:top w:val="single" w:sz="8" w:space="0" w:color="000000"/>
              <w:left w:val="single" w:sz="8" w:space="0" w:color="000000"/>
              <w:right w:val="single" w:sz="8" w:space="0" w:color="000000"/>
            </w:tcBorders>
            <w:tcMar>
              <w:top w:w="40" w:type="dxa"/>
              <w:left w:w="40" w:type="dxa"/>
              <w:bottom w:w="40" w:type="dxa"/>
              <w:right w:w="40" w:type="dxa"/>
            </w:tcMar>
            <w:hideMark/>
          </w:tcPr>
          <w:p w14:paraId="194CA249" w14:textId="67150F34" w:rsidR="00346C15" w:rsidRPr="005E61DF" w:rsidRDefault="00346C15" w:rsidP="00A83123">
            <w:pPr>
              <w:spacing w:after="0" w:line="240" w:lineRule="auto"/>
              <w:rPr>
                <w:rFonts w:asciiTheme="majorBidi" w:hAnsiTheme="majorBidi" w:cstheme="majorBidi"/>
                <w:color w:val="000000"/>
                <w:lang w:val="fr-FR"/>
              </w:rPr>
            </w:pPr>
            <w:proofErr w:type="spellStart"/>
            <w:r w:rsidRPr="005E61DF">
              <w:rPr>
                <w:rFonts w:asciiTheme="majorBidi" w:hAnsiTheme="majorBidi" w:cstheme="majorBidi"/>
                <w:color w:val="000000"/>
                <w:lang w:val="fr-FR"/>
              </w:rPr>
              <w:t>Carmeli</w:t>
            </w:r>
            <w:proofErr w:type="spellEnd"/>
            <w:r w:rsidRPr="005E61DF">
              <w:rPr>
                <w:rFonts w:asciiTheme="majorBidi" w:hAnsiTheme="majorBidi" w:cstheme="majorBidi"/>
                <w:color w:val="000000"/>
                <w:lang w:val="fr-FR"/>
              </w:rPr>
              <w:t xml:space="preserve"> et al. (2016)</w:t>
            </w:r>
            <w:r w:rsidR="00A83123" w:rsidRPr="00A83123">
              <w:rPr>
                <w:rFonts w:asciiTheme="majorBidi" w:hAnsiTheme="majorBidi" w:cstheme="majorBidi"/>
                <w:noProof/>
                <w:color w:val="000000"/>
                <w:vertAlign w:val="superscript"/>
                <w:lang w:val="fr-FR"/>
              </w:rPr>
              <w:t>32</w:t>
            </w:r>
            <w:r w:rsidRPr="005E61DF">
              <w:rPr>
                <w:rFonts w:asciiTheme="majorBidi" w:hAnsiTheme="majorBidi" w:cstheme="majorBidi"/>
                <w:color w:val="000000"/>
                <w:lang w:val="fr-FR"/>
              </w:rPr>
              <w:t xml:space="preserve"> REPRISE (NCT01644643)</w:t>
            </w:r>
          </w:p>
          <w:p w14:paraId="2BFA83D7" w14:textId="77777777" w:rsidR="00346C15" w:rsidRPr="005E61DF" w:rsidRDefault="00346C15" w:rsidP="007111E6">
            <w:pPr>
              <w:spacing w:after="0" w:line="240" w:lineRule="auto"/>
              <w:rPr>
                <w:rFonts w:asciiTheme="majorBidi" w:hAnsiTheme="majorBidi" w:cstheme="majorBidi"/>
                <w:color w:val="000000"/>
                <w:lang w:val="fr-FR"/>
              </w:rPr>
            </w:pPr>
          </w:p>
          <w:p w14:paraId="44A0A739" w14:textId="77777777" w:rsidR="00346C15" w:rsidRPr="005E61DF" w:rsidRDefault="00346C15" w:rsidP="007111E6">
            <w:pPr>
              <w:spacing w:after="0" w:line="240" w:lineRule="auto"/>
              <w:rPr>
                <w:rFonts w:asciiTheme="majorBidi" w:hAnsiTheme="majorBidi" w:cstheme="majorBidi"/>
                <w:color w:val="000000"/>
                <w:lang w:val="fr-FR"/>
              </w:rPr>
            </w:pPr>
            <w:proofErr w:type="spellStart"/>
            <w:proofErr w:type="gramStart"/>
            <w:r w:rsidRPr="005E61DF">
              <w:rPr>
                <w:rFonts w:asciiTheme="majorBidi" w:hAnsiTheme="majorBidi" w:cstheme="majorBidi"/>
                <w:color w:val="000000"/>
                <w:lang w:val="fr-FR"/>
              </w:rPr>
              <w:t>cUTI</w:t>
            </w:r>
            <w:proofErr w:type="spellEnd"/>
            <w:proofErr w:type="gramEnd"/>
            <w:r w:rsidRPr="005E61DF">
              <w:rPr>
                <w:rFonts w:asciiTheme="majorBidi" w:hAnsiTheme="majorBidi" w:cstheme="majorBidi"/>
                <w:color w:val="000000"/>
                <w:lang w:val="fr-FR"/>
              </w:rPr>
              <w:t xml:space="preserve"> </w:t>
            </w:r>
          </w:p>
          <w:p w14:paraId="623C008F" w14:textId="77777777" w:rsidR="00346C15" w:rsidRPr="005E61DF" w:rsidRDefault="00346C15" w:rsidP="007111E6">
            <w:pPr>
              <w:spacing w:after="0" w:line="240" w:lineRule="auto"/>
              <w:rPr>
                <w:rFonts w:asciiTheme="majorBidi" w:hAnsiTheme="majorBidi" w:cstheme="majorBidi"/>
                <w:lang w:val="fr-FR"/>
              </w:rPr>
            </w:pPr>
          </w:p>
        </w:tc>
        <w:tc>
          <w:tcPr>
            <w:tcW w:w="1237" w:type="dxa"/>
            <w:tcBorders>
              <w:top w:val="single" w:sz="8" w:space="0" w:color="000000"/>
              <w:left w:val="single" w:sz="8" w:space="0" w:color="000000"/>
              <w:bottom w:val="single" w:sz="8" w:space="0" w:color="000000"/>
              <w:right w:val="single" w:sz="8" w:space="0" w:color="000000"/>
            </w:tcBorders>
          </w:tcPr>
          <w:p w14:paraId="32EE5966" w14:textId="5038D2A4"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Serious Treatment related AE (total safety pop)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63A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 7/152 (4.61%)  </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440C7" w14:textId="5425F74E" w:rsidR="00346C15" w:rsidRPr="005E61DF" w:rsidRDefault="00D26A23" w:rsidP="007111E6">
            <w:pPr>
              <w:spacing w:after="0" w:line="240" w:lineRule="auto"/>
              <w:rPr>
                <w:rFonts w:asciiTheme="majorBidi" w:hAnsiTheme="majorBidi" w:cstheme="majorBidi"/>
              </w:rPr>
            </w:pPr>
            <w:r w:rsidRPr="005E61DF">
              <w:rPr>
                <w:rFonts w:asciiTheme="majorBidi" w:hAnsiTheme="majorBidi" w:cstheme="majorBidi"/>
                <w:color w:val="000000"/>
              </w:rPr>
              <w:t>Best available therapy</w:t>
            </w:r>
          </w:p>
          <w:p w14:paraId="27761233"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5/153 (3.27%)   </w:t>
            </w:r>
          </w:p>
          <w:p w14:paraId="77A4E466" w14:textId="77777777" w:rsidR="00346C15" w:rsidRPr="005E61DF" w:rsidRDefault="00346C15" w:rsidP="007111E6">
            <w:pPr>
              <w:spacing w:after="0" w:line="240" w:lineRule="auto"/>
              <w:rPr>
                <w:rFonts w:asciiTheme="majorBidi" w:hAnsiTheme="majorBidi" w:cstheme="majorBidi"/>
              </w:rPr>
            </w:pPr>
          </w:p>
        </w:tc>
      </w:tr>
      <w:tr w:rsidR="00346C15" w:rsidRPr="00885DFB" w14:paraId="0BCEA7A2" w14:textId="77777777" w:rsidTr="005E61DF">
        <w:tc>
          <w:tcPr>
            <w:tcW w:w="0" w:type="auto"/>
            <w:vMerge/>
            <w:tcBorders>
              <w:left w:val="single" w:sz="8" w:space="0" w:color="000000"/>
              <w:right w:val="single" w:sz="8" w:space="0" w:color="000000"/>
            </w:tcBorders>
            <w:tcMar>
              <w:top w:w="40" w:type="dxa"/>
              <w:left w:w="40" w:type="dxa"/>
              <w:bottom w:w="40" w:type="dxa"/>
              <w:right w:w="40" w:type="dxa"/>
            </w:tcMar>
            <w:vAlign w:val="bottom"/>
          </w:tcPr>
          <w:p w14:paraId="6DB0F94F" w14:textId="77777777" w:rsidR="00346C15" w:rsidRPr="005E61DF" w:rsidRDefault="00346C15" w:rsidP="007111E6">
            <w:pPr>
              <w:spacing w:after="0" w:line="240" w:lineRule="auto"/>
              <w:rPr>
                <w:rFonts w:asciiTheme="majorBidi" w:hAnsiTheme="majorBidi" w:cstheme="majorBidi"/>
                <w:color w:val="000000"/>
                <w:lang w:val="fr-FR"/>
              </w:rPr>
            </w:pPr>
          </w:p>
        </w:tc>
        <w:tc>
          <w:tcPr>
            <w:tcW w:w="1237" w:type="dxa"/>
            <w:tcBorders>
              <w:top w:val="single" w:sz="8" w:space="0" w:color="000000"/>
              <w:left w:val="single" w:sz="8" w:space="0" w:color="000000"/>
              <w:bottom w:val="single" w:sz="8" w:space="0" w:color="000000"/>
              <w:right w:val="single" w:sz="8" w:space="0" w:color="000000"/>
            </w:tcBorders>
          </w:tcPr>
          <w:p w14:paraId="395933DA" w14:textId="0FBFB353"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Nephrotoxicity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6F841" w14:textId="54150C19"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Renal failure </w:t>
            </w:r>
          </w:p>
          <w:p w14:paraId="280EA916"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0/152 (0%)</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971CE" w14:textId="20ED8BB3"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failure</w:t>
            </w:r>
          </w:p>
          <w:p w14:paraId="2F0FCA3F"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1/153 (0.66%)</w:t>
            </w:r>
          </w:p>
        </w:tc>
      </w:tr>
      <w:tr w:rsidR="00346C15" w:rsidRPr="00885DFB" w14:paraId="77CCAF8F" w14:textId="77777777" w:rsidTr="005E61DF">
        <w:tc>
          <w:tcPr>
            <w:tcW w:w="0" w:type="auto"/>
            <w:vMerge/>
            <w:tcBorders>
              <w:left w:val="single" w:sz="8" w:space="0" w:color="000000"/>
              <w:right w:val="single" w:sz="8" w:space="0" w:color="000000"/>
            </w:tcBorders>
            <w:tcMar>
              <w:top w:w="40" w:type="dxa"/>
              <w:left w:w="40" w:type="dxa"/>
              <w:bottom w:w="40" w:type="dxa"/>
              <w:right w:w="40" w:type="dxa"/>
            </w:tcMar>
            <w:vAlign w:val="bottom"/>
          </w:tcPr>
          <w:p w14:paraId="1201B60A" w14:textId="77777777" w:rsidR="00346C15" w:rsidRPr="005E61DF" w:rsidRDefault="00346C15" w:rsidP="007111E6">
            <w:pPr>
              <w:spacing w:after="0" w:line="240" w:lineRule="auto"/>
              <w:rPr>
                <w:rFonts w:asciiTheme="majorBidi" w:hAnsiTheme="majorBidi" w:cstheme="majorBidi"/>
                <w:color w:val="000000"/>
                <w:lang w:val="fr-FR"/>
              </w:rPr>
            </w:pPr>
          </w:p>
        </w:tc>
        <w:tc>
          <w:tcPr>
            <w:tcW w:w="1237" w:type="dxa"/>
            <w:tcBorders>
              <w:top w:val="single" w:sz="8" w:space="0" w:color="000000"/>
              <w:left w:val="single" w:sz="8" w:space="0" w:color="000000"/>
              <w:bottom w:val="single" w:sz="8" w:space="0" w:color="000000"/>
              <w:right w:val="single" w:sz="8" w:space="0" w:color="000000"/>
            </w:tcBorders>
          </w:tcPr>
          <w:p w14:paraId="66B15C59" w14:textId="0673FFF5"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C Diff infection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09D72"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4F376"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r>
      <w:tr w:rsidR="00346C15" w:rsidRPr="00885DFB" w14:paraId="003E9C89" w14:textId="77777777" w:rsidTr="005E61DF">
        <w:tc>
          <w:tcPr>
            <w:tcW w:w="0" w:type="auto"/>
            <w:vMerge/>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14:paraId="0277FBE9"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5007CFF8"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Any other AEs of concern* </w:t>
            </w:r>
            <w:r w:rsidRPr="005E61DF">
              <w:rPr>
                <w:rFonts w:asciiTheme="majorBidi" w:hAnsiTheme="majorBidi" w:cstheme="majorBidi"/>
                <w:color w:val="000000"/>
              </w:rPr>
              <w:lastRenderedPageBreak/>
              <w:t>(name, n/N and %)</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22B05"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Infections and infestations   </w:t>
            </w:r>
          </w:p>
          <w:p w14:paraId="71F94C0F"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Incision site infection 0/152 (0.00%)</w:t>
            </w:r>
          </w:p>
          <w:p w14:paraId="03E7D53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Oral herpes 0/152 (0.00%) </w:t>
            </w:r>
          </w:p>
          <w:p w14:paraId="6FEB328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Orchitis 0/152 (0.00%) </w:t>
            </w:r>
          </w:p>
          <w:p w14:paraId="2CFE9B45"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Respiratory tract infection viral 0/152 (0.00%) </w:t>
            </w:r>
          </w:p>
          <w:p w14:paraId="3E977651"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53A2C98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Acute respiratory failure 0/152 (0.00%) </w:t>
            </w:r>
          </w:p>
          <w:p w14:paraId="27195007"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Pneumonia aspiration 0/152 (0.00%) </w:t>
            </w:r>
          </w:p>
          <w:p w14:paraId="111FE12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Pulmonary embolism 0/152 (0.00%) </w:t>
            </w:r>
          </w:p>
          <w:p w14:paraId="0F0E63E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Respiratory failure 0/152 (0.00%) </w:t>
            </w:r>
          </w:p>
          <w:p w14:paraId="361A4AC3" w14:textId="77777777" w:rsidR="00346C15" w:rsidRPr="005E61DF" w:rsidRDefault="00346C15" w:rsidP="007111E6">
            <w:pPr>
              <w:spacing w:after="0" w:line="240" w:lineRule="auto"/>
              <w:rPr>
                <w:rFonts w:asciiTheme="majorBidi" w:hAnsiTheme="majorBidi" w:cstheme="majorBidi"/>
                <w:color w:val="000000"/>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2F22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Infections and infestations   </w:t>
            </w:r>
          </w:p>
          <w:p w14:paraId="50FFCD47"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Incision site infection 0/153 (0.00%) </w:t>
            </w:r>
          </w:p>
          <w:p w14:paraId="00730F3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Oral herpes 0/153 (0.00%) </w:t>
            </w:r>
          </w:p>
          <w:p w14:paraId="591B4C1A"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Orchitis 0/153 (0.00%) </w:t>
            </w:r>
          </w:p>
          <w:p w14:paraId="0743783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Respiratory tract infection viral 0/153 (0.00%) </w:t>
            </w:r>
          </w:p>
          <w:p w14:paraId="42676AB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14769434"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Acute respiratory failure 1/153 (0.65%)                  </w:t>
            </w:r>
          </w:p>
          <w:p w14:paraId="24204391"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Pneumonia aspiration 1/153 (0.65%) </w:t>
            </w:r>
          </w:p>
          <w:p w14:paraId="04CCDFC1"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Pulmonary embolism 1/153 (0.65%) </w:t>
            </w:r>
          </w:p>
          <w:p w14:paraId="42B0ACE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Respiratory failure 0/153 (0.00%) </w:t>
            </w:r>
          </w:p>
          <w:p w14:paraId="0EE6FAAF"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w:t>
            </w:r>
          </w:p>
          <w:p w14:paraId="4E2BC558" w14:textId="77777777" w:rsidR="00346C15" w:rsidRPr="005E61DF" w:rsidRDefault="00346C15" w:rsidP="007111E6">
            <w:pPr>
              <w:spacing w:after="0" w:line="240" w:lineRule="auto"/>
              <w:rPr>
                <w:rFonts w:asciiTheme="majorBidi" w:hAnsiTheme="majorBidi" w:cstheme="majorBidi"/>
                <w:color w:val="000000"/>
              </w:rPr>
            </w:pPr>
          </w:p>
        </w:tc>
      </w:tr>
      <w:tr w:rsidR="00346C15" w:rsidRPr="00885DFB" w14:paraId="716CC1D7" w14:textId="77777777" w:rsidTr="005E61DF">
        <w:tc>
          <w:tcPr>
            <w:tcW w:w="0" w:type="auto"/>
            <w:vMerge w:val="restart"/>
            <w:tcBorders>
              <w:top w:val="single" w:sz="8" w:space="0" w:color="000000"/>
              <w:left w:val="single" w:sz="8" w:space="0" w:color="000000"/>
              <w:right w:val="single" w:sz="8" w:space="0" w:color="000000"/>
            </w:tcBorders>
            <w:tcMar>
              <w:top w:w="40" w:type="dxa"/>
              <w:left w:w="40" w:type="dxa"/>
              <w:bottom w:w="40" w:type="dxa"/>
              <w:right w:w="40" w:type="dxa"/>
            </w:tcMar>
            <w:hideMark/>
          </w:tcPr>
          <w:p w14:paraId="7D07E5E5" w14:textId="7FA58051" w:rsidR="00346C15" w:rsidRPr="005E61DF" w:rsidRDefault="00346C15" w:rsidP="00A83123">
            <w:pPr>
              <w:spacing w:after="0" w:line="240" w:lineRule="auto"/>
              <w:rPr>
                <w:rFonts w:asciiTheme="majorBidi" w:hAnsiTheme="majorBidi" w:cstheme="majorBidi"/>
                <w:color w:val="000000"/>
              </w:rPr>
            </w:pPr>
            <w:proofErr w:type="spellStart"/>
            <w:r w:rsidRPr="005E61DF">
              <w:rPr>
                <w:rFonts w:asciiTheme="majorBidi" w:hAnsiTheme="majorBidi" w:cstheme="majorBidi"/>
                <w:color w:val="000000"/>
              </w:rPr>
              <w:lastRenderedPageBreak/>
              <w:t>Wagenlehner</w:t>
            </w:r>
            <w:proofErr w:type="spellEnd"/>
            <w:r w:rsidRPr="005E61DF">
              <w:rPr>
                <w:rFonts w:asciiTheme="majorBidi" w:hAnsiTheme="majorBidi" w:cstheme="majorBidi"/>
                <w:color w:val="000000"/>
              </w:rPr>
              <w:t xml:space="preserve"> et al. (2016)</w:t>
            </w:r>
            <w:r w:rsidR="00A83123" w:rsidRPr="00A83123">
              <w:rPr>
                <w:rFonts w:asciiTheme="majorBidi" w:hAnsiTheme="majorBidi" w:cstheme="majorBidi"/>
                <w:noProof/>
                <w:color w:val="000000"/>
                <w:vertAlign w:val="superscript"/>
              </w:rPr>
              <w:t>35</w:t>
            </w:r>
            <w:r w:rsidRPr="005E61DF">
              <w:rPr>
                <w:rFonts w:asciiTheme="majorBidi" w:hAnsiTheme="majorBidi" w:cstheme="majorBidi"/>
                <w:color w:val="000000"/>
              </w:rPr>
              <w:t xml:space="preserve"> RECAPTURE 1 &amp; 2 (NCT01595438 and NCT01599806) </w:t>
            </w:r>
          </w:p>
          <w:p w14:paraId="330B6FE4" w14:textId="77777777" w:rsidR="00346C15" w:rsidRPr="005E61DF" w:rsidRDefault="00346C15" w:rsidP="007111E6">
            <w:pPr>
              <w:spacing w:after="0" w:line="240" w:lineRule="auto"/>
              <w:rPr>
                <w:rFonts w:asciiTheme="majorBidi" w:hAnsiTheme="majorBidi" w:cstheme="majorBidi"/>
                <w:color w:val="000000"/>
              </w:rPr>
            </w:pPr>
          </w:p>
          <w:p w14:paraId="58D03CB1" w14:textId="77777777" w:rsidR="00346C15" w:rsidRPr="005E61DF" w:rsidRDefault="00346C15" w:rsidP="007111E6">
            <w:pPr>
              <w:spacing w:after="0" w:line="240" w:lineRule="auto"/>
              <w:rPr>
                <w:rFonts w:asciiTheme="majorBidi" w:hAnsiTheme="majorBidi" w:cstheme="majorBidi"/>
              </w:rPr>
            </w:pPr>
            <w:proofErr w:type="spellStart"/>
            <w:r w:rsidRPr="005E61DF">
              <w:rPr>
                <w:rFonts w:asciiTheme="majorBidi" w:hAnsiTheme="majorBidi" w:cstheme="majorBidi"/>
              </w:rPr>
              <w:t>cUTI</w:t>
            </w:r>
            <w:proofErr w:type="spellEnd"/>
          </w:p>
        </w:tc>
        <w:tc>
          <w:tcPr>
            <w:tcW w:w="1237" w:type="dxa"/>
            <w:tcBorders>
              <w:top w:val="single" w:sz="8" w:space="0" w:color="000000"/>
              <w:left w:val="single" w:sz="8" w:space="0" w:color="000000"/>
              <w:bottom w:val="single" w:sz="8" w:space="0" w:color="000000"/>
              <w:right w:val="single" w:sz="8" w:space="0" w:color="000000"/>
            </w:tcBorders>
          </w:tcPr>
          <w:p w14:paraId="47B53B5A" w14:textId="7400C363"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Serious Treatment related AE (total safety pop)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2B88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795CC0F1"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21/511 (4.1%)</w:t>
            </w:r>
          </w:p>
          <w:p w14:paraId="7662D176" w14:textId="77777777" w:rsidR="00346C15" w:rsidRPr="005E61DF" w:rsidRDefault="00346C15" w:rsidP="007111E6">
            <w:pPr>
              <w:spacing w:after="0" w:line="240" w:lineRule="auto"/>
              <w:rPr>
                <w:rFonts w:asciiTheme="majorBidi" w:hAnsiTheme="majorBidi" w:cstheme="majorBidi"/>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A9C12" w14:textId="77777777" w:rsidR="00346C15" w:rsidRPr="005E61DF" w:rsidRDefault="00346C15" w:rsidP="007111E6">
            <w:pPr>
              <w:spacing w:after="0" w:line="240" w:lineRule="auto"/>
              <w:rPr>
                <w:rFonts w:asciiTheme="majorBidi" w:hAnsiTheme="majorBidi" w:cstheme="majorBidi"/>
              </w:rPr>
            </w:pPr>
            <w:proofErr w:type="spellStart"/>
            <w:r w:rsidRPr="005E61DF">
              <w:rPr>
                <w:rFonts w:asciiTheme="majorBidi" w:hAnsiTheme="majorBidi" w:cstheme="majorBidi"/>
                <w:color w:val="000000"/>
              </w:rPr>
              <w:t>Doripenem</w:t>
            </w:r>
            <w:proofErr w:type="spellEnd"/>
          </w:p>
          <w:p w14:paraId="5A12304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12/509 (2.4%)</w:t>
            </w:r>
          </w:p>
          <w:p w14:paraId="06D340E2" w14:textId="77777777" w:rsidR="00346C15" w:rsidRPr="005E61DF" w:rsidRDefault="00346C15" w:rsidP="007111E6">
            <w:pPr>
              <w:spacing w:after="0" w:line="240" w:lineRule="auto"/>
              <w:rPr>
                <w:rFonts w:asciiTheme="majorBidi" w:hAnsiTheme="majorBidi" w:cstheme="majorBidi"/>
              </w:rPr>
            </w:pPr>
          </w:p>
        </w:tc>
      </w:tr>
      <w:tr w:rsidR="00346C15" w:rsidRPr="00885DFB" w14:paraId="2A8D4039"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74554798"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06A8810B" w14:textId="394B74E8"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Nephrotoxicity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B28FD"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NCT01595438 and NCT01599806</w:t>
            </w:r>
          </w:p>
          <w:p w14:paraId="6F1028E8" w14:textId="77777777" w:rsidR="00346C15" w:rsidRPr="005E61DF" w:rsidRDefault="00346C15" w:rsidP="007111E6">
            <w:pPr>
              <w:spacing w:after="0" w:line="240" w:lineRule="auto"/>
              <w:rPr>
                <w:rFonts w:asciiTheme="majorBidi" w:hAnsiTheme="majorBidi" w:cstheme="majorBidi"/>
              </w:rPr>
            </w:pPr>
          </w:p>
          <w:p w14:paraId="59FE328F"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07E66F8B"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Calculus ureteric 1/511 (0.20%)</w:t>
            </w:r>
          </w:p>
          <w:p w14:paraId="2E51E7F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Hydronephrosis 1/511 (0.20%)</w:t>
            </w:r>
          </w:p>
          <w:p w14:paraId="173B9DC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Nephrolithiasis 3/511 (0.59%)</w:t>
            </w:r>
          </w:p>
          <w:p w14:paraId="651FDE7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failure chronic 0/511 (0.00%)</w:t>
            </w:r>
          </w:p>
          <w:p w14:paraId="12A63D8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impairment 1/511 (0.20%)</w:t>
            </w:r>
          </w:p>
          <w:p w14:paraId="0E93CDD3" w14:textId="77777777" w:rsidR="00346C15" w:rsidRPr="005E61DF" w:rsidRDefault="00346C15" w:rsidP="007111E6">
            <w:pPr>
              <w:spacing w:after="0" w:line="240" w:lineRule="auto"/>
              <w:rPr>
                <w:rFonts w:asciiTheme="majorBidi" w:hAnsiTheme="majorBidi" w:cstheme="majorBidi"/>
                <w:color w:val="000000"/>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BC05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NCT01595438 and NCT01599806</w:t>
            </w:r>
          </w:p>
          <w:p w14:paraId="101E9549" w14:textId="77777777" w:rsidR="00346C15" w:rsidRPr="005E61DF" w:rsidRDefault="00346C15" w:rsidP="007111E6">
            <w:pPr>
              <w:spacing w:after="0" w:line="240" w:lineRule="auto"/>
              <w:rPr>
                <w:rFonts w:asciiTheme="majorBidi" w:hAnsiTheme="majorBidi" w:cstheme="majorBidi"/>
              </w:rPr>
            </w:pPr>
          </w:p>
          <w:p w14:paraId="0051D688" w14:textId="77777777" w:rsidR="00346C15" w:rsidRPr="005E61DF" w:rsidRDefault="00346C15" w:rsidP="007111E6">
            <w:pPr>
              <w:spacing w:after="0" w:line="240" w:lineRule="auto"/>
              <w:rPr>
                <w:rFonts w:asciiTheme="majorBidi" w:hAnsiTheme="majorBidi" w:cstheme="majorBidi"/>
              </w:rPr>
            </w:pPr>
            <w:proofErr w:type="spellStart"/>
            <w:r w:rsidRPr="005E61DF">
              <w:rPr>
                <w:rFonts w:asciiTheme="majorBidi" w:hAnsiTheme="majorBidi" w:cstheme="majorBidi"/>
                <w:color w:val="000000"/>
              </w:rPr>
              <w:t>Doripenem</w:t>
            </w:r>
            <w:proofErr w:type="spellEnd"/>
          </w:p>
          <w:p w14:paraId="5E9FDE0B"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Calculus ureteric 0/509 (0.00%)</w:t>
            </w:r>
          </w:p>
          <w:p w14:paraId="3616468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Hydronephrosis 0/509 (0.00%)</w:t>
            </w:r>
          </w:p>
          <w:p w14:paraId="0F9BAA6B"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Nephrolithiasis 0/509 (0.00%)</w:t>
            </w:r>
          </w:p>
          <w:p w14:paraId="61E57F65"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failure chronic 1/509 (0.20%)</w:t>
            </w:r>
          </w:p>
          <w:p w14:paraId="3C552C32"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Renal impairment 0/509 (0.00%)</w:t>
            </w:r>
          </w:p>
        </w:tc>
      </w:tr>
      <w:tr w:rsidR="00346C15" w:rsidRPr="00885DFB" w14:paraId="2413568D"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07E59E2E"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0EF20B87" w14:textId="7183A0C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C Diff infection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0F21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7D443119"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2/511 (0.4%)</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C76B5" w14:textId="77777777" w:rsidR="00346C15" w:rsidRPr="005E61DF" w:rsidRDefault="00346C15" w:rsidP="007111E6">
            <w:pPr>
              <w:spacing w:after="0" w:line="240" w:lineRule="auto"/>
              <w:rPr>
                <w:rFonts w:asciiTheme="majorBidi" w:hAnsiTheme="majorBidi" w:cstheme="majorBidi"/>
              </w:rPr>
            </w:pPr>
            <w:proofErr w:type="spellStart"/>
            <w:r w:rsidRPr="005E61DF">
              <w:rPr>
                <w:rFonts w:asciiTheme="majorBidi" w:hAnsiTheme="majorBidi" w:cstheme="majorBidi"/>
                <w:color w:val="000000"/>
              </w:rPr>
              <w:t>Doripenem</w:t>
            </w:r>
            <w:proofErr w:type="spellEnd"/>
          </w:p>
          <w:p w14:paraId="2B02C384"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0/509 (0%)</w:t>
            </w:r>
          </w:p>
        </w:tc>
      </w:tr>
      <w:tr w:rsidR="00346C15" w:rsidRPr="00885DFB" w14:paraId="188B74CA" w14:textId="77777777" w:rsidTr="005E61DF">
        <w:tc>
          <w:tcPr>
            <w:tcW w:w="0" w:type="auto"/>
            <w:vMerge/>
            <w:tcBorders>
              <w:left w:val="single" w:sz="8" w:space="0" w:color="000000"/>
              <w:bottom w:val="single" w:sz="8" w:space="0" w:color="000000"/>
              <w:right w:val="single" w:sz="8" w:space="0" w:color="000000"/>
            </w:tcBorders>
            <w:tcMar>
              <w:top w:w="40" w:type="dxa"/>
              <w:left w:w="40" w:type="dxa"/>
              <w:bottom w:w="40" w:type="dxa"/>
              <w:right w:w="40" w:type="dxa"/>
            </w:tcMar>
          </w:tcPr>
          <w:p w14:paraId="14EC3086"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440E3B3A"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Any other category that is important (name, n/N and %)</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302E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Infections and infestations </w:t>
            </w:r>
          </w:p>
          <w:p w14:paraId="1B9321CD"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Abdominal abscess 1/511 (0.20%)</w:t>
            </w:r>
          </w:p>
          <w:p w14:paraId="76846CD7"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Appendicitis 0/511 (0.00%)</w:t>
            </w:r>
          </w:p>
          <w:p w14:paraId="51507D3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Cellulitis 1/511 (0.20%) </w:t>
            </w:r>
          </w:p>
          <w:p w14:paraId="17E0DD2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Chronic hepatitis C 1/511 (0.20%) </w:t>
            </w:r>
          </w:p>
          <w:p w14:paraId="28902AA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i/>
                <w:iCs/>
                <w:color w:val="000000"/>
              </w:rPr>
              <w:t>Clostridium difficile</w:t>
            </w:r>
            <w:r w:rsidRPr="005E61DF">
              <w:rPr>
                <w:rFonts w:asciiTheme="majorBidi" w:hAnsiTheme="majorBidi" w:cstheme="majorBidi"/>
                <w:color w:val="000000"/>
              </w:rPr>
              <w:t xml:space="preserve"> colitis 1/511 (0.20%) </w:t>
            </w:r>
          </w:p>
          <w:p w14:paraId="3DC0550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Diverticulitis 1/511 (0.20%) </w:t>
            </w:r>
          </w:p>
          <w:p w14:paraId="168BC983"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Gastroenteritis 1/511 (0.20%) </w:t>
            </w:r>
          </w:p>
          <w:p w14:paraId="0BBE6EC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Orchitis 0/511 (0.00%) </w:t>
            </w:r>
          </w:p>
          <w:p w14:paraId="23AB6C28"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Pneumonia         0/511 (0.00%) </w:t>
            </w:r>
          </w:p>
          <w:p w14:paraId="0260FB0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Urinary tract infection 0/511 (0.00%) </w:t>
            </w:r>
          </w:p>
          <w:p w14:paraId="5D8BBDE5"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5500DF6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Acute pulmonary oedema 0/511 (0.00%) </w:t>
            </w:r>
          </w:p>
          <w:p w14:paraId="1D880BED"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Hyperventilation 1/511 (0.20%) </w:t>
            </w:r>
          </w:p>
          <w:p w14:paraId="073E46D6" w14:textId="77777777" w:rsidR="00346C15" w:rsidRPr="005E61DF" w:rsidRDefault="00346C15" w:rsidP="007111E6">
            <w:pPr>
              <w:spacing w:after="0" w:line="240" w:lineRule="auto"/>
              <w:rPr>
                <w:rFonts w:asciiTheme="majorBidi" w:hAnsiTheme="majorBidi" w:cstheme="majorBidi"/>
                <w:color w:val="000000"/>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03B0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Infections and infestations </w:t>
            </w:r>
          </w:p>
          <w:p w14:paraId="0454AF9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Abdominal abscess 0/509 (0.00%) </w:t>
            </w:r>
          </w:p>
          <w:p w14:paraId="3FE0209F"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Appendicitis 1/509 (0.20%) </w:t>
            </w:r>
          </w:p>
          <w:p w14:paraId="14505087"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Cellulitis 0/509 (0.00%) </w:t>
            </w:r>
          </w:p>
          <w:p w14:paraId="682DF99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Chronic hepatitis C 0/509 (0.00%) </w:t>
            </w:r>
          </w:p>
          <w:p w14:paraId="46CC4E8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i/>
                <w:iCs/>
                <w:color w:val="000000"/>
              </w:rPr>
              <w:t>Clostridium difficile</w:t>
            </w:r>
            <w:r w:rsidRPr="005E61DF">
              <w:rPr>
                <w:rFonts w:asciiTheme="majorBidi" w:hAnsiTheme="majorBidi" w:cstheme="majorBidi"/>
                <w:color w:val="000000"/>
              </w:rPr>
              <w:t xml:space="preserve"> colitis 0/509 (0.00%) </w:t>
            </w:r>
          </w:p>
          <w:p w14:paraId="26ED4785"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Diverticulitis 0/509 (0.00%) </w:t>
            </w:r>
          </w:p>
          <w:p w14:paraId="77DD6ED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Gastroenteritis 0/509 (0.00%) </w:t>
            </w:r>
          </w:p>
          <w:p w14:paraId="04F115E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lastRenderedPageBreak/>
              <w:t>Orchitis 1/509 (0.20%)</w:t>
            </w:r>
          </w:p>
          <w:p w14:paraId="2FE3026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Pneumonia /509 (0.20%) </w:t>
            </w:r>
          </w:p>
          <w:p w14:paraId="32DF48E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Urinary tract infection 1/509 (0.20%) </w:t>
            </w:r>
          </w:p>
          <w:p w14:paraId="3AFCEE48"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144E1F9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Acute pulmonary oedema 1/509 (0.20%)</w:t>
            </w:r>
          </w:p>
          <w:p w14:paraId="141FB39D"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Hyperventilation 0/509 (0.00%)</w:t>
            </w:r>
          </w:p>
          <w:p w14:paraId="1F3A3EE4" w14:textId="77777777" w:rsidR="00346C15" w:rsidRPr="005E61DF" w:rsidRDefault="00346C15" w:rsidP="007111E6">
            <w:pPr>
              <w:spacing w:after="0" w:line="240" w:lineRule="auto"/>
              <w:rPr>
                <w:rFonts w:asciiTheme="majorBidi" w:hAnsiTheme="majorBidi" w:cstheme="majorBidi"/>
                <w:color w:val="000000"/>
              </w:rPr>
            </w:pPr>
          </w:p>
        </w:tc>
      </w:tr>
      <w:tr w:rsidR="00346C15" w:rsidRPr="00885DFB" w14:paraId="2D12F7C2" w14:textId="77777777" w:rsidTr="005E61DF">
        <w:tc>
          <w:tcPr>
            <w:tcW w:w="0" w:type="auto"/>
            <w:vMerge w:val="restart"/>
            <w:tcBorders>
              <w:top w:val="single" w:sz="8" w:space="0" w:color="000000"/>
              <w:left w:val="single" w:sz="8" w:space="0" w:color="000000"/>
              <w:right w:val="single" w:sz="8" w:space="0" w:color="000000"/>
            </w:tcBorders>
            <w:tcMar>
              <w:top w:w="40" w:type="dxa"/>
              <w:left w:w="40" w:type="dxa"/>
              <w:bottom w:w="40" w:type="dxa"/>
              <w:right w:w="40" w:type="dxa"/>
            </w:tcMar>
            <w:hideMark/>
          </w:tcPr>
          <w:p w14:paraId="390C398F" w14:textId="0622FDC3" w:rsidR="00346C15" w:rsidRPr="005E61DF" w:rsidRDefault="00593E66" w:rsidP="00A83123">
            <w:pPr>
              <w:spacing w:after="0" w:line="240" w:lineRule="auto"/>
              <w:rPr>
                <w:rFonts w:asciiTheme="majorBidi" w:hAnsiTheme="majorBidi" w:cstheme="majorBidi"/>
                <w:color w:val="000000"/>
                <w:lang w:val="es-ES_tradnl"/>
              </w:rPr>
            </w:pPr>
            <w:r w:rsidRPr="005E61DF">
              <w:rPr>
                <w:rFonts w:asciiTheme="majorBidi" w:hAnsiTheme="majorBidi" w:cstheme="majorBidi"/>
                <w:color w:val="000000"/>
                <w:lang w:val="es-ES_tradnl"/>
              </w:rPr>
              <w:lastRenderedPageBreak/>
              <w:t>Vázquez</w:t>
            </w:r>
            <w:r w:rsidR="00346C15" w:rsidRPr="005E61DF">
              <w:rPr>
                <w:rFonts w:asciiTheme="majorBidi" w:hAnsiTheme="majorBidi" w:cstheme="majorBidi"/>
                <w:color w:val="000000"/>
                <w:lang w:val="es-ES_tradnl"/>
              </w:rPr>
              <w:t xml:space="preserve"> et al (2012)</w:t>
            </w:r>
            <w:r w:rsidR="00A83123" w:rsidRPr="00A83123">
              <w:rPr>
                <w:rFonts w:asciiTheme="majorBidi" w:hAnsiTheme="majorBidi" w:cstheme="majorBidi"/>
                <w:noProof/>
                <w:color w:val="000000"/>
                <w:vertAlign w:val="superscript"/>
                <w:lang w:val="es-ES_tradnl"/>
              </w:rPr>
              <w:t>34</w:t>
            </w:r>
            <w:r w:rsidR="00346C15" w:rsidRPr="005E61DF">
              <w:rPr>
                <w:rFonts w:asciiTheme="majorBidi" w:hAnsiTheme="majorBidi" w:cstheme="majorBidi"/>
                <w:color w:val="000000"/>
                <w:lang w:val="es-ES_tradnl"/>
              </w:rPr>
              <w:t xml:space="preserve"> (NCT00690378) </w:t>
            </w:r>
          </w:p>
          <w:p w14:paraId="2508E410" w14:textId="77777777" w:rsidR="00346C15" w:rsidRPr="005E61DF" w:rsidRDefault="00346C15" w:rsidP="007111E6">
            <w:pPr>
              <w:spacing w:after="0" w:line="240" w:lineRule="auto"/>
              <w:rPr>
                <w:rFonts w:asciiTheme="majorBidi" w:hAnsiTheme="majorBidi" w:cstheme="majorBidi"/>
                <w:color w:val="000000"/>
                <w:lang w:val="es-ES_tradnl"/>
              </w:rPr>
            </w:pPr>
          </w:p>
          <w:p w14:paraId="61220DBB" w14:textId="77777777" w:rsidR="00346C15" w:rsidRPr="00454CF5" w:rsidRDefault="00346C15" w:rsidP="007111E6">
            <w:pPr>
              <w:spacing w:after="0" w:line="240" w:lineRule="auto"/>
              <w:rPr>
                <w:rFonts w:asciiTheme="majorBidi" w:hAnsiTheme="majorBidi" w:cstheme="majorBidi"/>
                <w:lang w:val="fr-FR"/>
              </w:rPr>
            </w:pPr>
            <w:proofErr w:type="spellStart"/>
            <w:proofErr w:type="gramStart"/>
            <w:r w:rsidRPr="00454CF5">
              <w:rPr>
                <w:rFonts w:asciiTheme="majorBidi" w:hAnsiTheme="majorBidi" w:cstheme="majorBidi"/>
                <w:color w:val="000000"/>
                <w:lang w:val="fr-FR"/>
              </w:rPr>
              <w:t>cUTI</w:t>
            </w:r>
            <w:proofErr w:type="spellEnd"/>
            <w:proofErr w:type="gramEnd"/>
          </w:p>
        </w:tc>
        <w:tc>
          <w:tcPr>
            <w:tcW w:w="1237" w:type="dxa"/>
            <w:tcBorders>
              <w:top w:val="single" w:sz="8" w:space="0" w:color="000000"/>
              <w:left w:val="single" w:sz="8" w:space="0" w:color="000000"/>
              <w:bottom w:val="single" w:sz="8" w:space="0" w:color="000000"/>
              <w:right w:val="single" w:sz="8" w:space="0" w:color="000000"/>
            </w:tcBorders>
          </w:tcPr>
          <w:p w14:paraId="7275A98E" w14:textId="41BF7DD0"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Serious Treatment related AE (total safety pop)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698A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5D4A55F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6/68 (8.82</w:t>
            </w:r>
            <w:proofErr w:type="gramStart"/>
            <w:r w:rsidRPr="005E61DF">
              <w:rPr>
                <w:rFonts w:asciiTheme="majorBidi" w:hAnsiTheme="majorBidi" w:cstheme="majorBidi"/>
                <w:color w:val="000000"/>
              </w:rPr>
              <w:t>%)   </w:t>
            </w:r>
            <w:proofErr w:type="gramEnd"/>
            <w:r w:rsidRPr="005E61DF">
              <w:rPr>
                <w:rFonts w:asciiTheme="majorBidi" w:hAnsiTheme="majorBidi" w:cstheme="majorBidi"/>
                <w:color w:val="000000"/>
              </w:rPr>
              <w:t> </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1D4A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Imipenem–</w:t>
            </w:r>
            <w:proofErr w:type="spellStart"/>
            <w:r w:rsidRPr="005E61DF">
              <w:rPr>
                <w:rFonts w:asciiTheme="majorBidi" w:hAnsiTheme="majorBidi" w:cstheme="majorBidi"/>
                <w:color w:val="000000"/>
              </w:rPr>
              <w:t>cilastatin</w:t>
            </w:r>
            <w:proofErr w:type="spellEnd"/>
          </w:p>
          <w:p w14:paraId="17D6F8C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2/67 (2.99%) </w:t>
            </w:r>
          </w:p>
        </w:tc>
      </w:tr>
      <w:tr w:rsidR="00346C15" w:rsidRPr="00195A57" w14:paraId="5AFC0B4B"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4BB7A4EB" w14:textId="77777777" w:rsidR="00346C15" w:rsidRPr="005E61DF" w:rsidRDefault="00346C15" w:rsidP="007111E6">
            <w:pPr>
              <w:spacing w:after="0" w:line="240" w:lineRule="auto"/>
              <w:rPr>
                <w:rFonts w:asciiTheme="majorBidi" w:hAnsiTheme="majorBidi" w:cstheme="majorBidi"/>
                <w:color w:val="000000"/>
                <w:lang w:val="fr-FR"/>
              </w:rPr>
            </w:pPr>
          </w:p>
        </w:tc>
        <w:tc>
          <w:tcPr>
            <w:tcW w:w="1237" w:type="dxa"/>
            <w:tcBorders>
              <w:top w:val="single" w:sz="8" w:space="0" w:color="000000"/>
              <w:left w:val="single" w:sz="8" w:space="0" w:color="000000"/>
              <w:bottom w:val="single" w:sz="8" w:space="0" w:color="000000"/>
              <w:right w:val="single" w:sz="8" w:space="0" w:color="000000"/>
            </w:tcBorders>
          </w:tcPr>
          <w:p w14:paraId="5F3EA43C" w14:textId="7A327A33"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Nephrotoxicity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F7BF9" w14:textId="77EEF366" w:rsidR="00346C15" w:rsidRPr="005E61DF" w:rsidRDefault="00593E66" w:rsidP="007111E6">
            <w:pPr>
              <w:spacing w:after="0" w:line="240" w:lineRule="auto"/>
              <w:rPr>
                <w:rFonts w:asciiTheme="majorBidi" w:hAnsiTheme="majorBidi" w:cstheme="majorBidi"/>
                <w:lang w:val="fr-FR"/>
              </w:rPr>
            </w:pPr>
            <w:r w:rsidRPr="005E61DF">
              <w:rPr>
                <w:rFonts w:asciiTheme="majorBidi" w:hAnsiTheme="majorBidi" w:cstheme="majorBidi"/>
                <w:color w:val="000000"/>
                <w:lang w:val="fr-FR"/>
              </w:rPr>
              <w:t>Rénal</w:t>
            </w:r>
            <w:r w:rsidR="00346C15" w:rsidRPr="005E61DF">
              <w:rPr>
                <w:rFonts w:asciiTheme="majorBidi" w:hAnsiTheme="majorBidi" w:cstheme="majorBidi"/>
                <w:color w:val="000000"/>
                <w:lang w:val="fr-FR"/>
              </w:rPr>
              <w:t xml:space="preserve"> Failure Acute</w:t>
            </w:r>
          </w:p>
          <w:p w14:paraId="15B3C1B2" w14:textId="77777777" w:rsidR="00346C15" w:rsidRPr="005E61DF" w:rsidRDefault="00346C15" w:rsidP="007111E6">
            <w:pPr>
              <w:spacing w:after="0" w:line="240" w:lineRule="auto"/>
              <w:rPr>
                <w:rFonts w:asciiTheme="majorBidi" w:hAnsiTheme="majorBidi" w:cstheme="majorBidi"/>
                <w:lang w:val="fr-FR"/>
              </w:rPr>
            </w:pPr>
            <w:r w:rsidRPr="005E61DF">
              <w:rPr>
                <w:rFonts w:asciiTheme="majorBidi" w:hAnsiTheme="majorBidi" w:cstheme="majorBidi"/>
                <w:color w:val="000000"/>
                <w:lang w:val="fr-FR"/>
              </w:rPr>
              <w:t>1/68 (1.47%)</w:t>
            </w:r>
          </w:p>
          <w:p w14:paraId="2C1A9306" w14:textId="77777777" w:rsidR="00346C15" w:rsidRPr="005E61DF" w:rsidRDefault="00346C15" w:rsidP="007111E6">
            <w:pPr>
              <w:spacing w:after="0" w:line="240" w:lineRule="auto"/>
              <w:rPr>
                <w:rFonts w:asciiTheme="majorBidi" w:hAnsiTheme="majorBidi" w:cstheme="majorBidi"/>
                <w:lang w:val="fr-FR"/>
              </w:rPr>
            </w:pPr>
          </w:p>
          <w:p w14:paraId="1287057E" w14:textId="77777777" w:rsidR="00346C15" w:rsidRPr="005E61DF" w:rsidRDefault="00346C15" w:rsidP="007111E6">
            <w:pPr>
              <w:spacing w:after="0" w:line="240" w:lineRule="auto"/>
              <w:rPr>
                <w:rFonts w:asciiTheme="majorBidi" w:hAnsiTheme="majorBidi" w:cstheme="majorBidi"/>
                <w:lang w:val="fr-FR"/>
              </w:rPr>
            </w:pPr>
            <w:proofErr w:type="spellStart"/>
            <w:r w:rsidRPr="005E61DF">
              <w:rPr>
                <w:rFonts w:asciiTheme="majorBidi" w:hAnsiTheme="majorBidi" w:cstheme="majorBidi"/>
                <w:color w:val="000000"/>
                <w:lang w:val="fr-FR"/>
              </w:rPr>
              <w:t>Renal</w:t>
            </w:r>
            <w:proofErr w:type="spellEnd"/>
            <w:r w:rsidRPr="005E61DF">
              <w:rPr>
                <w:rFonts w:asciiTheme="majorBidi" w:hAnsiTheme="majorBidi" w:cstheme="majorBidi"/>
                <w:color w:val="000000"/>
                <w:lang w:val="fr-FR"/>
              </w:rPr>
              <w:t xml:space="preserve"> </w:t>
            </w:r>
            <w:proofErr w:type="spellStart"/>
            <w:r w:rsidRPr="005E61DF">
              <w:rPr>
                <w:rFonts w:asciiTheme="majorBidi" w:hAnsiTheme="majorBidi" w:cstheme="majorBidi"/>
                <w:color w:val="000000"/>
                <w:lang w:val="fr-FR"/>
              </w:rPr>
              <w:t>Impairment</w:t>
            </w:r>
            <w:proofErr w:type="spellEnd"/>
          </w:p>
          <w:p w14:paraId="60EA665C" w14:textId="77777777" w:rsidR="00346C15" w:rsidRPr="005E61DF" w:rsidRDefault="00346C15" w:rsidP="007111E6">
            <w:pPr>
              <w:spacing w:after="0" w:line="240" w:lineRule="auto"/>
              <w:rPr>
                <w:rFonts w:asciiTheme="majorBidi" w:hAnsiTheme="majorBidi" w:cstheme="majorBidi"/>
                <w:lang w:val="fr-FR"/>
              </w:rPr>
            </w:pPr>
            <w:r w:rsidRPr="005E61DF">
              <w:rPr>
                <w:rFonts w:asciiTheme="majorBidi" w:hAnsiTheme="majorBidi" w:cstheme="majorBidi"/>
                <w:color w:val="000000"/>
                <w:lang w:val="fr-FR"/>
              </w:rPr>
              <w:t>1/68 (1.47%)</w:t>
            </w:r>
          </w:p>
          <w:p w14:paraId="1B65C6BB" w14:textId="77777777" w:rsidR="00346C15" w:rsidRPr="005E61DF" w:rsidRDefault="00346C15" w:rsidP="007111E6">
            <w:pPr>
              <w:spacing w:after="0" w:line="240" w:lineRule="auto"/>
              <w:rPr>
                <w:rFonts w:asciiTheme="majorBidi" w:hAnsiTheme="majorBidi" w:cstheme="majorBidi"/>
                <w:color w:val="000000"/>
                <w:lang w:val="fr-FR"/>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5B3ED" w14:textId="77777777" w:rsidR="00346C15" w:rsidRPr="005E61DF" w:rsidRDefault="00346C15" w:rsidP="007111E6">
            <w:pPr>
              <w:spacing w:after="0" w:line="240" w:lineRule="auto"/>
              <w:rPr>
                <w:rFonts w:asciiTheme="majorBidi" w:hAnsiTheme="majorBidi" w:cstheme="majorBidi"/>
                <w:lang w:val="fr-FR"/>
              </w:rPr>
            </w:pPr>
            <w:proofErr w:type="spellStart"/>
            <w:r w:rsidRPr="005E61DF">
              <w:rPr>
                <w:rFonts w:asciiTheme="majorBidi" w:hAnsiTheme="majorBidi" w:cstheme="majorBidi"/>
                <w:color w:val="000000"/>
                <w:lang w:val="fr-FR"/>
              </w:rPr>
              <w:t>Renal</w:t>
            </w:r>
            <w:proofErr w:type="spellEnd"/>
            <w:r w:rsidRPr="005E61DF">
              <w:rPr>
                <w:rFonts w:asciiTheme="majorBidi" w:hAnsiTheme="majorBidi" w:cstheme="majorBidi"/>
                <w:color w:val="000000"/>
                <w:lang w:val="fr-FR"/>
              </w:rPr>
              <w:t xml:space="preserve"> Failure Acute</w:t>
            </w:r>
          </w:p>
          <w:p w14:paraId="66544338" w14:textId="77777777" w:rsidR="00346C15" w:rsidRPr="005E61DF" w:rsidRDefault="00346C15" w:rsidP="007111E6">
            <w:pPr>
              <w:spacing w:after="0" w:line="240" w:lineRule="auto"/>
              <w:rPr>
                <w:rFonts w:asciiTheme="majorBidi" w:hAnsiTheme="majorBidi" w:cstheme="majorBidi"/>
                <w:lang w:val="fr-FR"/>
              </w:rPr>
            </w:pPr>
            <w:r w:rsidRPr="005E61DF">
              <w:rPr>
                <w:rFonts w:asciiTheme="majorBidi" w:hAnsiTheme="majorBidi" w:cstheme="majorBidi"/>
                <w:color w:val="000000"/>
                <w:lang w:val="fr-FR"/>
              </w:rPr>
              <w:t>0/67 (0.00%)</w:t>
            </w:r>
          </w:p>
          <w:p w14:paraId="49A3970E" w14:textId="77777777" w:rsidR="00346C15" w:rsidRPr="005E61DF" w:rsidRDefault="00346C15" w:rsidP="007111E6">
            <w:pPr>
              <w:spacing w:after="0" w:line="240" w:lineRule="auto"/>
              <w:rPr>
                <w:rFonts w:asciiTheme="majorBidi" w:hAnsiTheme="majorBidi" w:cstheme="majorBidi"/>
                <w:lang w:val="fr-FR"/>
              </w:rPr>
            </w:pPr>
          </w:p>
          <w:p w14:paraId="23E6DA84" w14:textId="77777777" w:rsidR="00346C15" w:rsidRPr="005E61DF" w:rsidRDefault="00346C15" w:rsidP="007111E6">
            <w:pPr>
              <w:spacing w:after="0" w:line="240" w:lineRule="auto"/>
              <w:rPr>
                <w:rFonts w:asciiTheme="majorBidi" w:hAnsiTheme="majorBidi" w:cstheme="majorBidi"/>
                <w:lang w:val="fr-FR"/>
              </w:rPr>
            </w:pPr>
            <w:proofErr w:type="spellStart"/>
            <w:r w:rsidRPr="005E61DF">
              <w:rPr>
                <w:rFonts w:asciiTheme="majorBidi" w:hAnsiTheme="majorBidi" w:cstheme="majorBidi"/>
                <w:color w:val="000000"/>
                <w:lang w:val="fr-FR"/>
              </w:rPr>
              <w:t>Renal</w:t>
            </w:r>
            <w:proofErr w:type="spellEnd"/>
            <w:r w:rsidRPr="005E61DF">
              <w:rPr>
                <w:rFonts w:asciiTheme="majorBidi" w:hAnsiTheme="majorBidi" w:cstheme="majorBidi"/>
                <w:color w:val="000000"/>
                <w:lang w:val="fr-FR"/>
              </w:rPr>
              <w:t xml:space="preserve"> </w:t>
            </w:r>
            <w:proofErr w:type="spellStart"/>
            <w:r w:rsidRPr="005E61DF">
              <w:rPr>
                <w:rFonts w:asciiTheme="majorBidi" w:hAnsiTheme="majorBidi" w:cstheme="majorBidi"/>
                <w:color w:val="000000"/>
                <w:lang w:val="fr-FR"/>
              </w:rPr>
              <w:t>Impairment</w:t>
            </w:r>
            <w:proofErr w:type="spellEnd"/>
            <w:r w:rsidRPr="005E61DF">
              <w:rPr>
                <w:rFonts w:asciiTheme="majorBidi" w:hAnsiTheme="majorBidi" w:cstheme="majorBidi"/>
                <w:color w:val="000000"/>
                <w:lang w:val="fr-FR"/>
              </w:rPr>
              <w:t> </w:t>
            </w:r>
          </w:p>
          <w:p w14:paraId="6A59B90A" w14:textId="77777777" w:rsidR="00346C15" w:rsidRPr="005E61DF" w:rsidRDefault="00346C15" w:rsidP="007111E6">
            <w:pPr>
              <w:spacing w:after="0" w:line="240" w:lineRule="auto"/>
              <w:rPr>
                <w:rFonts w:asciiTheme="majorBidi" w:hAnsiTheme="majorBidi" w:cstheme="majorBidi"/>
                <w:lang w:val="fr-FR"/>
              </w:rPr>
            </w:pPr>
            <w:r w:rsidRPr="005E61DF">
              <w:rPr>
                <w:rFonts w:asciiTheme="majorBidi" w:hAnsiTheme="majorBidi" w:cstheme="majorBidi"/>
                <w:color w:val="000000"/>
                <w:lang w:val="fr-FR"/>
              </w:rPr>
              <w:t>0/67 (0.00%)</w:t>
            </w:r>
          </w:p>
          <w:p w14:paraId="0F1CB297" w14:textId="77777777" w:rsidR="00346C15" w:rsidRPr="005E61DF" w:rsidRDefault="00346C15" w:rsidP="007111E6">
            <w:pPr>
              <w:spacing w:after="0" w:line="240" w:lineRule="auto"/>
              <w:rPr>
                <w:rFonts w:asciiTheme="majorBidi" w:hAnsiTheme="majorBidi" w:cstheme="majorBidi"/>
                <w:color w:val="000000"/>
                <w:lang w:val="fr-FR"/>
              </w:rPr>
            </w:pPr>
            <w:r w:rsidRPr="005E61DF">
              <w:rPr>
                <w:rFonts w:asciiTheme="majorBidi" w:hAnsiTheme="majorBidi" w:cstheme="majorBidi"/>
                <w:color w:val="000000"/>
                <w:lang w:val="fr-FR"/>
              </w:rPr>
              <w:t> </w:t>
            </w:r>
          </w:p>
        </w:tc>
      </w:tr>
      <w:tr w:rsidR="00346C15" w:rsidRPr="00885DFB" w14:paraId="074E0C84"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124A1E2E" w14:textId="77777777" w:rsidR="00346C15" w:rsidRPr="005E61DF" w:rsidRDefault="00346C15" w:rsidP="007111E6">
            <w:pPr>
              <w:spacing w:after="0" w:line="240" w:lineRule="auto"/>
              <w:rPr>
                <w:rFonts w:asciiTheme="majorBidi" w:hAnsiTheme="majorBidi" w:cstheme="majorBidi"/>
                <w:color w:val="000000"/>
                <w:lang w:val="fr-FR"/>
              </w:rPr>
            </w:pPr>
          </w:p>
        </w:tc>
        <w:tc>
          <w:tcPr>
            <w:tcW w:w="1237" w:type="dxa"/>
            <w:tcBorders>
              <w:top w:val="single" w:sz="8" w:space="0" w:color="000000"/>
              <w:left w:val="single" w:sz="8" w:space="0" w:color="000000"/>
              <w:bottom w:val="single" w:sz="8" w:space="0" w:color="000000"/>
              <w:right w:val="single" w:sz="8" w:space="0" w:color="000000"/>
            </w:tcBorders>
          </w:tcPr>
          <w:p w14:paraId="40748DB2" w14:textId="1D6F7D41"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C Diff infection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CCE57"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4AFEE"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r>
      <w:tr w:rsidR="00346C15" w:rsidRPr="00885DFB" w14:paraId="18071AF3" w14:textId="77777777" w:rsidTr="005E61DF">
        <w:tc>
          <w:tcPr>
            <w:tcW w:w="0" w:type="auto"/>
            <w:vMerge/>
            <w:tcBorders>
              <w:left w:val="single" w:sz="8" w:space="0" w:color="000000"/>
              <w:bottom w:val="single" w:sz="8" w:space="0" w:color="000000"/>
              <w:right w:val="single" w:sz="8" w:space="0" w:color="000000"/>
            </w:tcBorders>
            <w:tcMar>
              <w:top w:w="40" w:type="dxa"/>
              <w:left w:w="40" w:type="dxa"/>
              <w:bottom w:w="40" w:type="dxa"/>
              <w:right w:w="40" w:type="dxa"/>
            </w:tcMar>
          </w:tcPr>
          <w:p w14:paraId="5842C944" w14:textId="77777777" w:rsidR="00346C15" w:rsidRPr="005E61DF" w:rsidRDefault="00346C15" w:rsidP="007111E6">
            <w:pPr>
              <w:spacing w:after="0" w:line="240" w:lineRule="auto"/>
              <w:rPr>
                <w:rFonts w:asciiTheme="majorBidi" w:hAnsiTheme="majorBidi" w:cstheme="majorBidi"/>
                <w:color w:val="000000"/>
                <w:lang w:val="fr-FR"/>
              </w:rPr>
            </w:pPr>
          </w:p>
        </w:tc>
        <w:tc>
          <w:tcPr>
            <w:tcW w:w="1237" w:type="dxa"/>
            <w:tcBorders>
              <w:top w:val="single" w:sz="8" w:space="0" w:color="000000"/>
              <w:left w:val="single" w:sz="8" w:space="0" w:color="000000"/>
              <w:bottom w:val="single" w:sz="8" w:space="0" w:color="000000"/>
              <w:right w:val="single" w:sz="8" w:space="0" w:color="000000"/>
            </w:tcBorders>
          </w:tcPr>
          <w:p w14:paraId="15302114"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Any other category that is important (name, n/N and %)</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1BAE7"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Infections and infestations  </w:t>
            </w:r>
          </w:p>
          <w:p w14:paraId="101C2A6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Urosepsis</w:t>
            </w:r>
          </w:p>
          <w:p w14:paraId="239470D7"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0/68 (0%)</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9A86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Infections and infestations  </w:t>
            </w:r>
          </w:p>
          <w:p w14:paraId="3D7DFEB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Urosepsis</w:t>
            </w:r>
          </w:p>
          <w:p w14:paraId="25A0712B"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0/67</w:t>
            </w:r>
          </w:p>
          <w:p w14:paraId="1722403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(0%)</w:t>
            </w:r>
          </w:p>
          <w:p w14:paraId="18052272" w14:textId="77777777" w:rsidR="00346C15" w:rsidRPr="005E61DF" w:rsidRDefault="00346C15" w:rsidP="007111E6">
            <w:pPr>
              <w:spacing w:after="0" w:line="240" w:lineRule="auto"/>
              <w:rPr>
                <w:rFonts w:asciiTheme="majorBidi" w:hAnsiTheme="majorBidi" w:cstheme="majorBidi"/>
                <w:color w:val="000000"/>
              </w:rPr>
            </w:pPr>
          </w:p>
        </w:tc>
      </w:tr>
      <w:tr w:rsidR="00346C15" w:rsidRPr="00885DFB" w14:paraId="42BBEAFB" w14:textId="77777777" w:rsidTr="005E61DF">
        <w:tc>
          <w:tcPr>
            <w:tcW w:w="0" w:type="auto"/>
            <w:vMerge w:val="restart"/>
            <w:tcBorders>
              <w:top w:val="single" w:sz="8" w:space="0" w:color="000000"/>
              <w:left w:val="single" w:sz="8" w:space="0" w:color="000000"/>
              <w:right w:val="single" w:sz="8" w:space="0" w:color="000000"/>
            </w:tcBorders>
            <w:tcMar>
              <w:top w:w="40" w:type="dxa"/>
              <w:left w:w="40" w:type="dxa"/>
              <w:bottom w:w="40" w:type="dxa"/>
              <w:right w:w="40" w:type="dxa"/>
            </w:tcMar>
            <w:hideMark/>
          </w:tcPr>
          <w:p w14:paraId="63A1A435" w14:textId="5FE49319" w:rsidR="00346C15" w:rsidRPr="005E61DF" w:rsidRDefault="00346C15" w:rsidP="00A83123">
            <w:pPr>
              <w:spacing w:after="0" w:line="240" w:lineRule="auto"/>
              <w:rPr>
                <w:rFonts w:asciiTheme="majorBidi" w:hAnsiTheme="majorBidi" w:cstheme="majorBidi"/>
                <w:color w:val="000000"/>
                <w:lang w:val="fr-FR"/>
              </w:rPr>
            </w:pPr>
            <w:r w:rsidRPr="005E61DF">
              <w:rPr>
                <w:rFonts w:asciiTheme="majorBidi" w:hAnsiTheme="majorBidi" w:cstheme="majorBidi"/>
                <w:color w:val="000000"/>
                <w:lang w:val="fr-FR"/>
              </w:rPr>
              <w:t>Torres et al. (2018)</w:t>
            </w:r>
            <w:r w:rsidR="00A83123" w:rsidRPr="00A83123">
              <w:rPr>
                <w:rFonts w:asciiTheme="majorBidi" w:hAnsiTheme="majorBidi" w:cstheme="majorBidi"/>
                <w:noProof/>
                <w:color w:val="000000"/>
                <w:vertAlign w:val="superscript"/>
                <w:lang w:val="fr-FR"/>
              </w:rPr>
              <w:t>33</w:t>
            </w:r>
            <w:r w:rsidRPr="005E61DF">
              <w:rPr>
                <w:rFonts w:asciiTheme="majorBidi" w:hAnsiTheme="majorBidi" w:cstheme="majorBidi"/>
                <w:color w:val="000000"/>
                <w:lang w:val="fr-FR"/>
              </w:rPr>
              <w:t xml:space="preserve"> REPROVE (NCT01808092) </w:t>
            </w:r>
          </w:p>
          <w:p w14:paraId="4B256D7B" w14:textId="77777777" w:rsidR="00346C15" w:rsidRPr="005E61DF" w:rsidRDefault="00346C15" w:rsidP="007111E6">
            <w:pPr>
              <w:spacing w:after="0" w:line="240" w:lineRule="auto"/>
              <w:rPr>
                <w:rFonts w:asciiTheme="majorBidi" w:hAnsiTheme="majorBidi" w:cstheme="majorBidi"/>
                <w:color w:val="000000"/>
                <w:lang w:val="fr-FR"/>
              </w:rPr>
            </w:pPr>
          </w:p>
          <w:p w14:paraId="75E5D48F"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VAP</w:t>
            </w:r>
          </w:p>
        </w:tc>
        <w:tc>
          <w:tcPr>
            <w:tcW w:w="1237" w:type="dxa"/>
            <w:tcBorders>
              <w:top w:val="single" w:sz="8" w:space="0" w:color="000000"/>
              <w:left w:val="single" w:sz="8" w:space="0" w:color="000000"/>
              <w:bottom w:val="single" w:sz="8" w:space="0" w:color="000000"/>
              <w:right w:val="single" w:sz="8" w:space="0" w:color="000000"/>
            </w:tcBorders>
          </w:tcPr>
          <w:p w14:paraId="0D1859BA" w14:textId="5ED0A37A"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Serious Treatment related AE (total safety pop)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6FE1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2ABE0003"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75/405 (19%)</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3362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Meropenem</w:t>
            </w:r>
          </w:p>
          <w:p w14:paraId="3A113F73"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54/403 (13%)</w:t>
            </w:r>
          </w:p>
        </w:tc>
      </w:tr>
      <w:tr w:rsidR="00346C15" w:rsidRPr="00885DFB" w14:paraId="7286B51D"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3E326E9C"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2FCA1ED4" w14:textId="594720C8"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Nephrotoxicity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D81C8"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NCT01808092</w:t>
            </w:r>
          </w:p>
          <w:p w14:paraId="3938BC8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CAZ-AVI</w:t>
            </w:r>
          </w:p>
          <w:p w14:paraId="50A59661"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Acute kidney injury 2/405 (0.49%)</w:t>
            </w:r>
          </w:p>
          <w:p w14:paraId="7B86F36E"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failure 1/405 (0.25%)</w:t>
            </w:r>
          </w:p>
          <w:p w14:paraId="0335CE4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impairment 0/405 (0.00%)</w:t>
            </w:r>
          </w:p>
          <w:p w14:paraId="423660DD" w14:textId="77777777" w:rsidR="00346C15" w:rsidRPr="005E61DF" w:rsidRDefault="00346C15" w:rsidP="007111E6">
            <w:pPr>
              <w:spacing w:after="0" w:line="240" w:lineRule="auto"/>
              <w:rPr>
                <w:rFonts w:asciiTheme="majorBidi" w:hAnsiTheme="majorBidi" w:cstheme="majorBidi"/>
                <w:color w:val="000000"/>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EE28B"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NCT01808092</w:t>
            </w:r>
          </w:p>
          <w:p w14:paraId="10B5BA54"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Meropenem</w:t>
            </w:r>
          </w:p>
          <w:p w14:paraId="26B9D51A"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Acute kidney injury 1/403 (0.25%)</w:t>
            </w:r>
          </w:p>
          <w:p w14:paraId="4230FCD8"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failure 0/403 (0.00%)</w:t>
            </w:r>
          </w:p>
          <w:p w14:paraId="6C60BF5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Renal impairment 1/403 (0.25%)</w:t>
            </w:r>
          </w:p>
          <w:p w14:paraId="569A24E8" w14:textId="77777777" w:rsidR="00346C15" w:rsidRPr="005E61DF" w:rsidRDefault="00346C15" w:rsidP="007111E6">
            <w:pPr>
              <w:spacing w:after="0" w:line="240" w:lineRule="auto"/>
              <w:rPr>
                <w:rFonts w:asciiTheme="majorBidi" w:hAnsiTheme="majorBidi" w:cstheme="majorBidi"/>
                <w:color w:val="000000"/>
              </w:rPr>
            </w:pPr>
          </w:p>
        </w:tc>
      </w:tr>
      <w:tr w:rsidR="00346C15" w:rsidRPr="00885DFB" w14:paraId="1588741C" w14:textId="77777777" w:rsidTr="005E61DF">
        <w:tc>
          <w:tcPr>
            <w:tcW w:w="0" w:type="auto"/>
            <w:vMerge/>
            <w:tcBorders>
              <w:left w:val="single" w:sz="8" w:space="0" w:color="000000"/>
              <w:right w:val="single" w:sz="8" w:space="0" w:color="000000"/>
            </w:tcBorders>
            <w:tcMar>
              <w:top w:w="40" w:type="dxa"/>
              <w:left w:w="40" w:type="dxa"/>
              <w:bottom w:w="40" w:type="dxa"/>
              <w:right w:w="40" w:type="dxa"/>
            </w:tcMar>
          </w:tcPr>
          <w:p w14:paraId="34DF1BC3"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6E38D5FD" w14:textId="5C299FF6"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 xml:space="preserve">C Diff infection </w:t>
            </w:r>
            <w:r w:rsidR="00593E66" w:rsidRPr="005E61DF">
              <w:rPr>
                <w:rFonts w:asciiTheme="majorBidi" w:hAnsiTheme="majorBidi" w:cstheme="majorBidi"/>
                <w:color w:val="000000"/>
              </w:rPr>
              <w:t>n (</w:t>
            </w:r>
            <w:r w:rsidRPr="005E61DF">
              <w:rPr>
                <w:rFonts w:asciiTheme="majorBidi" w:hAnsiTheme="majorBidi" w:cstheme="majorBidi"/>
                <w:color w:val="000000"/>
              </w:rPr>
              <w:t>%)</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63610"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4ADB2"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NR</w:t>
            </w:r>
          </w:p>
        </w:tc>
      </w:tr>
      <w:tr w:rsidR="00346C15" w:rsidRPr="00885DFB" w14:paraId="1CE5ADFE" w14:textId="77777777" w:rsidTr="005E61DF">
        <w:tc>
          <w:tcPr>
            <w:tcW w:w="0" w:type="auto"/>
            <w:vMerge/>
            <w:tcBorders>
              <w:left w:val="single" w:sz="8" w:space="0" w:color="000000"/>
              <w:bottom w:val="single" w:sz="8" w:space="0" w:color="000000"/>
              <w:right w:val="single" w:sz="8" w:space="0" w:color="000000"/>
            </w:tcBorders>
            <w:tcMar>
              <w:top w:w="40" w:type="dxa"/>
              <w:left w:w="40" w:type="dxa"/>
              <w:bottom w:w="40" w:type="dxa"/>
              <w:right w:w="40" w:type="dxa"/>
            </w:tcMar>
          </w:tcPr>
          <w:p w14:paraId="2EDB261F" w14:textId="77777777" w:rsidR="00346C15" w:rsidRPr="005E61DF" w:rsidRDefault="00346C15" w:rsidP="007111E6">
            <w:pPr>
              <w:spacing w:after="0" w:line="240" w:lineRule="auto"/>
              <w:rPr>
                <w:rFonts w:asciiTheme="majorBidi" w:hAnsiTheme="majorBidi" w:cstheme="majorBidi"/>
                <w:color w:val="000000"/>
              </w:rPr>
            </w:pPr>
          </w:p>
        </w:tc>
        <w:tc>
          <w:tcPr>
            <w:tcW w:w="1237" w:type="dxa"/>
            <w:tcBorders>
              <w:top w:val="single" w:sz="8" w:space="0" w:color="000000"/>
              <w:left w:val="single" w:sz="8" w:space="0" w:color="000000"/>
              <w:bottom w:val="single" w:sz="8" w:space="0" w:color="000000"/>
              <w:right w:val="single" w:sz="8" w:space="0" w:color="000000"/>
            </w:tcBorders>
          </w:tcPr>
          <w:p w14:paraId="285245D6" w14:textId="77777777" w:rsidR="00346C15" w:rsidRPr="005E61DF" w:rsidRDefault="00346C15" w:rsidP="007111E6">
            <w:pPr>
              <w:spacing w:after="0" w:line="240" w:lineRule="auto"/>
              <w:rPr>
                <w:rFonts w:asciiTheme="majorBidi" w:hAnsiTheme="majorBidi" w:cstheme="majorBidi"/>
                <w:color w:val="000000"/>
              </w:rPr>
            </w:pPr>
            <w:r w:rsidRPr="005E61DF">
              <w:rPr>
                <w:rFonts w:asciiTheme="majorBidi" w:hAnsiTheme="majorBidi" w:cstheme="majorBidi"/>
                <w:color w:val="000000"/>
              </w:rPr>
              <w:t>Any other category that is important (name, n/N and %)</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DDCA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Infections and infestations </w:t>
            </w:r>
          </w:p>
          <w:p w14:paraId="011728E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Urinary tract infection 11/405 (2.72%) </w:t>
            </w:r>
          </w:p>
          <w:p w14:paraId="7088A970"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45D91C22"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Pleural effusion 9/405 (2.22%) </w:t>
            </w:r>
          </w:p>
          <w:p w14:paraId="35191FB1" w14:textId="77777777" w:rsidR="00346C15" w:rsidRPr="005E61DF" w:rsidRDefault="00346C15" w:rsidP="007111E6">
            <w:pPr>
              <w:spacing w:after="0" w:line="240" w:lineRule="auto"/>
              <w:rPr>
                <w:rFonts w:asciiTheme="majorBidi" w:hAnsiTheme="majorBidi" w:cstheme="majorBidi"/>
                <w:color w:val="000000"/>
              </w:rPr>
            </w:pPr>
          </w:p>
        </w:tc>
        <w:tc>
          <w:tcPr>
            <w:tcW w:w="3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18CE3"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Infections and infestations </w:t>
            </w:r>
          </w:p>
          <w:p w14:paraId="2AE6B429"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Urinary tract infection 14/403 (3.47%) </w:t>
            </w:r>
          </w:p>
          <w:p w14:paraId="6F9A5E9C"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 xml:space="preserve">Respiratory, </w:t>
            </w:r>
            <w:proofErr w:type="gramStart"/>
            <w:r w:rsidRPr="005E61DF">
              <w:rPr>
                <w:rFonts w:asciiTheme="majorBidi" w:hAnsiTheme="majorBidi" w:cstheme="majorBidi"/>
                <w:color w:val="000000"/>
              </w:rPr>
              <w:t>thoracic</w:t>
            </w:r>
            <w:proofErr w:type="gramEnd"/>
            <w:r w:rsidRPr="005E61DF">
              <w:rPr>
                <w:rFonts w:asciiTheme="majorBidi" w:hAnsiTheme="majorBidi" w:cstheme="majorBidi"/>
                <w:color w:val="000000"/>
              </w:rPr>
              <w:t xml:space="preserve"> and mediastinal disorders                   </w:t>
            </w:r>
          </w:p>
          <w:p w14:paraId="102C7F16" w14:textId="77777777" w:rsidR="00346C15" w:rsidRPr="005E61DF" w:rsidRDefault="00346C15" w:rsidP="007111E6">
            <w:pPr>
              <w:spacing w:after="0" w:line="240" w:lineRule="auto"/>
              <w:rPr>
                <w:rFonts w:asciiTheme="majorBidi" w:hAnsiTheme="majorBidi" w:cstheme="majorBidi"/>
              </w:rPr>
            </w:pPr>
            <w:r w:rsidRPr="005E61DF">
              <w:rPr>
                <w:rFonts w:asciiTheme="majorBidi" w:hAnsiTheme="majorBidi" w:cstheme="majorBidi"/>
                <w:color w:val="000000"/>
              </w:rPr>
              <w:t>Pleural effusion 7/403 (1.74%) </w:t>
            </w:r>
          </w:p>
          <w:p w14:paraId="16141E93" w14:textId="77777777" w:rsidR="00346C15" w:rsidRPr="005E61DF" w:rsidRDefault="00346C15" w:rsidP="007111E6">
            <w:pPr>
              <w:spacing w:after="0" w:line="240" w:lineRule="auto"/>
              <w:rPr>
                <w:rFonts w:asciiTheme="majorBidi" w:hAnsiTheme="majorBidi" w:cstheme="majorBidi"/>
                <w:color w:val="000000"/>
              </w:rPr>
            </w:pPr>
          </w:p>
        </w:tc>
      </w:tr>
    </w:tbl>
    <w:p w14:paraId="7205C340" w14:textId="187A95FA" w:rsidR="008E04F8" w:rsidRPr="001E5A41" w:rsidRDefault="008E04F8" w:rsidP="00346C15">
      <w:pPr>
        <w:spacing w:after="120" w:line="360" w:lineRule="auto"/>
        <w:jc w:val="both"/>
        <w:rPr>
          <w:rFonts w:asciiTheme="majorBidi" w:eastAsia="Calibri" w:hAnsiTheme="majorBidi" w:cstheme="majorBidi"/>
          <w:sz w:val="20"/>
          <w:szCs w:val="20"/>
        </w:rPr>
      </w:pPr>
      <w:r w:rsidRPr="001E5A41">
        <w:rPr>
          <w:rFonts w:asciiTheme="majorBidi" w:eastAsia="Calibri" w:hAnsiTheme="majorBidi" w:cstheme="majorBidi"/>
          <w:sz w:val="20"/>
          <w:szCs w:val="20"/>
        </w:rPr>
        <w:t xml:space="preserve">CAZ-AVI, ceftazidime-avibactam; </w:t>
      </w:r>
      <w:proofErr w:type="spellStart"/>
      <w:proofErr w:type="gramStart"/>
      <w:r w:rsidRPr="001E5A41">
        <w:rPr>
          <w:rFonts w:asciiTheme="majorBidi" w:eastAsia="Calibri" w:hAnsiTheme="majorBidi" w:cstheme="majorBidi"/>
          <w:sz w:val="20"/>
          <w:szCs w:val="20"/>
        </w:rPr>
        <w:t>c.diff</w:t>
      </w:r>
      <w:proofErr w:type="spellEnd"/>
      <w:proofErr w:type="gramEnd"/>
      <w:r w:rsidRPr="001E5A41">
        <w:rPr>
          <w:rFonts w:asciiTheme="majorBidi" w:eastAsia="Calibri" w:hAnsiTheme="majorBidi" w:cstheme="majorBidi"/>
          <w:sz w:val="20"/>
          <w:szCs w:val="20"/>
        </w:rPr>
        <w:t xml:space="preserve">; </w:t>
      </w:r>
      <w:r w:rsidRPr="001E5A41">
        <w:rPr>
          <w:rFonts w:asciiTheme="majorBidi" w:eastAsia="Calibri" w:hAnsiTheme="majorBidi" w:cstheme="majorBidi"/>
          <w:i/>
          <w:iCs/>
          <w:sz w:val="20"/>
          <w:szCs w:val="20"/>
        </w:rPr>
        <w:t>Clostridium difficile;</w:t>
      </w:r>
      <w:r w:rsidRPr="001E5A41">
        <w:rPr>
          <w:rFonts w:asciiTheme="majorBidi" w:eastAsia="Calibri" w:hAnsiTheme="majorBidi" w:cstheme="majorBidi"/>
          <w:sz w:val="20"/>
          <w:szCs w:val="20"/>
        </w:rPr>
        <w:t xml:space="preserve"> NR, not reported</w:t>
      </w:r>
    </w:p>
    <w:p w14:paraId="3250B2C7" w14:textId="791D3EF9" w:rsidR="00346C15" w:rsidRPr="00885DFB" w:rsidRDefault="00346C15" w:rsidP="00346C15">
      <w:pPr>
        <w:spacing w:after="120" w:line="360" w:lineRule="auto"/>
        <w:jc w:val="both"/>
        <w:rPr>
          <w:rFonts w:asciiTheme="majorBidi" w:eastAsia="Calibri" w:hAnsiTheme="majorBidi" w:cstheme="majorBidi"/>
        </w:rPr>
      </w:pPr>
      <w:r w:rsidRPr="00885DFB">
        <w:rPr>
          <w:rFonts w:asciiTheme="majorBidi" w:eastAsia="Calibri" w:hAnsiTheme="majorBidi" w:cstheme="majorBidi"/>
        </w:rPr>
        <w:t xml:space="preserve">* AEs of concern were any AE that was serious, and either was higher in one arm than the </w:t>
      </w:r>
      <w:proofErr w:type="gramStart"/>
      <w:r w:rsidRPr="00885DFB">
        <w:rPr>
          <w:rFonts w:asciiTheme="majorBidi" w:eastAsia="Calibri" w:hAnsiTheme="majorBidi" w:cstheme="majorBidi"/>
        </w:rPr>
        <w:t>other, or</w:t>
      </w:r>
      <w:proofErr w:type="gramEnd"/>
      <w:r w:rsidRPr="00885DFB">
        <w:rPr>
          <w:rFonts w:asciiTheme="majorBidi" w:eastAsia="Calibri" w:hAnsiTheme="majorBidi" w:cstheme="majorBidi"/>
        </w:rPr>
        <w:t xml:space="preserve"> was high in both arms. </w:t>
      </w:r>
    </w:p>
    <w:p w14:paraId="48ED5F4B" w14:textId="64F2ADF0" w:rsidR="00885DFB" w:rsidRPr="00B674A1" w:rsidRDefault="00B674A1" w:rsidP="00B674A1">
      <w:pPr>
        <w:pStyle w:val="EEPRUnumberedstylelevel3"/>
        <w:ind w:left="851" w:hanging="567"/>
      </w:pPr>
      <w:bookmarkStart w:id="222" w:name="_Toc83890521"/>
      <w:bookmarkStart w:id="223" w:name="_Toc87463002"/>
      <w:r>
        <w:t xml:space="preserve">4.7 </w:t>
      </w:r>
      <w:r w:rsidR="00885DFB" w:rsidRPr="00B674A1">
        <w:t>Overview and critique of evidence in Pfizer</w:t>
      </w:r>
      <w:r w:rsidR="00497864" w:rsidRPr="00B674A1">
        <w:t>’s</w:t>
      </w:r>
      <w:r w:rsidR="00885DFB" w:rsidRPr="00B674A1">
        <w:t xml:space="preserve"> submission to NICE</w:t>
      </w:r>
      <w:bookmarkEnd w:id="222"/>
      <w:bookmarkEnd w:id="223"/>
    </w:p>
    <w:p w14:paraId="556D8BB3" w14:textId="79E0C968" w:rsidR="00885DFB" w:rsidRPr="00885DFB" w:rsidRDefault="00885DFB" w:rsidP="00731154">
      <w:pPr>
        <w:spacing w:after="120" w:line="360" w:lineRule="auto"/>
        <w:jc w:val="both"/>
        <w:rPr>
          <w:rFonts w:ascii="Times New Roman" w:hAnsi="Times New Roman" w:cs="Times New Roman"/>
        </w:rPr>
      </w:pPr>
      <w:r w:rsidRPr="00885DFB">
        <w:rPr>
          <w:rFonts w:ascii="Times New Roman" w:hAnsi="Times New Roman" w:cs="Times New Roman"/>
        </w:rPr>
        <w:t xml:space="preserve">In their submission, Pfizer include evidence on CAZ-AVI from </w:t>
      </w:r>
      <w:r w:rsidR="00B2253C" w:rsidRPr="00885DFB">
        <w:rPr>
          <w:rFonts w:ascii="Times New Roman" w:hAnsi="Times New Roman" w:cs="Times New Roman"/>
        </w:rPr>
        <w:t>RCT</w:t>
      </w:r>
      <w:r w:rsidR="00B2253C">
        <w:rPr>
          <w:rFonts w:ascii="Times New Roman" w:hAnsi="Times New Roman" w:cs="Times New Roman"/>
        </w:rPr>
        <w:t>s</w:t>
      </w:r>
      <w:r w:rsidRPr="00885DFB">
        <w:rPr>
          <w:rFonts w:ascii="Times New Roman" w:hAnsi="Times New Roman" w:cs="Times New Roman"/>
        </w:rPr>
        <w:t xml:space="preserve">, non-RCTs and </w:t>
      </w:r>
      <w:proofErr w:type="gramStart"/>
      <w:r w:rsidRPr="00885DFB">
        <w:rPr>
          <w:rFonts w:ascii="Times New Roman" w:hAnsi="Times New Roman" w:cs="Times New Roman"/>
        </w:rPr>
        <w:t>real world</w:t>
      </w:r>
      <w:proofErr w:type="gramEnd"/>
      <w:r w:rsidRPr="00885DFB">
        <w:rPr>
          <w:rFonts w:ascii="Times New Roman" w:hAnsi="Times New Roman" w:cs="Times New Roman"/>
        </w:rPr>
        <w:t xml:space="preserve"> evidence. Pfizer’s modelling took a different approach (see Section </w:t>
      </w:r>
      <w:r w:rsidR="00EB7072">
        <w:rPr>
          <w:rFonts w:ascii="Times New Roman" w:hAnsi="Times New Roman" w:cs="Times New Roman"/>
        </w:rPr>
        <w:t>6.1.5</w:t>
      </w:r>
      <w:r w:rsidRPr="00885DFB">
        <w:rPr>
          <w:rFonts w:ascii="Times New Roman" w:hAnsi="Times New Roman" w:cs="Times New Roman"/>
        </w:rPr>
        <w:t>) and included a wider population than EEPRU’s, and their evidence requirements were therefore wider. No systematic review methodology is reported to support the clinical section of their submission, and it is therefore unclear to what extent the evidence submitted is comprehensive</w:t>
      </w:r>
      <w:r w:rsidR="00731154">
        <w:rPr>
          <w:rFonts w:ascii="Times New Roman" w:hAnsi="Times New Roman" w:cs="Times New Roman"/>
        </w:rPr>
        <w:t xml:space="preserve"> </w:t>
      </w:r>
      <w:r w:rsidR="002F2CA3">
        <w:rPr>
          <w:rFonts w:ascii="Times New Roman" w:hAnsi="Times New Roman" w:cs="Times New Roman"/>
        </w:rPr>
        <w:t>with respect to</w:t>
      </w:r>
      <w:r w:rsidR="00731154">
        <w:rPr>
          <w:rFonts w:ascii="Times New Roman" w:hAnsi="Times New Roman" w:cs="Times New Roman"/>
        </w:rPr>
        <w:t xml:space="preserve"> their wider scope</w:t>
      </w:r>
      <w:r w:rsidRPr="00885DFB">
        <w:rPr>
          <w:rFonts w:ascii="Times New Roman" w:hAnsi="Times New Roman" w:cs="Times New Roman"/>
        </w:rPr>
        <w:t xml:space="preserve">. </w:t>
      </w:r>
    </w:p>
    <w:p w14:paraId="6695287E" w14:textId="502600DC" w:rsidR="00885DFB" w:rsidRPr="00885DFB" w:rsidRDefault="00885DFB" w:rsidP="00A83123">
      <w:pPr>
        <w:spacing w:after="120" w:line="360" w:lineRule="auto"/>
        <w:jc w:val="both"/>
        <w:rPr>
          <w:rFonts w:ascii="Times New Roman" w:hAnsi="Times New Roman" w:cs="Times New Roman"/>
        </w:rPr>
      </w:pPr>
      <w:r w:rsidRPr="00885DFB">
        <w:rPr>
          <w:rFonts w:ascii="Times New Roman" w:hAnsi="Times New Roman" w:cs="Times New Roman"/>
        </w:rPr>
        <w:t xml:space="preserve">EEPRU checked that the evidence submitted by Pfizer </w:t>
      </w:r>
      <w:r w:rsidR="00731154">
        <w:rPr>
          <w:rFonts w:ascii="Times New Roman" w:hAnsi="Times New Roman" w:cs="Times New Roman"/>
        </w:rPr>
        <w:t xml:space="preserve">that was relevant to the HVCSs </w:t>
      </w:r>
      <w:r w:rsidRPr="00885DFB">
        <w:rPr>
          <w:rFonts w:ascii="Times New Roman" w:hAnsi="Times New Roman" w:cs="Times New Roman"/>
        </w:rPr>
        <w:t>was captured by their own systematic searches and found that all relevant studies were present</w:t>
      </w:r>
      <w:r w:rsidR="00731154">
        <w:rPr>
          <w:rFonts w:ascii="Times New Roman" w:hAnsi="Times New Roman" w:cs="Times New Roman"/>
        </w:rPr>
        <w:t>, unless unpublished</w:t>
      </w:r>
      <w:r w:rsidRPr="00885DFB">
        <w:rPr>
          <w:rFonts w:ascii="Times New Roman" w:hAnsi="Times New Roman" w:cs="Times New Roman"/>
        </w:rPr>
        <w:t>. Some RCTs cited by Pfizer were not considered relevant to the EEPRU HVCSs, since they were in the wrong site or the wrong population. For example, several RCTs were not relevant since they recruited patients with intra-abdominal infections</w:t>
      </w:r>
      <w:r w:rsidR="00593E66" w:rsidRPr="00885DFB">
        <w:rPr>
          <w:rFonts w:ascii="Times New Roman" w:hAnsi="Times New Roman" w:cs="Times New Roman"/>
        </w:rPr>
        <w:t xml:space="preserve">, </w:t>
      </w:r>
      <w:r w:rsidR="00A83123" w:rsidRPr="00A83123">
        <w:rPr>
          <w:rFonts w:ascii="Times New Roman" w:hAnsi="Times New Roman" w:cs="Times New Roman"/>
          <w:noProof/>
          <w:vertAlign w:val="superscript"/>
        </w:rPr>
        <w:t>90,91</w:t>
      </w:r>
      <w:r w:rsidRPr="00885DFB">
        <w:rPr>
          <w:rFonts w:ascii="Times New Roman" w:hAnsi="Times New Roman" w:cs="Times New Roman"/>
        </w:rPr>
        <w:t xml:space="preserve"> or were conducted in children (unpublished ANDI20 trial). </w:t>
      </w:r>
      <w:r w:rsidR="00731154">
        <w:rPr>
          <w:rFonts w:ascii="Times New Roman" w:hAnsi="Times New Roman" w:cs="Times New Roman"/>
        </w:rPr>
        <w:t>RCTs</w:t>
      </w:r>
      <w:r w:rsidR="00A83123" w:rsidRPr="00A83123">
        <w:rPr>
          <w:rFonts w:ascii="Times New Roman" w:hAnsi="Times New Roman" w:cs="Times New Roman"/>
          <w:noProof/>
          <w:vertAlign w:val="superscript"/>
        </w:rPr>
        <w:t>32,33,35</w:t>
      </w:r>
      <w:r w:rsidRPr="00885DFB">
        <w:rPr>
          <w:rFonts w:ascii="Times New Roman" w:hAnsi="Times New Roman" w:cs="Times New Roman"/>
        </w:rPr>
        <w:t xml:space="preserve"> in the correct site and population were included in EEPRU’s review, </w:t>
      </w:r>
      <w:r w:rsidR="00731154">
        <w:rPr>
          <w:rFonts w:ascii="Times New Roman" w:hAnsi="Times New Roman" w:cs="Times New Roman"/>
        </w:rPr>
        <w:t>as</w:t>
      </w:r>
      <w:r w:rsidRPr="00885DFB">
        <w:rPr>
          <w:rFonts w:ascii="Times New Roman" w:hAnsi="Times New Roman" w:cs="Times New Roman"/>
        </w:rPr>
        <w:t xml:space="preserve"> w</w:t>
      </w:r>
      <w:r w:rsidR="00731154">
        <w:rPr>
          <w:rFonts w:ascii="Times New Roman" w:hAnsi="Times New Roman" w:cs="Times New Roman"/>
        </w:rPr>
        <w:t>as</w:t>
      </w:r>
      <w:r w:rsidRPr="00885DFB">
        <w:rPr>
          <w:rFonts w:ascii="Times New Roman" w:hAnsi="Times New Roman" w:cs="Times New Roman"/>
        </w:rPr>
        <w:t xml:space="preserve"> one phase 2 study that </w:t>
      </w:r>
      <w:r w:rsidR="002F2CA3">
        <w:rPr>
          <w:rFonts w:ascii="Times New Roman" w:hAnsi="Times New Roman" w:cs="Times New Roman"/>
        </w:rPr>
        <w:t xml:space="preserve">did not feature in Pfizer’s </w:t>
      </w:r>
      <w:proofErr w:type="gramStart"/>
      <w:r w:rsidR="002F2CA3">
        <w:rPr>
          <w:rFonts w:ascii="Times New Roman" w:hAnsi="Times New Roman" w:cs="Times New Roman"/>
        </w:rPr>
        <w:t>submission, but</w:t>
      </w:r>
      <w:proofErr w:type="gramEnd"/>
      <w:r w:rsidR="002F2CA3">
        <w:rPr>
          <w:rFonts w:ascii="Times New Roman" w:hAnsi="Times New Roman" w:cs="Times New Roman"/>
        </w:rPr>
        <w:t xml:space="preserve"> </w:t>
      </w:r>
      <w:r w:rsidRPr="00885DFB">
        <w:rPr>
          <w:rFonts w:ascii="Times New Roman" w:hAnsi="Times New Roman" w:cs="Times New Roman"/>
        </w:rPr>
        <w:t>met EEPRU’s selection criteria.</w:t>
      </w:r>
      <w:r w:rsidR="00A83123" w:rsidRPr="00A83123">
        <w:rPr>
          <w:rFonts w:ascii="Times New Roman" w:hAnsi="Times New Roman" w:cs="Times New Roman"/>
          <w:noProof/>
          <w:vertAlign w:val="superscript"/>
        </w:rPr>
        <w:t>34</w:t>
      </w:r>
      <w:r w:rsidRPr="00885DFB">
        <w:rPr>
          <w:rFonts w:ascii="Times New Roman" w:hAnsi="Times New Roman" w:cs="Times New Roman"/>
        </w:rPr>
        <w:t xml:space="preserve"> Of the six</w:t>
      </w:r>
      <w:r w:rsidR="00A83123" w:rsidRPr="00A83123">
        <w:rPr>
          <w:rFonts w:ascii="Times New Roman" w:hAnsi="Times New Roman" w:cs="Times New Roman"/>
          <w:noProof/>
          <w:vertAlign w:val="superscript"/>
        </w:rPr>
        <w:t>40,41,92-95</w:t>
      </w:r>
      <w:r w:rsidRPr="00885DFB">
        <w:rPr>
          <w:rFonts w:ascii="Times New Roman" w:hAnsi="Times New Roman" w:cs="Times New Roman"/>
        </w:rPr>
        <w:t xml:space="preserve"> observational studies discussed by Pfizer, only two reported a subgroup of data relating to OXA-48s,</w:t>
      </w:r>
      <w:r w:rsidR="00A83123" w:rsidRPr="00A83123">
        <w:rPr>
          <w:rFonts w:ascii="Times New Roman" w:hAnsi="Times New Roman" w:cs="Times New Roman"/>
          <w:noProof/>
          <w:vertAlign w:val="superscript"/>
        </w:rPr>
        <w:t>40,41</w:t>
      </w:r>
      <w:r w:rsidRPr="00885DFB">
        <w:rPr>
          <w:rFonts w:ascii="Times New Roman" w:hAnsi="Times New Roman" w:cs="Times New Roman"/>
        </w:rPr>
        <w:t xml:space="preserve"> and both were included in EEPRU’s review (see section 4.2.2). The four</w:t>
      </w:r>
      <w:r w:rsidR="00A83123" w:rsidRPr="00A83123">
        <w:rPr>
          <w:rFonts w:ascii="Times New Roman" w:hAnsi="Times New Roman" w:cs="Times New Roman"/>
          <w:noProof/>
          <w:vertAlign w:val="superscript"/>
        </w:rPr>
        <w:t>92-</w:t>
      </w:r>
      <w:proofErr w:type="gramStart"/>
      <w:r w:rsidR="00A83123" w:rsidRPr="00A83123">
        <w:rPr>
          <w:rFonts w:ascii="Times New Roman" w:hAnsi="Times New Roman" w:cs="Times New Roman"/>
          <w:noProof/>
          <w:vertAlign w:val="superscript"/>
        </w:rPr>
        <w:t>95</w:t>
      </w:r>
      <w:r w:rsidRPr="00885DFB">
        <w:rPr>
          <w:rFonts w:ascii="Times New Roman" w:hAnsi="Times New Roman" w:cs="Times New Roman"/>
        </w:rPr>
        <w:t xml:space="preserve">  remaining</w:t>
      </w:r>
      <w:proofErr w:type="gramEnd"/>
      <w:r w:rsidRPr="00885DFB">
        <w:rPr>
          <w:rFonts w:ascii="Times New Roman" w:hAnsi="Times New Roman" w:cs="Times New Roman"/>
        </w:rPr>
        <w:t xml:space="preserve"> were considered as sources of evidence for </w:t>
      </w:r>
      <w:r w:rsidR="00731154">
        <w:rPr>
          <w:rFonts w:ascii="Times New Roman" w:hAnsi="Times New Roman" w:cs="Times New Roman"/>
        </w:rPr>
        <w:t>R</w:t>
      </w:r>
      <w:r w:rsidRPr="00885DFB">
        <w:rPr>
          <w:rFonts w:ascii="Times New Roman" w:hAnsi="Times New Roman" w:cs="Times New Roman"/>
        </w:rPr>
        <w:t xml:space="preserve">eview </w:t>
      </w:r>
      <w:r w:rsidR="00731154">
        <w:rPr>
          <w:rFonts w:ascii="Times New Roman" w:hAnsi="Times New Roman" w:cs="Times New Roman"/>
        </w:rPr>
        <w:t>4</w:t>
      </w:r>
      <w:r w:rsidRPr="00885DFB">
        <w:rPr>
          <w:rFonts w:ascii="Times New Roman" w:hAnsi="Times New Roman" w:cs="Times New Roman"/>
        </w:rPr>
        <w:t xml:space="preserve"> (link between susceptibility and clinical outcomes), and one</w:t>
      </w:r>
      <w:r w:rsidR="00A83123" w:rsidRPr="00A83123">
        <w:rPr>
          <w:rFonts w:ascii="Times New Roman" w:hAnsi="Times New Roman" w:cs="Times New Roman"/>
          <w:noProof/>
          <w:vertAlign w:val="superscript"/>
        </w:rPr>
        <w:t>94</w:t>
      </w:r>
      <w:r w:rsidRPr="00885DFB">
        <w:rPr>
          <w:rFonts w:ascii="Times New Roman" w:hAnsi="Times New Roman" w:cs="Times New Roman"/>
        </w:rPr>
        <w:t xml:space="preserve"> was included as part of that review since the other three were based on the </w:t>
      </w:r>
      <w:r w:rsidR="007176A1">
        <w:rPr>
          <w:rFonts w:ascii="Times New Roman" w:hAnsi="Times New Roman" w:cs="Times New Roman"/>
        </w:rPr>
        <w:t>sites outside the HVCS</w:t>
      </w:r>
      <w:r w:rsidR="00A83123" w:rsidRPr="00A83123">
        <w:rPr>
          <w:rFonts w:ascii="Times New Roman" w:hAnsi="Times New Roman" w:cs="Times New Roman"/>
          <w:noProof/>
          <w:vertAlign w:val="superscript"/>
        </w:rPr>
        <w:t>92,93</w:t>
      </w:r>
      <w:r w:rsidRPr="00885DFB">
        <w:rPr>
          <w:rFonts w:ascii="Times New Roman" w:hAnsi="Times New Roman" w:cs="Times New Roman"/>
        </w:rPr>
        <w:t xml:space="preserve"> or mixed sites.</w:t>
      </w:r>
      <w:r w:rsidR="00A83123" w:rsidRPr="00A83123">
        <w:rPr>
          <w:rFonts w:ascii="Times New Roman" w:hAnsi="Times New Roman" w:cs="Times New Roman"/>
          <w:noProof/>
          <w:vertAlign w:val="superscript"/>
        </w:rPr>
        <w:t>95</w:t>
      </w:r>
      <w:r w:rsidRPr="00885DFB">
        <w:rPr>
          <w:rFonts w:ascii="Times New Roman" w:hAnsi="Times New Roman" w:cs="Times New Roman"/>
        </w:rPr>
        <w:t xml:space="preserve"> The real world data</w:t>
      </w:r>
      <w:r w:rsidR="00A83123" w:rsidRPr="00A83123">
        <w:rPr>
          <w:rFonts w:ascii="Times New Roman" w:hAnsi="Times New Roman" w:cs="Times New Roman"/>
          <w:noProof/>
          <w:vertAlign w:val="superscript"/>
        </w:rPr>
        <w:t>43</w:t>
      </w:r>
      <w:r w:rsidRPr="00885DFB">
        <w:rPr>
          <w:rFonts w:ascii="Times New Roman" w:hAnsi="Times New Roman" w:cs="Times New Roman"/>
        </w:rPr>
        <w:t xml:space="preserve"> discussed in Pfizer’s submission was also included in EEPRU’s review. </w:t>
      </w:r>
    </w:p>
    <w:p w14:paraId="753DAC56" w14:textId="1A2506BF" w:rsidR="00885DFB" w:rsidRPr="00B674A1" w:rsidRDefault="00B674A1" w:rsidP="00B674A1">
      <w:pPr>
        <w:pStyle w:val="EEPRUnumberedstylelevel3"/>
        <w:ind w:left="851" w:hanging="567"/>
      </w:pPr>
      <w:bookmarkStart w:id="224" w:name="_Toc83890522"/>
      <w:bookmarkStart w:id="225" w:name="_Toc87463003"/>
      <w:r>
        <w:t xml:space="preserve">4.8 </w:t>
      </w:r>
      <w:r w:rsidR="00781491" w:rsidRPr="00B674A1">
        <w:t>Discussion and conclusions</w:t>
      </w:r>
      <w:bookmarkEnd w:id="224"/>
      <w:bookmarkEnd w:id="225"/>
    </w:p>
    <w:p w14:paraId="4C421813" w14:textId="72C9912A" w:rsidR="000E4A41" w:rsidRDefault="000E4A41" w:rsidP="000E4A41">
      <w:pPr>
        <w:spacing w:after="120" w:line="360" w:lineRule="auto"/>
        <w:jc w:val="both"/>
        <w:rPr>
          <w:rFonts w:ascii="Times New Roman" w:hAnsi="Times New Roman" w:cs="Times New Roman"/>
        </w:rPr>
      </w:pPr>
      <w:bookmarkStart w:id="226" w:name="_Hlk85548993"/>
      <w:bookmarkStart w:id="227" w:name="_Hlk85549098"/>
      <w:bookmarkStart w:id="228" w:name="_Hlk82711781"/>
      <w:r>
        <w:rPr>
          <w:rFonts w:ascii="Times New Roman" w:hAnsi="Times New Roman" w:cs="Times New Roman"/>
        </w:rPr>
        <w:t xml:space="preserve">There are evidential challenges when evaluating the use of new antimicrobials to treat infections caused by </w:t>
      </w:r>
      <w:r w:rsidR="009578AF">
        <w:rPr>
          <w:rFonts w:ascii="Times New Roman" w:hAnsi="Times New Roman" w:cs="Times New Roman"/>
        </w:rPr>
        <w:t>MDR</w:t>
      </w:r>
      <w:r>
        <w:rPr>
          <w:rFonts w:ascii="Times New Roman" w:hAnsi="Times New Roman" w:cs="Times New Roman"/>
        </w:rPr>
        <w:t xml:space="preserve"> pathogens. RCTs are of generally low relevance as they tend not to recruit patients with </w:t>
      </w:r>
      <w:r w:rsidR="009578AF">
        <w:rPr>
          <w:rFonts w:ascii="Times New Roman" w:hAnsi="Times New Roman" w:cs="Times New Roman"/>
        </w:rPr>
        <w:t>MDR</w:t>
      </w:r>
      <w:r>
        <w:rPr>
          <w:rFonts w:ascii="Times New Roman" w:hAnsi="Times New Roman" w:cs="Times New Roman"/>
        </w:rPr>
        <w:t xml:space="preserve"> pathogens. Therefore, relative treatment effects between the intervention and comparator cannot be generalised</w:t>
      </w:r>
      <w:r w:rsidRPr="00885DFB">
        <w:rPr>
          <w:rFonts w:ascii="Times New Roman" w:hAnsi="Times New Roman" w:cs="Times New Roman"/>
        </w:rPr>
        <w:t xml:space="preserve"> </w:t>
      </w:r>
      <w:r>
        <w:rPr>
          <w:rFonts w:ascii="Times New Roman" w:hAnsi="Times New Roman" w:cs="Times New Roman"/>
        </w:rPr>
        <w:t xml:space="preserve">to multi-drug resistant pathogens, </w:t>
      </w:r>
      <w:r w:rsidRPr="00885DFB">
        <w:rPr>
          <w:rFonts w:ascii="Times New Roman" w:hAnsi="Times New Roman" w:cs="Times New Roman"/>
        </w:rPr>
        <w:t xml:space="preserve">as </w:t>
      </w:r>
      <w:r>
        <w:rPr>
          <w:rFonts w:ascii="Times New Roman" w:hAnsi="Times New Roman" w:cs="Times New Roman"/>
        </w:rPr>
        <w:t xml:space="preserve">this may overestimate the efficacy of the comparator. </w:t>
      </w:r>
    </w:p>
    <w:p w14:paraId="1EA264C0" w14:textId="7F2C0B0C"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lastRenderedPageBreak/>
        <w:t xml:space="preserve">Since it was anticipated that RCTs were unlikely to be the primary source of evidence, three approaches to estimating comparative efficacy between the intervention and comparators were considered. In Approach 1 and 2, RCTs and observational studies (respectively), with data for patients with HAP/VAP or </w:t>
      </w:r>
      <w:proofErr w:type="spellStart"/>
      <w:r>
        <w:rPr>
          <w:rFonts w:ascii="Times New Roman" w:hAnsi="Times New Roman" w:cs="Times New Roman"/>
        </w:rPr>
        <w:t>cUTI</w:t>
      </w:r>
      <w:proofErr w:type="spellEnd"/>
      <w:r>
        <w:rPr>
          <w:rFonts w:ascii="Times New Roman" w:hAnsi="Times New Roman" w:cs="Times New Roman"/>
        </w:rPr>
        <w:t xml:space="preserve"> infections caused by OXA-48 </w:t>
      </w:r>
      <w:proofErr w:type="spellStart"/>
      <w:r w:rsidRPr="00996FAD">
        <w:rPr>
          <w:rFonts w:ascii="Times New Roman" w:hAnsi="Times New Roman" w:cs="Times New Roman"/>
          <w:i/>
          <w:iCs/>
        </w:rPr>
        <w:t>Enterobacterales</w:t>
      </w:r>
      <w:proofErr w:type="spellEnd"/>
      <w:r>
        <w:rPr>
          <w:rFonts w:ascii="Times New Roman" w:hAnsi="Times New Roman" w:cs="Times New Roman"/>
        </w:rPr>
        <w:t xml:space="preserve">, could be used to construct a network meta-analysis to compare the intervention and comparators. In Approach 3, </w:t>
      </w:r>
      <w:r w:rsidRPr="00524C61">
        <w:rPr>
          <w:rFonts w:ascii="Times New Roman" w:hAnsi="Times New Roman" w:cs="Times New Roman"/>
          <w:i/>
          <w:iCs/>
        </w:rPr>
        <w:t>in vitro</w:t>
      </w:r>
      <w:r>
        <w:rPr>
          <w:rFonts w:ascii="Times New Roman" w:hAnsi="Times New Roman" w:cs="Times New Roman"/>
        </w:rPr>
        <w:t xml:space="preserve"> susceptibility studies could be used to indicate the proportion of OXA-48 </w:t>
      </w:r>
      <w:proofErr w:type="spellStart"/>
      <w:r w:rsidRPr="00996FAD">
        <w:rPr>
          <w:rFonts w:ascii="Times New Roman" w:hAnsi="Times New Roman" w:cs="Times New Roman"/>
          <w:i/>
          <w:iCs/>
        </w:rPr>
        <w:t>Enterobacterales</w:t>
      </w:r>
      <w:proofErr w:type="spellEnd"/>
      <w:r>
        <w:rPr>
          <w:rFonts w:ascii="Times New Roman" w:hAnsi="Times New Roman" w:cs="Times New Roman"/>
        </w:rPr>
        <w:t xml:space="preserve"> that are susceptible to treatment; additional evidence would be required to link susceptibility to clinical outcomes in </w:t>
      </w:r>
      <w:proofErr w:type="spellStart"/>
      <w:r>
        <w:rPr>
          <w:rFonts w:ascii="Times New Roman" w:hAnsi="Times New Roman" w:cs="Times New Roman"/>
        </w:rPr>
        <w:t>cUTI</w:t>
      </w:r>
      <w:proofErr w:type="spellEnd"/>
      <w:r>
        <w:rPr>
          <w:rFonts w:ascii="Times New Roman" w:hAnsi="Times New Roman" w:cs="Times New Roman"/>
        </w:rPr>
        <w:t xml:space="preserve"> and HAP/VAP. </w:t>
      </w:r>
    </w:p>
    <w:bookmarkEnd w:id="226"/>
    <w:p w14:paraId="56FFD70A" w14:textId="77A7EFCA" w:rsidR="000E4A41" w:rsidRPr="006068CB" w:rsidRDefault="000E4A41" w:rsidP="000E4A41">
      <w:pPr>
        <w:spacing w:line="360" w:lineRule="auto"/>
        <w:jc w:val="both"/>
        <w:rPr>
          <w:rFonts w:asciiTheme="majorBidi" w:hAnsiTheme="majorBidi" w:cstheme="majorBidi"/>
        </w:rPr>
      </w:pPr>
      <w:r w:rsidRPr="006068CB">
        <w:rPr>
          <w:rFonts w:asciiTheme="majorBidi" w:hAnsiTheme="majorBidi" w:cstheme="majorBidi"/>
        </w:rPr>
        <w:t>Approaches 1 and 2 were not pursued since insufficient evidence from RCTs and observational studies w</w:t>
      </w:r>
      <w:r w:rsidR="00DC6C4D">
        <w:rPr>
          <w:rFonts w:asciiTheme="majorBidi" w:hAnsiTheme="majorBidi" w:cstheme="majorBidi"/>
        </w:rPr>
        <w:t>as</w:t>
      </w:r>
      <w:r w:rsidRPr="006068CB">
        <w:rPr>
          <w:rFonts w:asciiTheme="majorBidi" w:hAnsiTheme="majorBidi" w:cstheme="majorBidi"/>
        </w:rPr>
        <w:t xml:space="preserve"> identified during the mapping review. The key limitation of the RCTs </w:t>
      </w:r>
      <w:r>
        <w:rPr>
          <w:rFonts w:asciiTheme="majorBidi" w:hAnsiTheme="majorBidi" w:cstheme="majorBidi"/>
        </w:rPr>
        <w:t>was that they</w:t>
      </w:r>
      <w:r w:rsidRPr="006068CB">
        <w:rPr>
          <w:rFonts w:asciiTheme="majorBidi" w:hAnsiTheme="majorBidi" w:cstheme="majorBidi"/>
        </w:rPr>
        <w:t xml:space="preserve"> included small numbers of OXA-48 infections</w:t>
      </w:r>
      <w:r>
        <w:rPr>
          <w:rFonts w:asciiTheme="majorBidi" w:hAnsiTheme="majorBidi" w:cstheme="majorBidi"/>
        </w:rPr>
        <w:t xml:space="preserve"> (n=3 in each of two RCTs) and did not report this data separately. The key limitation of the observational data was that it was not</w:t>
      </w:r>
      <w:r w:rsidRPr="006068CB">
        <w:rPr>
          <w:rFonts w:asciiTheme="majorBidi" w:hAnsiTheme="majorBidi" w:cstheme="majorBidi"/>
        </w:rPr>
        <w:t xml:space="preserve"> reported separately for the sites of interest</w:t>
      </w:r>
      <w:r>
        <w:rPr>
          <w:rFonts w:asciiTheme="majorBidi" w:hAnsiTheme="majorBidi" w:cstheme="majorBidi"/>
        </w:rPr>
        <w:t xml:space="preserve"> (</w:t>
      </w:r>
      <w:proofErr w:type="spellStart"/>
      <w:r>
        <w:rPr>
          <w:rFonts w:asciiTheme="majorBidi" w:hAnsiTheme="majorBidi" w:cstheme="majorBidi"/>
        </w:rPr>
        <w:t>cUTI</w:t>
      </w:r>
      <w:proofErr w:type="spellEnd"/>
      <w:r>
        <w:rPr>
          <w:rFonts w:asciiTheme="majorBidi" w:hAnsiTheme="majorBidi" w:cstheme="majorBidi"/>
        </w:rPr>
        <w:t xml:space="preserve"> and HAP/VAP)</w:t>
      </w:r>
      <w:r w:rsidR="00A04653">
        <w:rPr>
          <w:rFonts w:asciiTheme="majorBidi" w:hAnsiTheme="majorBidi" w:cstheme="majorBidi"/>
        </w:rPr>
        <w:t xml:space="preserve"> and there was insufficient time to obtain IPD</w:t>
      </w:r>
      <w:r w:rsidRPr="006068CB">
        <w:rPr>
          <w:rFonts w:asciiTheme="majorBidi" w:hAnsiTheme="majorBidi" w:cstheme="majorBidi"/>
        </w:rPr>
        <w:t xml:space="preserve">.  </w:t>
      </w:r>
    </w:p>
    <w:p w14:paraId="2FE98ACD" w14:textId="3591E916"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t xml:space="preserve">In Approach 3, relatively large samples of OXA-48 </w:t>
      </w:r>
      <w:proofErr w:type="spellStart"/>
      <w:r w:rsidRPr="00996FAD">
        <w:rPr>
          <w:rFonts w:ascii="Times New Roman" w:hAnsi="Times New Roman" w:cs="Times New Roman"/>
          <w:i/>
          <w:iCs/>
        </w:rPr>
        <w:t>Enterobacterales</w:t>
      </w:r>
      <w:proofErr w:type="spellEnd"/>
      <w:r>
        <w:rPr>
          <w:rFonts w:ascii="Times New Roman" w:hAnsi="Times New Roman" w:cs="Times New Roman"/>
        </w:rPr>
        <w:t xml:space="preserve"> isolates obtained from a range of clinical sites of infection were available from </w:t>
      </w:r>
      <w:r w:rsidR="00DC6C4D">
        <w:rPr>
          <w:rFonts w:ascii="Times New Roman" w:hAnsi="Times New Roman" w:cs="Times New Roman"/>
        </w:rPr>
        <w:t>several</w:t>
      </w:r>
      <w:r>
        <w:rPr>
          <w:rFonts w:ascii="Times New Roman" w:hAnsi="Times New Roman" w:cs="Times New Roman"/>
        </w:rPr>
        <w:t xml:space="preserve"> </w:t>
      </w:r>
      <w:r w:rsidRPr="00A26D3B">
        <w:rPr>
          <w:rFonts w:ascii="Times New Roman" w:hAnsi="Times New Roman" w:cs="Times New Roman"/>
          <w:i/>
          <w:iCs/>
        </w:rPr>
        <w:t>in vitro</w:t>
      </w:r>
      <w:r>
        <w:rPr>
          <w:rFonts w:ascii="Times New Roman" w:hAnsi="Times New Roman" w:cs="Times New Roman"/>
        </w:rPr>
        <w:t xml:space="preserve"> susceptibility studies and susceptibility (unlike clinical outcomes) was expected to generalise across sites. Therefore, a network meta-analysis of susceptibility studies was conducted. This included English-specific susceptibility evidence provided by PHE. Sixteen studies met the inclusion criteria and were synthesised. A series of sensitivity analyses w</w:t>
      </w:r>
      <w:r w:rsidR="00DC6C4D">
        <w:rPr>
          <w:rFonts w:ascii="Times New Roman" w:hAnsi="Times New Roman" w:cs="Times New Roman"/>
        </w:rPr>
        <w:t>as</w:t>
      </w:r>
      <w:r>
        <w:rPr>
          <w:rFonts w:ascii="Times New Roman" w:hAnsi="Times New Roman" w:cs="Times New Roman"/>
        </w:rPr>
        <w:t xml:space="preserve"> conducted to ascertain the impact of several sources of clinical heterogeneity, </w:t>
      </w:r>
      <w:bookmarkStart w:id="229" w:name="_Hlk85556024"/>
      <w:proofErr w:type="gramStart"/>
      <w:r>
        <w:rPr>
          <w:rFonts w:ascii="Times New Roman" w:hAnsi="Times New Roman" w:cs="Times New Roman"/>
        </w:rPr>
        <w:t>including:</w:t>
      </w:r>
      <w:proofErr w:type="gramEnd"/>
      <w:r>
        <w:rPr>
          <w:rFonts w:ascii="Times New Roman" w:hAnsi="Times New Roman" w:cs="Times New Roman"/>
        </w:rPr>
        <w:t xml:space="preserve"> inclusion criteria (use of resistance to a comparator to select study sample); co-carriage of MBLs; the proportion who were carbapenem sensitive; whether the sample was recruited consecutively; and what laboratory methods and breakpoints were used to assess susceptibility. </w:t>
      </w:r>
      <w:bookmarkEnd w:id="229"/>
    </w:p>
    <w:p w14:paraId="2D7EB117" w14:textId="5D706566" w:rsidR="000E4A41" w:rsidRPr="00306D9E" w:rsidRDefault="000E4A41" w:rsidP="000E4A41">
      <w:pPr>
        <w:spacing w:after="120" w:line="360" w:lineRule="auto"/>
        <w:jc w:val="both"/>
        <w:rPr>
          <w:rFonts w:ascii="Times New Roman" w:hAnsi="Times New Roman" w:cs="Times New Roman"/>
        </w:rPr>
      </w:pPr>
      <w:bookmarkStart w:id="230" w:name="_Hlk85565286"/>
      <w:bookmarkEnd w:id="227"/>
      <w:r w:rsidRPr="00306D9E">
        <w:rPr>
          <w:rFonts w:asciiTheme="majorBidi" w:hAnsiTheme="majorBidi" w:cstheme="majorBidi"/>
        </w:rPr>
        <w:t xml:space="preserve">After consistency checks (which resulted in two study arms being removed), and otherwise using the full analysis set (all available studies), </w:t>
      </w:r>
      <w:r w:rsidRPr="00306D9E">
        <w:rPr>
          <w:rFonts w:ascii="Times New Roman" w:hAnsi="Times New Roman" w:cs="Times New Roman"/>
        </w:rPr>
        <w:t xml:space="preserve">CAZ-AVI was associated with a statistically significantly higher susceptibility relative to colistin (OR 7.24,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2.58 to 20.94). The remainder of the treatments were associated with lower susceptibility than colistin (OR &lt;1). Heterogeneity was extremely high (SD 1.56,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1.28 to 1.93). A sensitivity analysis including only studies where no isolates co-carried both MBL and OXA-48 resistance mechanisms (n=6 studies) decreased heterogeneity (SD 1.38,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0.95 to .06). It also produced a very high OR for CAZ-AVI versus colistin, but with a large amount of uncertainty (OR 35.83, 95% Cr: 7.91 to 165.60). Another sensitivity analysis, including only studies that used EUCAST laboratory methods and breakpoints (n=3 studies), reduced the heterogeneity further to SD 0.98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0.62 to 1.65). CAZ-AVI was associated with a higher susceptibility relative to colistin (OR 2.15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0.60, 8.01), however the magnitude of the point estimate was lower than that using the full analysis set (OR 7.24, 95% </w:t>
      </w:r>
      <w:proofErr w:type="spellStart"/>
      <w:r w:rsidRPr="00306D9E">
        <w:rPr>
          <w:rFonts w:ascii="Times New Roman" w:hAnsi="Times New Roman" w:cs="Times New Roman"/>
        </w:rPr>
        <w:t>CrI</w:t>
      </w:r>
      <w:proofErr w:type="spellEnd"/>
      <w:r w:rsidRPr="00306D9E">
        <w:rPr>
          <w:rFonts w:ascii="Times New Roman" w:hAnsi="Times New Roman" w:cs="Times New Roman"/>
        </w:rPr>
        <w:t xml:space="preserve">: 2.58 to 20.94) and the result is not statistically significant. </w:t>
      </w:r>
    </w:p>
    <w:bookmarkEnd w:id="230"/>
    <w:p w14:paraId="705C984B" w14:textId="2DF87928" w:rsidR="000E4A41" w:rsidRPr="00306D9E" w:rsidRDefault="000E4A41" w:rsidP="00A83123">
      <w:pPr>
        <w:spacing w:after="120" w:line="360" w:lineRule="auto"/>
        <w:jc w:val="both"/>
        <w:rPr>
          <w:rFonts w:ascii="Times New Roman" w:hAnsi="Times New Roman" w:cs="Times New Roman"/>
        </w:rPr>
      </w:pPr>
      <w:r w:rsidRPr="00306D9E">
        <w:rPr>
          <w:rFonts w:ascii="Times New Roman" w:hAnsi="Times New Roman" w:cs="Times New Roman"/>
          <w:i/>
          <w:iCs/>
        </w:rPr>
        <w:lastRenderedPageBreak/>
        <w:t>Networks used in the economic evaluation:</w:t>
      </w:r>
      <w:r w:rsidRPr="00306D9E">
        <w:rPr>
          <w:rFonts w:ascii="Times New Roman" w:hAnsi="Times New Roman" w:cs="Times New Roman"/>
        </w:rPr>
        <w:t xml:space="preserve"> The EUCAST network was selected as the base case analysis to inform the economic evaluation since heterogeneity was lower and there was a clinical rationale to support restricting to studies that had used EUCAST laboratory methods and breakpoints as these are more commonly used in England. A scenario analysis was planned to include the result from the full analysis set. A further scenario was planned </w:t>
      </w:r>
      <w:proofErr w:type="gramStart"/>
      <w:r w:rsidRPr="00306D9E">
        <w:rPr>
          <w:rFonts w:ascii="Times New Roman" w:hAnsi="Times New Roman" w:cs="Times New Roman"/>
        </w:rPr>
        <w:t>restricting</w:t>
      </w:r>
      <w:proofErr w:type="gramEnd"/>
      <w:r w:rsidRPr="00306D9E">
        <w:rPr>
          <w:rFonts w:ascii="Times New Roman" w:hAnsi="Times New Roman" w:cs="Times New Roman"/>
        </w:rPr>
        <w:t xml:space="preserve"> to studies with no-MBLs and that had used EUCAST laboratory methods and breakpoints, which left one study (Vazquez-</w:t>
      </w:r>
      <w:proofErr w:type="spellStart"/>
      <w:r w:rsidRPr="00306D9E">
        <w:rPr>
          <w:rFonts w:ascii="Times New Roman" w:hAnsi="Times New Roman" w:cs="Times New Roman"/>
        </w:rPr>
        <w:t>Ucha</w:t>
      </w:r>
      <w:proofErr w:type="spellEnd"/>
      <w:r w:rsidRPr="00306D9E">
        <w:rPr>
          <w:rFonts w:ascii="Times New Roman" w:hAnsi="Times New Roman" w:cs="Times New Roman"/>
        </w:rPr>
        <w:t xml:space="preserve"> </w:t>
      </w:r>
      <w:r w:rsidRPr="00306D9E">
        <w:rPr>
          <w:rFonts w:ascii="Times New Roman" w:hAnsi="Times New Roman" w:cs="Times New Roman"/>
          <w:i/>
          <w:iCs/>
        </w:rPr>
        <w:t>et al.</w:t>
      </w:r>
      <w:r w:rsidRPr="00306D9E">
        <w:rPr>
          <w:rFonts w:ascii="Times New Roman" w:hAnsi="Times New Roman" w:cs="Times New Roman"/>
        </w:rPr>
        <w:t>).</w:t>
      </w:r>
      <w:r w:rsidR="00A83123" w:rsidRPr="00A83123">
        <w:rPr>
          <w:rFonts w:ascii="Times New Roman" w:hAnsi="Times New Roman" w:cs="Times New Roman"/>
          <w:noProof/>
          <w:vertAlign w:val="superscript"/>
        </w:rPr>
        <w:t>1</w:t>
      </w:r>
      <w:r w:rsidRPr="00306D9E">
        <w:rPr>
          <w:rFonts w:ascii="Times New Roman" w:hAnsi="Times New Roman" w:cs="Times New Roman"/>
        </w:rPr>
        <w:t xml:space="preserve"> This study did not report an estimate for tigecycline, but was the study with the lowest risk of bias as judged by the bespoke risk of bias tool developed for this evaluation. A further scenario analysis was planned </w:t>
      </w:r>
      <w:proofErr w:type="gramStart"/>
      <w:r w:rsidRPr="00306D9E">
        <w:rPr>
          <w:rFonts w:ascii="Times New Roman" w:hAnsi="Times New Roman" w:cs="Times New Roman"/>
        </w:rPr>
        <w:t>using</w:t>
      </w:r>
      <w:proofErr w:type="gramEnd"/>
      <w:r w:rsidRPr="00306D9E">
        <w:rPr>
          <w:rFonts w:ascii="Times New Roman" w:hAnsi="Times New Roman" w:cs="Times New Roman"/>
        </w:rPr>
        <w:t xml:space="preserve"> the PHE data alone, due to its high relevance to the evaluation.  </w:t>
      </w:r>
    </w:p>
    <w:p w14:paraId="2B4B6664" w14:textId="2763070D"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t>Three additional clinical reviews were conducted to support Approach 3. In Review 4, evidence relating to the</w:t>
      </w:r>
      <w:r w:rsidRPr="00EC5CA1">
        <w:rPr>
          <w:rFonts w:ascii="Times New Roman" w:hAnsi="Times New Roman" w:cs="Times New Roman"/>
        </w:rPr>
        <w:t xml:space="preserve"> link between </w:t>
      </w:r>
      <w:r w:rsidRPr="004F240B">
        <w:rPr>
          <w:rFonts w:ascii="Times New Roman" w:hAnsi="Times New Roman" w:cs="Times New Roman"/>
          <w:i/>
        </w:rPr>
        <w:t>in vitro</w:t>
      </w:r>
      <w:r w:rsidRPr="00EC5CA1">
        <w:rPr>
          <w:rFonts w:ascii="Times New Roman" w:hAnsi="Times New Roman" w:cs="Times New Roman"/>
        </w:rPr>
        <w:t xml:space="preserve"> susceptibility and clinical outcomes in the sites of relevance</w:t>
      </w:r>
      <w:r>
        <w:rPr>
          <w:rFonts w:ascii="Times New Roman" w:hAnsi="Times New Roman" w:cs="Times New Roman"/>
        </w:rPr>
        <w:t xml:space="preserve"> was sought</w:t>
      </w:r>
      <w:r w:rsidRPr="00EC5CA1">
        <w:rPr>
          <w:rFonts w:ascii="Times New Roman" w:hAnsi="Times New Roman" w:cs="Times New Roman"/>
        </w:rPr>
        <w:t>,</w:t>
      </w:r>
      <w:r>
        <w:rPr>
          <w:rFonts w:ascii="Times New Roman" w:hAnsi="Times New Roman" w:cs="Times New Roman"/>
        </w:rPr>
        <w:t xml:space="preserve"> since susceptibility studies do not report clinical outcomes. In Review 5, evidence relating to</w:t>
      </w:r>
      <w:r w:rsidRPr="00EC5CA1">
        <w:t xml:space="preserve"> </w:t>
      </w:r>
      <w:r w:rsidRPr="00EC5CA1">
        <w:rPr>
          <w:rFonts w:ascii="Times New Roman" w:hAnsi="Times New Roman" w:cs="Times New Roman"/>
        </w:rPr>
        <w:t xml:space="preserve">the long-term risk of mortality </w:t>
      </w:r>
      <w:r>
        <w:rPr>
          <w:rFonts w:ascii="Times New Roman" w:hAnsi="Times New Roman" w:cs="Times New Roman"/>
        </w:rPr>
        <w:t>(</w:t>
      </w:r>
      <w:r w:rsidRPr="00EC5CA1">
        <w:rPr>
          <w:rFonts w:ascii="Times New Roman" w:hAnsi="Times New Roman" w:cs="Times New Roman"/>
        </w:rPr>
        <w:t xml:space="preserve">and other </w:t>
      </w:r>
      <w:r>
        <w:rPr>
          <w:rFonts w:ascii="Times New Roman" w:hAnsi="Times New Roman" w:cs="Times New Roman"/>
        </w:rPr>
        <w:t xml:space="preserve">clinical </w:t>
      </w:r>
      <w:r w:rsidRPr="00EC5CA1">
        <w:rPr>
          <w:rFonts w:ascii="Times New Roman" w:hAnsi="Times New Roman" w:cs="Times New Roman"/>
        </w:rPr>
        <w:t>outcomes</w:t>
      </w:r>
      <w:r>
        <w:rPr>
          <w:rFonts w:ascii="Times New Roman" w:hAnsi="Times New Roman" w:cs="Times New Roman"/>
        </w:rPr>
        <w:t xml:space="preserve"> such as hospital </w:t>
      </w:r>
      <w:r w:rsidR="005B4EB8">
        <w:rPr>
          <w:rFonts w:ascii="Times New Roman" w:hAnsi="Times New Roman" w:cs="Times New Roman"/>
        </w:rPr>
        <w:t>LOS</w:t>
      </w:r>
      <w:r>
        <w:rPr>
          <w:rFonts w:ascii="Times New Roman" w:hAnsi="Times New Roman" w:cs="Times New Roman"/>
        </w:rPr>
        <w:t>)</w:t>
      </w:r>
      <w:r w:rsidRPr="00EC5CA1">
        <w:rPr>
          <w:rFonts w:ascii="Times New Roman" w:hAnsi="Times New Roman" w:cs="Times New Roman"/>
        </w:rPr>
        <w:t xml:space="preserve"> for patients with carbapenem-resistant </w:t>
      </w:r>
      <w:proofErr w:type="spellStart"/>
      <w:r w:rsidRPr="00EC5CA1">
        <w:rPr>
          <w:rFonts w:ascii="Times New Roman" w:hAnsi="Times New Roman" w:cs="Times New Roman"/>
        </w:rPr>
        <w:t>cUTI</w:t>
      </w:r>
      <w:proofErr w:type="spellEnd"/>
      <w:r w:rsidRPr="00EC5CA1">
        <w:rPr>
          <w:rFonts w:ascii="Times New Roman" w:hAnsi="Times New Roman" w:cs="Times New Roman"/>
        </w:rPr>
        <w:t xml:space="preserve"> or HAP/VAP</w:t>
      </w:r>
      <w:r>
        <w:rPr>
          <w:rFonts w:ascii="Times New Roman" w:hAnsi="Times New Roman" w:cs="Times New Roman"/>
        </w:rPr>
        <w:t xml:space="preserve"> was sought, since no evidence relating to long term outcomes was identified by Review 4. In Review 6, </w:t>
      </w:r>
      <w:r w:rsidRPr="00EC5CA1">
        <w:rPr>
          <w:rFonts w:ascii="Times New Roman" w:hAnsi="Times New Roman" w:cs="Times New Roman"/>
        </w:rPr>
        <w:t>the important safety implications of CAZ-AVI</w:t>
      </w:r>
      <w:r>
        <w:rPr>
          <w:rFonts w:ascii="Times New Roman" w:hAnsi="Times New Roman" w:cs="Times New Roman"/>
        </w:rPr>
        <w:t xml:space="preserve">, as reported by RCTs conducted in the sites of interest, were reviewed. Clinical advisors indicated that colistin and aminoglycosides (comparators in the HVCSs) increase the risk of acute kidney injury (AKI), but that CAZ-AVI did not. </w:t>
      </w:r>
      <w:proofErr w:type="spellStart"/>
      <w:r w:rsidRPr="00C653E2">
        <w:rPr>
          <w:rFonts w:ascii="Times New Roman" w:hAnsi="Times New Roman" w:cs="Times New Roman"/>
          <w:i/>
          <w:iCs/>
        </w:rPr>
        <w:t>C.difficile</w:t>
      </w:r>
      <w:proofErr w:type="spellEnd"/>
      <w:r>
        <w:rPr>
          <w:rFonts w:ascii="Times New Roman" w:hAnsi="Times New Roman" w:cs="Times New Roman"/>
        </w:rPr>
        <w:t xml:space="preserve"> infections were highlighted in the NICE scope as a potential consequence of treatment with broad spectrum antibiotics. Data was sought relating to AKI or related </w:t>
      </w:r>
      <w:r w:rsidR="00785C3A">
        <w:rPr>
          <w:rFonts w:ascii="Times New Roman" w:hAnsi="Times New Roman" w:cs="Times New Roman"/>
        </w:rPr>
        <w:t>AEs</w:t>
      </w:r>
      <w:r>
        <w:rPr>
          <w:rFonts w:ascii="Times New Roman" w:hAnsi="Times New Roman" w:cs="Times New Roman"/>
        </w:rPr>
        <w:t xml:space="preserve">, to </w:t>
      </w:r>
      <w:proofErr w:type="spellStart"/>
      <w:proofErr w:type="gramStart"/>
      <w:r w:rsidRPr="00C653E2">
        <w:rPr>
          <w:rFonts w:ascii="Times New Roman" w:hAnsi="Times New Roman" w:cs="Times New Roman"/>
          <w:i/>
          <w:iCs/>
        </w:rPr>
        <w:t>C.difficile</w:t>
      </w:r>
      <w:proofErr w:type="spellEnd"/>
      <w:proofErr w:type="gramEnd"/>
      <w:r>
        <w:rPr>
          <w:rFonts w:ascii="Times New Roman" w:hAnsi="Times New Roman" w:cs="Times New Roman"/>
        </w:rPr>
        <w:t xml:space="preserve"> rates, and to any other serious </w:t>
      </w:r>
      <w:r w:rsidR="00785C3A">
        <w:rPr>
          <w:rFonts w:ascii="Times New Roman" w:hAnsi="Times New Roman" w:cs="Times New Roman"/>
        </w:rPr>
        <w:t>AEs</w:t>
      </w:r>
      <w:r>
        <w:rPr>
          <w:rFonts w:ascii="Times New Roman" w:hAnsi="Times New Roman" w:cs="Times New Roman"/>
        </w:rPr>
        <w:t xml:space="preserve"> reported in the literature.</w:t>
      </w:r>
    </w:p>
    <w:p w14:paraId="06A3C899" w14:textId="1400E1D4" w:rsidR="000E4A41" w:rsidRPr="00306D9E" w:rsidRDefault="000E4A41" w:rsidP="00A83123">
      <w:pPr>
        <w:spacing w:after="100" w:afterAutospacing="1" w:line="360" w:lineRule="auto"/>
        <w:jc w:val="both"/>
        <w:rPr>
          <w:rFonts w:ascii="Times New Roman" w:hAnsi="Times New Roman" w:cs="Times New Roman"/>
        </w:rPr>
      </w:pPr>
      <w:bookmarkStart w:id="231" w:name="_Hlk85571325"/>
      <w:bookmarkStart w:id="232" w:name="_Hlk85534576"/>
      <w:r w:rsidRPr="00306D9E">
        <w:rPr>
          <w:rFonts w:ascii="Times New Roman" w:hAnsi="Times New Roman" w:cs="Times New Roman"/>
        </w:rPr>
        <w:t xml:space="preserve">Review 4 (link between susceptibility and clinical outcomes) identified two studies that reported mortality or hospital </w:t>
      </w:r>
      <w:r w:rsidR="005B4EB8">
        <w:rPr>
          <w:rFonts w:ascii="Times New Roman" w:hAnsi="Times New Roman" w:cs="Times New Roman"/>
        </w:rPr>
        <w:t>LOS</w:t>
      </w:r>
      <w:r w:rsidRPr="00306D9E">
        <w:rPr>
          <w:rFonts w:ascii="Times New Roman" w:hAnsi="Times New Roman" w:cs="Times New Roman"/>
        </w:rPr>
        <w:t xml:space="preserve"> conditional on susceptibility to empiric treatment and were selected for use in the model for the </w:t>
      </w:r>
      <w:r w:rsidR="008E4948">
        <w:rPr>
          <w:rFonts w:ascii="Times New Roman" w:hAnsi="Times New Roman" w:cs="Times New Roman"/>
        </w:rPr>
        <w:t>ES</w:t>
      </w:r>
      <w:r w:rsidRPr="00306D9E">
        <w:rPr>
          <w:rFonts w:ascii="Times New Roman" w:hAnsi="Times New Roman" w:cs="Times New Roman"/>
        </w:rPr>
        <w:t xml:space="preserve">. No useful evidence relating to the </w:t>
      </w:r>
      <w:r w:rsidR="004E462B">
        <w:rPr>
          <w:rFonts w:ascii="Times New Roman" w:hAnsi="Times New Roman" w:cs="Times New Roman"/>
        </w:rPr>
        <w:t>MDS</w:t>
      </w:r>
      <w:r w:rsidRPr="00306D9E">
        <w:rPr>
          <w:rFonts w:ascii="Times New Roman" w:hAnsi="Times New Roman" w:cs="Times New Roman"/>
        </w:rPr>
        <w:t xml:space="preserve"> was identified. Review 5 (link between susceptibility and </w:t>
      </w:r>
      <w:proofErr w:type="gramStart"/>
      <w:r w:rsidRPr="00306D9E">
        <w:rPr>
          <w:rFonts w:ascii="Times New Roman" w:hAnsi="Times New Roman" w:cs="Times New Roman"/>
        </w:rPr>
        <w:t>long term</w:t>
      </w:r>
      <w:proofErr w:type="gramEnd"/>
      <w:r w:rsidRPr="00306D9E">
        <w:rPr>
          <w:rFonts w:ascii="Times New Roman" w:hAnsi="Times New Roman" w:cs="Times New Roman"/>
        </w:rPr>
        <w:t xml:space="preserve"> clinical outcomes) did not identify any relevant literature, but an unpublished study (CARBAR)</w:t>
      </w:r>
      <w:r w:rsidR="00D90EA7" w:rsidRPr="00D90EA7">
        <w:rPr>
          <w:rFonts w:asciiTheme="majorBidi" w:hAnsiTheme="majorBidi" w:cstheme="majorBidi"/>
        </w:rPr>
        <w:t xml:space="preserve"> </w:t>
      </w:r>
      <w:r w:rsidR="00A83123" w:rsidRPr="00A83123">
        <w:rPr>
          <w:rFonts w:asciiTheme="majorBidi" w:hAnsiTheme="majorBidi" w:cstheme="majorBidi"/>
          <w:noProof/>
          <w:vertAlign w:val="superscript"/>
        </w:rPr>
        <w:t>96</w:t>
      </w:r>
      <w:r w:rsidRPr="00306D9E">
        <w:rPr>
          <w:rFonts w:ascii="Times New Roman" w:hAnsi="Times New Roman" w:cs="Times New Roman"/>
        </w:rPr>
        <w:t xml:space="preserve"> was submitted by Shionogi during the parallel appraisal of </w:t>
      </w:r>
      <w:r>
        <w:rPr>
          <w:rFonts w:ascii="Times New Roman" w:hAnsi="Times New Roman" w:cs="Times New Roman"/>
        </w:rPr>
        <w:t>CAZ-AVI</w:t>
      </w:r>
      <w:r w:rsidRPr="00306D9E">
        <w:rPr>
          <w:rFonts w:ascii="Times New Roman" w:hAnsi="Times New Roman" w:cs="Times New Roman"/>
        </w:rPr>
        <w:t xml:space="preserve"> that contained useful data. Review 6 indicated that CAZ-AVI does not appear to increase the risk of </w:t>
      </w:r>
      <w:r w:rsidR="00207496">
        <w:rPr>
          <w:rFonts w:ascii="Times New Roman" w:hAnsi="Times New Roman" w:cs="Times New Roman"/>
        </w:rPr>
        <w:t>AKI</w:t>
      </w:r>
      <w:r w:rsidRPr="00306D9E">
        <w:rPr>
          <w:rFonts w:ascii="Times New Roman" w:hAnsi="Times New Roman" w:cs="Times New Roman"/>
        </w:rPr>
        <w:t xml:space="preserve">, </w:t>
      </w:r>
      <w:proofErr w:type="spellStart"/>
      <w:proofErr w:type="gramStart"/>
      <w:r w:rsidRPr="00306D9E">
        <w:rPr>
          <w:rFonts w:ascii="Times New Roman" w:hAnsi="Times New Roman" w:cs="Times New Roman"/>
          <w:i/>
          <w:iCs/>
        </w:rPr>
        <w:t>C.difficile</w:t>
      </w:r>
      <w:proofErr w:type="spellEnd"/>
      <w:proofErr w:type="gramEnd"/>
      <w:r w:rsidRPr="00306D9E">
        <w:rPr>
          <w:rFonts w:ascii="Times New Roman" w:hAnsi="Times New Roman" w:cs="Times New Roman"/>
        </w:rPr>
        <w:t xml:space="preserve">, or any other serious </w:t>
      </w:r>
      <w:r w:rsidR="00785C3A">
        <w:rPr>
          <w:rFonts w:ascii="Times New Roman" w:hAnsi="Times New Roman" w:cs="Times New Roman"/>
        </w:rPr>
        <w:t>AEs</w:t>
      </w:r>
      <w:r w:rsidRPr="00306D9E">
        <w:rPr>
          <w:rFonts w:ascii="Times New Roman" w:hAnsi="Times New Roman" w:cs="Times New Roman"/>
        </w:rPr>
        <w:t xml:space="preserve">, compared to non-toxic comparators (i.e. comparators that were not colistin or an aminoglycoside).  No study reported a comparison of CAZ-AVI exclusively to colistin or aminoglycosides. Event rates were generally very low or zero. </w:t>
      </w:r>
    </w:p>
    <w:bookmarkEnd w:id="231"/>
    <w:p w14:paraId="19D339E0" w14:textId="60121687" w:rsidR="000E4A41" w:rsidRDefault="000E4A41" w:rsidP="00EA0E40">
      <w:pPr>
        <w:spacing w:after="120" w:line="360" w:lineRule="auto"/>
        <w:jc w:val="both"/>
        <w:rPr>
          <w:rFonts w:ascii="Times New Roman" w:hAnsi="Times New Roman" w:cs="Times New Roman"/>
        </w:rPr>
      </w:pPr>
      <w:r w:rsidRPr="00700898">
        <w:rPr>
          <w:rFonts w:ascii="Times New Roman" w:hAnsi="Times New Roman" w:cs="Times New Roman"/>
          <w:i/>
          <w:iCs/>
        </w:rPr>
        <w:t>Strengths</w:t>
      </w:r>
      <w:r w:rsidR="00EA0E40">
        <w:rPr>
          <w:rFonts w:ascii="Times New Roman" w:hAnsi="Times New Roman" w:cs="Times New Roman"/>
          <w:i/>
          <w:iCs/>
        </w:rPr>
        <w:t xml:space="preserve"> </w:t>
      </w:r>
      <w:r>
        <w:rPr>
          <w:rFonts w:ascii="Times New Roman" w:hAnsi="Times New Roman" w:cs="Times New Roman"/>
        </w:rPr>
        <w:t xml:space="preserve">The clinical review was conducted using a mapping approach based on robust systematic searches to capture relevant literature. This allowed EEPRU to focus resources from a relatively early stage on a viable approach to deriving clinical efficacy estimates, whilst still conducting a comprehensive search despite a paucity of </w:t>
      </w:r>
      <w:r w:rsidR="009061EF">
        <w:rPr>
          <w:rFonts w:ascii="Times New Roman" w:hAnsi="Times New Roman" w:cs="Times New Roman"/>
        </w:rPr>
        <w:t>high-quality</w:t>
      </w:r>
      <w:r>
        <w:rPr>
          <w:rFonts w:ascii="Times New Roman" w:hAnsi="Times New Roman" w:cs="Times New Roman"/>
        </w:rPr>
        <w:t xml:space="preserve"> evidence. Data extractions were checked by a second reviewer to ensure data integrity, and statistical analyses were performed using standard network meta-analysis approaches. At all stages of the clinical review, clinical advisors were consulted where </w:t>
      </w:r>
      <w:r>
        <w:rPr>
          <w:rFonts w:ascii="Times New Roman" w:hAnsi="Times New Roman" w:cs="Times New Roman"/>
        </w:rPr>
        <w:lastRenderedPageBreak/>
        <w:t xml:space="preserve">there was uncertainty, and the resulting methods of synthesis have attempted to account for clinical sources of heterogeneity where feasible. Susceptibility studies, whilst not reporting clinical outcomes, </w:t>
      </w:r>
      <w:r w:rsidRPr="00885DFB">
        <w:rPr>
          <w:rFonts w:asciiTheme="majorBidi" w:eastAsia="Calibri" w:hAnsiTheme="majorBidi" w:cstheme="majorBidi"/>
        </w:rPr>
        <w:t>have the advantage of testing all the treatments in the same sample of isolates, thereby reducing the chance of heterogeneity in patient samples between arms introducing confounding</w:t>
      </w:r>
      <w:r>
        <w:rPr>
          <w:rFonts w:asciiTheme="majorBidi" w:eastAsia="Calibri" w:hAnsiTheme="majorBidi" w:cstheme="majorBidi"/>
        </w:rPr>
        <w:t xml:space="preserve">. They also tend to include a </w:t>
      </w:r>
      <w:proofErr w:type="gramStart"/>
      <w:r>
        <w:rPr>
          <w:rFonts w:asciiTheme="majorBidi" w:eastAsia="Calibri" w:hAnsiTheme="majorBidi" w:cstheme="majorBidi"/>
        </w:rPr>
        <w:t>higher numbers of patients/isolates</w:t>
      </w:r>
      <w:proofErr w:type="gramEnd"/>
      <w:r>
        <w:rPr>
          <w:rFonts w:asciiTheme="majorBidi" w:eastAsia="Calibri" w:hAnsiTheme="majorBidi" w:cstheme="majorBidi"/>
        </w:rPr>
        <w:t xml:space="preserve"> compared to RCTs and observational studies. </w:t>
      </w:r>
    </w:p>
    <w:p w14:paraId="18994B04" w14:textId="2DD84447" w:rsidR="000E4A41" w:rsidRDefault="000E4A41" w:rsidP="00EA0E40">
      <w:pPr>
        <w:spacing w:after="120" w:line="360" w:lineRule="auto"/>
        <w:jc w:val="both"/>
        <w:rPr>
          <w:rFonts w:ascii="Times New Roman" w:hAnsi="Times New Roman" w:cs="Times New Roman"/>
        </w:rPr>
      </w:pPr>
      <w:r w:rsidRPr="00156C64">
        <w:rPr>
          <w:rFonts w:ascii="Times New Roman" w:hAnsi="Times New Roman" w:cs="Times New Roman"/>
          <w:i/>
          <w:iCs/>
        </w:rPr>
        <w:t>Limitations</w:t>
      </w:r>
      <w:r w:rsidR="00EA0E40">
        <w:rPr>
          <w:rFonts w:ascii="Times New Roman" w:hAnsi="Times New Roman" w:cs="Times New Roman"/>
          <w:i/>
          <w:iCs/>
        </w:rPr>
        <w:t xml:space="preserve"> </w:t>
      </w:r>
      <w:r>
        <w:rPr>
          <w:rFonts w:ascii="Times New Roman" w:hAnsi="Times New Roman" w:cs="Times New Roman"/>
        </w:rPr>
        <w:t xml:space="preserve">There are limitations to the clinical review, largely due to the availability of evidence and time available to conduct the evaluation. </w:t>
      </w:r>
    </w:p>
    <w:p w14:paraId="4BDF973E" w14:textId="30F72D09"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t xml:space="preserve">A lack of availability of relevant RCT or observational evidence has meant that </w:t>
      </w:r>
      <w:r w:rsidRPr="00941B26">
        <w:rPr>
          <w:rFonts w:ascii="Times New Roman" w:hAnsi="Times New Roman" w:cs="Times New Roman"/>
          <w:i/>
          <w:iCs/>
        </w:rPr>
        <w:t>in vitro</w:t>
      </w:r>
      <w:r>
        <w:rPr>
          <w:rFonts w:ascii="Times New Roman" w:hAnsi="Times New Roman" w:cs="Times New Roman"/>
        </w:rPr>
        <w:t xml:space="preserve"> susceptibility, which can be considered, at best, a surrogate outcome, has been relied upon. A link was then made between susceptibility and clinical outcomes using published data and expert elicitation. No pre-specified criteria for judging the suitability of the surrogate or the linking evidence were applied.  </w:t>
      </w:r>
      <w:bookmarkStart w:id="233" w:name="_Hlk85718855"/>
      <w:r>
        <w:rPr>
          <w:rFonts w:ascii="Times New Roman" w:hAnsi="Times New Roman" w:cs="Times New Roman"/>
        </w:rPr>
        <w:t>The data available to evidence the link between susceptibility and clinical outcomes was sparse and was not specifically for the pathogen-mechanism of interest. For the microbiology-directed setting, expert elicitation was used to derive the link between susceptibility and clinical outcomes (see Chapter 5).</w:t>
      </w:r>
      <w:bookmarkEnd w:id="233"/>
    </w:p>
    <w:p w14:paraId="5BBA079A" w14:textId="0AEFFFAF"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t>Other limitations relate to the review methods applied in this evaluation. Because this was the first evaluation of this type commissioned by NICE, and because EEPRU could not foresee the evidence and synthesis requirements</w:t>
      </w:r>
      <w:r w:rsidRPr="000B1FC1">
        <w:rPr>
          <w:rFonts w:ascii="Times New Roman" w:hAnsi="Times New Roman" w:cs="Times New Roman"/>
        </w:rPr>
        <w:t xml:space="preserve"> </w:t>
      </w:r>
      <w:r>
        <w:rPr>
          <w:rFonts w:ascii="Times New Roman" w:hAnsi="Times New Roman" w:cs="Times New Roman"/>
        </w:rPr>
        <w:t xml:space="preserve">at the inception of the project, no registration with </w:t>
      </w:r>
      <w:r w:rsidR="009578AF">
        <w:rPr>
          <w:rFonts w:ascii="Times New Roman" w:hAnsi="Times New Roman" w:cs="Times New Roman"/>
        </w:rPr>
        <w:t xml:space="preserve">the </w:t>
      </w:r>
      <w:r w:rsidR="009578AF" w:rsidRPr="009578AF">
        <w:rPr>
          <w:rFonts w:ascii="Times New Roman" w:hAnsi="Times New Roman" w:cs="Times New Roman"/>
        </w:rPr>
        <w:t xml:space="preserve">International prospective register of systematic reviews </w:t>
      </w:r>
      <w:r w:rsidR="009578AF">
        <w:rPr>
          <w:rFonts w:ascii="Times New Roman" w:hAnsi="Times New Roman" w:cs="Times New Roman"/>
        </w:rPr>
        <w:t>(</w:t>
      </w:r>
      <w:r>
        <w:rPr>
          <w:rFonts w:ascii="Times New Roman" w:hAnsi="Times New Roman" w:cs="Times New Roman"/>
        </w:rPr>
        <w:t>PROSPERO</w:t>
      </w:r>
      <w:r w:rsidR="009578AF">
        <w:rPr>
          <w:rFonts w:ascii="Times New Roman" w:hAnsi="Times New Roman" w:cs="Times New Roman"/>
        </w:rPr>
        <w:t>)</w:t>
      </w:r>
      <w:r>
        <w:rPr>
          <w:rFonts w:ascii="Times New Roman" w:hAnsi="Times New Roman" w:cs="Times New Roman"/>
        </w:rPr>
        <w:t xml:space="preserve"> was performed. The statistical</w:t>
      </w:r>
      <w:r w:rsidR="009061EF">
        <w:rPr>
          <w:rFonts w:ascii="Times New Roman" w:hAnsi="Times New Roman" w:cs="Times New Roman"/>
        </w:rPr>
        <w:t xml:space="preserve"> analysis</w:t>
      </w:r>
      <w:r>
        <w:rPr>
          <w:rFonts w:ascii="Times New Roman" w:hAnsi="Times New Roman" w:cs="Times New Roman"/>
        </w:rPr>
        <w:t xml:space="preserve"> plan was made in response to the available data, rather than being formulated </w:t>
      </w:r>
      <w:r w:rsidRPr="00D13B6B">
        <w:rPr>
          <w:rFonts w:ascii="Times New Roman" w:hAnsi="Times New Roman" w:cs="Times New Roman"/>
          <w:i/>
          <w:iCs/>
        </w:rPr>
        <w:t>a priori</w:t>
      </w:r>
      <w:r>
        <w:rPr>
          <w:rFonts w:ascii="Times New Roman" w:hAnsi="Times New Roman" w:cs="Times New Roman"/>
        </w:rPr>
        <w:t>, since the types of heterogeneity that would be encountered and their importance were largely unknown at the project outset. Due to time constraints, many stages of the review process were done by only one reviewer, which introduces a risk of inaccuracy.</w:t>
      </w:r>
      <w:r w:rsidR="002B12D8">
        <w:rPr>
          <w:rFonts w:ascii="Times New Roman" w:hAnsi="Times New Roman" w:cs="Times New Roman"/>
        </w:rPr>
        <w:t xml:space="preserve"> D</w:t>
      </w:r>
      <w:r>
        <w:rPr>
          <w:rFonts w:ascii="Times New Roman" w:hAnsi="Times New Roman" w:cs="Times New Roman"/>
        </w:rPr>
        <w:t xml:space="preserve">ata were checked by a second reviewer </w:t>
      </w:r>
      <w:bookmarkStart w:id="234" w:name="_Hlk85832344"/>
      <w:r>
        <w:rPr>
          <w:rFonts w:ascii="Times New Roman" w:hAnsi="Times New Roman" w:cs="Times New Roman"/>
        </w:rPr>
        <w:t>for the susceptibility review</w:t>
      </w:r>
      <w:bookmarkEnd w:id="234"/>
      <w:r>
        <w:rPr>
          <w:rFonts w:ascii="Times New Roman" w:hAnsi="Times New Roman" w:cs="Times New Roman"/>
        </w:rPr>
        <w:t xml:space="preserve">, but study selection and risk of bias assessment were conducted by only one. Since there was no suitable risk of bias tool available, EEPRU created a bespoke tool. This was done by consulting other available tools, but no face validity checks were performed by experts in susceptibility testing, and no other validation of the tool has been undertaken. This could be an area of future research. To allow for this, risk of bias scores were not used in the statistical synthesis to weight studies, subgroup studies or exclude studies, and instead aspects of clinical heterogeneity were considered in sensitivity analyses individually. </w:t>
      </w:r>
    </w:p>
    <w:p w14:paraId="0AC2963C" w14:textId="77777777" w:rsidR="000E4A41" w:rsidRDefault="000E4A41" w:rsidP="000E4A41">
      <w:pPr>
        <w:spacing w:after="120" w:line="360" w:lineRule="auto"/>
        <w:jc w:val="both"/>
        <w:rPr>
          <w:rFonts w:ascii="Times New Roman" w:hAnsi="Times New Roman" w:cs="Times New Roman"/>
        </w:rPr>
      </w:pPr>
      <w:r>
        <w:rPr>
          <w:rFonts w:ascii="Times New Roman" w:hAnsi="Times New Roman" w:cs="Times New Roman"/>
        </w:rPr>
        <w:t xml:space="preserve">In terms of the statistical synthesis, there were also some limitations introduced by time constraints. The review only included studies that reported data for CAZ-AVI and at least one comparator, whereas ideally all susceptibility evidence for all comparators would have been sought to construct the network, regardless of whether CAZ-AVI had also been tested. </w:t>
      </w:r>
    </w:p>
    <w:p w14:paraId="660A35DD" w14:textId="59B9AE58" w:rsidR="000E4A41" w:rsidRPr="00885DFB" w:rsidRDefault="000E4A41" w:rsidP="000E4A41">
      <w:pPr>
        <w:spacing w:after="120" w:line="360" w:lineRule="auto"/>
        <w:jc w:val="both"/>
        <w:rPr>
          <w:rFonts w:asciiTheme="majorBidi" w:hAnsiTheme="majorBidi" w:cstheme="majorBidi"/>
        </w:rPr>
      </w:pPr>
      <w:r>
        <w:rPr>
          <w:rFonts w:ascii="Times New Roman" w:hAnsi="Times New Roman" w:cs="Times New Roman"/>
        </w:rPr>
        <w:lastRenderedPageBreak/>
        <w:t xml:space="preserve">There were also some limitations introduced by problems inherent to susceptibility testing, and clinical practice in England. </w:t>
      </w:r>
      <w:bookmarkStart w:id="235" w:name="_Hlk85541412"/>
      <w:r w:rsidRPr="00D0010A">
        <w:rPr>
          <w:rFonts w:ascii="Times New Roman" w:hAnsi="Times New Roman" w:cs="Times New Roman"/>
        </w:rPr>
        <w:t>Setting clinical breakpoints is a subjective process conducted by relevant experts taking in to account a range of evidence</w:t>
      </w:r>
      <w:r>
        <w:rPr>
          <w:rFonts w:ascii="Times New Roman" w:hAnsi="Times New Roman" w:cs="Times New Roman"/>
        </w:rPr>
        <w:t>, which may have been generated differently for different comparators.</w:t>
      </w:r>
      <w:r w:rsidRPr="00D0010A">
        <w:rPr>
          <w:rFonts w:ascii="Times New Roman" w:hAnsi="Times New Roman" w:cs="Times New Roman"/>
        </w:rPr>
        <w:t xml:space="preserve"> </w:t>
      </w:r>
      <w:bookmarkEnd w:id="235"/>
      <w:r>
        <w:rPr>
          <w:rFonts w:ascii="Times New Roman" w:hAnsi="Times New Roman" w:cs="Times New Roman"/>
        </w:rPr>
        <w:t>Therefore, any given breakpoint may not reflect the true activity of a treatment in clinical practice, and the extent to which it does may vary between treatments. Breakpoints also change over time, as pathogens increasingly acquire resistance. EEPRU were not able to resolve whether it is better to use breakpoints</w:t>
      </w:r>
      <w:r w:rsidRPr="00D13B6B">
        <w:rPr>
          <w:rFonts w:ascii="Times New Roman" w:hAnsi="Times New Roman" w:cs="Times New Roman"/>
        </w:rPr>
        <w:t xml:space="preserve"> </w:t>
      </w:r>
      <w:r>
        <w:rPr>
          <w:rFonts w:ascii="Times New Roman" w:hAnsi="Times New Roman" w:cs="Times New Roman"/>
        </w:rPr>
        <w:t xml:space="preserve">contemporaneous to the sample collection </w:t>
      </w:r>
      <w:proofErr w:type="gramStart"/>
      <w:r>
        <w:rPr>
          <w:rFonts w:ascii="Times New Roman" w:hAnsi="Times New Roman" w:cs="Times New Roman"/>
        </w:rPr>
        <w:t>date, or</w:t>
      </w:r>
      <w:proofErr w:type="gramEnd"/>
      <w:r>
        <w:rPr>
          <w:rFonts w:ascii="Times New Roman" w:hAnsi="Times New Roman" w:cs="Times New Roman"/>
        </w:rPr>
        <w:t xml:space="preserve"> apply current breakpoints to the available data (where data allowed), and for pragmatic reasons used data as reported in the published reports. Laboratory methods of susceptibility testing recommended by EUCAST and CLSI have also changed over time, and before 2016 BSAC had its own set of methods, which may have affected the estimates of susceptibility derived</w:t>
      </w:r>
      <w:r w:rsidRPr="00AB42BA">
        <w:rPr>
          <w:rFonts w:ascii="Times New Roman" w:hAnsi="Times New Roman" w:cs="Times New Roman"/>
        </w:rPr>
        <w:t xml:space="preserve"> </w:t>
      </w:r>
      <w:r>
        <w:rPr>
          <w:rFonts w:ascii="Times New Roman" w:hAnsi="Times New Roman" w:cs="Times New Roman"/>
        </w:rPr>
        <w:t xml:space="preserve">before and since then, as practice did not change immediately. As noted in Section </w:t>
      </w:r>
      <w:r w:rsidR="003A30C3">
        <w:rPr>
          <w:rFonts w:ascii="Times New Roman" w:hAnsi="Times New Roman" w:cs="Times New Roman"/>
        </w:rPr>
        <w:t>4.5.1</w:t>
      </w:r>
      <w:r>
        <w:rPr>
          <w:rFonts w:ascii="Times New Roman" w:hAnsi="Times New Roman" w:cs="Times New Roman"/>
        </w:rPr>
        <w:t xml:space="preserve">, </w:t>
      </w:r>
      <w:bookmarkStart w:id="236" w:name="_Hlk85719197"/>
      <w:r>
        <w:rPr>
          <w:rFonts w:ascii="Times New Roman" w:hAnsi="Times New Roman" w:cs="Times New Roman"/>
        </w:rPr>
        <w:t xml:space="preserve">PHE data were a mixture </w:t>
      </w:r>
      <w:bookmarkEnd w:id="236"/>
      <w:r>
        <w:rPr>
          <w:rFonts w:ascii="Times New Roman" w:hAnsi="Times New Roman" w:cs="Times New Roman"/>
        </w:rPr>
        <w:t xml:space="preserve">of BSAC, CLSI and EUCAST methods, which will potentially affect the estimates of susceptibility derived. Clinical advisors also noted that </w:t>
      </w:r>
      <w:r w:rsidRPr="003C330C">
        <w:rPr>
          <w:rFonts w:ascii="Times New Roman" w:hAnsi="Times New Roman" w:cs="Times New Roman"/>
          <w:i/>
          <w:iCs/>
        </w:rPr>
        <w:t>in vitro</w:t>
      </w:r>
      <w:r>
        <w:rPr>
          <w:rFonts w:ascii="Times New Roman" w:hAnsi="Times New Roman" w:cs="Times New Roman"/>
        </w:rPr>
        <w:t xml:space="preserve"> susceptibility to meropenem </w:t>
      </w:r>
      <w:proofErr w:type="gramStart"/>
      <w:r>
        <w:rPr>
          <w:rFonts w:ascii="Times New Roman" w:hAnsi="Times New Roman" w:cs="Times New Roman"/>
        </w:rPr>
        <w:t>in particular does</w:t>
      </w:r>
      <w:proofErr w:type="gramEnd"/>
      <w:r>
        <w:rPr>
          <w:rFonts w:ascii="Times New Roman" w:hAnsi="Times New Roman" w:cs="Times New Roman"/>
        </w:rPr>
        <w:t xml:space="preserve"> not always indicate how well a patient will respond to this treatment in clinical practice.</w:t>
      </w:r>
    </w:p>
    <w:p w14:paraId="0428BF38" w14:textId="08558698" w:rsidR="000E4A41" w:rsidRPr="009D3CC4" w:rsidRDefault="00EA0E40" w:rsidP="000E4A41">
      <w:pPr>
        <w:spacing w:after="120" w:line="360" w:lineRule="auto"/>
        <w:jc w:val="both"/>
        <w:rPr>
          <w:rFonts w:asciiTheme="majorBidi" w:hAnsiTheme="majorBidi" w:cstheme="majorBidi"/>
        </w:rPr>
      </w:pPr>
      <w:bookmarkStart w:id="237" w:name="_Hlk85546360"/>
      <w:bookmarkEnd w:id="232"/>
      <w:r w:rsidRPr="00EA0E40">
        <w:rPr>
          <w:rFonts w:asciiTheme="majorBidi" w:hAnsiTheme="majorBidi" w:cstheme="majorBidi"/>
          <w:i/>
          <w:iCs/>
        </w:rPr>
        <w:t xml:space="preserve">Conclusions </w:t>
      </w:r>
      <w:r w:rsidR="000E4A41">
        <w:rPr>
          <w:rFonts w:asciiTheme="majorBidi" w:hAnsiTheme="majorBidi" w:cstheme="majorBidi"/>
        </w:rPr>
        <w:t xml:space="preserve">Susceptibility estimates have been used to estimate the clinical effectiveness of CAZ-AVI and its comparators in the HVCSs. </w:t>
      </w:r>
      <w:bookmarkEnd w:id="237"/>
      <w:r w:rsidR="000E4A41">
        <w:rPr>
          <w:rFonts w:asciiTheme="majorBidi" w:hAnsiTheme="majorBidi" w:cstheme="majorBidi"/>
        </w:rPr>
        <w:t xml:space="preserve">Several sensitivity analyses were conducted as part of the NMA. </w:t>
      </w:r>
      <w:bookmarkStart w:id="238" w:name="_Hlk85574671"/>
      <w:r w:rsidR="000E4A41">
        <w:rPr>
          <w:rFonts w:asciiTheme="majorBidi" w:hAnsiTheme="majorBidi" w:cstheme="majorBidi"/>
        </w:rPr>
        <w:t xml:space="preserve">In </w:t>
      </w:r>
      <w:proofErr w:type="gramStart"/>
      <w:r w:rsidR="000E4A41">
        <w:rPr>
          <w:rFonts w:asciiTheme="majorBidi" w:hAnsiTheme="majorBidi" w:cstheme="majorBidi"/>
        </w:rPr>
        <w:t>the majority of</w:t>
      </w:r>
      <w:proofErr w:type="gramEnd"/>
      <w:r w:rsidR="000E4A41">
        <w:rPr>
          <w:rFonts w:asciiTheme="majorBidi" w:hAnsiTheme="majorBidi" w:cstheme="majorBidi"/>
        </w:rPr>
        <w:t xml:space="preserve"> the analyses CAZ-AVI had higher susceptibility relative to colistin, but this was not always statistically significant. Heterogeneity in all analyses was </w:t>
      </w:r>
      <w:proofErr w:type="gramStart"/>
      <w:r w:rsidR="000E4A41">
        <w:rPr>
          <w:rFonts w:asciiTheme="majorBidi" w:hAnsiTheme="majorBidi" w:cstheme="majorBidi"/>
        </w:rPr>
        <w:t>high</w:t>
      </w:r>
      <w:bookmarkEnd w:id="238"/>
      <w:r w:rsidR="000E4A41">
        <w:rPr>
          <w:rFonts w:asciiTheme="majorBidi" w:hAnsiTheme="majorBidi" w:cstheme="majorBidi"/>
        </w:rPr>
        <w:t>, but</w:t>
      </w:r>
      <w:proofErr w:type="gramEnd"/>
      <w:r w:rsidR="000E4A41">
        <w:rPr>
          <w:rFonts w:asciiTheme="majorBidi" w:hAnsiTheme="majorBidi" w:cstheme="majorBidi"/>
        </w:rPr>
        <w:t xml:space="preserve"> was lower in some. </w:t>
      </w:r>
      <w:bookmarkStart w:id="239" w:name="_Hlk85547758"/>
      <w:r w:rsidR="000E4A41">
        <w:rPr>
          <w:rFonts w:asciiTheme="majorBidi" w:hAnsiTheme="majorBidi" w:cstheme="majorBidi"/>
        </w:rPr>
        <w:t xml:space="preserve">Relevant base case and scenario analyses for the model were selected based on heterogeneity and clinical rationales. </w:t>
      </w:r>
      <w:bookmarkEnd w:id="239"/>
      <w:r w:rsidR="000E4A41">
        <w:rPr>
          <w:rFonts w:asciiTheme="majorBidi" w:hAnsiTheme="majorBidi" w:cstheme="majorBidi"/>
        </w:rPr>
        <w:t xml:space="preserve">These included a network of studies which used EUCAST laboratory methods and breakpoints, a consideration of all the studies in the network (removing two arms with large inconsistency), one study that reported no MBL co-carriage and used EUCAST laboratory methods and </w:t>
      </w:r>
      <w:proofErr w:type="gramStart"/>
      <w:r w:rsidR="000E4A41">
        <w:rPr>
          <w:rFonts w:asciiTheme="majorBidi" w:hAnsiTheme="majorBidi" w:cstheme="majorBidi"/>
        </w:rPr>
        <w:t>breakpoints, and</w:t>
      </w:r>
      <w:proofErr w:type="gramEnd"/>
      <w:r w:rsidR="000E4A41">
        <w:rPr>
          <w:rFonts w:asciiTheme="majorBidi" w:hAnsiTheme="majorBidi" w:cstheme="majorBidi"/>
        </w:rPr>
        <w:t xml:space="preserve"> using the PHE data alone. There was no signal that CAZ-AVI was associated with an increase in AKI or </w:t>
      </w:r>
      <w:proofErr w:type="spellStart"/>
      <w:proofErr w:type="gramStart"/>
      <w:r w:rsidR="000E4A41" w:rsidRPr="009D3CC4">
        <w:rPr>
          <w:rFonts w:asciiTheme="majorBidi" w:hAnsiTheme="majorBidi" w:cstheme="majorBidi"/>
          <w:i/>
          <w:iCs/>
        </w:rPr>
        <w:t>C.difficile</w:t>
      </w:r>
      <w:proofErr w:type="spellEnd"/>
      <w:proofErr w:type="gramEnd"/>
      <w:r w:rsidR="000E4A41">
        <w:rPr>
          <w:rFonts w:asciiTheme="majorBidi" w:hAnsiTheme="majorBidi" w:cstheme="majorBidi"/>
        </w:rPr>
        <w:t xml:space="preserve"> infections compared to other non-toxic treatments. </w:t>
      </w:r>
    </w:p>
    <w:p w14:paraId="0FA25691" w14:textId="73982C5C" w:rsidR="000E4A41" w:rsidRPr="00462585" w:rsidRDefault="00956BFE" w:rsidP="005A3BE6">
      <w:pPr>
        <w:pStyle w:val="EEPRUNumberedHeading"/>
        <w:numPr>
          <w:ilvl w:val="0"/>
          <w:numId w:val="27"/>
        </w:numPr>
      </w:pPr>
      <w:bookmarkStart w:id="240" w:name="_Toc87463004"/>
      <w:r>
        <w:t>Structured expert elicitation</w:t>
      </w:r>
      <w:bookmarkEnd w:id="240"/>
    </w:p>
    <w:p w14:paraId="2D716E4A" w14:textId="77777777" w:rsidR="00462585" w:rsidRPr="00462585" w:rsidRDefault="00462585" w:rsidP="00462585">
      <w:pPr>
        <w:spacing w:after="120" w:line="360" w:lineRule="auto"/>
        <w:contextualSpacing/>
        <w:jc w:val="both"/>
        <w:rPr>
          <w:rFonts w:ascii="Times New Roman" w:hAnsi="Times New Roman" w:cs="Times New Roman"/>
        </w:rPr>
      </w:pPr>
    </w:p>
    <w:p w14:paraId="73A0D7CF" w14:textId="26B9550E" w:rsidR="00462585" w:rsidRP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As detailed in </w:t>
      </w:r>
      <w:r w:rsidR="00025C3C">
        <w:rPr>
          <w:rFonts w:ascii="Times New Roman" w:hAnsi="Times New Roman" w:cs="Times New Roman"/>
        </w:rPr>
        <w:t>S</w:t>
      </w:r>
      <w:r w:rsidRPr="00462585">
        <w:rPr>
          <w:rFonts w:ascii="Times New Roman" w:hAnsi="Times New Roman" w:cs="Times New Roman"/>
        </w:rPr>
        <w:t xml:space="preserve">ection </w:t>
      </w:r>
      <w:r w:rsidR="00025C3C">
        <w:rPr>
          <w:rFonts w:ascii="Times New Roman" w:hAnsi="Times New Roman" w:cs="Times New Roman"/>
        </w:rPr>
        <w:t>4.6.1</w:t>
      </w:r>
      <w:r w:rsidRPr="00462585">
        <w:rPr>
          <w:rFonts w:ascii="Times New Roman" w:hAnsi="Times New Roman" w:cs="Times New Roman"/>
        </w:rPr>
        <w:t xml:space="preserve">, it is assumed that clinical outcomes would be similar regardless of the treatment received, conditional upon susceptibility. </w:t>
      </w:r>
      <w:r w:rsidR="00025C3C">
        <w:rPr>
          <w:rFonts w:ascii="Times New Roman" w:hAnsi="Times New Roman" w:cs="Times New Roman"/>
        </w:rPr>
        <w:t>Review 4</w:t>
      </w:r>
      <w:r w:rsidRPr="00462585">
        <w:rPr>
          <w:rFonts w:ascii="Times New Roman" w:hAnsi="Times New Roman" w:cs="Times New Roman"/>
        </w:rPr>
        <w:t xml:space="preserve"> did not identify any studies that informed clinical outcomes in HAP/VAP and </w:t>
      </w:r>
      <w:proofErr w:type="spellStart"/>
      <w:r w:rsidRPr="00462585">
        <w:rPr>
          <w:rFonts w:ascii="Times New Roman" w:hAnsi="Times New Roman" w:cs="Times New Roman"/>
        </w:rPr>
        <w:t>cUTI</w:t>
      </w:r>
      <w:proofErr w:type="spellEnd"/>
      <w:r w:rsidRPr="00462585">
        <w:rPr>
          <w:rFonts w:ascii="Times New Roman" w:hAnsi="Times New Roman" w:cs="Times New Roman"/>
        </w:rPr>
        <w:t xml:space="preserve"> patients conditional upon susceptibility, following microbiology-directed treatment. In absence of empiric evidence, outcomes were informed by eliciting judgments of individuals who have expertise on the subject matter. The outcomes of interest were consistent with those available for the </w:t>
      </w:r>
      <w:r w:rsidR="008E4948">
        <w:rPr>
          <w:rFonts w:ascii="Times New Roman" w:hAnsi="Times New Roman" w:cs="Times New Roman"/>
        </w:rPr>
        <w:t>ES</w:t>
      </w:r>
      <w:r w:rsidRPr="00462585">
        <w:rPr>
          <w:rFonts w:ascii="Times New Roman" w:hAnsi="Times New Roman" w:cs="Times New Roman"/>
        </w:rPr>
        <w:t xml:space="preserve">, and included mortality, hospital </w:t>
      </w:r>
      <w:r w:rsidR="005B4EB8">
        <w:rPr>
          <w:rFonts w:ascii="Times New Roman" w:hAnsi="Times New Roman" w:cs="Times New Roman"/>
        </w:rPr>
        <w:t>LOS</w:t>
      </w:r>
      <w:r w:rsidRPr="00462585">
        <w:rPr>
          <w:rFonts w:ascii="Times New Roman" w:hAnsi="Times New Roman" w:cs="Times New Roman"/>
        </w:rPr>
        <w:t>, and the type of ward these patients would stay on in hospital.</w:t>
      </w:r>
    </w:p>
    <w:p w14:paraId="7C84129D" w14:textId="77777777" w:rsidR="00462585" w:rsidRPr="00462585" w:rsidRDefault="00462585" w:rsidP="00462585">
      <w:pPr>
        <w:spacing w:after="120" w:line="360" w:lineRule="auto"/>
        <w:contextualSpacing/>
        <w:jc w:val="both"/>
        <w:rPr>
          <w:rFonts w:ascii="Times New Roman" w:hAnsi="Times New Roman" w:cs="Times New Roman"/>
        </w:rPr>
      </w:pPr>
    </w:p>
    <w:p w14:paraId="71CAF8F5" w14:textId="75E421C9" w:rsidR="00462585" w:rsidRPr="005E61DF" w:rsidRDefault="000E4A41" w:rsidP="0080269E">
      <w:pPr>
        <w:pStyle w:val="Heading2"/>
        <w:ind w:firstLine="720"/>
      </w:pPr>
      <w:bookmarkStart w:id="241" w:name="_Toc87463005"/>
      <w:r>
        <w:t>5.1</w:t>
      </w:r>
      <w:r>
        <w:tab/>
      </w:r>
      <w:r w:rsidR="00462585" w:rsidRPr="005E61DF">
        <w:t>Methods</w:t>
      </w:r>
      <w:bookmarkEnd w:id="241"/>
    </w:p>
    <w:p w14:paraId="1666FA24" w14:textId="68383AE4" w:rsidR="00462585" w:rsidRPr="00462585" w:rsidRDefault="00462585" w:rsidP="00A83123">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A structured elicitation process was used to improve accountability and transparency. Specifically, the reference methods developed at York as part of the </w:t>
      </w:r>
      <w:r w:rsidR="009578AF">
        <w:rPr>
          <w:rFonts w:ascii="Times New Roman" w:hAnsi="Times New Roman" w:cs="Times New Roman"/>
        </w:rPr>
        <w:t>Medical Research Council (</w:t>
      </w:r>
      <w:r w:rsidRPr="00462585">
        <w:rPr>
          <w:rFonts w:ascii="Times New Roman" w:hAnsi="Times New Roman" w:cs="Times New Roman"/>
        </w:rPr>
        <w:t>MRC</w:t>
      </w:r>
      <w:r w:rsidR="009578AF">
        <w:rPr>
          <w:rFonts w:ascii="Times New Roman" w:hAnsi="Times New Roman" w:cs="Times New Roman"/>
        </w:rPr>
        <w:t>)</w:t>
      </w:r>
      <w:r w:rsidRPr="00462585">
        <w:rPr>
          <w:rFonts w:ascii="Times New Roman" w:hAnsi="Times New Roman" w:cs="Times New Roman"/>
        </w:rPr>
        <w:t xml:space="preserve"> elicitation work </w:t>
      </w:r>
      <w:r w:rsidR="00A83123" w:rsidRPr="00A83123">
        <w:rPr>
          <w:rFonts w:ascii="Times New Roman" w:hAnsi="Times New Roman" w:cs="Times New Roman"/>
          <w:noProof/>
          <w:vertAlign w:val="superscript"/>
        </w:rPr>
        <w:t>97</w:t>
      </w:r>
      <w:r w:rsidRPr="00462585">
        <w:rPr>
          <w:rFonts w:ascii="Times New Roman" w:hAnsi="Times New Roman" w:cs="Times New Roman"/>
        </w:rPr>
        <w:t xml:space="preserve"> were employed. The full elicitation protocol is presented in Appendi</w:t>
      </w:r>
      <w:r w:rsidR="00CB020A">
        <w:rPr>
          <w:rFonts w:ascii="Times New Roman" w:hAnsi="Times New Roman" w:cs="Times New Roman"/>
        </w:rPr>
        <w:t>ces</w:t>
      </w:r>
      <w:r w:rsidRPr="00462585">
        <w:rPr>
          <w:rFonts w:ascii="Times New Roman" w:hAnsi="Times New Roman" w:cs="Times New Roman"/>
        </w:rPr>
        <w:t xml:space="preserve"> </w:t>
      </w:r>
      <w:r w:rsidR="008E6F0E">
        <w:rPr>
          <w:rFonts w:ascii="Times New Roman" w:hAnsi="Times New Roman" w:cs="Times New Roman"/>
        </w:rPr>
        <w:t>9</w:t>
      </w:r>
      <w:r w:rsidR="00CB020A">
        <w:rPr>
          <w:rFonts w:ascii="Times New Roman" w:hAnsi="Times New Roman" w:cs="Times New Roman"/>
        </w:rPr>
        <w:t>-10</w:t>
      </w:r>
      <w:r w:rsidRPr="00462585">
        <w:rPr>
          <w:rFonts w:ascii="Times New Roman" w:hAnsi="Times New Roman" w:cs="Times New Roman"/>
        </w:rPr>
        <w:t>.</w:t>
      </w:r>
    </w:p>
    <w:p w14:paraId="079701DC" w14:textId="77777777" w:rsidR="00462585" w:rsidRPr="00462585" w:rsidRDefault="00462585" w:rsidP="00462585">
      <w:pPr>
        <w:spacing w:after="120" w:line="360" w:lineRule="auto"/>
        <w:contextualSpacing/>
        <w:jc w:val="both"/>
        <w:rPr>
          <w:rFonts w:ascii="Times New Roman" w:hAnsi="Times New Roman" w:cs="Times New Roman"/>
        </w:rPr>
      </w:pPr>
    </w:p>
    <w:p w14:paraId="472F130A" w14:textId="4423E725" w:rsidR="00462585" w:rsidRPr="0080269E" w:rsidRDefault="00462585" w:rsidP="0080269E">
      <w:pPr>
        <w:pStyle w:val="Heading3"/>
        <w:ind w:left="720" w:firstLine="720"/>
        <w:rPr>
          <w:rFonts w:asciiTheme="majorBidi" w:hAnsiTheme="majorBidi"/>
          <w:sz w:val="26"/>
          <w:szCs w:val="26"/>
        </w:rPr>
      </w:pPr>
      <w:bookmarkStart w:id="242" w:name="_Toc87463006"/>
      <w:r w:rsidRPr="0080269E">
        <w:rPr>
          <w:rFonts w:asciiTheme="majorBidi" w:hAnsiTheme="majorBidi"/>
          <w:sz w:val="26"/>
          <w:szCs w:val="26"/>
        </w:rPr>
        <w:t>5.1.1</w:t>
      </w:r>
      <w:r w:rsidRPr="0080269E">
        <w:rPr>
          <w:rFonts w:asciiTheme="majorBidi" w:hAnsiTheme="majorBidi"/>
          <w:sz w:val="26"/>
          <w:szCs w:val="26"/>
        </w:rPr>
        <w:tab/>
        <w:t>Approach to elicitation</w:t>
      </w:r>
      <w:bookmarkEnd w:id="242"/>
    </w:p>
    <w:p w14:paraId="73FA305C" w14:textId="53D3B6E5" w:rsidR="00462585" w:rsidRPr="00462585" w:rsidRDefault="00CB020A" w:rsidP="00A83123">
      <w:pPr>
        <w:spacing w:after="120" w:line="360" w:lineRule="auto"/>
        <w:contextualSpacing/>
        <w:jc w:val="both"/>
        <w:rPr>
          <w:rFonts w:ascii="Times New Roman" w:hAnsi="Times New Roman" w:cs="Times New Roman"/>
        </w:rPr>
      </w:pPr>
      <w:r w:rsidRPr="00CB020A">
        <w:rPr>
          <w:rFonts w:ascii="Times New Roman" w:hAnsi="Times New Roman" w:cs="Times New Roman"/>
        </w:rPr>
        <w:t>Clinical experts were recruited to take part in the elicitation exercise, and their beliefs were elicited individually and remotely using an application developed in R, SHINY package</w:t>
      </w:r>
      <w:r w:rsidR="00462585" w:rsidRPr="00462585">
        <w:rPr>
          <w:rFonts w:ascii="Times New Roman" w:hAnsi="Times New Roman" w:cs="Times New Roman"/>
        </w:rPr>
        <w:t>.</w:t>
      </w:r>
      <w:r w:rsidR="00A83123" w:rsidRPr="00A83123">
        <w:rPr>
          <w:rFonts w:ascii="Times New Roman" w:hAnsi="Times New Roman" w:cs="Times New Roman"/>
          <w:noProof/>
          <w:vertAlign w:val="superscript"/>
        </w:rPr>
        <w:t>98</w:t>
      </w:r>
      <w:r w:rsidR="00462585" w:rsidRPr="00462585">
        <w:rPr>
          <w:rFonts w:ascii="Times New Roman" w:hAnsi="Times New Roman" w:cs="Times New Roman"/>
        </w:rPr>
        <w:t xml:space="preserve"> </w:t>
      </w:r>
    </w:p>
    <w:p w14:paraId="601E2F6F" w14:textId="18829AAF" w:rsidR="00462585" w:rsidRDefault="00117B7D" w:rsidP="00A83123">
      <w:pPr>
        <w:spacing w:after="120" w:line="360" w:lineRule="auto"/>
        <w:contextualSpacing/>
        <w:jc w:val="both"/>
        <w:rPr>
          <w:rFonts w:ascii="Times New Roman" w:hAnsi="Times New Roman" w:cs="Times New Roman"/>
        </w:rPr>
      </w:pPr>
      <w:r w:rsidRPr="00117B7D">
        <w:rPr>
          <w:rFonts w:ascii="Times New Roman" w:hAnsi="Times New Roman" w:cs="Times New Roman"/>
        </w:rPr>
        <w:t>Experts were trained in the approach to elicitation prior to the task, using an online training webinar (slides are presented in Appendix 11). Experts were asked to express their uncertainty about the outcomes of interest using a histogram (chips and bins approach)</w:t>
      </w:r>
      <w:r w:rsidR="00462585" w:rsidRPr="00462585">
        <w:rPr>
          <w:rFonts w:ascii="Times New Roman" w:hAnsi="Times New Roman" w:cs="Times New Roman"/>
        </w:rPr>
        <w:t>.</w:t>
      </w:r>
      <w:r w:rsidR="00A83123" w:rsidRPr="00A83123">
        <w:rPr>
          <w:rFonts w:ascii="Times New Roman" w:hAnsi="Times New Roman" w:cs="Times New Roman"/>
          <w:noProof/>
          <w:vertAlign w:val="superscript"/>
        </w:rPr>
        <w:t>99</w:t>
      </w:r>
      <w:r w:rsidR="00462585" w:rsidRPr="00462585">
        <w:rPr>
          <w:rFonts w:ascii="Times New Roman" w:hAnsi="Times New Roman" w:cs="Times New Roman"/>
        </w:rPr>
        <w:t xml:space="preserve"> </w:t>
      </w:r>
      <w:r w:rsidRPr="00117B7D">
        <w:rPr>
          <w:rFonts w:ascii="Times New Roman" w:hAnsi="Times New Roman" w:cs="Times New Roman"/>
        </w:rPr>
        <w:t>This approach has been shown to work well for experts not trained in probabilities and statistics</w:t>
      </w:r>
      <w:r w:rsidR="00462585" w:rsidRPr="00462585">
        <w:rPr>
          <w:rFonts w:ascii="Times New Roman" w:hAnsi="Times New Roman" w:cs="Times New Roman"/>
        </w:rPr>
        <w:t>.</w:t>
      </w:r>
      <w:r w:rsidR="00A83123" w:rsidRPr="00A83123">
        <w:rPr>
          <w:rFonts w:ascii="Times New Roman" w:hAnsi="Times New Roman" w:cs="Times New Roman"/>
          <w:noProof/>
          <w:vertAlign w:val="superscript"/>
        </w:rPr>
        <w:t>97</w:t>
      </w:r>
      <w:r w:rsidR="00462585" w:rsidRPr="00462585">
        <w:rPr>
          <w:rFonts w:ascii="Times New Roman" w:hAnsi="Times New Roman" w:cs="Times New Roman"/>
        </w:rPr>
        <w:t xml:space="preserve"> </w:t>
      </w:r>
      <w:r w:rsidRPr="00117B7D">
        <w:rPr>
          <w:rFonts w:ascii="Times New Roman" w:hAnsi="Times New Roman" w:cs="Times New Roman"/>
        </w:rPr>
        <w:t>Experts were first asked to express the range for their beliefs, the minimum, which is the value such that the experts believes that there is a 1% probability that the proportion is less than that value; and the maximum, a value, such that the experts believe that there is a 1% probability that the proportion is more than that value. Grids were then generated based on this range and experts were asked to place ‘chips’ on this grid to represent their beliefs. Once experts had completed the grid, a summary of their answers was relayed to them. This provided the following information</w:t>
      </w:r>
      <w:r w:rsidR="00462585" w:rsidRPr="00462585">
        <w:rPr>
          <w:rFonts w:ascii="Times New Roman" w:hAnsi="Times New Roman" w:cs="Times New Roman"/>
        </w:rPr>
        <w:t>:</w:t>
      </w:r>
    </w:p>
    <w:p w14:paraId="3D57AD51" w14:textId="77777777" w:rsidR="001641BF" w:rsidRPr="00462585" w:rsidRDefault="001641BF" w:rsidP="00A4788F">
      <w:pPr>
        <w:spacing w:after="120" w:line="360" w:lineRule="auto"/>
        <w:contextualSpacing/>
        <w:jc w:val="both"/>
        <w:rPr>
          <w:rFonts w:ascii="Times New Roman" w:hAnsi="Times New Roman" w:cs="Times New Roman"/>
        </w:rPr>
      </w:pPr>
    </w:p>
    <w:p w14:paraId="010E9277" w14:textId="77777777" w:rsidR="00462585" w:rsidRP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rPr>
        <w:t>Your answers imply that (example quantities given)</w:t>
      </w:r>
    </w:p>
    <w:p w14:paraId="27158A3E" w14:textId="3AF5D6E3" w:rsidR="00462585" w:rsidRP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rPr>
        <w:t>●</w:t>
      </w:r>
      <w:r w:rsidRPr="00462585">
        <w:rPr>
          <w:rFonts w:ascii="Times New Roman" w:hAnsi="Times New Roman" w:cs="Times New Roman"/>
        </w:rPr>
        <w:tab/>
      </w:r>
      <w:r w:rsidR="00593E66" w:rsidRPr="00462585">
        <w:rPr>
          <w:rFonts w:ascii="Times New Roman" w:hAnsi="Times New Roman" w:cs="Times New Roman"/>
        </w:rPr>
        <w:t>there</w:t>
      </w:r>
      <w:r w:rsidRPr="00462585">
        <w:rPr>
          <w:rFonts w:ascii="Times New Roman" w:hAnsi="Times New Roman" w:cs="Times New Roman"/>
        </w:rPr>
        <w:t xml:space="preserve"> is a 17% probability that the proportion of patients is between 19 and 20%</w:t>
      </w:r>
    </w:p>
    <w:p w14:paraId="00652A0C" w14:textId="458BC20B" w:rsidR="00462585" w:rsidRP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rPr>
        <w:t>●</w:t>
      </w:r>
      <w:r w:rsidRPr="00462585">
        <w:rPr>
          <w:rFonts w:ascii="Times New Roman" w:hAnsi="Times New Roman" w:cs="Times New Roman"/>
        </w:rPr>
        <w:tab/>
      </w:r>
      <w:r w:rsidR="00593E66" w:rsidRPr="00462585">
        <w:rPr>
          <w:rFonts w:ascii="Times New Roman" w:hAnsi="Times New Roman" w:cs="Times New Roman"/>
        </w:rPr>
        <w:t>there</w:t>
      </w:r>
      <w:r w:rsidRPr="00462585">
        <w:rPr>
          <w:rFonts w:ascii="Times New Roman" w:hAnsi="Times New Roman" w:cs="Times New Roman"/>
        </w:rPr>
        <w:t xml:space="preserve"> is a 50% probability that the proportion of patients is between 20 and 21%</w:t>
      </w:r>
    </w:p>
    <w:p w14:paraId="440AABD8" w14:textId="67A0D5AA" w:rsid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rPr>
        <w:t>●</w:t>
      </w:r>
      <w:r w:rsidRPr="00462585">
        <w:rPr>
          <w:rFonts w:ascii="Times New Roman" w:hAnsi="Times New Roman" w:cs="Times New Roman"/>
        </w:rPr>
        <w:tab/>
      </w:r>
      <w:r w:rsidR="00593E66" w:rsidRPr="00462585">
        <w:rPr>
          <w:rFonts w:ascii="Times New Roman" w:hAnsi="Times New Roman" w:cs="Times New Roman"/>
        </w:rPr>
        <w:t>there</w:t>
      </w:r>
      <w:r w:rsidRPr="00462585">
        <w:rPr>
          <w:rFonts w:ascii="Times New Roman" w:hAnsi="Times New Roman" w:cs="Times New Roman"/>
        </w:rPr>
        <w:t xml:space="preserve"> is a 33% probability that the proportion of patients is between 21 and 22%</w:t>
      </w:r>
    </w:p>
    <w:p w14:paraId="2031C169" w14:textId="77777777" w:rsidR="001641BF" w:rsidRPr="00462585" w:rsidRDefault="001641BF" w:rsidP="00462585">
      <w:pPr>
        <w:spacing w:after="120" w:line="360" w:lineRule="auto"/>
        <w:contextualSpacing/>
        <w:jc w:val="both"/>
        <w:rPr>
          <w:rFonts w:ascii="Times New Roman" w:hAnsi="Times New Roman" w:cs="Times New Roman"/>
        </w:rPr>
      </w:pPr>
    </w:p>
    <w:p w14:paraId="20171919"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Once experts were individually asked to express their beliefs, these were then aggregated using linear opinion pooling. First, a probability distribution was fitted to each expert’s beliefs from the histogram and then these were pooled, </w:t>
      </w:r>
      <w:proofErr w:type="gramStart"/>
      <w:r w:rsidRPr="00117B7D">
        <w:rPr>
          <w:rFonts w:ascii="Times New Roman" w:hAnsi="Times New Roman" w:cs="Times New Roman"/>
        </w:rPr>
        <w:t>assuming that</w:t>
      </w:r>
      <w:proofErr w:type="gramEnd"/>
      <w:r w:rsidRPr="00117B7D">
        <w:rPr>
          <w:rFonts w:ascii="Times New Roman" w:hAnsi="Times New Roman" w:cs="Times New Roman"/>
        </w:rPr>
        <w:t xml:space="preserve"> each expert contributed equally to the group overall distribution.</w:t>
      </w:r>
    </w:p>
    <w:p w14:paraId="12516357" w14:textId="5A622757" w:rsidR="00462585" w:rsidRPr="00462585"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This overall distribution was then relayed back to experts, and they were given the opportunity to revise their own beliefs on the histograms they previously completed. This approach has been shown to generate less biased parameters when the quantities elicited are unobserved by the experts</w:t>
      </w:r>
      <w:r>
        <w:rPr>
          <w:rFonts w:ascii="Times New Roman" w:hAnsi="Times New Roman" w:cs="Times New Roman"/>
        </w:rPr>
        <w:t>.</w:t>
      </w:r>
      <w:r w:rsidR="00A83123" w:rsidRPr="00A83123">
        <w:rPr>
          <w:rFonts w:ascii="Times New Roman" w:hAnsi="Times New Roman" w:cs="Times New Roman"/>
          <w:noProof/>
          <w:vertAlign w:val="superscript"/>
        </w:rPr>
        <w:t>97</w:t>
      </w:r>
      <w:r w:rsidR="00462585" w:rsidRPr="00462585">
        <w:rPr>
          <w:rFonts w:ascii="Times New Roman" w:hAnsi="Times New Roman" w:cs="Times New Roman"/>
        </w:rPr>
        <w:t xml:space="preserve"> </w:t>
      </w:r>
      <w:r w:rsidRPr="00117B7D">
        <w:rPr>
          <w:rFonts w:ascii="Times New Roman" w:hAnsi="Times New Roman" w:cs="Times New Roman"/>
        </w:rPr>
        <w:t>Following this revision, expert’s beliefs were aggregated using the same approach, linear opinion pooling, and the final group distributions were used in the model</w:t>
      </w:r>
      <w:r w:rsidR="00462585" w:rsidRPr="00462585">
        <w:rPr>
          <w:rFonts w:ascii="Times New Roman" w:hAnsi="Times New Roman" w:cs="Times New Roman"/>
        </w:rPr>
        <w:t>.</w:t>
      </w:r>
    </w:p>
    <w:p w14:paraId="575CB880" w14:textId="77777777" w:rsidR="00462585" w:rsidRPr="00462585" w:rsidRDefault="00462585" w:rsidP="00462585">
      <w:pPr>
        <w:spacing w:after="120" w:line="360" w:lineRule="auto"/>
        <w:contextualSpacing/>
        <w:jc w:val="both"/>
        <w:rPr>
          <w:rFonts w:ascii="Times New Roman" w:hAnsi="Times New Roman" w:cs="Times New Roman"/>
          <w:i/>
          <w:iCs/>
        </w:rPr>
      </w:pPr>
    </w:p>
    <w:p w14:paraId="1B1EF3AC" w14:textId="462B3800" w:rsidR="00462585" w:rsidRPr="0080269E" w:rsidRDefault="00462585" w:rsidP="0080269E">
      <w:pPr>
        <w:pStyle w:val="Heading3"/>
        <w:ind w:left="720" w:firstLine="720"/>
        <w:rPr>
          <w:rFonts w:asciiTheme="majorBidi" w:hAnsiTheme="majorBidi"/>
          <w:sz w:val="26"/>
          <w:szCs w:val="26"/>
        </w:rPr>
      </w:pPr>
      <w:bookmarkStart w:id="243" w:name="_Toc87463007"/>
      <w:r w:rsidRPr="0080269E">
        <w:rPr>
          <w:rFonts w:asciiTheme="majorBidi" w:hAnsiTheme="majorBidi"/>
          <w:sz w:val="26"/>
          <w:szCs w:val="26"/>
        </w:rPr>
        <w:lastRenderedPageBreak/>
        <w:t>5.1.2</w:t>
      </w:r>
      <w:r w:rsidRPr="0080269E">
        <w:rPr>
          <w:rFonts w:asciiTheme="majorBidi" w:hAnsiTheme="majorBidi"/>
          <w:sz w:val="26"/>
          <w:szCs w:val="26"/>
        </w:rPr>
        <w:tab/>
        <w:t>Expert recruitment</w:t>
      </w:r>
      <w:bookmarkEnd w:id="243"/>
    </w:p>
    <w:p w14:paraId="0D76D9EA" w14:textId="2276C5D6" w:rsidR="00462585" w:rsidRPr="00462585" w:rsidRDefault="00117B7D" w:rsidP="00A83123">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Experts recruited to take part in the elicitation exercise included medical consultants, ICU consultants, pulmonary </w:t>
      </w:r>
      <w:proofErr w:type="gramStart"/>
      <w:r w:rsidRPr="00117B7D">
        <w:rPr>
          <w:rFonts w:ascii="Times New Roman" w:hAnsi="Times New Roman" w:cs="Times New Roman"/>
        </w:rPr>
        <w:t>consultants</w:t>
      </w:r>
      <w:proofErr w:type="gramEnd"/>
      <w:r w:rsidRPr="00117B7D">
        <w:rPr>
          <w:rFonts w:ascii="Times New Roman" w:hAnsi="Times New Roman" w:cs="Times New Roman"/>
        </w:rPr>
        <w:t xml:space="preserve"> and microbiologists. The literature suggests that around 10 experts should be included in an individual elicitation, and that recruitment should strive for a representative sample</w:t>
      </w:r>
      <w:r>
        <w:rPr>
          <w:rFonts w:ascii="Times New Roman" w:hAnsi="Times New Roman" w:cs="Times New Roman"/>
        </w:rPr>
        <w:t>.</w:t>
      </w:r>
      <w:r w:rsidR="00A83123" w:rsidRPr="00A83123">
        <w:rPr>
          <w:rFonts w:ascii="Times New Roman" w:hAnsi="Times New Roman" w:cs="Times New Roman"/>
          <w:noProof/>
          <w:vertAlign w:val="superscript"/>
        </w:rPr>
        <w:t>97</w:t>
      </w:r>
      <w:r w:rsidR="00462585" w:rsidRPr="00462585">
        <w:rPr>
          <w:rFonts w:ascii="Times New Roman" w:hAnsi="Times New Roman" w:cs="Times New Roman"/>
        </w:rPr>
        <w:t xml:space="preserve"> </w:t>
      </w:r>
      <w:r w:rsidRPr="00117B7D">
        <w:rPr>
          <w:rFonts w:ascii="Times New Roman" w:hAnsi="Times New Roman" w:cs="Times New Roman"/>
        </w:rPr>
        <w:t xml:space="preserve">To this end we sought to recruit experts from across the UK using our clinical leads. We approached experts directly and asked for their participation. Experts that agreed to participate were invited to attend a training webinar. </w:t>
      </w:r>
      <w:proofErr w:type="gramStart"/>
      <w:r w:rsidRPr="00117B7D">
        <w:rPr>
          <w:rFonts w:ascii="Times New Roman" w:hAnsi="Times New Roman" w:cs="Times New Roman"/>
        </w:rPr>
        <w:t>The majority of</w:t>
      </w:r>
      <w:proofErr w:type="gramEnd"/>
      <w:r w:rsidRPr="00117B7D">
        <w:rPr>
          <w:rFonts w:ascii="Times New Roman" w:hAnsi="Times New Roman" w:cs="Times New Roman"/>
        </w:rPr>
        <w:t xml:space="preserve"> experts attended this session, with a few choosing to view the pre-recorded slides instead.  Experts’ identities were known to the modelling team, however in aggregating, feeding back and reporting, all exp</w:t>
      </w:r>
      <w:r>
        <w:rPr>
          <w:rFonts w:ascii="Times New Roman" w:hAnsi="Times New Roman" w:cs="Times New Roman"/>
        </w:rPr>
        <w:t>erts identities were anonymised</w:t>
      </w:r>
      <w:r w:rsidR="00462585" w:rsidRPr="00462585">
        <w:rPr>
          <w:rFonts w:ascii="Times New Roman" w:hAnsi="Times New Roman" w:cs="Times New Roman"/>
        </w:rPr>
        <w:t>.</w:t>
      </w:r>
    </w:p>
    <w:p w14:paraId="2392A3FA" w14:textId="77777777" w:rsidR="00462585" w:rsidRPr="00462585" w:rsidRDefault="00462585" w:rsidP="00462585">
      <w:pPr>
        <w:spacing w:after="120" w:line="360" w:lineRule="auto"/>
        <w:contextualSpacing/>
        <w:jc w:val="both"/>
        <w:rPr>
          <w:rFonts w:ascii="Times New Roman" w:hAnsi="Times New Roman" w:cs="Times New Roman"/>
        </w:rPr>
      </w:pPr>
    </w:p>
    <w:p w14:paraId="4BA9699D" w14:textId="2C6B52F5" w:rsidR="00462585" w:rsidRPr="0080269E" w:rsidRDefault="00462585" w:rsidP="0080269E">
      <w:pPr>
        <w:pStyle w:val="Heading3"/>
        <w:ind w:left="720" w:firstLine="720"/>
        <w:rPr>
          <w:rFonts w:asciiTheme="majorBidi" w:hAnsiTheme="majorBidi"/>
          <w:sz w:val="26"/>
          <w:szCs w:val="26"/>
        </w:rPr>
      </w:pPr>
      <w:bookmarkStart w:id="244" w:name="_Toc87463008"/>
      <w:r w:rsidRPr="0080269E">
        <w:rPr>
          <w:rFonts w:asciiTheme="majorBidi" w:hAnsiTheme="majorBidi"/>
          <w:sz w:val="26"/>
          <w:szCs w:val="26"/>
        </w:rPr>
        <w:t>5.1.3</w:t>
      </w:r>
      <w:r w:rsidRPr="0080269E">
        <w:rPr>
          <w:rFonts w:asciiTheme="majorBidi" w:hAnsiTheme="majorBidi"/>
          <w:sz w:val="26"/>
          <w:szCs w:val="26"/>
        </w:rPr>
        <w:tab/>
        <w:t>Parameters elicited</w:t>
      </w:r>
      <w:bookmarkEnd w:id="244"/>
    </w:p>
    <w:p w14:paraId="55A0758D" w14:textId="2F00B61B"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The elicitation was conducted to inform outcomes in HAP, VAP and </w:t>
      </w:r>
      <w:proofErr w:type="spellStart"/>
      <w:r w:rsidRPr="00117B7D">
        <w:rPr>
          <w:rFonts w:ascii="Times New Roman" w:hAnsi="Times New Roman" w:cs="Times New Roman"/>
        </w:rPr>
        <w:t>cUTIs</w:t>
      </w:r>
      <w:proofErr w:type="spellEnd"/>
      <w:r w:rsidRPr="00117B7D">
        <w:rPr>
          <w:rFonts w:ascii="Times New Roman" w:hAnsi="Times New Roman" w:cs="Times New Roman"/>
        </w:rPr>
        <w:t xml:space="preserve"> caused by carbapenem-resistant </w:t>
      </w:r>
      <w:r w:rsidR="00A47333" w:rsidRPr="00390AD1">
        <w:rPr>
          <w:rFonts w:asciiTheme="majorBidi" w:hAnsiTheme="majorBidi" w:cstheme="majorBidi"/>
        </w:rPr>
        <w:t>Gram-negative bacteria</w:t>
      </w:r>
      <w:r w:rsidRPr="00117B7D">
        <w:rPr>
          <w:rFonts w:ascii="Times New Roman" w:hAnsi="Times New Roman" w:cs="Times New Roman"/>
        </w:rPr>
        <w:t xml:space="preserve"> of interest, following microbiology-directed treatment. The elicitation exercise was used to inform outcomes in two distinct reports where the pathogens of interest included </w:t>
      </w:r>
      <w:proofErr w:type="spellStart"/>
      <w:r w:rsidRPr="00117B7D">
        <w:rPr>
          <w:rFonts w:ascii="Times New Roman" w:hAnsi="Times New Roman" w:cs="Times New Roman"/>
        </w:rPr>
        <w:t>Enterobacterales</w:t>
      </w:r>
      <w:proofErr w:type="spellEnd"/>
      <w:r w:rsidRPr="00117B7D">
        <w:rPr>
          <w:rFonts w:ascii="Times New Roman" w:hAnsi="Times New Roman" w:cs="Times New Roman"/>
        </w:rPr>
        <w:t xml:space="preserve"> OXA-48, MBL </w:t>
      </w:r>
      <w:proofErr w:type="spellStart"/>
      <w:r w:rsidRPr="00117B7D">
        <w:rPr>
          <w:rFonts w:ascii="Times New Roman" w:hAnsi="Times New Roman" w:cs="Times New Roman"/>
          <w:i/>
        </w:rPr>
        <w:t>Enterobacterales</w:t>
      </w:r>
      <w:proofErr w:type="spellEnd"/>
      <w:r w:rsidRPr="00117B7D">
        <w:rPr>
          <w:rFonts w:ascii="Times New Roman" w:hAnsi="Times New Roman" w:cs="Times New Roman"/>
        </w:rPr>
        <w:t xml:space="preserve"> or MBL </w:t>
      </w:r>
      <w:r w:rsidRPr="00117B7D">
        <w:rPr>
          <w:rFonts w:ascii="Times New Roman" w:hAnsi="Times New Roman" w:cs="Times New Roman"/>
          <w:i/>
        </w:rPr>
        <w:t>Pseudomonas aeruginosa</w:t>
      </w:r>
      <w:r w:rsidRPr="00117B7D">
        <w:rPr>
          <w:rFonts w:ascii="Times New Roman" w:hAnsi="Times New Roman" w:cs="Times New Roman"/>
        </w:rPr>
        <w:t>.</w:t>
      </w:r>
    </w:p>
    <w:p w14:paraId="07CA73C0"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For each of the three sites of infections, we elicited outcomes depending on whether the infectious pathogen is susceptible to treatment. Therefore, outcomes only depend on whether a patient is susceptible to treatment or not, and not to the specific treatment given. The outcomes of interest were 30-day mortality, </w:t>
      </w:r>
      <w:proofErr w:type="spellStart"/>
      <w:r w:rsidRPr="00117B7D">
        <w:rPr>
          <w:rFonts w:ascii="Times New Roman" w:hAnsi="Times New Roman" w:cs="Times New Roman"/>
        </w:rPr>
        <w:t>LoS</w:t>
      </w:r>
      <w:proofErr w:type="spellEnd"/>
      <w:r w:rsidRPr="00117B7D">
        <w:rPr>
          <w:rFonts w:ascii="Times New Roman" w:hAnsi="Times New Roman" w:cs="Times New Roman"/>
        </w:rPr>
        <w:t xml:space="preserve"> in hospital, and the type of ward these patients would stay on in hospital.</w:t>
      </w:r>
    </w:p>
    <w:p w14:paraId="7CC731D6"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As background information we presented several related studies to experts (see Appendix 10 for details).  In these studies, infecting pathogens were not confirmed to be susceptible to the antibiotics administered; however, in our assessment, they are likely to have been susceptible.</w:t>
      </w:r>
    </w:p>
    <w:p w14:paraId="00CFDB94"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For HAP, VAP and </w:t>
      </w:r>
      <w:proofErr w:type="spellStart"/>
      <w:r w:rsidRPr="00117B7D">
        <w:rPr>
          <w:rFonts w:ascii="Times New Roman" w:hAnsi="Times New Roman" w:cs="Times New Roman"/>
        </w:rPr>
        <w:t>cUTI</w:t>
      </w:r>
      <w:proofErr w:type="spellEnd"/>
      <w:r w:rsidRPr="00117B7D">
        <w:rPr>
          <w:rFonts w:ascii="Times New Roman" w:hAnsi="Times New Roman" w:cs="Times New Roman"/>
        </w:rPr>
        <w:t xml:space="preserve"> experts were first provided with some context, as follows (example given is HAP only, the questions were repeated separately for each site):</w:t>
      </w:r>
    </w:p>
    <w:p w14:paraId="4127618E" w14:textId="6B6C1C3C"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“The following questions refer to outcomes in patients with HAP caused by CPE</w:t>
      </w:r>
      <w:r w:rsidR="009578AF">
        <w:rPr>
          <w:rFonts w:ascii="Times New Roman" w:hAnsi="Times New Roman" w:cs="Times New Roman"/>
        </w:rPr>
        <w:t xml:space="preserve"> [</w:t>
      </w:r>
      <w:proofErr w:type="spellStart"/>
      <w:r w:rsidR="009578AF" w:rsidRPr="007D1B7F">
        <w:rPr>
          <w:rFonts w:ascii="Times New Roman" w:hAnsi="Times New Roman" w:cs="Times New Roman"/>
          <w:i/>
          <w:iCs/>
        </w:rPr>
        <w:t>Enterobacterales</w:t>
      </w:r>
      <w:proofErr w:type="spellEnd"/>
      <w:r w:rsidR="009578AF">
        <w:rPr>
          <w:rFonts w:ascii="Times New Roman" w:hAnsi="Times New Roman" w:cs="Times New Roman"/>
        </w:rPr>
        <w:t>]</w:t>
      </w:r>
      <w:r w:rsidRPr="00117B7D">
        <w:rPr>
          <w:rFonts w:ascii="Times New Roman" w:hAnsi="Times New Roman" w:cs="Times New Roman"/>
        </w:rPr>
        <w:t xml:space="preserve"> with an OXA-48 or MBL resistance mechanism, or by </w:t>
      </w:r>
      <w:r w:rsidRPr="00117B7D">
        <w:rPr>
          <w:rFonts w:ascii="Times New Roman" w:hAnsi="Times New Roman" w:cs="Times New Roman"/>
          <w:i/>
        </w:rPr>
        <w:t>Pseudomonas aeruginosa</w:t>
      </w:r>
      <w:r w:rsidRPr="00117B7D">
        <w:rPr>
          <w:rFonts w:ascii="Times New Roman" w:hAnsi="Times New Roman" w:cs="Times New Roman"/>
        </w:rPr>
        <w:t xml:space="preserve"> with a MBL resistance mechanism, who receive a treatment to which they are susceptible as microbiology-directed treatment.”</w:t>
      </w:r>
    </w:p>
    <w:p w14:paraId="1ED6658C"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Then, the following questions were asked of experts:</w:t>
      </w:r>
    </w:p>
    <w:p w14:paraId="22026C73"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Question 1. In this patient population, what proportion of patients will still be alive 30 days after starting microbiology directed treatment?</w:t>
      </w:r>
    </w:p>
    <w:p w14:paraId="52074148"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Question 2. In the patient population described, what will be the average length of stay?</w:t>
      </w:r>
    </w:p>
    <w:p w14:paraId="78A7A570" w14:textId="77777777" w:rsid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Question 3. In the patient population described, what proportion of hospital stay would be spent on each of the following wards? This number should represent the average for all such patients, regardless of their outcome.</w:t>
      </w:r>
    </w:p>
    <w:p w14:paraId="32D3DA14" w14:textId="77777777" w:rsidR="00117B7D" w:rsidRP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lastRenderedPageBreak/>
        <w:t>The questions were repeated for patients who are not susceptible. Specifically, the experts were provided the following context:</w:t>
      </w:r>
    </w:p>
    <w:p w14:paraId="0917F361" w14:textId="59F157FF" w:rsidR="00117B7D"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“The following questions refer to </w:t>
      </w:r>
      <w:proofErr w:type="gramStart"/>
      <w:r w:rsidRPr="00117B7D">
        <w:rPr>
          <w:rFonts w:ascii="Times New Roman" w:hAnsi="Times New Roman" w:cs="Times New Roman"/>
        </w:rPr>
        <w:t>exactly the same</w:t>
      </w:r>
      <w:proofErr w:type="gramEnd"/>
      <w:r w:rsidRPr="00117B7D">
        <w:rPr>
          <w:rFonts w:ascii="Times New Roman" w:hAnsi="Times New Roman" w:cs="Times New Roman"/>
        </w:rPr>
        <w:t xml:space="preserve"> patients as the previous section - with HAP caused by CPE</w:t>
      </w:r>
      <w:r w:rsidR="009578AF">
        <w:rPr>
          <w:rFonts w:ascii="Times New Roman" w:hAnsi="Times New Roman" w:cs="Times New Roman"/>
        </w:rPr>
        <w:t xml:space="preserve"> [</w:t>
      </w:r>
      <w:proofErr w:type="spellStart"/>
      <w:r w:rsidR="009578AF" w:rsidRPr="007D1B7F">
        <w:rPr>
          <w:rFonts w:ascii="Times New Roman" w:hAnsi="Times New Roman" w:cs="Times New Roman"/>
          <w:i/>
          <w:iCs/>
        </w:rPr>
        <w:t>Enterobacterales</w:t>
      </w:r>
      <w:proofErr w:type="spellEnd"/>
      <w:r w:rsidR="009578AF">
        <w:rPr>
          <w:rFonts w:ascii="Times New Roman" w:hAnsi="Times New Roman" w:cs="Times New Roman"/>
        </w:rPr>
        <w:t>]</w:t>
      </w:r>
      <w:r w:rsidRPr="00117B7D">
        <w:rPr>
          <w:rFonts w:ascii="Times New Roman" w:hAnsi="Times New Roman" w:cs="Times New Roman"/>
        </w:rPr>
        <w:t xml:space="preserve"> with an OXA-48 or MBL resistance mechanism, or by </w:t>
      </w:r>
      <w:r w:rsidRPr="00117B7D">
        <w:rPr>
          <w:rFonts w:ascii="Times New Roman" w:hAnsi="Times New Roman" w:cs="Times New Roman"/>
          <w:i/>
        </w:rPr>
        <w:t>Pseudomonas aeruginosa</w:t>
      </w:r>
      <w:r w:rsidRPr="00117B7D">
        <w:rPr>
          <w:rFonts w:ascii="Times New Roman" w:hAnsi="Times New Roman" w:cs="Times New Roman"/>
        </w:rPr>
        <w:t xml:space="preserve"> with a MBL resistance mechanism.</w:t>
      </w:r>
    </w:p>
    <w:p w14:paraId="51299F8E" w14:textId="0AA18558" w:rsidR="00462585" w:rsidRPr="00462585"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 xml:space="preserve">In these patients, what would be their outcomes if they were </w:t>
      </w:r>
      <w:r w:rsidRPr="00117B7D">
        <w:rPr>
          <w:rFonts w:ascii="Times New Roman" w:hAnsi="Times New Roman" w:cs="Times New Roman"/>
          <w:b/>
        </w:rPr>
        <w:t xml:space="preserve">not susceptible to any existing antibiotics (including CAZ-AVI and </w:t>
      </w:r>
      <w:proofErr w:type="spellStart"/>
      <w:r w:rsidRPr="00117B7D">
        <w:rPr>
          <w:rFonts w:ascii="Times New Roman" w:hAnsi="Times New Roman" w:cs="Times New Roman"/>
          <w:b/>
        </w:rPr>
        <w:t>cefiderocol</w:t>
      </w:r>
      <w:proofErr w:type="spellEnd"/>
      <w:r w:rsidRPr="00117B7D">
        <w:rPr>
          <w:rFonts w:ascii="Times New Roman" w:hAnsi="Times New Roman" w:cs="Times New Roman"/>
          <w:b/>
        </w:rPr>
        <w:t>)</w:t>
      </w:r>
      <w:r w:rsidRPr="00117B7D">
        <w:rPr>
          <w:rFonts w:ascii="Times New Roman" w:hAnsi="Times New Roman" w:cs="Times New Roman"/>
        </w:rPr>
        <w:t>, and they received multi-drug salvage therapy instead?</w:t>
      </w:r>
      <w:r w:rsidR="00CB020A" w:rsidRPr="00CB020A">
        <w:rPr>
          <w:rFonts w:ascii="Times New Roman" w:hAnsi="Times New Roman" w:cs="Times New Roman"/>
        </w:rPr>
        <w:t>”</w:t>
      </w:r>
      <w:bookmarkStart w:id="245" w:name="_Hlk78195764"/>
    </w:p>
    <w:p w14:paraId="1E03C98E" w14:textId="3142A295" w:rsidR="00462585" w:rsidRPr="001641BF" w:rsidRDefault="000E4A41" w:rsidP="0080269E">
      <w:pPr>
        <w:pStyle w:val="Heading2"/>
        <w:ind w:firstLine="720"/>
      </w:pPr>
      <w:bookmarkStart w:id="246" w:name="_Toc87463009"/>
      <w:r>
        <w:t>5.2</w:t>
      </w:r>
      <w:r>
        <w:tab/>
      </w:r>
      <w:r w:rsidR="00462585" w:rsidRPr="001641BF">
        <w:t>Results</w:t>
      </w:r>
      <w:bookmarkEnd w:id="246"/>
    </w:p>
    <w:p w14:paraId="5696C582" w14:textId="723F4538" w:rsidR="00462585" w:rsidRPr="0080269E" w:rsidRDefault="00462585" w:rsidP="0080269E">
      <w:pPr>
        <w:pStyle w:val="Heading3"/>
        <w:ind w:left="720" w:firstLine="720"/>
        <w:rPr>
          <w:rFonts w:ascii="Times New Roman" w:hAnsi="Times New Roman" w:cs="Times New Roman"/>
          <w:sz w:val="26"/>
          <w:szCs w:val="26"/>
        </w:rPr>
      </w:pPr>
      <w:bookmarkStart w:id="247" w:name="_Toc83890516"/>
      <w:bookmarkStart w:id="248" w:name="_Toc87463010"/>
      <w:r w:rsidRPr="0080269E">
        <w:rPr>
          <w:rFonts w:ascii="Times New Roman" w:hAnsi="Times New Roman" w:cs="Times New Roman"/>
          <w:sz w:val="26"/>
          <w:szCs w:val="26"/>
        </w:rPr>
        <w:t>5.2.1</w:t>
      </w:r>
      <w:r w:rsidRPr="0080269E">
        <w:rPr>
          <w:rFonts w:ascii="Times New Roman" w:hAnsi="Times New Roman" w:cs="Times New Roman"/>
          <w:sz w:val="26"/>
          <w:szCs w:val="26"/>
        </w:rPr>
        <w:tab/>
        <w:t>Completion rate</w:t>
      </w:r>
      <w:bookmarkEnd w:id="247"/>
      <w:bookmarkEnd w:id="248"/>
    </w:p>
    <w:p w14:paraId="19D3C28F" w14:textId="77777777" w:rsidR="00117B7D" w:rsidRPr="00117B7D" w:rsidRDefault="00117B7D" w:rsidP="00117B7D">
      <w:pPr>
        <w:spacing w:after="120" w:line="360" w:lineRule="auto"/>
        <w:contextualSpacing/>
        <w:jc w:val="both"/>
        <w:rPr>
          <w:rFonts w:ascii="Times New Roman" w:hAnsi="Times New Roman" w:cs="Times New Roman"/>
        </w:rPr>
      </w:pPr>
      <w:bookmarkStart w:id="249" w:name="_Toc83890517"/>
      <w:r w:rsidRPr="00117B7D">
        <w:rPr>
          <w:rFonts w:ascii="Times New Roman" w:hAnsi="Times New Roman" w:cs="Times New Roman"/>
        </w:rPr>
        <w:t xml:space="preserve">Eleven experts agreed to take part in the elicitation task and took part in the training. Of these eleven, 9 experts attempted the task. The experts included medical consultants (n=2), microbiologists (n=5), ICU consultants (n=1) and pulmonary consultants (n=1). Seven experts completed the task, while two terminated it before answering all questions. Responses from the two experts who terminated the task before answering all questions, were included in the analysis for all outcomes where they provided an estimate for both susceptible and not susceptible populations. Following the elicitation task, experts were sent group summaries and asked if they would like to revise their responses. Only two experts responded that they reviewed the group summaries, and one adjusted their initial responses </w:t>
      </w:r>
      <w:proofErr w:type="gramStart"/>
      <w:r w:rsidRPr="00117B7D">
        <w:rPr>
          <w:rFonts w:ascii="Times New Roman" w:hAnsi="Times New Roman" w:cs="Times New Roman"/>
        </w:rPr>
        <w:t>in light of</w:t>
      </w:r>
      <w:proofErr w:type="gramEnd"/>
      <w:r w:rsidRPr="00117B7D">
        <w:rPr>
          <w:rFonts w:ascii="Times New Roman" w:hAnsi="Times New Roman" w:cs="Times New Roman"/>
        </w:rPr>
        <w:t xml:space="preserve"> group summaries.</w:t>
      </w:r>
    </w:p>
    <w:p w14:paraId="1ED71208" w14:textId="6BDBACE2" w:rsidR="00462585" w:rsidRDefault="00117B7D" w:rsidP="00117B7D">
      <w:pPr>
        <w:spacing w:after="120" w:line="360" w:lineRule="auto"/>
        <w:contextualSpacing/>
        <w:jc w:val="both"/>
        <w:rPr>
          <w:rFonts w:ascii="Times New Roman" w:hAnsi="Times New Roman" w:cs="Times New Roman"/>
        </w:rPr>
      </w:pPr>
      <w:r w:rsidRPr="00117B7D">
        <w:rPr>
          <w:rFonts w:ascii="Times New Roman" w:hAnsi="Times New Roman" w:cs="Times New Roman"/>
        </w:rPr>
        <w:t>Two experts were removed from the sample in the base case analysis. They both indicated that the probability of survival was lower in patients who were susceptible to treatment than those who were not susceptible, for two sites of infection. This was judged to be implausible.</w:t>
      </w:r>
    </w:p>
    <w:p w14:paraId="2587BC21" w14:textId="2448A30F" w:rsidR="00462585" w:rsidRPr="0080269E" w:rsidRDefault="00462585" w:rsidP="0080269E">
      <w:pPr>
        <w:pStyle w:val="Heading3"/>
        <w:ind w:left="720" w:firstLine="720"/>
        <w:rPr>
          <w:rFonts w:ascii="Times New Roman" w:hAnsi="Times New Roman" w:cs="Times New Roman"/>
          <w:sz w:val="26"/>
          <w:szCs w:val="26"/>
        </w:rPr>
      </w:pPr>
      <w:bookmarkStart w:id="250" w:name="_Toc87463011"/>
      <w:r w:rsidRPr="0080269E">
        <w:rPr>
          <w:rFonts w:ascii="Times New Roman" w:hAnsi="Times New Roman" w:cs="Times New Roman"/>
          <w:sz w:val="26"/>
          <w:szCs w:val="26"/>
        </w:rPr>
        <w:t>5.2.2</w:t>
      </w:r>
      <w:r w:rsidRPr="0080269E">
        <w:rPr>
          <w:rFonts w:ascii="Times New Roman" w:hAnsi="Times New Roman" w:cs="Times New Roman"/>
          <w:sz w:val="26"/>
          <w:szCs w:val="26"/>
        </w:rPr>
        <w:tab/>
        <w:t>Group summaries</w:t>
      </w:r>
      <w:bookmarkEnd w:id="249"/>
      <w:bookmarkEnd w:id="250"/>
    </w:p>
    <w:p w14:paraId="24997525" w14:textId="6D9A6062" w:rsidR="00EC4BFF" w:rsidRPr="00EC4BFF" w:rsidRDefault="00EC4BFF" w:rsidP="00EC4BFF">
      <w:pPr>
        <w:spacing w:after="120" w:line="360" w:lineRule="auto"/>
        <w:contextualSpacing/>
        <w:jc w:val="both"/>
        <w:rPr>
          <w:rFonts w:ascii="Times New Roman" w:hAnsi="Times New Roman" w:cs="Times New Roman"/>
        </w:rPr>
      </w:pPr>
      <w:r w:rsidRPr="00EC4BFF">
        <w:rPr>
          <w:rFonts w:ascii="Times New Roman" w:hAnsi="Times New Roman" w:cs="Times New Roman"/>
        </w:rPr>
        <w:t xml:space="preserve">Pooled summaries for each elicited quantity are shown in Appendix 9. The group summaries on 30-day mortality indicate that survival is the lowest for VAP patients and highest for </w:t>
      </w:r>
      <w:proofErr w:type="spellStart"/>
      <w:r w:rsidRPr="00EC4BFF">
        <w:rPr>
          <w:rFonts w:ascii="Times New Roman" w:hAnsi="Times New Roman" w:cs="Times New Roman"/>
        </w:rPr>
        <w:t>cUTI</w:t>
      </w:r>
      <w:proofErr w:type="spellEnd"/>
      <w:r w:rsidRPr="00EC4BFF">
        <w:rPr>
          <w:rFonts w:ascii="Times New Roman" w:hAnsi="Times New Roman" w:cs="Times New Roman"/>
        </w:rPr>
        <w:t xml:space="preserve"> patients, and that susceptibility to treatment increases the probability of survival, for all three sites of infection. The group summaries on L</w:t>
      </w:r>
      <w:r w:rsidR="005B4EB8">
        <w:rPr>
          <w:rFonts w:ascii="Times New Roman" w:hAnsi="Times New Roman" w:cs="Times New Roman"/>
        </w:rPr>
        <w:t>O</w:t>
      </w:r>
      <w:r w:rsidRPr="00EC4BFF">
        <w:rPr>
          <w:rFonts w:ascii="Times New Roman" w:hAnsi="Times New Roman" w:cs="Times New Roman"/>
        </w:rPr>
        <w:t xml:space="preserve">S indicate that the </w:t>
      </w:r>
      <w:r w:rsidR="005B4EB8">
        <w:rPr>
          <w:rFonts w:ascii="Times New Roman" w:hAnsi="Times New Roman" w:cs="Times New Roman"/>
        </w:rPr>
        <w:t>LOS</w:t>
      </w:r>
      <w:r w:rsidRPr="00EC4BFF">
        <w:rPr>
          <w:rFonts w:ascii="Times New Roman" w:hAnsi="Times New Roman" w:cs="Times New Roman"/>
        </w:rPr>
        <w:t xml:space="preserve"> is the shortest in patients with </w:t>
      </w:r>
      <w:proofErr w:type="spellStart"/>
      <w:r w:rsidRPr="00EC4BFF">
        <w:rPr>
          <w:rFonts w:ascii="Times New Roman" w:hAnsi="Times New Roman" w:cs="Times New Roman"/>
        </w:rPr>
        <w:t>cUTIs</w:t>
      </w:r>
      <w:proofErr w:type="spellEnd"/>
      <w:r w:rsidRPr="00EC4BFF">
        <w:rPr>
          <w:rFonts w:ascii="Times New Roman" w:hAnsi="Times New Roman" w:cs="Times New Roman"/>
        </w:rPr>
        <w:t xml:space="preserve"> and the longest for patients with VAP. For all three sites of infection, susceptibility to treatment decreased the L</w:t>
      </w:r>
      <w:r w:rsidR="005B4EB8">
        <w:rPr>
          <w:rFonts w:ascii="Times New Roman" w:hAnsi="Times New Roman" w:cs="Times New Roman"/>
        </w:rPr>
        <w:t>O</w:t>
      </w:r>
      <w:r w:rsidRPr="00EC4BFF">
        <w:rPr>
          <w:rFonts w:ascii="Times New Roman" w:hAnsi="Times New Roman" w:cs="Times New Roman"/>
        </w:rPr>
        <w:t xml:space="preserve">S. The group summaries for the proportion of time spent on different types of wards indicate that patients with VAP spend the most time in ICU and the least time on general medical wards, followed by HAP, then </w:t>
      </w:r>
      <w:proofErr w:type="spellStart"/>
      <w:r w:rsidRPr="00EC4BFF">
        <w:rPr>
          <w:rFonts w:ascii="Times New Roman" w:hAnsi="Times New Roman" w:cs="Times New Roman"/>
        </w:rPr>
        <w:t>cUTIs</w:t>
      </w:r>
      <w:proofErr w:type="spellEnd"/>
      <w:r w:rsidRPr="00EC4BFF">
        <w:rPr>
          <w:rFonts w:ascii="Times New Roman" w:hAnsi="Times New Roman" w:cs="Times New Roman"/>
        </w:rPr>
        <w:t>. Furthermore, patients who are susceptible to treatment are expected to spend more time on the general medical ward and less on ICU and HDU, for all three sites of infection.</w:t>
      </w:r>
    </w:p>
    <w:p w14:paraId="3EE6FEF4" w14:textId="373950CA" w:rsidR="00EC4BFF" w:rsidRDefault="00EC4BFF" w:rsidP="00EC4BFF">
      <w:pPr>
        <w:spacing w:after="120" w:line="360" w:lineRule="auto"/>
        <w:contextualSpacing/>
        <w:jc w:val="both"/>
        <w:rPr>
          <w:rFonts w:ascii="Times New Roman" w:hAnsi="Times New Roman" w:cs="Times New Roman"/>
        </w:rPr>
      </w:pPr>
      <w:r w:rsidRPr="00EC4BFF">
        <w:rPr>
          <w:rFonts w:ascii="Times New Roman" w:hAnsi="Times New Roman" w:cs="Times New Roman"/>
        </w:rPr>
        <w:t xml:space="preserve">In the model, outcomes of HAP and VAP were modelled together, and so experts’ responses were pooled. When pooling, outcomes for HAP and VAP were weighted by their relative occurrence in </w:t>
      </w:r>
      <w:proofErr w:type="spellStart"/>
      <w:r w:rsidRPr="00EC4BFF">
        <w:rPr>
          <w:rFonts w:ascii="Times New Roman" w:hAnsi="Times New Roman" w:cs="Times New Roman"/>
        </w:rPr>
        <w:t>Tumbarello</w:t>
      </w:r>
      <w:proofErr w:type="spellEnd"/>
      <w:r w:rsidRPr="00EC4BFF">
        <w:rPr>
          <w:rFonts w:ascii="Times New Roman" w:hAnsi="Times New Roman" w:cs="Times New Roman"/>
        </w:rPr>
        <w:t xml:space="preserve"> et al. (2013) - 0.283 (28/99) for HAP and 0.617 (71/99) for VAP. </w:t>
      </w:r>
      <w:proofErr w:type="spellStart"/>
      <w:r w:rsidRPr="00EC4BFF">
        <w:rPr>
          <w:rFonts w:ascii="Times New Roman" w:hAnsi="Times New Roman" w:cs="Times New Roman"/>
        </w:rPr>
        <w:t>Tumbarello</w:t>
      </w:r>
      <w:proofErr w:type="spellEnd"/>
      <w:r w:rsidRPr="00EC4BFF">
        <w:rPr>
          <w:rFonts w:ascii="Times New Roman" w:hAnsi="Times New Roman" w:cs="Times New Roman"/>
        </w:rPr>
        <w:t xml:space="preserve"> was chosen </w:t>
      </w:r>
      <w:r w:rsidRPr="00EC4BFF">
        <w:rPr>
          <w:rFonts w:ascii="Times New Roman" w:hAnsi="Times New Roman" w:cs="Times New Roman"/>
        </w:rPr>
        <w:lastRenderedPageBreak/>
        <w:t>as the study where participants were the most representative of patients in the HVCSs that reported the proportion of patients with HAP that was ventilator-associated.</w:t>
      </w:r>
    </w:p>
    <w:p w14:paraId="2CDD2422" w14:textId="77777777" w:rsidR="005B4EB8" w:rsidRDefault="005B4EB8" w:rsidP="00EC4BFF">
      <w:pPr>
        <w:spacing w:after="120" w:line="360" w:lineRule="auto"/>
        <w:contextualSpacing/>
        <w:jc w:val="both"/>
        <w:rPr>
          <w:rFonts w:ascii="Times New Roman" w:hAnsi="Times New Roman" w:cs="Times New Roman"/>
        </w:rPr>
      </w:pPr>
    </w:p>
    <w:p w14:paraId="5FFC533B" w14:textId="1B7395A7" w:rsidR="00462585" w:rsidRPr="00462585" w:rsidRDefault="00462585" w:rsidP="00EC4BFF">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The pooled results for expert beliefs are shown in </w:t>
      </w:r>
      <w:r w:rsidR="005452F3" w:rsidRPr="005452F3">
        <w:rPr>
          <w:rFonts w:ascii="Times New Roman" w:hAnsi="Times New Roman" w:cs="Times New Roman"/>
        </w:rPr>
        <w:t>Figure 7</w:t>
      </w:r>
      <w:r w:rsidR="005452F3">
        <w:rPr>
          <w:rFonts w:ascii="Times New Roman" w:hAnsi="Times New Roman" w:cs="Times New Roman"/>
        </w:rPr>
        <w:t xml:space="preserve"> </w:t>
      </w:r>
      <w:r w:rsidRPr="00462585">
        <w:rPr>
          <w:rFonts w:ascii="Times New Roman" w:hAnsi="Times New Roman" w:cs="Times New Roman"/>
        </w:rPr>
        <w:t xml:space="preserve">and </w:t>
      </w:r>
      <w:r w:rsidR="005452F3" w:rsidRPr="005452F3">
        <w:rPr>
          <w:rFonts w:ascii="Times New Roman" w:hAnsi="Times New Roman" w:cs="Times New Roman"/>
        </w:rPr>
        <w:t>Figure 8</w:t>
      </w:r>
      <w:r w:rsidRPr="00462585">
        <w:rPr>
          <w:rFonts w:ascii="Times New Roman" w:hAnsi="Times New Roman" w:cs="Times New Roman"/>
        </w:rPr>
        <w:t xml:space="preserve"> and summarised in</w:t>
      </w:r>
      <w:r w:rsidR="00EE4C38">
        <w:rPr>
          <w:rFonts w:ascii="Times New Roman" w:hAnsi="Times New Roman" w:cs="Times New Roman"/>
        </w:rPr>
        <w:t xml:space="preserve"> </w:t>
      </w:r>
      <w:r w:rsidR="00EE4C38" w:rsidRPr="00EE4C38">
        <w:rPr>
          <w:rFonts w:ascii="Times New Roman" w:hAnsi="Times New Roman" w:cs="Times New Roman"/>
        </w:rPr>
        <w:t>Table 14</w:t>
      </w:r>
      <w:r w:rsidRPr="00462585">
        <w:rPr>
          <w:rFonts w:ascii="Times New Roman" w:hAnsi="Times New Roman" w:cs="Times New Roman"/>
        </w:rPr>
        <w:t>.</w:t>
      </w:r>
    </w:p>
    <w:p w14:paraId="17CB369D" w14:textId="77777777" w:rsidR="00462585" w:rsidRDefault="00462585" w:rsidP="005452F3">
      <w:bookmarkStart w:id="251" w:name="_Ref83299394"/>
      <w:bookmarkStart w:id="252" w:name="_Toc83380729"/>
      <w:bookmarkStart w:id="253" w:name="_Toc83821921"/>
      <w:bookmarkStart w:id="254" w:name="_Toc83565310"/>
      <w:bookmarkStart w:id="255" w:name="_Toc83999805"/>
    </w:p>
    <w:p w14:paraId="525803B5" w14:textId="7B301CA1" w:rsidR="001641BF" w:rsidRPr="00483CEE" w:rsidRDefault="001641BF" w:rsidP="001641BF">
      <w:pPr>
        <w:pStyle w:val="Caption"/>
        <w:jc w:val="both"/>
        <w:rPr>
          <w:rFonts w:asciiTheme="majorBidi" w:hAnsiTheme="majorBidi" w:cstheme="majorBidi"/>
          <w:b/>
          <w:bCs/>
          <w:i w:val="0"/>
          <w:iCs w:val="0"/>
          <w:color w:val="auto"/>
          <w:sz w:val="20"/>
          <w:szCs w:val="20"/>
        </w:rPr>
      </w:pPr>
      <w:bookmarkStart w:id="256" w:name="_Ref85649584"/>
      <w:bookmarkStart w:id="257" w:name="_Toc86419052"/>
      <w:bookmarkEnd w:id="251"/>
      <w:bookmarkEnd w:id="252"/>
      <w:bookmarkEnd w:id="253"/>
      <w:bookmarkEnd w:id="254"/>
      <w:bookmarkEnd w:id="255"/>
      <w:r w:rsidRPr="00483CEE">
        <w:rPr>
          <w:rFonts w:asciiTheme="majorBidi" w:hAnsiTheme="majorBidi" w:cstheme="majorBidi"/>
          <w:b/>
          <w:bCs/>
          <w:i w:val="0"/>
          <w:iCs w:val="0"/>
          <w:color w:val="auto"/>
          <w:sz w:val="20"/>
          <w:szCs w:val="20"/>
        </w:rPr>
        <w:t xml:space="preserve">Figure </w:t>
      </w:r>
      <w:r w:rsidR="0021430F">
        <w:rPr>
          <w:rFonts w:asciiTheme="majorBidi" w:hAnsiTheme="majorBidi" w:cstheme="majorBidi"/>
          <w:b/>
          <w:bCs/>
          <w:i w:val="0"/>
          <w:iCs w:val="0"/>
          <w:noProof/>
          <w:color w:val="auto"/>
          <w:sz w:val="20"/>
          <w:szCs w:val="20"/>
        </w:rPr>
        <w:t>7</w:t>
      </w:r>
      <w:bookmarkEnd w:id="256"/>
      <w:r w:rsidRPr="00483CEE">
        <w:rPr>
          <w:rFonts w:asciiTheme="majorBidi" w:hAnsiTheme="majorBidi" w:cstheme="majorBidi"/>
          <w:b/>
          <w:bCs/>
          <w:i w:val="0"/>
          <w:iCs w:val="0"/>
          <w:color w:val="auto"/>
          <w:sz w:val="20"/>
          <w:szCs w:val="20"/>
        </w:rPr>
        <w:t xml:space="preserve">.  </w:t>
      </w:r>
      <w:proofErr w:type="gramStart"/>
      <w:r w:rsidRPr="00483CEE">
        <w:rPr>
          <w:rFonts w:asciiTheme="majorBidi" w:hAnsiTheme="majorBidi" w:cstheme="majorBidi"/>
          <w:b/>
          <w:bCs/>
          <w:i w:val="0"/>
          <w:iCs w:val="0"/>
          <w:color w:val="auto"/>
          <w:sz w:val="20"/>
          <w:szCs w:val="20"/>
        </w:rPr>
        <w:t>30 day</w:t>
      </w:r>
      <w:proofErr w:type="gramEnd"/>
      <w:r w:rsidRPr="00483CEE">
        <w:rPr>
          <w:rFonts w:asciiTheme="majorBidi" w:hAnsiTheme="majorBidi" w:cstheme="majorBidi"/>
          <w:b/>
          <w:bCs/>
          <w:i w:val="0"/>
          <w:iCs w:val="0"/>
          <w:color w:val="auto"/>
          <w:sz w:val="20"/>
          <w:szCs w:val="20"/>
        </w:rPr>
        <w:t xml:space="preserve"> </w:t>
      </w:r>
      <w:proofErr w:type="spellStart"/>
      <w:r w:rsidRPr="00483CEE">
        <w:rPr>
          <w:rFonts w:asciiTheme="majorBidi" w:hAnsiTheme="majorBidi" w:cstheme="majorBidi"/>
          <w:b/>
          <w:bCs/>
          <w:i w:val="0"/>
          <w:iCs w:val="0"/>
          <w:color w:val="auto"/>
          <w:sz w:val="20"/>
          <w:szCs w:val="20"/>
        </w:rPr>
        <w:t>surivival</w:t>
      </w:r>
      <w:proofErr w:type="spellEnd"/>
      <w:r w:rsidRPr="00483CEE">
        <w:rPr>
          <w:rFonts w:asciiTheme="majorBidi" w:hAnsiTheme="majorBidi" w:cstheme="majorBidi"/>
          <w:b/>
          <w:bCs/>
          <w:i w:val="0"/>
          <w:iCs w:val="0"/>
          <w:color w:val="auto"/>
          <w:sz w:val="20"/>
          <w:szCs w:val="20"/>
        </w:rPr>
        <w:t xml:space="preserve"> with HAP/VAP combined</w:t>
      </w:r>
      <w:bookmarkEnd w:id="257"/>
    </w:p>
    <w:p w14:paraId="408E30F1" w14:textId="30768064" w:rsidR="00462585" w:rsidRPr="00462585" w:rsidRDefault="00D353F9" w:rsidP="00462585">
      <w:pPr>
        <w:spacing w:after="120" w:line="360" w:lineRule="auto"/>
        <w:contextualSpacing/>
        <w:jc w:val="both"/>
        <w:rPr>
          <w:rFonts w:ascii="Times New Roman" w:hAnsi="Times New Roman" w:cs="Times New Roman"/>
        </w:rPr>
      </w:pPr>
      <w:r>
        <w:rPr>
          <w:rFonts w:ascii="Times New Roman" w:hAnsi="Times New Roman" w:cs="Times New Roman"/>
          <w:noProof/>
          <w:lang w:eastAsia="en-GB"/>
        </w:rPr>
        <w:drawing>
          <wp:inline distT="0" distB="0" distL="0" distR="0" wp14:anchorId="4D284D1A" wp14:editId="17721A79">
            <wp:extent cx="5715000" cy="2857500"/>
            <wp:effectExtent l="0" t="0" r="0" b="0"/>
            <wp:docPr id="16" name="Picture 16" descr="30 day survival with HAP/VAP combined  presented in a line graph.&#10; HAP/VAP, susceptible (P=0.578)&#10;cUTI, susceptible (P=0.854)&#10;HAP/VAP, not susceptible (P=0.376)&#10;cUTI, not susceptible (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30 day survival with HAP/VAP combined  presented in a line graph.&#10; HAP/VAP, susceptible (P=0.578)&#10;cUTI, susceptible (P=0.854)&#10;HAP/VAP, not susceptible (P=0.376)&#10;cUTI, not susceptible (P=0.6)"/>
                    <pic:cNvPicPr/>
                  </pic:nvPicPr>
                  <pic:blipFill>
                    <a:blip r:embed="rId21">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467C6E99" w14:textId="77777777" w:rsidR="00D353F9" w:rsidRPr="004A12CB" w:rsidRDefault="00D353F9" w:rsidP="00D353F9">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 P, proportion</w:t>
      </w:r>
    </w:p>
    <w:p w14:paraId="7A763081" w14:textId="0FE51E19" w:rsidR="00EC4BFF" w:rsidRDefault="00EC4BFF" w:rsidP="00462585">
      <w:pPr>
        <w:spacing w:after="120" w:line="360" w:lineRule="auto"/>
        <w:contextualSpacing/>
        <w:jc w:val="both"/>
        <w:rPr>
          <w:rFonts w:ascii="Times New Roman" w:hAnsi="Times New Roman" w:cs="Times New Roman"/>
          <w:b/>
          <w:bCs/>
          <w:sz w:val="20"/>
          <w:szCs w:val="20"/>
        </w:rPr>
      </w:pPr>
      <w:bookmarkStart w:id="258" w:name="_Ref83299395"/>
      <w:bookmarkStart w:id="259" w:name="_Ref85649624"/>
      <w:bookmarkStart w:id="260" w:name="_Toc83380730"/>
      <w:bookmarkStart w:id="261" w:name="_Toc83821922"/>
      <w:bookmarkStart w:id="262" w:name="_Toc83565311"/>
      <w:bookmarkStart w:id="263" w:name="_Toc83999806"/>
    </w:p>
    <w:p w14:paraId="38C8C2D4" w14:textId="61487820" w:rsidR="00462585" w:rsidRPr="001641BF" w:rsidRDefault="00462585" w:rsidP="00462585">
      <w:pPr>
        <w:spacing w:after="120" w:line="360" w:lineRule="auto"/>
        <w:contextualSpacing/>
        <w:jc w:val="both"/>
        <w:rPr>
          <w:rFonts w:ascii="Times New Roman" w:hAnsi="Times New Roman" w:cs="Times New Roman"/>
          <w:b/>
          <w:bCs/>
          <w:sz w:val="20"/>
          <w:szCs w:val="20"/>
        </w:rPr>
      </w:pPr>
      <w:bookmarkStart w:id="264" w:name="_Toc86419053"/>
      <w:r w:rsidRPr="001641BF">
        <w:rPr>
          <w:rFonts w:ascii="Times New Roman" w:hAnsi="Times New Roman" w:cs="Times New Roman"/>
          <w:b/>
          <w:bCs/>
          <w:sz w:val="20"/>
          <w:szCs w:val="20"/>
        </w:rPr>
        <w:t xml:space="preserve">Figure </w:t>
      </w:r>
      <w:r w:rsidR="0021430F">
        <w:rPr>
          <w:rFonts w:ascii="Times New Roman" w:hAnsi="Times New Roman" w:cs="Times New Roman"/>
          <w:b/>
          <w:bCs/>
          <w:noProof/>
          <w:sz w:val="20"/>
          <w:szCs w:val="20"/>
        </w:rPr>
        <w:t>8</w:t>
      </w:r>
      <w:bookmarkEnd w:id="258"/>
      <w:bookmarkEnd w:id="259"/>
      <w:r w:rsidRPr="001641BF">
        <w:rPr>
          <w:rFonts w:ascii="Times New Roman" w:hAnsi="Times New Roman" w:cs="Times New Roman"/>
          <w:b/>
          <w:bCs/>
          <w:sz w:val="20"/>
          <w:szCs w:val="20"/>
        </w:rPr>
        <w:t>. Expected LOS with HAP/VAP combined.</w:t>
      </w:r>
      <w:bookmarkEnd w:id="260"/>
      <w:bookmarkEnd w:id="261"/>
      <w:bookmarkEnd w:id="262"/>
      <w:bookmarkEnd w:id="263"/>
      <w:bookmarkEnd w:id="264"/>
    </w:p>
    <w:p w14:paraId="08E71EB4" w14:textId="1A0411F0" w:rsidR="00462585" w:rsidRDefault="00462585" w:rsidP="00462585">
      <w:pPr>
        <w:spacing w:after="120" w:line="360" w:lineRule="auto"/>
        <w:contextualSpacing/>
        <w:jc w:val="both"/>
        <w:rPr>
          <w:rFonts w:ascii="Times New Roman" w:hAnsi="Times New Roman" w:cs="Times New Roman"/>
        </w:rPr>
      </w:pPr>
      <w:r w:rsidRPr="00462585">
        <w:rPr>
          <w:rFonts w:ascii="Times New Roman" w:hAnsi="Times New Roman" w:cs="Times New Roman"/>
          <w:noProof/>
          <w:lang w:eastAsia="en-GB"/>
        </w:rPr>
        <w:drawing>
          <wp:inline distT="0" distB="0" distL="0" distR="0" wp14:anchorId="3174438C" wp14:editId="0C935C16">
            <wp:extent cx="5715000" cy="2857500"/>
            <wp:effectExtent l="0" t="0" r="0" b="0"/>
            <wp:docPr id="5" name="Picture 5" descr="Expected LOS with HAP/VAP combined, presented in a line graph.&#10;HAP/VAP, susceptible (mean=20.4)&#10;cUTI, susceptible (mean=12.9)&#10;HAP/VAP, not susceptible (mean=24.3)&#10;cUTI, not susceptible (mean=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pected LOS with HAP/VAP combined, presented in a line graph.&#10;HAP/VAP, susceptible (mean=20.4)&#10;cUTI, susceptible (mean=12.9)&#10;HAP/VAP, not susceptible (mean=24.3)&#10;cUTI, not susceptible (mean=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2930DB09" w14:textId="69C7B9BF" w:rsidR="00A02611" w:rsidRPr="00A02611" w:rsidRDefault="00A02611" w:rsidP="00A02611">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w:t>
      </w:r>
    </w:p>
    <w:p w14:paraId="25919125" w14:textId="77777777" w:rsidR="00462585" w:rsidRPr="00462585" w:rsidRDefault="00462585" w:rsidP="00462585">
      <w:pPr>
        <w:spacing w:after="120" w:line="360" w:lineRule="auto"/>
        <w:contextualSpacing/>
        <w:jc w:val="both"/>
        <w:rPr>
          <w:rFonts w:ascii="Times New Roman" w:hAnsi="Times New Roman" w:cs="Times New Roman"/>
        </w:rPr>
      </w:pPr>
    </w:p>
    <w:p w14:paraId="5C7A034B" w14:textId="61612DA7" w:rsidR="00462585" w:rsidRPr="001641BF" w:rsidRDefault="00462585" w:rsidP="00462585">
      <w:pPr>
        <w:spacing w:after="120" w:line="360" w:lineRule="auto"/>
        <w:contextualSpacing/>
        <w:jc w:val="both"/>
        <w:rPr>
          <w:rFonts w:ascii="Times New Roman" w:hAnsi="Times New Roman" w:cs="Times New Roman"/>
          <w:b/>
          <w:bCs/>
          <w:sz w:val="20"/>
          <w:szCs w:val="20"/>
        </w:rPr>
      </w:pPr>
      <w:bookmarkStart w:id="265" w:name="_Ref83299434"/>
      <w:bookmarkStart w:id="266" w:name="_Toc83380696"/>
      <w:bookmarkStart w:id="267" w:name="_Toc83821914"/>
      <w:bookmarkStart w:id="268" w:name="_Toc83565300"/>
      <w:bookmarkStart w:id="269" w:name="_Toc83999799"/>
      <w:bookmarkStart w:id="270" w:name="_Toc86418991"/>
      <w:r w:rsidRPr="001641BF">
        <w:rPr>
          <w:rFonts w:ascii="Times New Roman" w:hAnsi="Times New Roman" w:cs="Times New Roman"/>
          <w:b/>
          <w:bCs/>
          <w:sz w:val="20"/>
          <w:szCs w:val="20"/>
        </w:rPr>
        <w:t xml:space="preserve">Table </w:t>
      </w:r>
      <w:r w:rsidR="00F10F0A">
        <w:rPr>
          <w:rFonts w:ascii="Times New Roman" w:hAnsi="Times New Roman" w:cs="Times New Roman"/>
          <w:b/>
          <w:bCs/>
          <w:noProof/>
          <w:sz w:val="20"/>
          <w:szCs w:val="20"/>
        </w:rPr>
        <w:t>14</w:t>
      </w:r>
      <w:bookmarkEnd w:id="265"/>
      <w:r w:rsidRPr="001641BF">
        <w:rPr>
          <w:rFonts w:ascii="Times New Roman" w:hAnsi="Times New Roman" w:cs="Times New Roman"/>
          <w:b/>
          <w:bCs/>
          <w:sz w:val="20"/>
          <w:szCs w:val="20"/>
        </w:rPr>
        <w:t>. Proportion (%) of hospital stay spent on ICU, HDU and general medical ward.</w:t>
      </w:r>
      <w:bookmarkEnd w:id="266"/>
      <w:bookmarkEnd w:id="267"/>
      <w:bookmarkEnd w:id="268"/>
      <w:bookmarkEnd w:id="269"/>
      <w:bookmarkEnd w:id="270"/>
    </w:p>
    <w:tbl>
      <w:tblPr>
        <w:tblW w:w="0" w:type="auto"/>
        <w:tblCellMar>
          <w:top w:w="15" w:type="dxa"/>
          <w:left w:w="15" w:type="dxa"/>
          <w:bottom w:w="15" w:type="dxa"/>
          <w:right w:w="15" w:type="dxa"/>
        </w:tblCellMar>
        <w:tblLook w:val="04A0" w:firstRow="1" w:lastRow="0" w:firstColumn="1" w:lastColumn="0" w:noHBand="0" w:noVBand="1"/>
      </w:tblPr>
      <w:tblGrid>
        <w:gridCol w:w="2366"/>
        <w:gridCol w:w="1020"/>
        <w:gridCol w:w="1020"/>
        <w:gridCol w:w="1982"/>
      </w:tblGrid>
      <w:tr w:rsidR="00462585" w:rsidRPr="00462585" w14:paraId="44D77C5F" w14:textId="77777777" w:rsidTr="004625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D3FB1" w14:textId="77777777" w:rsidR="00462585" w:rsidRPr="004A4B7C" w:rsidRDefault="00462585" w:rsidP="004A4B7C">
            <w:pPr>
              <w:spacing w:after="0" w:line="240" w:lineRule="auto"/>
              <w:contextualSpacing/>
              <w:jc w:val="both"/>
              <w:rPr>
                <w:rFonts w:ascii="Times New Roman" w:hAnsi="Times New Roman" w:cs="Times New Roman"/>
                <w:sz w:val="20"/>
                <w:szCs w:val="20"/>
              </w:rPr>
            </w:pPr>
          </w:p>
        </w:tc>
        <w:tc>
          <w:tcPr>
            <w:tcW w:w="102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5E15545"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ICU</w:t>
            </w:r>
          </w:p>
        </w:tc>
        <w:tc>
          <w:tcPr>
            <w:tcW w:w="102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0912E74"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HDU</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CAFF1AE"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General medical ward</w:t>
            </w:r>
          </w:p>
        </w:tc>
      </w:tr>
      <w:tr w:rsidR="00462585" w:rsidRPr="00462585" w14:paraId="5CB19923" w14:textId="77777777" w:rsidTr="00462585">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9CB3263"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HAP/VAP,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8CCB2"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49.90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17C24"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14.94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442C0"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35.16</w:t>
            </w:r>
          </w:p>
        </w:tc>
      </w:tr>
      <w:tr w:rsidR="00462585" w:rsidRPr="00462585" w14:paraId="23CE7870" w14:textId="77777777" w:rsidTr="00462585">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44CC84E"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HAP/VAP, not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D2417"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58.92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E5254"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17.21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967C3"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23.86</w:t>
            </w:r>
          </w:p>
        </w:tc>
      </w:tr>
      <w:tr w:rsidR="00462585" w:rsidRPr="00462585" w14:paraId="761FCBA3" w14:textId="77777777" w:rsidTr="00462585">
        <w:trPr>
          <w:trHeight w:val="284"/>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2EF16F0" w14:textId="77777777" w:rsidR="00462585" w:rsidRPr="004A4B7C" w:rsidRDefault="00462585" w:rsidP="004A4B7C">
            <w:pPr>
              <w:spacing w:after="0" w:line="240" w:lineRule="auto"/>
              <w:contextualSpacing/>
              <w:jc w:val="both"/>
              <w:rPr>
                <w:rFonts w:ascii="Times New Roman" w:hAnsi="Times New Roman" w:cs="Times New Roman"/>
                <w:sz w:val="20"/>
                <w:szCs w:val="20"/>
              </w:rPr>
            </w:pPr>
            <w:proofErr w:type="spellStart"/>
            <w:r w:rsidRPr="004A4B7C">
              <w:rPr>
                <w:rFonts w:ascii="Times New Roman" w:hAnsi="Times New Roman" w:cs="Times New Roman"/>
                <w:sz w:val="20"/>
                <w:szCs w:val="20"/>
              </w:rPr>
              <w:t>cUTI</w:t>
            </w:r>
            <w:proofErr w:type="spellEnd"/>
            <w:r w:rsidRPr="004A4B7C">
              <w:rPr>
                <w:rFonts w:ascii="Times New Roman" w:hAnsi="Times New Roman" w:cs="Times New Roman"/>
                <w:sz w:val="20"/>
                <w:szCs w:val="20"/>
              </w:rPr>
              <w: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FBC24"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15.00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1B1CE"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17.00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F07EB"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68.00</w:t>
            </w:r>
          </w:p>
        </w:tc>
      </w:tr>
      <w:tr w:rsidR="00462585" w:rsidRPr="00462585" w14:paraId="5A32FAFA" w14:textId="77777777" w:rsidTr="00462585">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CD4236D" w14:textId="77777777" w:rsidR="00462585" w:rsidRPr="004A4B7C" w:rsidRDefault="00462585" w:rsidP="004A4B7C">
            <w:pPr>
              <w:spacing w:after="0" w:line="240" w:lineRule="auto"/>
              <w:contextualSpacing/>
              <w:jc w:val="both"/>
              <w:rPr>
                <w:rFonts w:ascii="Times New Roman" w:hAnsi="Times New Roman" w:cs="Times New Roman"/>
                <w:sz w:val="20"/>
                <w:szCs w:val="20"/>
              </w:rPr>
            </w:pPr>
            <w:proofErr w:type="spellStart"/>
            <w:r w:rsidRPr="004A4B7C">
              <w:rPr>
                <w:rFonts w:ascii="Times New Roman" w:hAnsi="Times New Roman" w:cs="Times New Roman"/>
                <w:sz w:val="20"/>
                <w:szCs w:val="20"/>
              </w:rPr>
              <w:t>cUTI</w:t>
            </w:r>
            <w:proofErr w:type="spellEnd"/>
            <w:r w:rsidRPr="004A4B7C">
              <w:rPr>
                <w:rFonts w:ascii="Times New Roman" w:hAnsi="Times New Roman" w:cs="Times New Roman"/>
                <w:sz w:val="20"/>
                <w:szCs w:val="20"/>
              </w:rPr>
              <w:t>, not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FE623"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23.33</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CA8E0"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18.33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78340" w14:textId="77777777" w:rsidR="00462585" w:rsidRPr="004A4B7C" w:rsidRDefault="00462585" w:rsidP="004A4B7C">
            <w:pPr>
              <w:spacing w:after="0" w:line="240" w:lineRule="auto"/>
              <w:contextualSpacing/>
              <w:jc w:val="both"/>
              <w:rPr>
                <w:rFonts w:ascii="Times New Roman" w:hAnsi="Times New Roman" w:cs="Times New Roman"/>
                <w:sz w:val="20"/>
                <w:szCs w:val="20"/>
              </w:rPr>
            </w:pPr>
            <w:r w:rsidRPr="004A4B7C">
              <w:rPr>
                <w:rFonts w:ascii="Times New Roman" w:hAnsi="Times New Roman" w:cs="Times New Roman"/>
                <w:sz w:val="20"/>
                <w:szCs w:val="20"/>
              </w:rPr>
              <w:t>58.33</w:t>
            </w:r>
          </w:p>
        </w:tc>
      </w:tr>
    </w:tbl>
    <w:p w14:paraId="0F63C277" w14:textId="77777777" w:rsidR="00A02611" w:rsidRPr="0059177A" w:rsidRDefault="00A02611" w:rsidP="00A02611">
      <w:pPr>
        <w:pStyle w:val="EEPRUtextundertables"/>
      </w:pPr>
      <w:bookmarkStart w:id="271" w:name="_Toc83890518"/>
      <w:proofErr w:type="spellStart"/>
      <w:r w:rsidRPr="0059177A">
        <w:t>cUTI</w:t>
      </w:r>
      <w:proofErr w:type="spellEnd"/>
      <w:r w:rsidRPr="0059177A">
        <w:t>, complicated urinary tract infection; HAP</w:t>
      </w:r>
      <w:r>
        <w:t>/VAP</w:t>
      </w:r>
      <w:r w:rsidRPr="0059177A">
        <w:t xml:space="preserve">, hospital-acquired </w:t>
      </w:r>
      <w:proofErr w:type="gramStart"/>
      <w:r w:rsidRPr="0059177A">
        <w:t>pneumonia</w:t>
      </w:r>
      <w:proofErr w:type="gramEnd"/>
      <w:r>
        <w:t xml:space="preserve"> or</w:t>
      </w:r>
      <w:r w:rsidRPr="0059177A">
        <w:t xml:space="preserve"> ventilator-a</w:t>
      </w:r>
      <w:r>
        <w:t>ssociat</w:t>
      </w:r>
      <w:r w:rsidRPr="0059177A">
        <w:t xml:space="preserve">ed pneumonia; </w:t>
      </w:r>
      <w:r>
        <w:t>HDU, high dependency unit; ICU, intensive care unit</w:t>
      </w:r>
    </w:p>
    <w:p w14:paraId="15D683AB" w14:textId="77777777" w:rsidR="00462585" w:rsidRDefault="00462585" w:rsidP="00462585">
      <w:pPr>
        <w:spacing w:after="120" w:line="360" w:lineRule="auto"/>
        <w:contextualSpacing/>
        <w:jc w:val="both"/>
        <w:rPr>
          <w:rFonts w:ascii="Times New Roman" w:hAnsi="Times New Roman" w:cs="Times New Roman"/>
          <w:b/>
          <w:bCs/>
        </w:rPr>
      </w:pPr>
    </w:p>
    <w:p w14:paraId="70D322A8" w14:textId="78EB9165" w:rsidR="00462585" w:rsidRPr="0080269E" w:rsidRDefault="00462585" w:rsidP="0080269E">
      <w:pPr>
        <w:pStyle w:val="Heading3"/>
        <w:ind w:left="720" w:firstLine="720"/>
        <w:rPr>
          <w:rFonts w:asciiTheme="majorBidi" w:hAnsiTheme="majorBidi"/>
          <w:sz w:val="26"/>
          <w:szCs w:val="26"/>
        </w:rPr>
      </w:pPr>
      <w:bookmarkStart w:id="272" w:name="_Toc87463012"/>
      <w:r w:rsidRPr="0080269E">
        <w:rPr>
          <w:rFonts w:asciiTheme="majorBidi" w:hAnsiTheme="majorBidi"/>
          <w:sz w:val="26"/>
          <w:szCs w:val="26"/>
        </w:rPr>
        <w:t>5.3.3</w:t>
      </w:r>
      <w:r w:rsidRPr="0080269E">
        <w:rPr>
          <w:rFonts w:asciiTheme="majorBidi" w:hAnsiTheme="majorBidi"/>
          <w:sz w:val="26"/>
          <w:szCs w:val="26"/>
        </w:rPr>
        <w:tab/>
        <w:t>Validation of experts’ estimates</w:t>
      </w:r>
      <w:bookmarkEnd w:id="271"/>
      <w:bookmarkEnd w:id="272"/>
    </w:p>
    <w:p w14:paraId="6EE57F10" w14:textId="28C794D4" w:rsidR="00462585" w:rsidRDefault="00462585" w:rsidP="00A83123">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We explored alternative sources of evidence to inform LOS in the model, </w:t>
      </w:r>
      <w:proofErr w:type="gramStart"/>
      <w:r w:rsidRPr="00462585">
        <w:rPr>
          <w:rFonts w:ascii="Times New Roman" w:hAnsi="Times New Roman" w:cs="Times New Roman"/>
        </w:rPr>
        <w:t>in order to</w:t>
      </w:r>
      <w:proofErr w:type="gramEnd"/>
      <w:r w:rsidRPr="00462585">
        <w:rPr>
          <w:rFonts w:ascii="Times New Roman" w:hAnsi="Times New Roman" w:cs="Times New Roman"/>
        </w:rPr>
        <w:t xml:space="preserve"> validate the elicitation results. </w:t>
      </w:r>
      <w:proofErr w:type="gramStart"/>
      <w:r w:rsidRPr="00462585">
        <w:rPr>
          <w:rFonts w:ascii="Times New Roman" w:hAnsi="Times New Roman" w:cs="Times New Roman"/>
        </w:rPr>
        <w:t>In particular, we</w:t>
      </w:r>
      <w:proofErr w:type="gramEnd"/>
      <w:r w:rsidRPr="00462585">
        <w:rPr>
          <w:rFonts w:ascii="Times New Roman" w:hAnsi="Times New Roman" w:cs="Times New Roman"/>
        </w:rPr>
        <w:t xml:space="preserve"> considered two UK-based studies that reported LOS in patients with </w:t>
      </w:r>
      <w:r w:rsidR="007C6FC0">
        <w:rPr>
          <w:rFonts w:ascii="Times New Roman" w:hAnsi="Times New Roman" w:cs="Times New Roman"/>
        </w:rPr>
        <w:t>carbapenem-resistant</w:t>
      </w:r>
      <w:r w:rsidRPr="00462585">
        <w:rPr>
          <w:rFonts w:ascii="Times New Roman" w:hAnsi="Times New Roman" w:cs="Times New Roman"/>
        </w:rPr>
        <w:t xml:space="preserve"> organisms – CARBAR </w:t>
      </w:r>
      <w:r w:rsidR="00A83123" w:rsidRPr="00A83123">
        <w:rPr>
          <w:rFonts w:ascii="Times New Roman" w:hAnsi="Times New Roman" w:cs="Times New Roman"/>
          <w:noProof/>
          <w:vertAlign w:val="superscript"/>
        </w:rPr>
        <w:t>100</w:t>
      </w:r>
      <w:r w:rsidRPr="00462585">
        <w:rPr>
          <w:rFonts w:ascii="Times New Roman" w:hAnsi="Times New Roman" w:cs="Times New Roman"/>
        </w:rPr>
        <w:t xml:space="preserve"> and Merrick </w:t>
      </w:r>
      <w:r w:rsidR="00A83123" w:rsidRPr="00A83123">
        <w:rPr>
          <w:rFonts w:ascii="Times New Roman" w:hAnsi="Times New Roman" w:cs="Times New Roman"/>
          <w:noProof/>
          <w:vertAlign w:val="superscript"/>
        </w:rPr>
        <w:t>101</w:t>
      </w:r>
      <w:r w:rsidRPr="00462585">
        <w:rPr>
          <w:rFonts w:ascii="Times New Roman" w:hAnsi="Times New Roman" w:cs="Times New Roman"/>
        </w:rPr>
        <w:t xml:space="preserve">, and the study by </w:t>
      </w:r>
      <w:proofErr w:type="spellStart"/>
      <w:r w:rsidRPr="00462585">
        <w:rPr>
          <w:rFonts w:ascii="Times New Roman" w:hAnsi="Times New Roman" w:cs="Times New Roman"/>
        </w:rPr>
        <w:t>Muscedere</w:t>
      </w:r>
      <w:proofErr w:type="spellEnd"/>
      <w:r w:rsidRPr="00462585">
        <w:rPr>
          <w:rFonts w:ascii="Times New Roman" w:hAnsi="Times New Roman" w:cs="Times New Roman"/>
        </w:rPr>
        <w:t xml:space="preserve"> </w:t>
      </w:r>
      <w:r w:rsidR="00A83123" w:rsidRPr="00A83123">
        <w:rPr>
          <w:rFonts w:ascii="Times New Roman" w:hAnsi="Times New Roman" w:cs="Times New Roman"/>
          <w:noProof/>
          <w:vertAlign w:val="superscript"/>
        </w:rPr>
        <w:t>102</w:t>
      </w:r>
      <w:r w:rsidRPr="00462585">
        <w:rPr>
          <w:rFonts w:ascii="Times New Roman" w:hAnsi="Times New Roman" w:cs="Times New Roman"/>
        </w:rPr>
        <w:t xml:space="preserve"> that was used to derive the relative reduction in the LOS associated with appropriate empiric therapy in the ES (</w:t>
      </w:r>
      <w:r w:rsidR="00CB020A">
        <w:rPr>
          <w:rFonts w:ascii="Times New Roman" w:hAnsi="Times New Roman" w:cs="Times New Roman"/>
        </w:rPr>
        <w:t xml:space="preserve">further detail </w:t>
      </w:r>
      <w:r w:rsidR="00CB020A" w:rsidRPr="00CB020A">
        <w:rPr>
          <w:rFonts w:ascii="Times New Roman" w:hAnsi="Times New Roman" w:cs="Times New Roman"/>
        </w:rPr>
        <w:t>provided in</w:t>
      </w:r>
      <w:r w:rsidRPr="00CB020A">
        <w:rPr>
          <w:rFonts w:ascii="Times New Roman" w:hAnsi="Times New Roman" w:cs="Times New Roman"/>
        </w:rPr>
        <w:t xml:space="preserve"> section </w:t>
      </w:r>
      <w:r w:rsidR="00CB020A" w:rsidRPr="00CB020A">
        <w:rPr>
          <w:rFonts w:ascii="Times New Roman" w:hAnsi="Times New Roman" w:cs="Times New Roman"/>
        </w:rPr>
        <w:t>7.</w:t>
      </w:r>
      <w:r w:rsidR="00CB020A">
        <w:rPr>
          <w:rFonts w:ascii="Times New Roman" w:hAnsi="Times New Roman" w:cs="Times New Roman"/>
        </w:rPr>
        <w:t>2.3</w:t>
      </w:r>
      <w:r w:rsidRPr="00462585">
        <w:rPr>
          <w:rFonts w:ascii="Times New Roman" w:hAnsi="Times New Roman" w:cs="Times New Roman"/>
        </w:rPr>
        <w:t xml:space="preserve">). </w:t>
      </w:r>
    </w:p>
    <w:p w14:paraId="547F5C57" w14:textId="77777777" w:rsidR="00A4788F" w:rsidRPr="00462585" w:rsidRDefault="00A4788F" w:rsidP="00462585">
      <w:pPr>
        <w:spacing w:after="120" w:line="360" w:lineRule="auto"/>
        <w:contextualSpacing/>
        <w:jc w:val="both"/>
        <w:rPr>
          <w:rFonts w:ascii="Times New Roman" w:hAnsi="Times New Roman" w:cs="Times New Roman"/>
        </w:rPr>
      </w:pPr>
    </w:p>
    <w:p w14:paraId="754888B6" w14:textId="1D70C92F" w:rsidR="00462585" w:rsidRDefault="00462585" w:rsidP="00A83123">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The mean LOS in CARBAR </w:t>
      </w:r>
      <w:r w:rsidR="00A83123" w:rsidRPr="00A83123">
        <w:rPr>
          <w:rFonts w:ascii="Times New Roman" w:hAnsi="Times New Roman" w:cs="Times New Roman"/>
          <w:noProof/>
          <w:vertAlign w:val="superscript"/>
        </w:rPr>
        <w:t>100</w:t>
      </w:r>
      <w:r w:rsidRPr="00462585">
        <w:rPr>
          <w:rFonts w:ascii="Times New Roman" w:hAnsi="Times New Roman" w:cs="Times New Roman"/>
        </w:rPr>
        <w:t xml:space="preserve"> was 47.2 days. The median LOS in </w:t>
      </w:r>
      <w:proofErr w:type="spellStart"/>
      <w:r w:rsidRPr="00462585">
        <w:rPr>
          <w:rFonts w:ascii="Times New Roman" w:hAnsi="Times New Roman" w:cs="Times New Roman"/>
        </w:rPr>
        <w:t>Muscedere</w:t>
      </w:r>
      <w:proofErr w:type="spellEnd"/>
      <w:r w:rsidRPr="00462585">
        <w:rPr>
          <w:rFonts w:ascii="Times New Roman" w:hAnsi="Times New Roman" w:cs="Times New Roman"/>
        </w:rPr>
        <w:t xml:space="preserve"> </w:t>
      </w:r>
      <w:r w:rsidR="00A83123" w:rsidRPr="00A83123">
        <w:rPr>
          <w:rFonts w:ascii="Times New Roman" w:hAnsi="Times New Roman" w:cs="Times New Roman"/>
          <w:noProof/>
          <w:vertAlign w:val="superscript"/>
        </w:rPr>
        <w:t>102</w:t>
      </w:r>
      <w:r w:rsidRPr="00462585">
        <w:rPr>
          <w:rFonts w:ascii="Times New Roman" w:hAnsi="Times New Roman" w:cs="Times New Roman"/>
        </w:rPr>
        <w:t xml:space="preserve"> in patients who received appropriate and inappropriate empiric treatment was 27.9 and 42.2 days, respectively. This was estimated to equate to the mean LOS of 43.1 days and 85.7 days, respectively (</w:t>
      </w:r>
      <w:r w:rsidR="00CB020A">
        <w:rPr>
          <w:rFonts w:ascii="Times New Roman" w:hAnsi="Times New Roman" w:cs="Times New Roman"/>
        </w:rPr>
        <w:t xml:space="preserve">further detail </w:t>
      </w:r>
      <w:r w:rsidR="00CB020A" w:rsidRPr="00CB020A">
        <w:rPr>
          <w:rFonts w:ascii="Times New Roman" w:hAnsi="Times New Roman" w:cs="Times New Roman"/>
        </w:rPr>
        <w:t>provided in section 7.</w:t>
      </w:r>
      <w:r w:rsidR="00CB020A">
        <w:rPr>
          <w:rFonts w:ascii="Times New Roman" w:hAnsi="Times New Roman" w:cs="Times New Roman"/>
        </w:rPr>
        <w:t>2.3</w:t>
      </w:r>
      <w:r w:rsidRPr="00462585">
        <w:rPr>
          <w:rFonts w:ascii="Times New Roman" w:hAnsi="Times New Roman" w:cs="Times New Roman"/>
        </w:rPr>
        <w:t>). The LOS in both studies was considerably longer than experts’ estimates (~20 and ~24 days from the start of microbiology directed treatment in susceptible and resistant patients, respectively). However, the LOS in both studies was measured from hospital admission, rather than from the start of microbiology directed treatment following infection onset.</w:t>
      </w:r>
    </w:p>
    <w:p w14:paraId="04F42AF1" w14:textId="77777777" w:rsidR="00A4788F" w:rsidRPr="00462585" w:rsidRDefault="00A4788F" w:rsidP="00462585">
      <w:pPr>
        <w:spacing w:after="120" w:line="360" w:lineRule="auto"/>
        <w:contextualSpacing/>
        <w:jc w:val="both"/>
        <w:rPr>
          <w:rFonts w:ascii="Times New Roman" w:hAnsi="Times New Roman" w:cs="Times New Roman"/>
        </w:rPr>
      </w:pPr>
    </w:p>
    <w:p w14:paraId="0DD54D67" w14:textId="4CBAF196" w:rsidR="00462585" w:rsidRPr="00462585" w:rsidRDefault="00462585" w:rsidP="00A83123">
      <w:pPr>
        <w:spacing w:after="120" w:line="360" w:lineRule="auto"/>
        <w:contextualSpacing/>
        <w:jc w:val="both"/>
        <w:rPr>
          <w:rFonts w:ascii="Times New Roman" w:hAnsi="Times New Roman" w:cs="Times New Roman"/>
        </w:rPr>
      </w:pPr>
      <w:r w:rsidRPr="00462585">
        <w:rPr>
          <w:rFonts w:ascii="Times New Roman" w:hAnsi="Times New Roman" w:cs="Times New Roman"/>
        </w:rPr>
        <w:t xml:space="preserve">CARBAR reported that the average time between hospitalisation and infection was 8 days (median) for all patients, 16.8 days (mean) time for infections diagnosed from sputum samples and 13.9 days for UTI-related samples. In addition, the median time between infection onset and microbiology directed treatment in CARBAR was 5 days. </w:t>
      </w:r>
      <w:proofErr w:type="gramStart"/>
      <w:r w:rsidRPr="00462585">
        <w:rPr>
          <w:rFonts w:ascii="Times New Roman" w:hAnsi="Times New Roman" w:cs="Times New Roman"/>
        </w:rPr>
        <w:t>Assuming that</w:t>
      </w:r>
      <w:proofErr w:type="gramEnd"/>
      <w:r w:rsidRPr="00462585">
        <w:rPr>
          <w:rFonts w:ascii="Times New Roman" w:hAnsi="Times New Roman" w:cs="Times New Roman"/>
        </w:rPr>
        <w:t xml:space="preserve"> 13 (8 + 5) to 21.8 (16.8+5) days passed between admission and administration of microbiology directed treatment, the LOS from the start of microbiology directed treatment in CARBAR (25.4 to 34.2 days) was comparable to experts’ estimates. </w:t>
      </w:r>
      <w:proofErr w:type="spellStart"/>
      <w:r w:rsidRPr="00462585">
        <w:rPr>
          <w:rFonts w:ascii="Times New Roman" w:hAnsi="Times New Roman" w:cs="Times New Roman"/>
        </w:rPr>
        <w:t>Muscedere</w:t>
      </w:r>
      <w:proofErr w:type="spellEnd"/>
      <w:r w:rsidRPr="00462585">
        <w:rPr>
          <w:rFonts w:ascii="Times New Roman" w:hAnsi="Times New Roman" w:cs="Times New Roman"/>
        </w:rPr>
        <w:t xml:space="preserve"> did not report the time between admission and infection onset, and so could not be directly compared to experts’ estimates.</w:t>
      </w:r>
      <w:r w:rsidR="00EC4BFF">
        <w:rPr>
          <w:rFonts w:ascii="Times New Roman" w:hAnsi="Times New Roman" w:cs="Times New Roman"/>
        </w:rPr>
        <w:t xml:space="preserve"> </w:t>
      </w:r>
      <w:r w:rsidRPr="00462585">
        <w:rPr>
          <w:rFonts w:ascii="Times New Roman" w:hAnsi="Times New Roman" w:cs="Times New Roman"/>
        </w:rPr>
        <w:t xml:space="preserve">In Merrick </w:t>
      </w:r>
      <w:r w:rsidR="00A83123" w:rsidRPr="00A83123">
        <w:rPr>
          <w:rFonts w:ascii="Times New Roman" w:hAnsi="Times New Roman" w:cs="Times New Roman"/>
          <w:noProof/>
          <w:vertAlign w:val="superscript"/>
        </w:rPr>
        <w:t>101</w:t>
      </w:r>
      <w:r w:rsidRPr="00462585">
        <w:rPr>
          <w:rFonts w:ascii="Times New Roman" w:hAnsi="Times New Roman" w:cs="Times New Roman"/>
        </w:rPr>
        <w:t xml:space="preserve">, the median LOS after infections caused by carbapenem resistant organisms was 24 days, comparable to the mean estimates from experts. The authors did not report the mean. </w:t>
      </w:r>
    </w:p>
    <w:bookmarkEnd w:id="245"/>
    <w:p w14:paraId="0D7D43A5" w14:textId="4707DD21" w:rsidR="00462585" w:rsidRDefault="00462585" w:rsidP="00462585">
      <w:pPr>
        <w:spacing w:after="120" w:line="360" w:lineRule="auto"/>
        <w:contextualSpacing/>
        <w:jc w:val="both"/>
        <w:rPr>
          <w:rFonts w:ascii="Times New Roman" w:hAnsi="Times New Roman" w:cs="Times New Roman"/>
        </w:rPr>
      </w:pPr>
    </w:p>
    <w:p w14:paraId="0A9F029F" w14:textId="77777777" w:rsidR="00A4788F" w:rsidRDefault="00A4788F" w:rsidP="00A4788F">
      <w:pPr>
        <w:pStyle w:val="EEPRUnumberedLevel1Heading"/>
        <w:numPr>
          <w:ilvl w:val="0"/>
          <w:numId w:val="1"/>
        </w:numPr>
        <w:ind w:left="426" w:hanging="426"/>
      </w:pPr>
      <w:bookmarkStart w:id="273" w:name="_Toc85194058"/>
      <w:bookmarkStart w:id="274" w:name="_Toc87463013"/>
      <w:r>
        <w:lastRenderedPageBreak/>
        <w:t>Economic evidence</w:t>
      </w:r>
      <w:bookmarkEnd w:id="273"/>
      <w:bookmarkEnd w:id="274"/>
    </w:p>
    <w:p w14:paraId="11344CEE" w14:textId="555F1AF9" w:rsidR="00A4788F" w:rsidRDefault="001641BF" w:rsidP="00F74C2C">
      <w:pPr>
        <w:pStyle w:val="EEPRUnumberedheadinglevel2"/>
        <w:numPr>
          <w:ilvl w:val="0"/>
          <w:numId w:val="0"/>
        </w:numPr>
      </w:pPr>
      <w:bookmarkStart w:id="275" w:name="_Toc85194059"/>
      <w:bookmarkStart w:id="276" w:name="_Toc87463014"/>
      <w:r>
        <w:t xml:space="preserve">6.1 </w:t>
      </w:r>
      <w:r w:rsidR="00A4788F">
        <w:t>Assessment of existing cost-effectiveness evidence and modelling approaches</w:t>
      </w:r>
      <w:bookmarkEnd w:id="275"/>
      <w:bookmarkEnd w:id="276"/>
    </w:p>
    <w:p w14:paraId="1E77FEA9" w14:textId="77777777" w:rsidR="00A4788F" w:rsidRPr="001641BF" w:rsidRDefault="00A4788F" w:rsidP="00A4788F">
      <w:pPr>
        <w:spacing w:line="360" w:lineRule="auto"/>
        <w:rPr>
          <w:rFonts w:asciiTheme="majorBidi" w:hAnsiTheme="majorBidi" w:cstheme="majorBidi"/>
          <w:lang w:val="en-US"/>
        </w:rPr>
      </w:pPr>
      <w:r w:rsidRPr="001641BF">
        <w:rPr>
          <w:rFonts w:asciiTheme="majorBidi" w:hAnsiTheme="majorBidi" w:cstheme="majorBidi"/>
          <w:lang w:val="en-US"/>
        </w:rPr>
        <w:t>A series of reviews of existing cost-effectiveness evidence and modelling approaches was conducted:</w:t>
      </w:r>
    </w:p>
    <w:p w14:paraId="7C7155B5" w14:textId="769800FC" w:rsidR="00A4788F" w:rsidRPr="001641BF" w:rsidRDefault="00A4788F" w:rsidP="005A3BE6">
      <w:pPr>
        <w:pStyle w:val="ListParagraph"/>
        <w:numPr>
          <w:ilvl w:val="0"/>
          <w:numId w:val="57"/>
        </w:numPr>
        <w:spacing w:after="120" w:line="360" w:lineRule="auto"/>
        <w:rPr>
          <w:rFonts w:asciiTheme="majorBidi" w:hAnsiTheme="majorBidi" w:cstheme="majorBidi"/>
          <w:lang w:val="en-US"/>
        </w:rPr>
      </w:pPr>
      <w:r w:rsidRPr="001641BF">
        <w:rPr>
          <w:rFonts w:asciiTheme="majorBidi" w:hAnsiTheme="majorBidi" w:cstheme="majorBidi"/>
          <w:lang w:val="en-US"/>
        </w:rPr>
        <w:t xml:space="preserve">A review of existing cost-effectiveness evidence for CAZ-AVI with a focus on studies that include decision-analytic models.  The aims were to establish the existence of potentially policy-relevant models to guide NICE and NHS decisions; and to identify relevant analytical methods and data sources. </w:t>
      </w:r>
    </w:p>
    <w:p w14:paraId="22F2096D" w14:textId="718AE50D" w:rsidR="00A4788F" w:rsidRPr="001641BF" w:rsidRDefault="00A4788F" w:rsidP="005A3BE6">
      <w:pPr>
        <w:pStyle w:val="ListParagraph"/>
        <w:numPr>
          <w:ilvl w:val="0"/>
          <w:numId w:val="57"/>
        </w:numPr>
        <w:spacing w:after="120" w:line="360" w:lineRule="auto"/>
        <w:rPr>
          <w:rFonts w:asciiTheme="majorBidi" w:hAnsiTheme="majorBidi" w:cstheme="majorBidi"/>
          <w:lang w:val="en-US"/>
        </w:rPr>
      </w:pPr>
      <w:r w:rsidRPr="001641BF">
        <w:rPr>
          <w:rFonts w:asciiTheme="majorBidi" w:hAnsiTheme="majorBidi" w:cstheme="majorBidi"/>
          <w:lang w:val="en-US"/>
        </w:rPr>
        <w:t xml:space="preserve">A review of existing approaches to modelling the existence of resistant pathogens in the target population, currently and over time. </w:t>
      </w:r>
      <w:bookmarkStart w:id="277" w:name="_Hlk83809343"/>
      <w:r w:rsidRPr="001641BF">
        <w:rPr>
          <w:rFonts w:asciiTheme="majorBidi" w:hAnsiTheme="majorBidi" w:cstheme="majorBidi"/>
          <w:lang w:val="en-US"/>
        </w:rPr>
        <w:t>The aim of this review was to identify methods that could be adopted for this purpose in EEPRU’s modelling.</w:t>
      </w:r>
    </w:p>
    <w:p w14:paraId="3A605A10" w14:textId="77777777" w:rsidR="00A4788F" w:rsidRPr="001641BF" w:rsidRDefault="00A4788F" w:rsidP="005A3BE6">
      <w:pPr>
        <w:pStyle w:val="ListParagraph"/>
        <w:numPr>
          <w:ilvl w:val="0"/>
          <w:numId w:val="57"/>
        </w:numPr>
        <w:spacing w:after="120" w:line="360" w:lineRule="auto"/>
        <w:rPr>
          <w:rFonts w:asciiTheme="majorBidi" w:hAnsiTheme="majorBidi" w:cstheme="majorBidi"/>
          <w:lang w:val="en-US"/>
        </w:rPr>
      </w:pPr>
      <w:r w:rsidRPr="001641BF">
        <w:rPr>
          <w:rFonts w:asciiTheme="majorBidi" w:hAnsiTheme="majorBidi" w:cstheme="majorBidi"/>
          <w:lang w:val="en-US"/>
        </w:rPr>
        <w:t xml:space="preserve">A review of existing cost-effectiveness models </w:t>
      </w:r>
      <w:bookmarkEnd w:id="277"/>
      <w:r w:rsidRPr="001641BF">
        <w:rPr>
          <w:rFonts w:asciiTheme="majorBidi" w:hAnsiTheme="majorBidi" w:cstheme="majorBidi"/>
          <w:lang w:val="en-US"/>
        </w:rPr>
        <w:t xml:space="preserve">in HAP/VAP to understand modelling approaches and data sources.  </w:t>
      </w:r>
    </w:p>
    <w:p w14:paraId="1D6BEBE2" w14:textId="77777777" w:rsidR="00A4788F" w:rsidRPr="001641BF" w:rsidRDefault="00A4788F" w:rsidP="005A3BE6">
      <w:pPr>
        <w:pStyle w:val="ListParagraph"/>
        <w:numPr>
          <w:ilvl w:val="0"/>
          <w:numId w:val="57"/>
        </w:numPr>
        <w:spacing w:after="120" w:line="360" w:lineRule="auto"/>
        <w:rPr>
          <w:rFonts w:asciiTheme="majorBidi" w:hAnsiTheme="majorBidi" w:cstheme="majorBidi"/>
          <w:lang w:val="en-US"/>
        </w:rPr>
      </w:pPr>
      <w:r w:rsidRPr="001641BF">
        <w:rPr>
          <w:rFonts w:asciiTheme="majorBidi" w:hAnsiTheme="majorBidi" w:cstheme="majorBidi"/>
          <w:lang w:val="en-US"/>
        </w:rPr>
        <w:t xml:space="preserve">A review of existing cost-effectiveness models in </w:t>
      </w:r>
      <w:proofErr w:type="spellStart"/>
      <w:r w:rsidRPr="001641BF">
        <w:rPr>
          <w:rFonts w:asciiTheme="majorBidi" w:hAnsiTheme="majorBidi" w:cstheme="majorBidi"/>
          <w:lang w:val="en-US"/>
        </w:rPr>
        <w:t>cUTI</w:t>
      </w:r>
      <w:proofErr w:type="spellEnd"/>
      <w:r w:rsidRPr="001641BF">
        <w:rPr>
          <w:rFonts w:asciiTheme="majorBidi" w:hAnsiTheme="majorBidi" w:cstheme="majorBidi"/>
          <w:lang w:val="en-US"/>
        </w:rPr>
        <w:t xml:space="preserve">.  Again, the purpose was to understand modelling approaches and data sources.  </w:t>
      </w:r>
    </w:p>
    <w:p w14:paraId="50450F4C" w14:textId="7282F981" w:rsidR="00A4788F" w:rsidRPr="001641BF" w:rsidRDefault="00A4788F" w:rsidP="00A4788F">
      <w:pPr>
        <w:spacing w:line="360" w:lineRule="auto"/>
        <w:rPr>
          <w:rFonts w:asciiTheme="majorBidi" w:hAnsiTheme="majorBidi" w:cstheme="majorBidi"/>
          <w:lang w:val="en-US"/>
        </w:rPr>
      </w:pPr>
      <w:r w:rsidRPr="001641BF">
        <w:rPr>
          <w:rFonts w:asciiTheme="majorBidi" w:hAnsiTheme="majorBidi" w:cstheme="majorBidi"/>
          <w:lang w:val="en-US"/>
        </w:rPr>
        <w:t xml:space="preserve">Each review involved searches of bibliographic databases using standardized search terms, selection of studies based on explicit inclusion criteria and data extraction using an agreed template.  Details of each review are </w:t>
      </w:r>
      <w:r w:rsidRPr="004222B2">
        <w:rPr>
          <w:rFonts w:asciiTheme="majorBidi" w:hAnsiTheme="majorBidi" w:cstheme="majorBidi"/>
          <w:lang w:val="en-US"/>
        </w:rPr>
        <w:t xml:space="preserve">provided in Appendix </w:t>
      </w:r>
      <w:r w:rsidR="004222B2">
        <w:rPr>
          <w:rFonts w:asciiTheme="majorBidi" w:hAnsiTheme="majorBidi" w:cstheme="majorBidi"/>
          <w:lang w:val="en-US"/>
        </w:rPr>
        <w:t>1</w:t>
      </w:r>
      <w:r w:rsidR="00A80C2B">
        <w:rPr>
          <w:rFonts w:asciiTheme="majorBidi" w:hAnsiTheme="majorBidi" w:cstheme="majorBidi"/>
          <w:lang w:val="en-US"/>
        </w:rPr>
        <w:t>2</w:t>
      </w:r>
      <w:r w:rsidRPr="004222B2">
        <w:rPr>
          <w:rFonts w:asciiTheme="majorBidi" w:hAnsiTheme="majorBidi" w:cstheme="majorBidi"/>
          <w:lang w:val="en-US"/>
        </w:rPr>
        <w:t>.  Here</w:t>
      </w:r>
      <w:r w:rsidRPr="001641BF">
        <w:rPr>
          <w:rFonts w:asciiTheme="majorBidi" w:hAnsiTheme="majorBidi" w:cstheme="majorBidi"/>
          <w:lang w:val="en-US"/>
        </w:rPr>
        <w:t xml:space="preserve"> the key results of each review are outlined.</w:t>
      </w:r>
    </w:p>
    <w:p w14:paraId="40C44C40" w14:textId="6DD580F5" w:rsidR="00A4788F" w:rsidRPr="0080269E" w:rsidRDefault="00A4788F" w:rsidP="005A3BE6">
      <w:pPr>
        <w:pStyle w:val="EEPRUnumberedstylelevel3"/>
        <w:numPr>
          <w:ilvl w:val="2"/>
          <w:numId w:val="114"/>
        </w:numPr>
        <w:rPr>
          <w:lang w:val="en-US"/>
        </w:rPr>
      </w:pPr>
      <w:bookmarkStart w:id="278" w:name="_Toc87463015"/>
      <w:bookmarkStart w:id="279" w:name="_Toc85194060"/>
      <w:r w:rsidRPr="0080269E">
        <w:rPr>
          <w:lang w:val="en-US"/>
        </w:rPr>
        <w:t>Review 1: existing cost-effectiveness evidence for CAZ-AVI</w:t>
      </w:r>
      <w:bookmarkEnd w:id="278"/>
      <w:r w:rsidRPr="0080269E">
        <w:rPr>
          <w:lang w:val="en-US"/>
        </w:rPr>
        <w:t xml:space="preserve"> </w:t>
      </w:r>
      <w:bookmarkEnd w:id="279"/>
    </w:p>
    <w:p w14:paraId="45AE01A0" w14:textId="5F391D97" w:rsidR="00A4788F" w:rsidRPr="001641BF" w:rsidRDefault="00A4788F" w:rsidP="00A83123">
      <w:pPr>
        <w:spacing w:after="0" w:line="360" w:lineRule="auto"/>
        <w:jc w:val="both"/>
        <w:rPr>
          <w:rFonts w:asciiTheme="majorBidi" w:eastAsia="Times New Roman" w:hAnsiTheme="majorBidi" w:cstheme="majorBidi"/>
          <w:lang w:val="en-US" w:eastAsia="en-GB"/>
        </w:rPr>
      </w:pPr>
      <w:r w:rsidRPr="001641BF">
        <w:rPr>
          <w:rFonts w:asciiTheme="majorBidi" w:eastAsia="Times New Roman" w:hAnsiTheme="majorBidi" w:cstheme="majorBidi"/>
          <w:lang w:val="en-US" w:eastAsia="en-GB"/>
        </w:rPr>
        <w:t>A total of 89 potentially relevant papers or abstracts were identified for the review.  When the various levels of screening were complete, 5 studies were included.</w:t>
      </w:r>
      <w:r w:rsidR="00A83123" w:rsidRPr="00A83123">
        <w:rPr>
          <w:rFonts w:asciiTheme="majorBidi" w:eastAsia="Times New Roman" w:hAnsiTheme="majorBidi" w:cstheme="majorBidi"/>
          <w:noProof/>
          <w:vertAlign w:val="superscript"/>
          <w:lang w:eastAsia="en-GB"/>
        </w:rPr>
        <w:t>14,103-</w:t>
      </w:r>
      <w:proofErr w:type="gramStart"/>
      <w:r w:rsidR="00A83123" w:rsidRPr="00A83123">
        <w:rPr>
          <w:rFonts w:asciiTheme="majorBidi" w:eastAsia="Times New Roman" w:hAnsiTheme="majorBidi" w:cstheme="majorBidi"/>
          <w:noProof/>
          <w:vertAlign w:val="superscript"/>
          <w:lang w:eastAsia="en-GB"/>
        </w:rPr>
        <w:t>106</w:t>
      </w:r>
      <w:r w:rsidRPr="001641BF">
        <w:rPr>
          <w:rFonts w:asciiTheme="majorBidi" w:eastAsia="Times New Roman" w:hAnsiTheme="majorBidi" w:cstheme="majorBidi"/>
          <w:lang w:eastAsia="en-GB"/>
        </w:rPr>
        <w:t xml:space="preserve">  </w:t>
      </w:r>
      <w:r w:rsidRPr="001641BF">
        <w:rPr>
          <w:rFonts w:asciiTheme="majorBidi" w:eastAsia="Times New Roman" w:hAnsiTheme="majorBidi" w:cstheme="majorBidi"/>
          <w:lang w:val="en-US" w:eastAsia="en-GB"/>
        </w:rPr>
        <w:t>All</w:t>
      </w:r>
      <w:proofErr w:type="gramEnd"/>
      <w:r w:rsidRPr="001641BF">
        <w:rPr>
          <w:rFonts w:asciiTheme="majorBidi" w:eastAsia="Times New Roman" w:hAnsiTheme="majorBidi" w:cstheme="majorBidi"/>
          <w:lang w:val="en-US" w:eastAsia="en-GB"/>
        </w:rPr>
        <w:t xml:space="preserve"> studies considered costs and benefits at a patient-level with no attempt to aggregate across the licensed CAZ-AVI indications likely to represent the product’s expected population.   All studies had relatively short-term time horizons (3-5 years) and no attempt was made to consider the value of CAZ-AVI as resistance to the new and existing therapies increases over time.  </w:t>
      </w:r>
      <w:r w:rsidRPr="001641BF">
        <w:rPr>
          <w:rFonts w:asciiTheme="majorBidi" w:eastAsia="Times New Roman" w:hAnsiTheme="majorBidi" w:cstheme="majorBidi"/>
          <w:lang w:eastAsia="en-GB"/>
        </w:rPr>
        <w:t>Three analyses made assumptions (rather than drawing on evidence) about the proportions of patients with resistant infection in the relevant population, and the impact of resistance on clinical parameters</w:t>
      </w:r>
      <w:r w:rsidRPr="00DC6C4D">
        <w:rPr>
          <w:rFonts w:asciiTheme="majorBidi" w:eastAsia="Times New Roman" w:hAnsiTheme="majorBidi" w:cstheme="majorBidi"/>
          <w:lang w:eastAsia="en-GB"/>
        </w:rPr>
        <w:t>.</w:t>
      </w:r>
      <w:r w:rsidR="00A83123" w:rsidRPr="00A83123">
        <w:rPr>
          <w:rFonts w:asciiTheme="majorBidi" w:eastAsia="Times New Roman" w:hAnsiTheme="majorBidi" w:cstheme="majorBidi"/>
          <w:noProof/>
          <w:vertAlign w:val="superscript"/>
          <w:lang w:eastAsia="en-GB"/>
        </w:rPr>
        <w:t>14,103,104</w:t>
      </w:r>
      <w:r w:rsidRPr="00DC6C4D">
        <w:rPr>
          <w:rFonts w:asciiTheme="majorBidi" w:eastAsia="Times New Roman" w:hAnsiTheme="majorBidi" w:cstheme="majorBidi"/>
          <w:lang w:eastAsia="en-GB"/>
        </w:rPr>
        <w:t xml:space="preserve"> The other two studies drew on evidence from observational studies to quantify the impact of resistance on relevant parameters in the modelling.</w:t>
      </w:r>
      <w:proofErr w:type="gramStart"/>
      <w:r w:rsidR="00A83123" w:rsidRPr="00A83123">
        <w:rPr>
          <w:rFonts w:asciiTheme="majorBidi" w:eastAsia="Times New Roman" w:hAnsiTheme="majorBidi" w:cstheme="majorBidi"/>
          <w:noProof/>
          <w:vertAlign w:val="superscript"/>
          <w:lang w:eastAsia="en-GB"/>
        </w:rPr>
        <w:t>105,106</w:t>
      </w:r>
      <w:r w:rsidRPr="001641BF">
        <w:rPr>
          <w:rFonts w:asciiTheme="majorBidi" w:eastAsia="Times New Roman" w:hAnsiTheme="majorBidi" w:cstheme="majorBidi"/>
          <w:lang w:eastAsia="en-GB"/>
        </w:rPr>
        <w:t xml:space="preserve">  </w:t>
      </w:r>
      <w:r w:rsidRPr="001641BF">
        <w:rPr>
          <w:rFonts w:asciiTheme="majorBidi" w:eastAsia="Times New Roman" w:hAnsiTheme="majorBidi" w:cstheme="majorBidi"/>
          <w:lang w:val="en-US" w:eastAsia="en-GB"/>
        </w:rPr>
        <w:t>The</w:t>
      </w:r>
      <w:proofErr w:type="gramEnd"/>
      <w:r w:rsidRPr="001641BF">
        <w:rPr>
          <w:rFonts w:asciiTheme="majorBidi" w:eastAsia="Times New Roman" w:hAnsiTheme="majorBidi" w:cstheme="majorBidi"/>
          <w:lang w:val="en-US" w:eastAsia="en-GB"/>
        </w:rPr>
        <w:t xml:space="preserve"> wider set of sources of value for novel antibiotics </w:t>
      </w:r>
      <w:r w:rsidR="00337E4A">
        <w:rPr>
          <w:rFonts w:asciiTheme="majorBidi" w:eastAsia="Times New Roman" w:hAnsiTheme="majorBidi" w:cstheme="majorBidi"/>
          <w:lang w:val="en-US" w:eastAsia="en-GB"/>
        </w:rPr>
        <w:t>mentioned</w:t>
      </w:r>
      <w:r w:rsidRPr="001641BF">
        <w:rPr>
          <w:rFonts w:asciiTheme="majorBidi" w:eastAsia="Times New Roman" w:hAnsiTheme="majorBidi" w:cstheme="majorBidi"/>
          <w:lang w:val="en-US" w:eastAsia="en-GB"/>
        </w:rPr>
        <w:t xml:space="preserve"> in Section </w:t>
      </w:r>
      <w:r w:rsidR="00337E4A">
        <w:rPr>
          <w:rFonts w:asciiTheme="majorBidi" w:eastAsia="Times New Roman" w:hAnsiTheme="majorBidi" w:cstheme="majorBidi"/>
          <w:lang w:val="en-US" w:eastAsia="en-GB"/>
        </w:rPr>
        <w:t>3.1</w:t>
      </w:r>
      <w:r w:rsidRPr="001641BF">
        <w:rPr>
          <w:rFonts w:asciiTheme="majorBidi" w:eastAsia="Times New Roman" w:hAnsiTheme="majorBidi" w:cstheme="majorBidi"/>
          <w:lang w:val="en-US" w:eastAsia="en-GB"/>
        </w:rPr>
        <w:t xml:space="preserve"> </w:t>
      </w:r>
      <w:r w:rsidR="00DC6C4D">
        <w:rPr>
          <w:rFonts w:asciiTheme="majorBidi" w:eastAsia="Times New Roman" w:hAnsiTheme="majorBidi" w:cstheme="majorBidi"/>
          <w:lang w:val="en-US" w:eastAsia="en-GB"/>
        </w:rPr>
        <w:t xml:space="preserve"> </w:t>
      </w:r>
      <w:r w:rsidRPr="001641BF">
        <w:rPr>
          <w:rFonts w:asciiTheme="majorBidi" w:eastAsia="Times New Roman" w:hAnsiTheme="majorBidi" w:cstheme="majorBidi"/>
          <w:lang w:val="en-US" w:eastAsia="en-GB"/>
        </w:rPr>
        <w:t>w</w:t>
      </w:r>
      <w:r w:rsidR="00337E4A">
        <w:rPr>
          <w:rFonts w:asciiTheme="majorBidi" w:eastAsia="Times New Roman" w:hAnsiTheme="majorBidi" w:cstheme="majorBidi"/>
          <w:lang w:val="en-US" w:eastAsia="en-GB"/>
        </w:rPr>
        <w:t>as</w:t>
      </w:r>
      <w:r w:rsidRPr="001641BF">
        <w:rPr>
          <w:rFonts w:asciiTheme="majorBidi" w:eastAsia="Times New Roman" w:hAnsiTheme="majorBidi" w:cstheme="majorBidi"/>
          <w:lang w:val="en-US" w:eastAsia="en-GB"/>
        </w:rPr>
        <w:t xml:space="preserve"> not considered in any of the studies.  None of the analyses related to clinical practice or evidence from the UK.  As such, their relevance to this evaluation of CAZ-AVI is very limited.</w:t>
      </w:r>
    </w:p>
    <w:p w14:paraId="3F8130D1" w14:textId="77777777" w:rsidR="00A4788F" w:rsidRDefault="00A4788F" w:rsidP="00A4788F">
      <w:pPr>
        <w:spacing w:line="360" w:lineRule="auto"/>
        <w:rPr>
          <w:lang w:val="en-US"/>
        </w:rPr>
      </w:pPr>
    </w:p>
    <w:p w14:paraId="6AF08804" w14:textId="22B6BF86" w:rsidR="00A4788F" w:rsidRPr="0080269E" w:rsidRDefault="00A4788F" w:rsidP="005A3BE6">
      <w:pPr>
        <w:pStyle w:val="EEPRUnumberedstylelevel3"/>
        <w:numPr>
          <w:ilvl w:val="2"/>
          <w:numId w:val="114"/>
        </w:numPr>
        <w:rPr>
          <w:lang w:val="en-US"/>
        </w:rPr>
      </w:pPr>
      <w:bookmarkStart w:id="280" w:name="_Toc85194061"/>
      <w:bookmarkStart w:id="281" w:name="_Toc87463016"/>
      <w:r w:rsidRPr="0080269E">
        <w:rPr>
          <w:lang w:val="en-US"/>
        </w:rPr>
        <w:lastRenderedPageBreak/>
        <w:t>Review 2: review of existing approaches for resistance modelling</w:t>
      </w:r>
      <w:bookmarkEnd w:id="280"/>
      <w:bookmarkEnd w:id="281"/>
      <w:r w:rsidRPr="0080269E">
        <w:rPr>
          <w:lang w:val="en-US"/>
        </w:rPr>
        <w:t xml:space="preserve"> </w:t>
      </w:r>
    </w:p>
    <w:p w14:paraId="2565DFEE" w14:textId="2B0C1D2D" w:rsidR="00A4788F" w:rsidRPr="001641BF" w:rsidRDefault="00A4788F" w:rsidP="00A83123">
      <w:pPr>
        <w:spacing w:after="0" w:line="360" w:lineRule="auto"/>
        <w:jc w:val="both"/>
        <w:rPr>
          <w:rFonts w:asciiTheme="majorBidi" w:eastAsia="Times New Roman" w:hAnsiTheme="majorBidi" w:cstheme="majorBidi"/>
          <w:lang w:eastAsia="en-GB"/>
        </w:rPr>
      </w:pPr>
      <w:r w:rsidRPr="001641BF">
        <w:rPr>
          <w:rFonts w:asciiTheme="majorBidi" w:hAnsiTheme="majorBidi" w:cstheme="majorBidi"/>
        </w:rPr>
        <w:t xml:space="preserve">Nine studies were included in this review.  Note that this includes the 5 papers already identified from Review 1.  </w:t>
      </w:r>
      <w:r w:rsidRPr="001641BF">
        <w:rPr>
          <w:rFonts w:asciiTheme="majorBidi" w:eastAsia="Times New Roman" w:hAnsiTheme="majorBidi" w:cstheme="majorBidi"/>
          <w:lang w:eastAsia="en-GB"/>
        </w:rPr>
        <w:t>As discussed under Review 1, the 5 studies looking at the cost-effectiveness of CAZ-AVI provided limited insights regarding how to reflect resistance in the modelling and no attempt was made to consider the implications of changes in resistance over time.  The additional four studies in this review provided some indications of how resistance could be captured.  One study assessed the appropriateness of alternative empiric therapies based on susceptibility data from a specific Taiwanese hospital.</w:t>
      </w:r>
      <w:proofErr w:type="gramStart"/>
      <w:r w:rsidR="00A83123" w:rsidRPr="00A83123">
        <w:rPr>
          <w:rFonts w:asciiTheme="majorBidi" w:eastAsia="Times New Roman" w:hAnsiTheme="majorBidi" w:cstheme="majorBidi"/>
          <w:noProof/>
          <w:vertAlign w:val="superscript"/>
          <w:lang w:eastAsia="en-GB"/>
        </w:rPr>
        <w:t>107</w:t>
      </w:r>
      <w:r w:rsidRPr="001641BF">
        <w:rPr>
          <w:rFonts w:asciiTheme="majorBidi" w:eastAsia="Times New Roman" w:hAnsiTheme="majorBidi" w:cstheme="majorBidi"/>
          <w:lang w:eastAsia="en-GB"/>
        </w:rPr>
        <w:t xml:space="preserve">  Another</w:t>
      </w:r>
      <w:proofErr w:type="gramEnd"/>
      <w:r w:rsidRPr="001641BF">
        <w:rPr>
          <w:rFonts w:asciiTheme="majorBidi" w:eastAsia="Times New Roman" w:hAnsiTheme="majorBidi" w:cstheme="majorBidi"/>
          <w:lang w:eastAsia="en-GB"/>
        </w:rPr>
        <w:t xml:space="preserve"> looked at Procalcitonin-guided antibiotic stewardship and estimated the correlation between the percentage reduction in days of antibiotic use resulting from the Procalcitonin-guided test and antibiotic resistance.</w:t>
      </w:r>
      <w:r w:rsidR="00A83123" w:rsidRPr="00A83123">
        <w:rPr>
          <w:rFonts w:asciiTheme="majorBidi" w:eastAsia="Times New Roman" w:hAnsiTheme="majorBidi" w:cstheme="majorBidi"/>
          <w:noProof/>
          <w:vertAlign w:val="superscript"/>
          <w:lang w:eastAsia="en-GB"/>
        </w:rPr>
        <w:t>108</w:t>
      </w:r>
      <w:r w:rsidRPr="001641BF">
        <w:rPr>
          <w:rFonts w:asciiTheme="majorBidi" w:eastAsia="Times New Roman" w:hAnsiTheme="majorBidi" w:cstheme="majorBidi"/>
          <w:lang w:eastAsia="en-GB"/>
        </w:rPr>
        <w:t xml:space="preserve">  </w:t>
      </w:r>
    </w:p>
    <w:p w14:paraId="504C7AB6" w14:textId="77777777" w:rsidR="00A4788F" w:rsidRDefault="00A4788F" w:rsidP="00A4788F">
      <w:pPr>
        <w:spacing w:after="0" w:line="360" w:lineRule="auto"/>
        <w:rPr>
          <w:rFonts w:eastAsia="Times New Roman"/>
          <w:lang w:eastAsia="en-GB"/>
        </w:rPr>
      </w:pPr>
    </w:p>
    <w:p w14:paraId="210C7C60" w14:textId="56E568A1" w:rsidR="00A4788F" w:rsidRPr="001641BF" w:rsidRDefault="00A4788F" w:rsidP="00A83123">
      <w:pPr>
        <w:spacing w:after="0" w:line="360" w:lineRule="auto"/>
        <w:rPr>
          <w:rFonts w:asciiTheme="majorBidi" w:hAnsiTheme="majorBidi" w:cstheme="majorBidi"/>
          <w:color w:val="000000"/>
        </w:rPr>
      </w:pPr>
      <w:r w:rsidRPr="001641BF">
        <w:rPr>
          <w:rFonts w:asciiTheme="majorBidi" w:hAnsiTheme="majorBidi" w:cstheme="majorBidi"/>
          <w:color w:val="000000"/>
        </w:rPr>
        <w:t>The other two studies in this review attempted to deal with resistance through mechanistic infectious disease modelling.  One used hypothetical data for illustrative purposes.</w:t>
      </w:r>
      <w:r w:rsidR="00A83123" w:rsidRPr="00A83123">
        <w:rPr>
          <w:rFonts w:asciiTheme="majorBidi" w:hAnsiTheme="majorBidi" w:cstheme="majorBidi"/>
          <w:noProof/>
          <w:color w:val="000000"/>
          <w:vertAlign w:val="superscript"/>
        </w:rPr>
        <w:t>109</w:t>
      </w:r>
      <w:r w:rsidRPr="001641BF">
        <w:rPr>
          <w:rFonts w:asciiTheme="majorBidi" w:hAnsiTheme="majorBidi" w:cstheme="majorBidi"/>
          <w:color w:val="000000"/>
        </w:rPr>
        <w:t xml:space="preserve">  The other (which is a key source for the model detailed in the CAZ-AVI manufacturer’s submission – see </w:t>
      </w:r>
      <w:r w:rsidRPr="000E1361">
        <w:rPr>
          <w:rFonts w:asciiTheme="majorBidi" w:hAnsiTheme="majorBidi" w:cstheme="majorBidi"/>
          <w:color w:val="000000"/>
        </w:rPr>
        <w:t xml:space="preserve">Section </w:t>
      </w:r>
      <w:r w:rsidR="000E1361" w:rsidRPr="000E1361">
        <w:rPr>
          <w:rFonts w:asciiTheme="majorBidi" w:hAnsiTheme="majorBidi" w:cstheme="majorBidi"/>
          <w:color w:val="000000"/>
        </w:rPr>
        <w:t>6.1.5</w:t>
      </w:r>
      <w:r w:rsidRPr="000E1361">
        <w:rPr>
          <w:rFonts w:asciiTheme="majorBidi" w:hAnsiTheme="majorBidi" w:cstheme="majorBidi"/>
          <w:color w:val="000000"/>
        </w:rPr>
        <w:t>)</w:t>
      </w:r>
      <w:r w:rsidRPr="001641BF">
        <w:rPr>
          <w:rFonts w:asciiTheme="majorBidi" w:hAnsiTheme="majorBidi" w:cstheme="majorBidi"/>
          <w:color w:val="000000"/>
        </w:rPr>
        <w:t xml:space="preserve"> used the combination of a dynamic transmission model and a treatment pathway model as a generic framework to evaluate antibiotics for different indications and pathogens.</w:t>
      </w:r>
      <w:r w:rsidR="00A83123" w:rsidRPr="00A83123">
        <w:rPr>
          <w:rFonts w:asciiTheme="majorBidi" w:hAnsiTheme="majorBidi" w:cstheme="majorBidi"/>
          <w:noProof/>
          <w:color w:val="000000"/>
          <w:vertAlign w:val="superscript"/>
        </w:rPr>
        <w:t>110</w:t>
      </w:r>
      <w:r w:rsidRPr="001641BF">
        <w:rPr>
          <w:rFonts w:asciiTheme="majorBidi" w:hAnsiTheme="majorBidi" w:cstheme="majorBidi"/>
          <w:color w:val="000000"/>
        </w:rPr>
        <w:t xml:space="preserve">  In principle, such a model could be capable of quantifying not just the direct health effects of a new antibiotic, but also the indirect impacts via any reduction in transmission of relevant pathogens. It could also reflect changes in resistance over time in response to different stewardship strategies and the introduction of new antimicrobials.  However, whether the model can achieve this in practice will inevitably depend on the available evidence and the assumptions necessary to address the evidence gaps. </w:t>
      </w:r>
    </w:p>
    <w:p w14:paraId="27C2660B" w14:textId="2A2FDA63" w:rsidR="00A4788F" w:rsidRPr="0080269E" w:rsidRDefault="00A4788F" w:rsidP="005A3BE6">
      <w:pPr>
        <w:pStyle w:val="EEPRUnumberedstylelevel3"/>
        <w:numPr>
          <w:ilvl w:val="2"/>
          <w:numId w:val="114"/>
        </w:numPr>
        <w:rPr>
          <w:rFonts w:eastAsia="Times New Roman"/>
          <w:lang w:eastAsia="en-GB"/>
        </w:rPr>
      </w:pPr>
      <w:bookmarkStart w:id="282" w:name="_Toc85194062"/>
      <w:bookmarkStart w:id="283" w:name="_Toc87463017"/>
      <w:r w:rsidRPr="0080269E">
        <w:rPr>
          <w:rFonts w:eastAsia="Times New Roman"/>
          <w:lang w:eastAsia="en-GB"/>
        </w:rPr>
        <w:t xml:space="preserve">Review 3: </w:t>
      </w:r>
      <w:r w:rsidRPr="0080269E">
        <w:rPr>
          <w:lang w:val="en-US"/>
        </w:rPr>
        <w:t>existing cost-effectiveness models in HAP/VAP</w:t>
      </w:r>
      <w:bookmarkEnd w:id="282"/>
      <w:bookmarkEnd w:id="283"/>
    </w:p>
    <w:p w14:paraId="67D16991" w14:textId="79FC3C40" w:rsidR="00A4788F" w:rsidRPr="001641BF" w:rsidRDefault="00A4788F" w:rsidP="00A83123">
      <w:pPr>
        <w:autoSpaceDE w:val="0"/>
        <w:autoSpaceDN w:val="0"/>
        <w:adjustRightInd w:val="0"/>
        <w:spacing w:after="0" w:line="360" w:lineRule="auto"/>
        <w:jc w:val="both"/>
        <w:rPr>
          <w:rFonts w:asciiTheme="majorBidi" w:eastAsia="Times New Roman" w:hAnsiTheme="majorBidi" w:cstheme="majorBidi"/>
          <w:lang w:eastAsia="en-GB"/>
        </w:rPr>
      </w:pPr>
      <w:r w:rsidRPr="001641BF">
        <w:rPr>
          <w:rFonts w:asciiTheme="majorBidi" w:eastAsia="Times New Roman" w:hAnsiTheme="majorBidi" w:cstheme="majorBidi"/>
          <w:lang w:eastAsia="en-GB"/>
        </w:rPr>
        <w:t xml:space="preserve">This review used an earlier systematic </w:t>
      </w:r>
      <w:r w:rsidR="00593E66" w:rsidRPr="001641BF">
        <w:rPr>
          <w:rFonts w:asciiTheme="majorBidi" w:eastAsia="Times New Roman" w:hAnsiTheme="majorBidi" w:cstheme="majorBidi"/>
          <w:lang w:eastAsia="en-GB"/>
        </w:rPr>
        <w:t xml:space="preserve">review </w:t>
      </w:r>
      <w:r w:rsidR="00A83123" w:rsidRPr="00A83123">
        <w:rPr>
          <w:rFonts w:asciiTheme="majorBidi" w:eastAsia="Times New Roman" w:hAnsiTheme="majorBidi" w:cstheme="majorBidi"/>
          <w:noProof/>
          <w:vertAlign w:val="superscript"/>
          <w:lang w:eastAsia="en-GB"/>
        </w:rPr>
        <w:t>111</w:t>
      </w:r>
      <w:r w:rsidRPr="001641BF">
        <w:rPr>
          <w:rFonts w:asciiTheme="majorBidi" w:eastAsia="Times New Roman" w:hAnsiTheme="majorBidi" w:cstheme="majorBidi"/>
          <w:lang w:eastAsia="en-GB"/>
        </w:rPr>
        <w:t xml:space="preserve"> to extract information on the characteristics of three relevant studies including target population, modelling assumptions, model structure and key evidence.</w:t>
      </w:r>
      <w:r w:rsidR="00A83123" w:rsidRPr="00A83123">
        <w:rPr>
          <w:rFonts w:asciiTheme="majorBidi" w:eastAsia="Times New Roman" w:hAnsiTheme="majorBidi" w:cstheme="majorBidi"/>
          <w:noProof/>
          <w:vertAlign w:val="superscript"/>
          <w:lang w:eastAsia="en-GB"/>
        </w:rPr>
        <w:t>112-</w:t>
      </w:r>
      <w:proofErr w:type="gramStart"/>
      <w:r w:rsidR="00A83123" w:rsidRPr="00A83123">
        <w:rPr>
          <w:rFonts w:asciiTheme="majorBidi" w:eastAsia="Times New Roman" w:hAnsiTheme="majorBidi" w:cstheme="majorBidi"/>
          <w:noProof/>
          <w:vertAlign w:val="superscript"/>
          <w:lang w:eastAsia="en-GB"/>
        </w:rPr>
        <w:t>114</w:t>
      </w:r>
      <w:r w:rsidRPr="001641BF">
        <w:rPr>
          <w:rFonts w:asciiTheme="majorBidi" w:eastAsia="Times New Roman" w:hAnsiTheme="majorBidi" w:cstheme="majorBidi"/>
          <w:lang w:eastAsia="en-GB"/>
        </w:rPr>
        <w:t xml:space="preserve">  </w:t>
      </w:r>
      <w:r w:rsidRPr="001641BF">
        <w:rPr>
          <w:rFonts w:asciiTheme="majorBidi" w:hAnsiTheme="majorBidi" w:cstheme="majorBidi"/>
        </w:rPr>
        <w:t>All</w:t>
      </w:r>
      <w:proofErr w:type="gramEnd"/>
      <w:r w:rsidRPr="001641BF">
        <w:rPr>
          <w:rFonts w:asciiTheme="majorBidi" w:hAnsiTheme="majorBidi" w:cstheme="majorBidi"/>
        </w:rPr>
        <w:t xml:space="preserve"> of these studies included standard cost-effectiveness models </w:t>
      </w:r>
      <w:r w:rsidR="00593E66" w:rsidRPr="001641BF">
        <w:rPr>
          <w:rFonts w:asciiTheme="majorBidi" w:hAnsiTheme="majorBidi" w:cstheme="majorBidi"/>
        </w:rPr>
        <w:t>and did</w:t>
      </w:r>
      <w:r w:rsidRPr="001641BF">
        <w:rPr>
          <w:rFonts w:asciiTheme="majorBidi" w:hAnsiTheme="majorBidi" w:cstheme="majorBidi"/>
        </w:rPr>
        <w:t xml:space="preserve"> not consider the impact of alternative therapies on resistance patterns over time.  </w:t>
      </w:r>
      <w:r w:rsidRPr="001641BF">
        <w:rPr>
          <w:rFonts w:asciiTheme="majorBidi" w:eastAsia="Times New Roman" w:hAnsiTheme="majorBidi" w:cstheme="majorBidi"/>
          <w:lang w:eastAsia="en-GB"/>
        </w:rPr>
        <w:t>One study attempted to include transmission rates in the modelling but this was not extrapolated to estimate population-level health effects.</w:t>
      </w:r>
      <w:proofErr w:type="gramStart"/>
      <w:r w:rsidR="00A83123" w:rsidRPr="00A83123">
        <w:rPr>
          <w:rFonts w:asciiTheme="majorBidi" w:eastAsia="Times New Roman" w:hAnsiTheme="majorBidi" w:cstheme="majorBidi"/>
          <w:noProof/>
          <w:vertAlign w:val="superscript"/>
          <w:lang w:eastAsia="en-GB"/>
        </w:rPr>
        <w:t>114</w:t>
      </w:r>
      <w:r w:rsidRPr="001641BF">
        <w:rPr>
          <w:rFonts w:asciiTheme="majorBidi" w:eastAsia="Times New Roman" w:hAnsiTheme="majorBidi" w:cstheme="majorBidi"/>
          <w:lang w:eastAsia="en-GB"/>
        </w:rPr>
        <w:t xml:space="preserve">  As</w:t>
      </w:r>
      <w:proofErr w:type="gramEnd"/>
      <w:r w:rsidRPr="001641BF">
        <w:rPr>
          <w:rFonts w:asciiTheme="majorBidi" w:eastAsia="Times New Roman" w:hAnsiTheme="majorBidi" w:cstheme="majorBidi"/>
          <w:lang w:eastAsia="en-GB"/>
        </w:rPr>
        <w:t xml:space="preserve"> a UK study, one study provided some potentially useful evidence sources for the current evaluation.</w:t>
      </w:r>
      <w:r w:rsidR="00A83123" w:rsidRPr="00A83123">
        <w:rPr>
          <w:rFonts w:asciiTheme="majorBidi" w:eastAsia="Times New Roman" w:hAnsiTheme="majorBidi" w:cstheme="majorBidi"/>
          <w:noProof/>
          <w:vertAlign w:val="superscript"/>
          <w:lang w:eastAsia="en-GB"/>
        </w:rPr>
        <w:t>112</w:t>
      </w:r>
      <w:r w:rsidRPr="001641BF">
        <w:rPr>
          <w:rFonts w:asciiTheme="majorBidi" w:eastAsia="Times New Roman" w:hAnsiTheme="majorBidi" w:cstheme="majorBidi"/>
          <w:lang w:eastAsia="en-GB"/>
        </w:rPr>
        <w:t xml:space="preserve">   </w:t>
      </w:r>
    </w:p>
    <w:p w14:paraId="129DB4D2" w14:textId="1922F798" w:rsidR="00A4788F" w:rsidRPr="0080269E" w:rsidRDefault="00A4788F" w:rsidP="005A3BE6">
      <w:pPr>
        <w:pStyle w:val="EEPRUnumberedstylelevel3"/>
        <w:numPr>
          <w:ilvl w:val="2"/>
          <w:numId w:val="114"/>
        </w:numPr>
      </w:pPr>
      <w:bookmarkStart w:id="284" w:name="_Toc85194063"/>
      <w:bookmarkStart w:id="285" w:name="_Toc87463018"/>
      <w:r w:rsidRPr="0080269E">
        <w:t xml:space="preserve">Review 4: </w:t>
      </w:r>
      <w:r w:rsidRPr="0080269E">
        <w:rPr>
          <w:lang w:val="en-US"/>
        </w:rPr>
        <w:t xml:space="preserve">existing cost-effectiveness models in </w:t>
      </w:r>
      <w:proofErr w:type="spellStart"/>
      <w:r w:rsidRPr="0080269E">
        <w:rPr>
          <w:lang w:val="en-US"/>
        </w:rPr>
        <w:t>cUTI</w:t>
      </w:r>
      <w:bookmarkEnd w:id="284"/>
      <w:bookmarkEnd w:id="285"/>
      <w:proofErr w:type="spellEnd"/>
    </w:p>
    <w:p w14:paraId="472E8EA4" w14:textId="79EEC4E7" w:rsidR="00A4788F" w:rsidRPr="001641BF" w:rsidRDefault="00A4788F" w:rsidP="00A83123">
      <w:pPr>
        <w:spacing w:after="0" w:line="360" w:lineRule="auto"/>
        <w:jc w:val="both"/>
        <w:rPr>
          <w:rFonts w:asciiTheme="majorBidi" w:hAnsiTheme="majorBidi" w:cstheme="majorBidi"/>
          <w:color w:val="000000" w:themeColor="text1"/>
        </w:rPr>
      </w:pPr>
      <w:r w:rsidRPr="001641BF">
        <w:rPr>
          <w:rFonts w:asciiTheme="majorBidi" w:eastAsia="Times New Roman" w:hAnsiTheme="majorBidi" w:cstheme="majorBidi"/>
          <w:lang w:eastAsia="en-GB"/>
        </w:rPr>
        <w:t xml:space="preserve">One study was </w:t>
      </w:r>
      <w:r w:rsidR="00593E66" w:rsidRPr="001641BF">
        <w:rPr>
          <w:rFonts w:asciiTheme="majorBidi" w:eastAsia="Times New Roman" w:hAnsiTheme="majorBidi" w:cstheme="majorBidi"/>
          <w:lang w:eastAsia="en-GB"/>
        </w:rPr>
        <w:t xml:space="preserve">identified </w:t>
      </w:r>
      <w:r w:rsidR="00A83123" w:rsidRPr="00A83123">
        <w:rPr>
          <w:rFonts w:asciiTheme="majorBidi" w:hAnsiTheme="majorBidi" w:cstheme="majorBidi"/>
          <w:noProof/>
          <w:color w:val="000000" w:themeColor="text1"/>
          <w:vertAlign w:val="superscript"/>
        </w:rPr>
        <w:t>115</w:t>
      </w:r>
      <w:r w:rsidRPr="001641BF">
        <w:rPr>
          <w:rFonts w:asciiTheme="majorBidi" w:eastAsia="Times New Roman" w:hAnsiTheme="majorBidi" w:cstheme="majorBidi"/>
          <w:lang w:eastAsia="en-GB"/>
        </w:rPr>
        <w:t xml:space="preserve"> in addition to the models in </w:t>
      </w:r>
      <w:proofErr w:type="spellStart"/>
      <w:r w:rsidRPr="001641BF">
        <w:rPr>
          <w:rFonts w:asciiTheme="majorBidi" w:eastAsia="Times New Roman" w:hAnsiTheme="majorBidi" w:cstheme="majorBidi"/>
          <w:lang w:eastAsia="en-GB"/>
        </w:rPr>
        <w:t>cUTI</w:t>
      </w:r>
      <w:proofErr w:type="spellEnd"/>
      <w:r w:rsidRPr="001641BF">
        <w:rPr>
          <w:rFonts w:asciiTheme="majorBidi" w:eastAsia="Times New Roman" w:hAnsiTheme="majorBidi" w:cstheme="majorBidi"/>
          <w:lang w:eastAsia="en-GB"/>
        </w:rPr>
        <w:t xml:space="preserve"> identified in Reviews 1 and 2 </w:t>
      </w:r>
      <w:r w:rsidR="00A83123" w:rsidRPr="00A83123">
        <w:rPr>
          <w:rFonts w:asciiTheme="majorBidi" w:eastAsia="Times New Roman" w:hAnsiTheme="majorBidi" w:cstheme="majorBidi"/>
          <w:noProof/>
          <w:vertAlign w:val="superscript"/>
        </w:rPr>
        <w:t>104,106,107,110,116</w:t>
      </w:r>
      <w:r w:rsidRPr="001641BF">
        <w:rPr>
          <w:rFonts w:asciiTheme="majorBidi" w:hAnsiTheme="majorBidi" w:cstheme="majorBidi"/>
        </w:rPr>
        <w:t xml:space="preserve"> As for Review 3, the UK-based studies provided some insights on evidence sources. The additional study</w:t>
      </w:r>
      <w:r w:rsidR="00593E66" w:rsidRPr="001641BF">
        <w:rPr>
          <w:rFonts w:asciiTheme="majorBidi" w:hAnsiTheme="majorBidi" w:cstheme="majorBidi"/>
        </w:rPr>
        <w:t>,</w:t>
      </w:r>
      <w:r w:rsidR="00A83123" w:rsidRPr="00A83123">
        <w:rPr>
          <w:rFonts w:asciiTheme="majorBidi" w:hAnsiTheme="majorBidi" w:cstheme="majorBidi"/>
          <w:noProof/>
          <w:color w:val="000000" w:themeColor="text1"/>
          <w:vertAlign w:val="superscript"/>
        </w:rPr>
        <w:t>115</w:t>
      </w:r>
      <w:r w:rsidRPr="001641BF">
        <w:rPr>
          <w:rFonts w:asciiTheme="majorBidi" w:hAnsiTheme="majorBidi" w:cstheme="majorBidi"/>
        </w:rPr>
        <w:t xml:space="preserve"> was US-based and</w:t>
      </w:r>
      <w:r w:rsidRPr="001641BF">
        <w:rPr>
          <w:rFonts w:asciiTheme="majorBidi" w:eastAsia="Times New Roman" w:hAnsiTheme="majorBidi" w:cstheme="majorBidi"/>
          <w:color w:val="000000" w:themeColor="text1"/>
          <w:lang w:eastAsia="en-GB"/>
        </w:rPr>
        <w:t xml:space="preserve"> used micro-simulation to </w:t>
      </w:r>
      <w:r w:rsidRPr="001641BF">
        <w:rPr>
          <w:rFonts w:asciiTheme="majorBidi" w:hAnsiTheme="majorBidi" w:cstheme="majorBidi"/>
          <w:color w:val="000000" w:themeColor="text1"/>
        </w:rPr>
        <w:t xml:space="preserve">track patients allowing for treatment </w:t>
      </w:r>
      <w:r w:rsidRPr="001641BF">
        <w:rPr>
          <w:rFonts w:asciiTheme="majorBidi" w:hAnsiTheme="majorBidi" w:cstheme="majorBidi"/>
          <w:color w:val="000000" w:themeColor="text1"/>
        </w:rPr>
        <w:lastRenderedPageBreak/>
        <w:t xml:space="preserve">switching as microbiological information becomes available. A surveillance dataset was used to sample isolates and to determine susceptibility to different treatments. This use of susceptibility data rather than standard </w:t>
      </w:r>
      <w:r w:rsidRPr="001641BF">
        <w:rPr>
          <w:rFonts w:asciiTheme="majorBidi" w:hAnsiTheme="majorBidi" w:cstheme="majorBidi"/>
          <w:i/>
          <w:iCs/>
          <w:color w:val="000000" w:themeColor="text1"/>
        </w:rPr>
        <w:t>in vivo</w:t>
      </w:r>
      <w:r w:rsidRPr="001641BF">
        <w:rPr>
          <w:rFonts w:asciiTheme="majorBidi" w:hAnsiTheme="majorBidi" w:cstheme="majorBidi"/>
          <w:color w:val="000000" w:themeColor="text1"/>
        </w:rPr>
        <w:t xml:space="preserve"> evidence from RCTs and other designs is novel and has the potential to address modelling challenges. </w:t>
      </w:r>
    </w:p>
    <w:p w14:paraId="3AA2ED68" w14:textId="460A740C" w:rsidR="00A4788F" w:rsidRPr="0080269E" w:rsidRDefault="00A4788F" w:rsidP="005A3BE6">
      <w:pPr>
        <w:pStyle w:val="EEPRUnumberedstylelevel3"/>
        <w:numPr>
          <w:ilvl w:val="2"/>
          <w:numId w:val="114"/>
        </w:numPr>
      </w:pPr>
      <w:bookmarkStart w:id="286" w:name="_Toc85194064"/>
      <w:bookmarkStart w:id="287" w:name="_Ref86323292"/>
      <w:bookmarkStart w:id="288" w:name="_Ref86323315"/>
      <w:bookmarkStart w:id="289" w:name="_Ref86323346"/>
      <w:bookmarkStart w:id="290" w:name="_Toc87463019"/>
      <w:r w:rsidRPr="0080269E">
        <w:t>Manufacturer economic model for CAZ-AVI</w:t>
      </w:r>
      <w:bookmarkStart w:id="291" w:name="_Toc77944768"/>
      <w:bookmarkStart w:id="292" w:name="_Toc85194065"/>
      <w:bookmarkEnd w:id="286"/>
      <w:bookmarkEnd w:id="287"/>
      <w:bookmarkEnd w:id="288"/>
      <w:bookmarkEnd w:id="289"/>
      <w:bookmarkEnd w:id="290"/>
    </w:p>
    <w:p w14:paraId="536F619C" w14:textId="18476A65" w:rsidR="000E1361" w:rsidRPr="000E1361" w:rsidRDefault="000E1361" w:rsidP="000E1361">
      <w:pPr>
        <w:spacing w:line="360" w:lineRule="auto"/>
        <w:contextualSpacing/>
        <w:jc w:val="both"/>
        <w:rPr>
          <w:rFonts w:ascii="Times New Roman" w:hAnsi="Times New Roman" w:cs="Times New Roman"/>
        </w:rPr>
      </w:pPr>
      <w:bookmarkStart w:id="293" w:name="_Hlk85008883"/>
      <w:r w:rsidRPr="000E1361">
        <w:rPr>
          <w:rFonts w:ascii="Times New Roman" w:hAnsi="Times New Roman" w:cs="Times New Roman"/>
        </w:rPr>
        <w:t xml:space="preserve">To support this assessment, the </w:t>
      </w:r>
      <w:r w:rsidR="00337E4A">
        <w:rPr>
          <w:rFonts w:ascii="Times New Roman" w:hAnsi="Times New Roman" w:cs="Times New Roman"/>
        </w:rPr>
        <w:t xml:space="preserve">CAZ-AVI’s </w:t>
      </w:r>
      <w:proofErr w:type="gramStart"/>
      <w:r w:rsidR="00337E4A">
        <w:rPr>
          <w:rFonts w:ascii="Times New Roman" w:hAnsi="Times New Roman" w:cs="Times New Roman"/>
        </w:rPr>
        <w:t xml:space="preserve">manufacturer </w:t>
      </w:r>
      <w:r w:rsidRPr="000E1361">
        <w:rPr>
          <w:rFonts w:ascii="Times New Roman" w:hAnsi="Times New Roman" w:cs="Times New Roman"/>
        </w:rPr>
        <w:t xml:space="preserve"> submitted</w:t>
      </w:r>
      <w:proofErr w:type="gramEnd"/>
      <w:r w:rsidRPr="000E1361">
        <w:rPr>
          <w:rFonts w:ascii="Times New Roman" w:hAnsi="Times New Roman" w:cs="Times New Roman"/>
        </w:rPr>
        <w:t xml:space="preserve"> a model to evaluate the value of CAZ-AVI. This section provides an overview of the company’s submitted model. As shall be seen, there were high-level concerns about the relevance of the company’s submitted model and evaluation. In addition, for some areas</w:t>
      </w:r>
      <w:r w:rsidR="00337E4A">
        <w:rPr>
          <w:rFonts w:ascii="Times New Roman" w:hAnsi="Times New Roman" w:cs="Times New Roman"/>
        </w:rPr>
        <w:t>,</w:t>
      </w:r>
      <w:r w:rsidRPr="000E1361">
        <w:rPr>
          <w:rFonts w:ascii="Times New Roman" w:hAnsi="Times New Roman" w:cs="Times New Roman"/>
        </w:rPr>
        <w:t xml:space="preserve"> there was a lack of transparency on the processes that are driving the economic result</w:t>
      </w:r>
      <w:r w:rsidR="00337E4A">
        <w:rPr>
          <w:rFonts w:ascii="Times New Roman" w:hAnsi="Times New Roman" w:cs="Times New Roman"/>
        </w:rPr>
        <w:t>s</w:t>
      </w:r>
      <w:r w:rsidRPr="000E1361">
        <w:rPr>
          <w:rFonts w:ascii="Times New Roman" w:hAnsi="Times New Roman" w:cs="Times New Roman"/>
        </w:rPr>
        <w:t>. Because of th</w:t>
      </w:r>
      <w:r w:rsidR="00492404">
        <w:rPr>
          <w:rFonts w:ascii="Times New Roman" w:hAnsi="Times New Roman" w:cs="Times New Roman"/>
        </w:rPr>
        <w:t>e</w:t>
      </w:r>
      <w:r w:rsidRPr="000E1361">
        <w:rPr>
          <w:rFonts w:ascii="Times New Roman" w:hAnsi="Times New Roman" w:cs="Times New Roman"/>
        </w:rPr>
        <w:t>s</w:t>
      </w:r>
      <w:r w:rsidR="00492404">
        <w:rPr>
          <w:rFonts w:ascii="Times New Roman" w:hAnsi="Times New Roman" w:cs="Times New Roman"/>
        </w:rPr>
        <w:t>e issues</w:t>
      </w:r>
      <w:r w:rsidRPr="000E1361">
        <w:rPr>
          <w:rFonts w:ascii="Times New Roman" w:hAnsi="Times New Roman" w:cs="Times New Roman"/>
        </w:rPr>
        <w:t>, this section does not provide a detailed critique of the company’s submitted model and evaluation.</w:t>
      </w:r>
    </w:p>
    <w:p w14:paraId="73007D0E" w14:textId="77777777"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 </w:t>
      </w:r>
    </w:p>
    <w:p w14:paraId="74CA64B0" w14:textId="0D78C657"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The company’s submitted economic model considers CAZ-AVI as an additional treatment line for patients with three types of infections (</w:t>
      </w:r>
      <w:proofErr w:type="spellStart"/>
      <w:r w:rsidRPr="000E1361">
        <w:rPr>
          <w:rFonts w:ascii="Times New Roman" w:hAnsi="Times New Roman" w:cs="Times New Roman"/>
        </w:rPr>
        <w:t>cIAI</w:t>
      </w:r>
      <w:proofErr w:type="spellEnd"/>
      <w:r w:rsidRPr="000E1361">
        <w:rPr>
          <w:rFonts w:ascii="Times New Roman" w:hAnsi="Times New Roman" w:cs="Times New Roman"/>
        </w:rPr>
        <w:t xml:space="preserve">, </w:t>
      </w:r>
      <w:proofErr w:type="spellStart"/>
      <w:r w:rsidRPr="000E1361">
        <w:rPr>
          <w:rFonts w:ascii="Times New Roman" w:hAnsi="Times New Roman" w:cs="Times New Roman"/>
        </w:rPr>
        <w:t>cUTI</w:t>
      </w:r>
      <w:proofErr w:type="spellEnd"/>
      <w:r w:rsidRPr="000E1361">
        <w:rPr>
          <w:rFonts w:ascii="Times New Roman" w:hAnsi="Times New Roman" w:cs="Times New Roman"/>
        </w:rPr>
        <w:t xml:space="preserve"> and HAP/VAP) caused by three Gram-negative bacterial species </w:t>
      </w:r>
      <w:r w:rsidRPr="000E1361">
        <w:rPr>
          <w:rFonts w:ascii="Times New Roman" w:hAnsi="Times New Roman" w:cs="Times New Roman"/>
          <w:i/>
        </w:rPr>
        <w:t>(</w:t>
      </w:r>
      <w:r w:rsidRPr="00337E4A">
        <w:rPr>
          <w:rFonts w:ascii="Times New Roman" w:hAnsi="Times New Roman" w:cs="Times New Roman"/>
          <w:i/>
          <w:iCs/>
        </w:rPr>
        <w:t xml:space="preserve">E. coli, K. pneumoniae and </w:t>
      </w:r>
      <w:r w:rsidR="00270C20">
        <w:rPr>
          <w:rFonts w:ascii="Times New Roman" w:hAnsi="Times New Roman" w:cs="Times New Roman"/>
          <w:i/>
          <w:iCs/>
        </w:rPr>
        <w:t>Pseudomonas aeruginosa</w:t>
      </w:r>
      <w:r w:rsidRPr="000E1361">
        <w:rPr>
          <w:rFonts w:ascii="Times New Roman" w:hAnsi="Times New Roman" w:cs="Times New Roman"/>
        </w:rPr>
        <w:t xml:space="preserve">) for 1,000 patients in a single hospital. The comparator </w:t>
      </w:r>
      <w:r w:rsidRPr="000E1361">
        <w:rPr>
          <w:rFonts w:ascii="Times New Roman" w:hAnsi="Times New Roman" w:cs="Times New Roman"/>
          <w:color w:val="000000"/>
        </w:rPr>
        <w:t xml:space="preserve">treatment is meropenem and either piperacillin/tazobactam (for </w:t>
      </w:r>
      <w:proofErr w:type="spellStart"/>
      <w:r w:rsidRPr="000E1361">
        <w:rPr>
          <w:rFonts w:ascii="Times New Roman" w:hAnsi="Times New Roman" w:cs="Times New Roman"/>
          <w:color w:val="000000" w:themeColor="text1"/>
        </w:rPr>
        <w:t>cIAI</w:t>
      </w:r>
      <w:proofErr w:type="spellEnd"/>
      <w:r w:rsidRPr="000E1361">
        <w:rPr>
          <w:rFonts w:ascii="Times New Roman" w:hAnsi="Times New Roman" w:cs="Times New Roman"/>
          <w:color w:val="000000" w:themeColor="text1"/>
        </w:rPr>
        <w:t xml:space="preserve"> or </w:t>
      </w:r>
      <w:proofErr w:type="spellStart"/>
      <w:r w:rsidRPr="000E1361">
        <w:rPr>
          <w:rFonts w:ascii="Times New Roman" w:hAnsi="Times New Roman" w:cs="Times New Roman"/>
          <w:color w:val="000000" w:themeColor="text1"/>
        </w:rPr>
        <w:t>cUTI</w:t>
      </w:r>
      <w:proofErr w:type="spellEnd"/>
      <w:r w:rsidRPr="000E1361">
        <w:rPr>
          <w:rFonts w:ascii="Times New Roman" w:hAnsi="Times New Roman" w:cs="Times New Roman"/>
          <w:color w:val="000000" w:themeColor="text1"/>
        </w:rPr>
        <w:t xml:space="preserve">) or </w:t>
      </w:r>
      <w:r w:rsidRPr="000E1361">
        <w:rPr>
          <w:rFonts w:ascii="Times New Roman" w:hAnsi="Times New Roman" w:cs="Times New Roman"/>
          <w:color w:val="000000"/>
        </w:rPr>
        <w:t xml:space="preserve">colistin (for </w:t>
      </w:r>
      <w:r w:rsidRPr="000E1361">
        <w:rPr>
          <w:rFonts w:ascii="Times New Roman" w:hAnsi="Times New Roman" w:cs="Times New Roman"/>
        </w:rPr>
        <w:t>HAP/VAP</w:t>
      </w:r>
      <w:r w:rsidRPr="000E1361">
        <w:rPr>
          <w:rFonts w:ascii="Times New Roman" w:hAnsi="Times New Roman" w:cs="Times New Roman"/>
          <w:color w:val="000000"/>
        </w:rPr>
        <w:t xml:space="preserve">). </w:t>
      </w:r>
      <w:r w:rsidRPr="000E1361">
        <w:rPr>
          <w:rFonts w:ascii="Times New Roman" w:hAnsi="Times New Roman" w:cs="Times New Roman"/>
        </w:rPr>
        <w:t>The hospital is modelled as an infectious environment, with the transmission of infection occurring a</w:t>
      </w:r>
      <w:r w:rsidR="00337E4A">
        <w:rPr>
          <w:rFonts w:ascii="Times New Roman" w:hAnsi="Times New Roman" w:cs="Times New Roman"/>
        </w:rPr>
        <w:t>t</w:t>
      </w:r>
      <w:r w:rsidRPr="000E1361">
        <w:rPr>
          <w:rFonts w:ascii="Times New Roman" w:hAnsi="Times New Roman" w:cs="Times New Roman"/>
        </w:rPr>
        <w:t xml:space="preserve"> a constant proportion of the infected population. Consequently, patients’ exposure to up to three AMs (when CAZ-AVI is used) is influenced by treatment efficacy and the prevalence of AMR in the infected population.</w:t>
      </w:r>
    </w:p>
    <w:p w14:paraId="1385B5A4" w14:textId="77777777" w:rsidR="000E1361" w:rsidRPr="000E1361" w:rsidRDefault="000E1361" w:rsidP="000E1361">
      <w:pPr>
        <w:spacing w:line="360" w:lineRule="auto"/>
        <w:contextualSpacing/>
        <w:jc w:val="both"/>
        <w:rPr>
          <w:rFonts w:ascii="Times New Roman" w:hAnsi="Times New Roman" w:cs="Times New Roman"/>
        </w:rPr>
      </w:pPr>
    </w:p>
    <w:p w14:paraId="0B96183E" w14:textId="427A0985"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This section begins with an overview of the decision problem considered in the evaluation, followed by details of the submitted model structure (including its processes and results), followed by a discussion of areas where there was a lack of transparency in the model description and an explanation of the most substantive issues identified. It finishes with an overview of other issues of concern with the </w:t>
      </w:r>
      <w:r w:rsidR="00337E4A" w:rsidRPr="000E1361">
        <w:rPr>
          <w:rFonts w:ascii="Times New Roman" w:hAnsi="Times New Roman" w:cs="Times New Roman"/>
        </w:rPr>
        <w:t>submitted</w:t>
      </w:r>
      <w:r w:rsidRPr="000E1361">
        <w:rPr>
          <w:rFonts w:ascii="Times New Roman" w:hAnsi="Times New Roman" w:cs="Times New Roman"/>
        </w:rPr>
        <w:t xml:space="preserve"> model.</w:t>
      </w:r>
    </w:p>
    <w:p w14:paraId="182CB6D3" w14:textId="77777777" w:rsidR="000E1361" w:rsidRPr="000E1361" w:rsidRDefault="000E1361" w:rsidP="000E1361">
      <w:pPr>
        <w:spacing w:line="360" w:lineRule="auto"/>
        <w:contextualSpacing/>
        <w:jc w:val="both"/>
        <w:rPr>
          <w:rFonts w:ascii="Times New Roman" w:hAnsi="Times New Roman" w:cs="Times New Roman"/>
          <w:b/>
        </w:rPr>
      </w:pPr>
    </w:p>
    <w:p w14:paraId="066E8E41" w14:textId="6533BA9F" w:rsidR="000E1361" w:rsidRPr="005A3BE6" w:rsidRDefault="005B2689" w:rsidP="001E5A41">
      <w:pPr>
        <w:pStyle w:val="EEPRUnumberedlevel4"/>
        <w:ind w:hanging="142"/>
        <w:rPr>
          <w:sz w:val="24"/>
          <w:szCs w:val="24"/>
        </w:rPr>
      </w:pPr>
      <w:bookmarkStart w:id="294" w:name="_Toc87463020"/>
      <w:r w:rsidRPr="005A3BE6">
        <w:rPr>
          <w:sz w:val="24"/>
          <w:szCs w:val="24"/>
        </w:rPr>
        <w:t xml:space="preserve">6.1.5.1 </w:t>
      </w:r>
      <w:r w:rsidR="000E1361" w:rsidRPr="005A3BE6">
        <w:rPr>
          <w:sz w:val="24"/>
          <w:szCs w:val="24"/>
        </w:rPr>
        <w:t>Summary of the company’s model</w:t>
      </w:r>
      <w:bookmarkEnd w:id="294"/>
    </w:p>
    <w:p w14:paraId="5A53FFAB" w14:textId="5F5C29A5" w:rsidR="000E1361" w:rsidRDefault="000E1361" w:rsidP="000E1361">
      <w:pPr>
        <w:spacing w:line="360" w:lineRule="auto"/>
        <w:contextualSpacing/>
        <w:jc w:val="both"/>
        <w:rPr>
          <w:rFonts w:ascii="Times New Roman" w:hAnsi="Times New Roman" w:cs="Times New Roman"/>
          <w:shd w:val="clear" w:color="auto" w:fill="FFFFFF"/>
        </w:rPr>
      </w:pPr>
      <w:r w:rsidRPr="000E1361">
        <w:rPr>
          <w:rFonts w:ascii="Times New Roman" w:hAnsi="Times New Roman" w:cs="Times New Roman"/>
        </w:rPr>
        <w:t>A summary of the model, including key elements of the decision problem (</w:t>
      </w:r>
      <w:r w:rsidRPr="000E1361">
        <w:rPr>
          <w:rFonts w:ascii="Times New Roman" w:hAnsi="Times New Roman" w:cs="Times New Roman"/>
          <w:shd w:val="clear" w:color="auto" w:fill="FFFFFF"/>
        </w:rPr>
        <w:t xml:space="preserve">population, intervention, </w:t>
      </w:r>
      <w:proofErr w:type="gramStart"/>
      <w:r w:rsidRPr="000E1361">
        <w:rPr>
          <w:rFonts w:ascii="Times New Roman" w:hAnsi="Times New Roman" w:cs="Times New Roman"/>
          <w:shd w:val="clear" w:color="auto" w:fill="FFFFFF"/>
        </w:rPr>
        <w:t>comparison</w:t>
      </w:r>
      <w:proofErr w:type="gramEnd"/>
      <w:r w:rsidRPr="000E1361">
        <w:rPr>
          <w:rFonts w:ascii="Times New Roman" w:hAnsi="Times New Roman" w:cs="Times New Roman"/>
          <w:shd w:val="clear" w:color="auto" w:fill="FFFFFF"/>
        </w:rPr>
        <w:t xml:space="preserve"> and outcomes) is provided in </w:t>
      </w:r>
      <w:r w:rsidR="00483CEE" w:rsidRPr="000E1361">
        <w:rPr>
          <w:rFonts w:ascii="Times New Roman" w:hAnsi="Times New Roman" w:cs="Times New Roman"/>
        </w:rPr>
        <w:t xml:space="preserve">Table </w:t>
      </w:r>
      <w:r w:rsidR="00483CEE">
        <w:rPr>
          <w:rFonts w:ascii="Times New Roman" w:hAnsi="Times New Roman" w:cs="Times New Roman"/>
          <w:noProof/>
        </w:rPr>
        <w:t>15</w:t>
      </w:r>
      <w:r w:rsidRPr="000E1361">
        <w:rPr>
          <w:rFonts w:ascii="Times New Roman" w:hAnsi="Times New Roman" w:cs="Times New Roman"/>
          <w:shd w:val="clear" w:color="auto" w:fill="FFFFFF"/>
        </w:rPr>
        <w:t xml:space="preserve">. </w:t>
      </w:r>
    </w:p>
    <w:p w14:paraId="57137199" w14:textId="77777777" w:rsidR="005B2689" w:rsidRPr="000E1361" w:rsidRDefault="005B2689" w:rsidP="000E1361">
      <w:pPr>
        <w:spacing w:line="360" w:lineRule="auto"/>
        <w:contextualSpacing/>
        <w:jc w:val="both"/>
        <w:rPr>
          <w:rFonts w:ascii="Times New Roman" w:hAnsi="Times New Roman" w:cs="Times New Roman"/>
        </w:rPr>
      </w:pPr>
    </w:p>
    <w:p w14:paraId="63843BD4" w14:textId="7FD03E95"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rPr>
        <w:t xml:space="preserve">The economic model’s estimate of the cost-effectiveness of CAZ-AVI accounts for the efficacy of CAZ-AVI and diversification strategies to prevent the development of AMR across all available treatment lines. The model </w:t>
      </w:r>
      <w:r w:rsidRPr="000E1361">
        <w:rPr>
          <w:rFonts w:ascii="Times New Roman" w:hAnsi="Times New Roman" w:cs="Times New Roman"/>
          <w:color w:val="000000" w:themeColor="text1"/>
        </w:rPr>
        <w:t xml:space="preserve">is based on a multi-state disease transmission model which estimates the </w:t>
      </w:r>
      <w:r w:rsidRPr="000E1361">
        <w:rPr>
          <w:rFonts w:ascii="Times New Roman" w:hAnsi="Times New Roman" w:cs="Times New Roman"/>
          <w:color w:val="000000" w:themeColor="text1"/>
        </w:rPr>
        <w:lastRenderedPageBreak/>
        <w:t xml:space="preserve">incidence and prevalence of bacterial infections within a single hospital infectious environment. Infections are caused by transmission from patient interactions, and environmental exposure. The multi-state disease transmission module is linked to a decision-tree treatment pathway module to determine the health economic impact </w:t>
      </w:r>
      <w:r w:rsidRPr="000E1361">
        <w:rPr>
          <w:rFonts w:ascii="Times New Roman" w:hAnsi="Times New Roman" w:cs="Times New Roman"/>
          <w:color w:val="000000" w:themeColor="text1"/>
          <w:kern w:val="24"/>
        </w:rPr>
        <w:t xml:space="preserve">of </w:t>
      </w:r>
      <w:r w:rsidRPr="000E1361">
        <w:rPr>
          <w:rFonts w:ascii="Times New Roman" w:hAnsi="Times New Roman" w:cs="Times New Roman"/>
          <w:color w:val="000000" w:themeColor="text1"/>
        </w:rPr>
        <w:t xml:space="preserve">empiric usage of CAZ-AVI in all patients with </w:t>
      </w:r>
      <w:proofErr w:type="spellStart"/>
      <w:r w:rsidRPr="000E1361">
        <w:rPr>
          <w:rFonts w:ascii="Times New Roman" w:hAnsi="Times New Roman" w:cs="Times New Roman"/>
          <w:color w:val="000000" w:themeColor="text1"/>
        </w:rPr>
        <w:t>cIAI</w:t>
      </w:r>
      <w:proofErr w:type="spellEnd"/>
      <w:r w:rsidRPr="000E1361">
        <w:rPr>
          <w:rFonts w:ascii="Times New Roman" w:hAnsi="Times New Roman" w:cs="Times New Roman"/>
          <w:color w:val="000000" w:themeColor="text1"/>
        </w:rPr>
        <w:t xml:space="preserve">, </w:t>
      </w:r>
      <w:proofErr w:type="spellStart"/>
      <w:r w:rsidRPr="000E1361">
        <w:rPr>
          <w:rFonts w:ascii="Times New Roman" w:hAnsi="Times New Roman" w:cs="Times New Roman"/>
          <w:color w:val="000000" w:themeColor="text1"/>
        </w:rPr>
        <w:t>cUTI</w:t>
      </w:r>
      <w:proofErr w:type="spellEnd"/>
      <w:r w:rsidRPr="000E1361">
        <w:rPr>
          <w:rFonts w:ascii="Times New Roman" w:hAnsi="Times New Roman" w:cs="Times New Roman"/>
          <w:color w:val="000000" w:themeColor="text1"/>
        </w:rPr>
        <w:t xml:space="preserve">, and HAP/VAP. The model has a three lines strategy when examining the introduction of CAZ-AVI and two-line strategy examining the comparators. The model has a diversity-based strategy, where multiple AMs are used in the same line of the treatment pathway. The baseline diversity strategy means that patients are distributed evenly between each of the following treatment sequences in the CAZ-AVI arm: </w:t>
      </w:r>
    </w:p>
    <w:p w14:paraId="62F825C1" w14:textId="77777777" w:rsidR="000E1361" w:rsidRPr="000E1361" w:rsidRDefault="000E1361" w:rsidP="005A3BE6">
      <w:pPr>
        <w:pStyle w:val="ListParagraph"/>
        <w:numPr>
          <w:ilvl w:val="0"/>
          <w:numId w:val="86"/>
        </w:numPr>
        <w:pBdr>
          <w:top w:val="nil"/>
          <w:left w:val="nil"/>
          <w:bottom w:val="nil"/>
          <w:right w:val="nil"/>
          <w:between w:val="nil"/>
        </w:pBdr>
        <w:spacing w:line="360" w:lineRule="auto"/>
        <w:jc w:val="both"/>
        <w:rPr>
          <w:rFonts w:ascii="Times New Roman" w:hAnsi="Times New Roman" w:cs="Times New Roman"/>
          <w:color w:val="000000"/>
        </w:rPr>
      </w:pPr>
      <w:r w:rsidRPr="000E1361">
        <w:rPr>
          <w:rFonts w:ascii="Times New Roman" w:hAnsi="Times New Roman" w:cs="Times New Roman"/>
          <w:color w:val="000000"/>
        </w:rPr>
        <w:t>Treatment A → Treatment B → Treatment C</w:t>
      </w:r>
    </w:p>
    <w:p w14:paraId="64CD52F9" w14:textId="77777777" w:rsidR="000E1361" w:rsidRPr="000E1361" w:rsidRDefault="000E1361" w:rsidP="005A3BE6">
      <w:pPr>
        <w:pStyle w:val="ListParagraph"/>
        <w:numPr>
          <w:ilvl w:val="0"/>
          <w:numId w:val="86"/>
        </w:numPr>
        <w:pBdr>
          <w:top w:val="nil"/>
          <w:left w:val="nil"/>
          <w:bottom w:val="nil"/>
          <w:right w:val="nil"/>
          <w:between w:val="nil"/>
        </w:pBdr>
        <w:spacing w:line="360" w:lineRule="auto"/>
        <w:jc w:val="both"/>
        <w:rPr>
          <w:rFonts w:ascii="Times New Roman" w:hAnsi="Times New Roman" w:cs="Times New Roman"/>
          <w:color w:val="000000"/>
        </w:rPr>
      </w:pPr>
      <w:r w:rsidRPr="000E1361">
        <w:rPr>
          <w:rFonts w:ascii="Times New Roman" w:hAnsi="Times New Roman" w:cs="Times New Roman"/>
          <w:color w:val="000000"/>
        </w:rPr>
        <w:t>Treatment B → Treatment A → Treatment C</w:t>
      </w:r>
    </w:p>
    <w:p w14:paraId="33F50FF2" w14:textId="77777777" w:rsidR="000E1361" w:rsidRPr="000E1361" w:rsidRDefault="000E1361" w:rsidP="005A3BE6">
      <w:pPr>
        <w:pStyle w:val="ListParagraph"/>
        <w:numPr>
          <w:ilvl w:val="0"/>
          <w:numId w:val="86"/>
        </w:numPr>
        <w:pBdr>
          <w:top w:val="nil"/>
          <w:left w:val="nil"/>
          <w:bottom w:val="nil"/>
          <w:right w:val="nil"/>
          <w:between w:val="nil"/>
        </w:pBdr>
        <w:spacing w:line="360" w:lineRule="auto"/>
        <w:jc w:val="both"/>
        <w:rPr>
          <w:rFonts w:ascii="Times New Roman" w:hAnsi="Times New Roman" w:cs="Times New Roman"/>
          <w:color w:val="000000"/>
        </w:rPr>
      </w:pPr>
      <w:r w:rsidRPr="000E1361">
        <w:rPr>
          <w:rFonts w:ascii="Times New Roman" w:hAnsi="Times New Roman" w:cs="Times New Roman"/>
          <w:color w:val="000000"/>
        </w:rPr>
        <w:t>Treatment C → Treatment A → Treatment B</w:t>
      </w:r>
    </w:p>
    <w:p w14:paraId="5B71898F" w14:textId="77777777" w:rsidR="000E1361" w:rsidRPr="000E1361" w:rsidRDefault="000E1361" w:rsidP="000E1361">
      <w:pPr>
        <w:spacing w:line="360" w:lineRule="auto"/>
        <w:contextualSpacing/>
        <w:jc w:val="both"/>
        <w:rPr>
          <w:rFonts w:ascii="Times New Roman" w:hAnsi="Times New Roman" w:cs="Times New Roman"/>
        </w:rPr>
      </w:pPr>
    </w:p>
    <w:p w14:paraId="2DB71A34" w14:textId="77777777"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For example, the treatment lines for HAP/VAP when </w:t>
      </w:r>
      <w:r w:rsidRPr="000E1361">
        <w:rPr>
          <w:rFonts w:ascii="Times New Roman" w:hAnsi="Times New Roman" w:cs="Times New Roman"/>
          <w:color w:val="000000" w:themeColor="text1"/>
        </w:rPr>
        <w:t>CAZ-AVI</w:t>
      </w:r>
      <w:r w:rsidRPr="000E1361">
        <w:rPr>
          <w:rFonts w:ascii="Times New Roman" w:hAnsi="Times New Roman" w:cs="Times New Roman"/>
        </w:rPr>
        <w:t xml:space="preserve"> is introduced as an additional line is:</w:t>
      </w:r>
    </w:p>
    <w:p w14:paraId="6474FBE7" w14:textId="77777777" w:rsidR="000E1361" w:rsidRPr="000E1361" w:rsidRDefault="000E1361" w:rsidP="005A3BE6">
      <w:pPr>
        <w:pStyle w:val="ListParagraph"/>
        <w:numPr>
          <w:ilvl w:val="0"/>
          <w:numId w:val="97"/>
        </w:numPr>
        <w:spacing w:line="360" w:lineRule="auto"/>
        <w:ind w:left="720"/>
        <w:jc w:val="both"/>
        <w:rPr>
          <w:rFonts w:ascii="Times New Roman" w:hAnsi="Times New Roman" w:cs="Times New Roman"/>
        </w:rPr>
      </w:pPr>
      <w:r w:rsidRPr="000E1361">
        <w:rPr>
          <w:rFonts w:ascii="Times New Roman" w:hAnsi="Times New Roman" w:cs="Times New Roman"/>
        </w:rPr>
        <w:t xml:space="preserve">Colistin </w:t>
      </w:r>
      <w:r w:rsidRPr="000E1361">
        <w:rPr>
          <w:rFonts w:ascii="Times New Roman" w:hAnsi="Times New Roman" w:cs="Times New Roman"/>
          <w:color w:val="000000"/>
        </w:rPr>
        <w:t>→</w:t>
      </w:r>
      <w:r w:rsidRPr="000E1361">
        <w:rPr>
          <w:rFonts w:ascii="Times New Roman" w:hAnsi="Times New Roman" w:cs="Times New Roman"/>
        </w:rPr>
        <w:t xml:space="preserve"> Meropenem </w:t>
      </w:r>
      <w:r w:rsidRPr="000E1361">
        <w:rPr>
          <w:rFonts w:ascii="Times New Roman" w:hAnsi="Times New Roman" w:cs="Times New Roman"/>
          <w:color w:val="000000"/>
        </w:rPr>
        <w:t>→</w:t>
      </w:r>
      <w:r w:rsidRPr="000E1361">
        <w:rPr>
          <w:rFonts w:ascii="Times New Roman" w:hAnsi="Times New Roman" w:cs="Times New Roman"/>
        </w:rPr>
        <w:t xml:space="preserve"> CAZ-AVI</w:t>
      </w:r>
    </w:p>
    <w:p w14:paraId="76F0C3E7" w14:textId="77777777" w:rsidR="000E1361" w:rsidRPr="000E1361" w:rsidRDefault="000E1361" w:rsidP="005A3BE6">
      <w:pPr>
        <w:pStyle w:val="ListParagraph"/>
        <w:numPr>
          <w:ilvl w:val="0"/>
          <w:numId w:val="97"/>
        </w:numPr>
        <w:spacing w:line="360" w:lineRule="auto"/>
        <w:ind w:left="720"/>
        <w:jc w:val="both"/>
        <w:rPr>
          <w:rFonts w:ascii="Times New Roman" w:hAnsi="Times New Roman" w:cs="Times New Roman"/>
        </w:rPr>
      </w:pPr>
      <w:r w:rsidRPr="000E1361">
        <w:rPr>
          <w:rFonts w:ascii="Times New Roman" w:hAnsi="Times New Roman" w:cs="Times New Roman"/>
        </w:rPr>
        <w:t>Meropenem</w:t>
      </w:r>
      <w:r w:rsidRPr="000E1361">
        <w:rPr>
          <w:rFonts w:ascii="Times New Roman" w:hAnsi="Times New Roman" w:cs="Times New Roman"/>
          <w:color w:val="000000"/>
        </w:rPr>
        <w:t xml:space="preserve"> →</w:t>
      </w:r>
      <w:r w:rsidRPr="000E1361">
        <w:rPr>
          <w:rFonts w:ascii="Times New Roman" w:hAnsi="Times New Roman" w:cs="Times New Roman"/>
        </w:rPr>
        <w:t xml:space="preserve"> Colistin </w:t>
      </w:r>
      <w:r w:rsidRPr="000E1361">
        <w:rPr>
          <w:rFonts w:ascii="Times New Roman" w:hAnsi="Times New Roman" w:cs="Times New Roman"/>
          <w:color w:val="000000"/>
        </w:rPr>
        <w:t>→</w:t>
      </w:r>
      <w:r w:rsidRPr="000E1361">
        <w:rPr>
          <w:rFonts w:ascii="Times New Roman" w:hAnsi="Times New Roman" w:cs="Times New Roman"/>
        </w:rPr>
        <w:t xml:space="preserve"> CAZ-AVI</w:t>
      </w:r>
    </w:p>
    <w:p w14:paraId="0D985FD8" w14:textId="77777777" w:rsidR="000E1361" w:rsidRPr="000E1361" w:rsidRDefault="000E1361" w:rsidP="005A3BE6">
      <w:pPr>
        <w:pStyle w:val="ListParagraph"/>
        <w:numPr>
          <w:ilvl w:val="0"/>
          <w:numId w:val="97"/>
        </w:numPr>
        <w:spacing w:line="360" w:lineRule="auto"/>
        <w:ind w:left="720"/>
        <w:jc w:val="both"/>
        <w:rPr>
          <w:rFonts w:ascii="Times New Roman" w:hAnsi="Times New Roman" w:cs="Times New Roman"/>
        </w:rPr>
      </w:pPr>
      <w:r w:rsidRPr="000E1361">
        <w:rPr>
          <w:rFonts w:ascii="Times New Roman" w:hAnsi="Times New Roman" w:cs="Times New Roman"/>
        </w:rPr>
        <w:t xml:space="preserve">CAZ-AVI </w:t>
      </w:r>
      <w:r w:rsidRPr="000E1361">
        <w:rPr>
          <w:rFonts w:ascii="Times New Roman" w:hAnsi="Times New Roman" w:cs="Times New Roman"/>
          <w:color w:val="000000"/>
        </w:rPr>
        <w:t>→</w:t>
      </w:r>
      <w:r w:rsidRPr="000E1361">
        <w:rPr>
          <w:rFonts w:ascii="Times New Roman" w:hAnsi="Times New Roman" w:cs="Times New Roman"/>
        </w:rPr>
        <w:t xml:space="preserve"> Colistin </w:t>
      </w:r>
      <w:r w:rsidRPr="000E1361">
        <w:rPr>
          <w:rFonts w:ascii="Times New Roman" w:hAnsi="Times New Roman" w:cs="Times New Roman"/>
          <w:color w:val="000000"/>
        </w:rPr>
        <w:t>→</w:t>
      </w:r>
      <w:r w:rsidRPr="000E1361">
        <w:rPr>
          <w:rFonts w:ascii="Times New Roman" w:hAnsi="Times New Roman" w:cs="Times New Roman"/>
        </w:rPr>
        <w:t xml:space="preserve"> Meropenem </w:t>
      </w:r>
    </w:p>
    <w:p w14:paraId="29A19CBD" w14:textId="77777777" w:rsidR="000E1361" w:rsidRPr="000E1361" w:rsidRDefault="000E1361" w:rsidP="000E1361">
      <w:pPr>
        <w:spacing w:line="360" w:lineRule="auto"/>
        <w:contextualSpacing/>
        <w:jc w:val="both"/>
        <w:rPr>
          <w:rFonts w:ascii="Times New Roman" w:hAnsi="Times New Roman" w:cs="Times New Roman"/>
        </w:rPr>
      </w:pPr>
    </w:p>
    <w:p w14:paraId="3806CC23" w14:textId="77777777"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The comparator line is without </w:t>
      </w:r>
      <w:r w:rsidRPr="000E1361">
        <w:rPr>
          <w:rFonts w:ascii="Times New Roman" w:hAnsi="Times New Roman" w:cs="Times New Roman"/>
          <w:color w:val="000000" w:themeColor="text1"/>
        </w:rPr>
        <w:t>CAZ-AVI</w:t>
      </w:r>
      <w:r w:rsidRPr="000E1361">
        <w:rPr>
          <w:rFonts w:ascii="Times New Roman" w:hAnsi="Times New Roman" w:cs="Times New Roman"/>
        </w:rPr>
        <w:t xml:space="preserve">, and the treatment line is a sequence of two </w:t>
      </w:r>
      <w:r w:rsidRPr="000E1361">
        <w:rPr>
          <w:rFonts w:ascii="Times New Roman" w:hAnsi="Times New Roman" w:cs="Times New Roman"/>
          <w:color w:val="000000" w:themeColor="text1"/>
        </w:rPr>
        <w:t>antibiotics</w:t>
      </w:r>
      <w:r w:rsidRPr="000E1361">
        <w:rPr>
          <w:rFonts w:ascii="Times New Roman" w:hAnsi="Times New Roman" w:cs="Times New Roman"/>
        </w:rPr>
        <w:t>:</w:t>
      </w:r>
    </w:p>
    <w:p w14:paraId="77D22D82" w14:textId="77777777" w:rsidR="000E1361" w:rsidRPr="000E1361" w:rsidRDefault="000E1361" w:rsidP="005A3BE6">
      <w:pPr>
        <w:pStyle w:val="ListParagraph"/>
        <w:numPr>
          <w:ilvl w:val="0"/>
          <w:numId w:val="98"/>
        </w:numPr>
        <w:spacing w:line="360" w:lineRule="auto"/>
        <w:ind w:left="720"/>
        <w:jc w:val="both"/>
        <w:rPr>
          <w:rFonts w:ascii="Times New Roman" w:hAnsi="Times New Roman" w:cs="Times New Roman"/>
        </w:rPr>
      </w:pPr>
      <w:r w:rsidRPr="000E1361">
        <w:rPr>
          <w:rFonts w:ascii="Times New Roman" w:hAnsi="Times New Roman" w:cs="Times New Roman"/>
        </w:rPr>
        <w:t xml:space="preserve">Colistin </w:t>
      </w:r>
      <w:r w:rsidRPr="000E1361">
        <w:rPr>
          <w:rFonts w:ascii="Times New Roman" w:hAnsi="Times New Roman" w:cs="Times New Roman"/>
          <w:color w:val="000000"/>
        </w:rPr>
        <w:t>→</w:t>
      </w:r>
      <w:r w:rsidRPr="000E1361">
        <w:rPr>
          <w:rFonts w:ascii="Times New Roman" w:hAnsi="Times New Roman" w:cs="Times New Roman"/>
        </w:rPr>
        <w:t xml:space="preserve"> Meropenem</w:t>
      </w:r>
    </w:p>
    <w:p w14:paraId="5528C96A" w14:textId="77777777" w:rsidR="000E1361" w:rsidRPr="000E1361" w:rsidRDefault="000E1361" w:rsidP="005A3BE6">
      <w:pPr>
        <w:pStyle w:val="ListParagraph"/>
        <w:numPr>
          <w:ilvl w:val="0"/>
          <w:numId w:val="98"/>
        </w:numPr>
        <w:spacing w:line="360" w:lineRule="auto"/>
        <w:ind w:left="720"/>
        <w:jc w:val="both"/>
        <w:rPr>
          <w:rFonts w:ascii="Times New Roman" w:hAnsi="Times New Roman" w:cs="Times New Roman"/>
        </w:rPr>
      </w:pPr>
      <w:r w:rsidRPr="000E1361">
        <w:rPr>
          <w:rFonts w:ascii="Times New Roman" w:hAnsi="Times New Roman" w:cs="Times New Roman"/>
        </w:rPr>
        <w:t>Meropenem</w:t>
      </w:r>
      <w:r w:rsidRPr="000E1361">
        <w:rPr>
          <w:rFonts w:ascii="Times New Roman" w:hAnsi="Times New Roman" w:cs="Times New Roman"/>
          <w:color w:val="000000"/>
        </w:rPr>
        <w:t xml:space="preserve"> →</w:t>
      </w:r>
      <w:r w:rsidRPr="000E1361">
        <w:rPr>
          <w:rFonts w:ascii="Times New Roman" w:hAnsi="Times New Roman" w:cs="Times New Roman"/>
        </w:rPr>
        <w:t xml:space="preserve"> Colistin </w:t>
      </w:r>
    </w:p>
    <w:p w14:paraId="295BBF51" w14:textId="77777777" w:rsidR="000E1361" w:rsidRPr="000E1361" w:rsidRDefault="000E1361" w:rsidP="000E1361">
      <w:pPr>
        <w:spacing w:line="360" w:lineRule="auto"/>
        <w:contextualSpacing/>
        <w:rPr>
          <w:rFonts w:ascii="Times New Roman" w:hAnsi="Times New Roman" w:cs="Times New Roman"/>
        </w:rPr>
      </w:pPr>
    </w:p>
    <w:p w14:paraId="3FC743F1" w14:textId="7F3D488C" w:rsidR="000E1361" w:rsidRPr="000E1361" w:rsidRDefault="000E1361" w:rsidP="009E265F">
      <w:pPr>
        <w:pStyle w:val="table"/>
      </w:pPr>
      <w:bookmarkStart w:id="295" w:name="_Ref83725719"/>
      <w:bookmarkStart w:id="296" w:name="_Toc86418992"/>
      <w:r w:rsidRPr="000E1361">
        <w:t xml:space="preserve">Table </w:t>
      </w:r>
      <w:r w:rsidR="00F10F0A">
        <w:rPr>
          <w:noProof/>
        </w:rPr>
        <w:t>15</w:t>
      </w:r>
      <w:bookmarkEnd w:id="295"/>
      <w:r w:rsidRPr="000E1361">
        <w:t>: Description of key elements of the company model</w:t>
      </w:r>
      <w:bookmarkEnd w:id="296"/>
    </w:p>
    <w:tbl>
      <w:tblPr>
        <w:tblStyle w:val="TableGrid"/>
        <w:tblW w:w="9298" w:type="dxa"/>
        <w:tblInd w:w="-5" w:type="dxa"/>
        <w:tblLook w:val="04A0" w:firstRow="1" w:lastRow="0" w:firstColumn="1" w:lastColumn="0" w:noHBand="0" w:noVBand="1"/>
      </w:tblPr>
      <w:tblGrid>
        <w:gridCol w:w="2977"/>
        <w:gridCol w:w="6321"/>
      </w:tblGrid>
      <w:tr w:rsidR="000E1361" w:rsidRPr="004A4B7C" w14:paraId="2AD740E2" w14:textId="77777777" w:rsidTr="0022376C">
        <w:tc>
          <w:tcPr>
            <w:tcW w:w="2977" w:type="dxa"/>
          </w:tcPr>
          <w:p w14:paraId="6E34FB97"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Element</w:t>
            </w:r>
          </w:p>
        </w:tc>
        <w:tc>
          <w:tcPr>
            <w:tcW w:w="6321" w:type="dxa"/>
          </w:tcPr>
          <w:p w14:paraId="01A4D049"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Description</w:t>
            </w:r>
          </w:p>
        </w:tc>
      </w:tr>
      <w:tr w:rsidR="000E1361" w:rsidRPr="004A4B7C" w14:paraId="552C969B" w14:textId="77777777" w:rsidTr="0022376C">
        <w:tc>
          <w:tcPr>
            <w:tcW w:w="2977" w:type="dxa"/>
          </w:tcPr>
          <w:p w14:paraId="1EE0F911"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 xml:space="preserve">Setting </w:t>
            </w:r>
          </w:p>
        </w:tc>
        <w:tc>
          <w:tcPr>
            <w:tcW w:w="6321" w:type="dxa"/>
          </w:tcPr>
          <w:p w14:paraId="37BFD3C9"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1,000 patients in a single hospital with an infectious environment. It was assumed that the number of admissions and discharges are equal in each cycle (i.e., the total number of patients modelled in the infectious environment is constant). Results are scaled-up to reflect 93,432 beds being occupied over a 10-year horizon.</w:t>
            </w:r>
          </w:p>
        </w:tc>
      </w:tr>
      <w:tr w:rsidR="000E1361" w:rsidRPr="004A4B7C" w14:paraId="60D054E9" w14:textId="77777777" w:rsidTr="0022376C">
        <w:tc>
          <w:tcPr>
            <w:tcW w:w="2977" w:type="dxa"/>
          </w:tcPr>
          <w:p w14:paraId="2A9A8C88"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Patients</w:t>
            </w:r>
          </w:p>
        </w:tc>
        <w:tc>
          <w:tcPr>
            <w:tcW w:w="6321" w:type="dxa"/>
          </w:tcPr>
          <w:p w14:paraId="060DF72E" w14:textId="77777777" w:rsidR="000E1361" w:rsidRPr="004A4B7C" w:rsidRDefault="000E1361" w:rsidP="004A4B7C">
            <w:pPr>
              <w:contextualSpacing/>
              <w:rPr>
                <w:rFonts w:ascii="Times New Roman" w:hAnsi="Times New Roman" w:cs="Times New Roman"/>
                <w:color w:val="000000" w:themeColor="text1"/>
                <w:sz w:val="20"/>
                <w:szCs w:val="20"/>
              </w:rPr>
            </w:pPr>
            <w:r w:rsidRPr="004A4B7C">
              <w:rPr>
                <w:rFonts w:ascii="Times New Roman" w:hAnsi="Times New Roman" w:cs="Times New Roman"/>
                <w:color w:val="000000" w:themeColor="text1"/>
                <w:sz w:val="20"/>
                <w:szCs w:val="20"/>
              </w:rPr>
              <w:t xml:space="preserve">Alive patients </w:t>
            </w:r>
            <w:r w:rsidRPr="004A4B7C">
              <w:rPr>
                <w:rFonts w:ascii="Times New Roman" w:hAnsi="Times New Roman" w:cs="Times New Roman"/>
                <w:sz w:val="20"/>
                <w:szCs w:val="20"/>
              </w:rPr>
              <w:t xml:space="preserve">can be in one of three main health states: susceptible (not colonised or infected with a pathogen of interest); infected with a pathogen of interest; and colonised (but not infected). For infected and colonised </w:t>
            </w:r>
            <w:proofErr w:type="gramStart"/>
            <w:r w:rsidRPr="004A4B7C">
              <w:rPr>
                <w:rFonts w:ascii="Times New Roman" w:hAnsi="Times New Roman" w:cs="Times New Roman"/>
                <w:sz w:val="20"/>
                <w:szCs w:val="20"/>
              </w:rPr>
              <w:t>patients</w:t>
            </w:r>
            <w:proofErr w:type="gramEnd"/>
            <w:r w:rsidRPr="004A4B7C">
              <w:rPr>
                <w:rFonts w:ascii="Times New Roman" w:hAnsi="Times New Roman" w:cs="Times New Roman"/>
                <w:sz w:val="20"/>
                <w:szCs w:val="20"/>
              </w:rPr>
              <w:t xml:space="preserve"> a distinction is made between if the pathogen is sensitive or resistant.</w:t>
            </w:r>
          </w:p>
        </w:tc>
      </w:tr>
      <w:tr w:rsidR="000E1361" w:rsidRPr="004A4B7C" w14:paraId="17A79034" w14:textId="77777777" w:rsidTr="0022376C">
        <w:tc>
          <w:tcPr>
            <w:tcW w:w="2977" w:type="dxa"/>
          </w:tcPr>
          <w:p w14:paraId="33564723"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 xml:space="preserve">Treatment pathways for high value clinical scenarios </w:t>
            </w:r>
          </w:p>
        </w:tc>
        <w:tc>
          <w:tcPr>
            <w:tcW w:w="6321" w:type="dxa"/>
          </w:tcPr>
          <w:p w14:paraId="0FF3D10D"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Mainly risk-based empiric treatment pathways: 20% receive directed treatment (</w:t>
            </w:r>
            <w:proofErr w:type="gramStart"/>
            <w:r w:rsidRPr="004A4B7C">
              <w:rPr>
                <w:rFonts w:ascii="Times New Roman" w:hAnsi="Times New Roman" w:cs="Times New Roman"/>
                <w:sz w:val="20"/>
                <w:szCs w:val="20"/>
              </w:rPr>
              <w:t>i.e.</w:t>
            </w:r>
            <w:proofErr w:type="gramEnd"/>
            <w:r w:rsidRPr="004A4B7C">
              <w:rPr>
                <w:rFonts w:ascii="Times New Roman" w:hAnsi="Times New Roman" w:cs="Times New Roman"/>
                <w:sz w:val="20"/>
                <w:szCs w:val="20"/>
              </w:rPr>
              <w:t xml:space="preserve"> microbiological susceptibility testing has been performed) and 80% have empiric treatment (i.e. the pathogen and susceptibility profile of the infection are not yet known). It is unclear how ‘risk-based’ is defined.</w:t>
            </w:r>
          </w:p>
        </w:tc>
      </w:tr>
      <w:tr w:rsidR="000E1361" w:rsidRPr="004A4B7C" w14:paraId="050AD20D" w14:textId="77777777" w:rsidTr="0022376C">
        <w:tc>
          <w:tcPr>
            <w:tcW w:w="2977" w:type="dxa"/>
          </w:tcPr>
          <w:p w14:paraId="1253E260" w14:textId="7895814A" w:rsidR="000E1361" w:rsidRPr="004A4B7C" w:rsidRDefault="00AE639B" w:rsidP="004A4B7C">
            <w:pPr>
              <w:contextualSpacing/>
              <w:rPr>
                <w:rFonts w:ascii="Times New Roman" w:hAnsi="Times New Roman" w:cs="Times New Roman"/>
                <w:sz w:val="20"/>
                <w:szCs w:val="20"/>
              </w:rPr>
            </w:pPr>
            <w:r w:rsidRPr="004A4B7C">
              <w:rPr>
                <w:rFonts w:ascii="Times New Roman" w:hAnsi="Times New Roman" w:cs="Times New Roman"/>
                <w:sz w:val="20"/>
                <w:szCs w:val="20"/>
              </w:rPr>
              <w:t>Pathogen-mechanism</w:t>
            </w:r>
          </w:p>
        </w:tc>
        <w:tc>
          <w:tcPr>
            <w:tcW w:w="6321" w:type="dxa"/>
          </w:tcPr>
          <w:p w14:paraId="37203B4B"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The economic analysis considers infection with three Gram-negative bacterial species across each indication:</w:t>
            </w:r>
          </w:p>
          <w:p w14:paraId="6A8F6B7C" w14:textId="77777777" w:rsidR="000E1361" w:rsidRPr="004A4B7C" w:rsidRDefault="000E1361" w:rsidP="004A4B7C">
            <w:pPr>
              <w:pStyle w:val="ListParagraph"/>
              <w:numPr>
                <w:ilvl w:val="0"/>
                <w:numId w:val="92"/>
              </w:numPr>
              <w:rPr>
                <w:rFonts w:ascii="Times New Roman" w:hAnsi="Times New Roman" w:cs="Times New Roman"/>
                <w:i/>
                <w:iCs/>
                <w:sz w:val="20"/>
                <w:szCs w:val="20"/>
                <w:lang w:val="it-IT"/>
              </w:rPr>
            </w:pPr>
            <w:r w:rsidRPr="004A4B7C">
              <w:rPr>
                <w:rFonts w:ascii="Times New Roman" w:hAnsi="Times New Roman" w:cs="Times New Roman"/>
                <w:i/>
                <w:iCs/>
                <w:sz w:val="20"/>
                <w:szCs w:val="20"/>
                <w:lang w:val="it-IT"/>
              </w:rPr>
              <w:lastRenderedPageBreak/>
              <w:t>Escherichia coli</w:t>
            </w:r>
          </w:p>
          <w:p w14:paraId="1B1B5994" w14:textId="77777777" w:rsidR="000E1361" w:rsidRPr="004A4B7C" w:rsidRDefault="000E1361" w:rsidP="004A4B7C">
            <w:pPr>
              <w:pStyle w:val="ListParagraph"/>
              <w:numPr>
                <w:ilvl w:val="0"/>
                <w:numId w:val="92"/>
              </w:numPr>
              <w:rPr>
                <w:rFonts w:ascii="Times New Roman" w:hAnsi="Times New Roman" w:cs="Times New Roman"/>
                <w:i/>
                <w:iCs/>
                <w:sz w:val="20"/>
                <w:szCs w:val="20"/>
                <w:lang w:val="it-IT"/>
              </w:rPr>
            </w:pPr>
            <w:r w:rsidRPr="004A4B7C">
              <w:rPr>
                <w:rFonts w:ascii="Times New Roman" w:hAnsi="Times New Roman" w:cs="Times New Roman"/>
                <w:i/>
                <w:iCs/>
                <w:sz w:val="20"/>
                <w:szCs w:val="20"/>
                <w:lang w:val="it-IT"/>
              </w:rPr>
              <w:t>Klebsiella pneumoniae</w:t>
            </w:r>
          </w:p>
          <w:p w14:paraId="03483AF7" w14:textId="77777777" w:rsidR="000E1361" w:rsidRPr="004A4B7C" w:rsidRDefault="000E1361" w:rsidP="004A4B7C">
            <w:pPr>
              <w:pStyle w:val="ListParagraph"/>
              <w:numPr>
                <w:ilvl w:val="0"/>
                <w:numId w:val="92"/>
              </w:numPr>
              <w:rPr>
                <w:rFonts w:ascii="Times New Roman" w:hAnsi="Times New Roman" w:cs="Times New Roman"/>
                <w:i/>
                <w:iCs/>
                <w:sz w:val="20"/>
                <w:szCs w:val="20"/>
                <w:lang w:val="it-IT"/>
              </w:rPr>
            </w:pPr>
            <w:r w:rsidRPr="004A4B7C">
              <w:rPr>
                <w:rFonts w:ascii="Times New Roman" w:hAnsi="Times New Roman" w:cs="Times New Roman"/>
                <w:i/>
                <w:iCs/>
                <w:sz w:val="20"/>
                <w:szCs w:val="20"/>
                <w:lang w:val="it-IT"/>
              </w:rPr>
              <w:t>Pseudomonas aeruginosa</w:t>
            </w:r>
          </w:p>
        </w:tc>
      </w:tr>
      <w:tr w:rsidR="000E1361" w:rsidRPr="004A4B7C" w14:paraId="0D4C493F" w14:textId="77777777" w:rsidTr="0022376C">
        <w:tc>
          <w:tcPr>
            <w:tcW w:w="2977" w:type="dxa"/>
          </w:tcPr>
          <w:p w14:paraId="0B28F8AC"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lastRenderedPageBreak/>
              <w:t>Site of infection</w:t>
            </w:r>
          </w:p>
        </w:tc>
        <w:tc>
          <w:tcPr>
            <w:tcW w:w="6321" w:type="dxa"/>
          </w:tcPr>
          <w:p w14:paraId="3DD88E94"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color w:val="000000" w:themeColor="text1"/>
                <w:sz w:val="20"/>
                <w:szCs w:val="20"/>
              </w:rPr>
              <w:t xml:space="preserve">Patients with the following </w:t>
            </w:r>
            <w:r w:rsidRPr="004A4B7C">
              <w:rPr>
                <w:rFonts w:ascii="Times New Roman" w:hAnsi="Times New Roman" w:cs="Times New Roman"/>
                <w:sz w:val="20"/>
                <w:szCs w:val="20"/>
              </w:rPr>
              <w:t>common healthcare-associated infections:</w:t>
            </w:r>
          </w:p>
          <w:p w14:paraId="37E2A5E0" w14:textId="77777777" w:rsidR="000E1361" w:rsidRPr="004A4B7C" w:rsidRDefault="000E1361" w:rsidP="004A4B7C">
            <w:pPr>
              <w:pStyle w:val="ListParagraph"/>
              <w:numPr>
                <w:ilvl w:val="0"/>
                <w:numId w:val="93"/>
              </w:numPr>
              <w:rPr>
                <w:rFonts w:ascii="Times New Roman" w:hAnsi="Times New Roman" w:cs="Times New Roman"/>
                <w:sz w:val="20"/>
                <w:szCs w:val="20"/>
              </w:rPr>
            </w:pPr>
            <w:proofErr w:type="spellStart"/>
            <w:r w:rsidRPr="004A4B7C">
              <w:rPr>
                <w:rFonts w:ascii="Times New Roman" w:hAnsi="Times New Roman" w:cs="Times New Roman"/>
                <w:sz w:val="20"/>
                <w:szCs w:val="20"/>
              </w:rPr>
              <w:t>cIAI</w:t>
            </w:r>
            <w:proofErr w:type="spellEnd"/>
          </w:p>
          <w:p w14:paraId="0D025AB8" w14:textId="77777777" w:rsidR="000E1361" w:rsidRPr="004A4B7C" w:rsidRDefault="000E1361" w:rsidP="004A4B7C">
            <w:pPr>
              <w:pStyle w:val="ListParagraph"/>
              <w:numPr>
                <w:ilvl w:val="0"/>
                <w:numId w:val="93"/>
              </w:numPr>
              <w:rPr>
                <w:rFonts w:ascii="Times New Roman" w:hAnsi="Times New Roman" w:cs="Times New Roman"/>
                <w:sz w:val="20"/>
                <w:szCs w:val="20"/>
              </w:rPr>
            </w:pPr>
            <w:proofErr w:type="spellStart"/>
            <w:r w:rsidRPr="004A4B7C">
              <w:rPr>
                <w:rFonts w:ascii="Times New Roman" w:hAnsi="Times New Roman" w:cs="Times New Roman"/>
                <w:sz w:val="20"/>
                <w:szCs w:val="20"/>
              </w:rPr>
              <w:t>cUTI</w:t>
            </w:r>
            <w:proofErr w:type="spellEnd"/>
          </w:p>
          <w:p w14:paraId="2E5EFE3D" w14:textId="77777777" w:rsidR="000E1361" w:rsidRPr="004A4B7C" w:rsidRDefault="000E1361" w:rsidP="004A4B7C">
            <w:pPr>
              <w:pStyle w:val="ListParagraph"/>
              <w:numPr>
                <w:ilvl w:val="0"/>
                <w:numId w:val="93"/>
              </w:numPr>
              <w:rPr>
                <w:rFonts w:ascii="Times New Roman" w:hAnsi="Times New Roman" w:cs="Times New Roman"/>
                <w:sz w:val="20"/>
                <w:szCs w:val="20"/>
              </w:rPr>
            </w:pPr>
            <w:r w:rsidRPr="004A4B7C">
              <w:rPr>
                <w:rFonts w:ascii="Times New Roman" w:hAnsi="Times New Roman" w:cs="Times New Roman"/>
                <w:sz w:val="20"/>
                <w:szCs w:val="20"/>
              </w:rPr>
              <w:t>HAP/VAP</w:t>
            </w:r>
          </w:p>
        </w:tc>
      </w:tr>
      <w:tr w:rsidR="000E1361" w:rsidRPr="004A4B7C" w14:paraId="20A87DCC" w14:textId="77777777" w:rsidTr="0022376C">
        <w:tc>
          <w:tcPr>
            <w:tcW w:w="2977" w:type="dxa"/>
          </w:tcPr>
          <w:p w14:paraId="42A2BC9F"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Intervention</w:t>
            </w:r>
          </w:p>
        </w:tc>
        <w:tc>
          <w:tcPr>
            <w:tcW w:w="6321" w:type="dxa"/>
          </w:tcPr>
          <w:p w14:paraId="782AE538"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CAZ-AVI as an additional treatment line (in combination with comparators)</w:t>
            </w:r>
          </w:p>
        </w:tc>
      </w:tr>
      <w:tr w:rsidR="000E1361" w:rsidRPr="004A4B7C" w14:paraId="47BF0AFD" w14:textId="77777777" w:rsidTr="0022376C">
        <w:tc>
          <w:tcPr>
            <w:tcW w:w="2977" w:type="dxa"/>
          </w:tcPr>
          <w:p w14:paraId="7AEEB6AD"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Comparators</w:t>
            </w:r>
          </w:p>
        </w:tc>
        <w:tc>
          <w:tcPr>
            <w:tcW w:w="6321" w:type="dxa"/>
          </w:tcPr>
          <w:p w14:paraId="32E2F433" w14:textId="77777777" w:rsidR="000E1361" w:rsidRPr="004A4B7C" w:rsidRDefault="000E1361" w:rsidP="004A4B7C">
            <w:pPr>
              <w:contextualSpacing/>
              <w:rPr>
                <w:rFonts w:ascii="Times New Roman" w:hAnsi="Times New Roman" w:cs="Times New Roman"/>
                <w:sz w:val="20"/>
                <w:szCs w:val="20"/>
              </w:rPr>
            </w:pPr>
            <w:r w:rsidRPr="004A4B7C">
              <w:rPr>
                <w:rFonts w:ascii="Times New Roman" w:eastAsia="Arial" w:hAnsi="Times New Roman" w:cs="Times New Roman"/>
                <w:color w:val="000000"/>
                <w:sz w:val="20"/>
                <w:szCs w:val="20"/>
              </w:rPr>
              <w:t>Meropenem and either piperacillin/tazobactam (</w:t>
            </w:r>
            <w:r w:rsidRPr="004A4B7C">
              <w:rPr>
                <w:rFonts w:ascii="Times New Roman" w:eastAsia="Calibri" w:hAnsi="Times New Roman" w:cs="Times New Roman"/>
                <w:color w:val="000000"/>
                <w:sz w:val="20"/>
                <w:szCs w:val="20"/>
              </w:rPr>
              <w:t xml:space="preserve">for </w:t>
            </w:r>
            <w:proofErr w:type="spellStart"/>
            <w:r w:rsidRPr="004A4B7C">
              <w:rPr>
                <w:rFonts w:ascii="Times New Roman" w:eastAsia="Times New Roman" w:hAnsi="Times New Roman" w:cs="Times New Roman"/>
                <w:bCs/>
                <w:color w:val="000000" w:themeColor="text1"/>
                <w:sz w:val="20"/>
                <w:szCs w:val="20"/>
              </w:rPr>
              <w:t>cIAI</w:t>
            </w:r>
            <w:proofErr w:type="spellEnd"/>
            <w:r w:rsidRPr="004A4B7C">
              <w:rPr>
                <w:rFonts w:ascii="Times New Roman" w:eastAsia="Times New Roman" w:hAnsi="Times New Roman" w:cs="Times New Roman"/>
                <w:bCs/>
                <w:color w:val="000000" w:themeColor="text1"/>
                <w:sz w:val="20"/>
                <w:szCs w:val="20"/>
              </w:rPr>
              <w:t xml:space="preserve"> or </w:t>
            </w:r>
            <w:proofErr w:type="spellStart"/>
            <w:r w:rsidRPr="004A4B7C">
              <w:rPr>
                <w:rFonts w:ascii="Times New Roman" w:eastAsia="Times New Roman" w:hAnsi="Times New Roman" w:cs="Times New Roman"/>
                <w:bCs/>
                <w:color w:val="000000" w:themeColor="text1"/>
                <w:sz w:val="20"/>
                <w:szCs w:val="20"/>
              </w:rPr>
              <w:t>cUTI</w:t>
            </w:r>
            <w:proofErr w:type="spellEnd"/>
            <w:r w:rsidRPr="004A4B7C">
              <w:rPr>
                <w:rFonts w:ascii="Times New Roman" w:eastAsia="Times New Roman" w:hAnsi="Times New Roman" w:cs="Times New Roman"/>
                <w:bCs/>
                <w:color w:val="000000" w:themeColor="text1"/>
                <w:sz w:val="20"/>
                <w:szCs w:val="20"/>
              </w:rPr>
              <w:t xml:space="preserve">) or </w:t>
            </w:r>
            <w:r w:rsidRPr="004A4B7C">
              <w:rPr>
                <w:rFonts w:ascii="Times New Roman" w:eastAsia="Arial" w:hAnsi="Times New Roman" w:cs="Times New Roman"/>
                <w:color w:val="000000"/>
                <w:sz w:val="20"/>
                <w:szCs w:val="20"/>
              </w:rPr>
              <w:t xml:space="preserve">colistin (for </w:t>
            </w:r>
            <w:r w:rsidRPr="004A4B7C">
              <w:rPr>
                <w:rFonts w:ascii="Times New Roman" w:hAnsi="Times New Roman" w:cs="Times New Roman"/>
                <w:sz w:val="20"/>
                <w:szCs w:val="20"/>
              </w:rPr>
              <w:t>HAP/VAP</w:t>
            </w:r>
            <w:r w:rsidRPr="004A4B7C">
              <w:rPr>
                <w:rFonts w:ascii="Times New Roman" w:eastAsia="Calibri" w:hAnsi="Times New Roman" w:cs="Times New Roman"/>
                <w:color w:val="000000"/>
                <w:sz w:val="20"/>
                <w:szCs w:val="20"/>
              </w:rPr>
              <w:t>) used in sequence</w:t>
            </w:r>
          </w:p>
        </w:tc>
      </w:tr>
      <w:tr w:rsidR="000E1361" w:rsidRPr="004A4B7C" w14:paraId="75B4A09E" w14:textId="77777777" w:rsidTr="0022376C">
        <w:tc>
          <w:tcPr>
            <w:tcW w:w="2977" w:type="dxa"/>
          </w:tcPr>
          <w:p w14:paraId="07156A2C"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Outcomes</w:t>
            </w:r>
          </w:p>
        </w:tc>
        <w:tc>
          <w:tcPr>
            <w:tcW w:w="6321" w:type="dxa"/>
          </w:tcPr>
          <w:p w14:paraId="5B96E0CA"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The economic analysis outputs were expressed in population NMB, with the effectiveness input measured in QALYs (and an assumed willingness to pay of £30,000 per QALY), to inform the potential annual value, estimated both over the full-time horizon of the economic model and the potential 10-year contract period.</w:t>
            </w:r>
          </w:p>
          <w:p w14:paraId="463A982C"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In addition, the following outcomes are considered:</w:t>
            </w:r>
          </w:p>
          <w:p w14:paraId="50ECB450" w14:textId="77777777" w:rsidR="000E1361" w:rsidRPr="004A4B7C" w:rsidRDefault="000E1361" w:rsidP="004A4B7C">
            <w:pPr>
              <w:pStyle w:val="ListParagraph"/>
              <w:numPr>
                <w:ilvl w:val="0"/>
                <w:numId w:val="94"/>
              </w:numPr>
              <w:rPr>
                <w:rFonts w:ascii="Times New Roman" w:hAnsi="Times New Roman" w:cs="Times New Roman"/>
                <w:sz w:val="20"/>
                <w:szCs w:val="20"/>
              </w:rPr>
            </w:pPr>
            <w:r w:rsidRPr="004A4B7C">
              <w:rPr>
                <w:rFonts w:ascii="Times New Roman" w:hAnsi="Times New Roman" w:cs="Times New Roman"/>
                <w:sz w:val="20"/>
                <w:szCs w:val="20"/>
              </w:rPr>
              <w:t>Number of deaths</w:t>
            </w:r>
          </w:p>
          <w:p w14:paraId="23CE4338" w14:textId="77777777" w:rsidR="000E1361" w:rsidRPr="004A4B7C" w:rsidRDefault="000E1361" w:rsidP="004A4B7C">
            <w:pPr>
              <w:pStyle w:val="ListParagraph"/>
              <w:numPr>
                <w:ilvl w:val="0"/>
                <w:numId w:val="94"/>
              </w:numPr>
              <w:rPr>
                <w:rFonts w:ascii="Times New Roman" w:hAnsi="Times New Roman" w:cs="Times New Roman"/>
                <w:sz w:val="20"/>
                <w:szCs w:val="20"/>
              </w:rPr>
            </w:pPr>
            <w:r w:rsidRPr="004A4B7C">
              <w:rPr>
                <w:rFonts w:ascii="Times New Roman" w:hAnsi="Times New Roman" w:cs="Times New Roman"/>
                <w:sz w:val="20"/>
                <w:szCs w:val="20"/>
              </w:rPr>
              <w:t>Number of infections</w:t>
            </w:r>
          </w:p>
          <w:p w14:paraId="3AF5933C" w14:textId="77777777" w:rsidR="000E1361" w:rsidRPr="004A4B7C" w:rsidRDefault="000E1361" w:rsidP="004A4B7C">
            <w:pPr>
              <w:pStyle w:val="ListParagraph"/>
              <w:numPr>
                <w:ilvl w:val="0"/>
                <w:numId w:val="94"/>
              </w:numPr>
              <w:rPr>
                <w:rFonts w:ascii="Times New Roman" w:hAnsi="Times New Roman" w:cs="Times New Roman"/>
                <w:bCs/>
                <w:sz w:val="20"/>
                <w:szCs w:val="20"/>
              </w:rPr>
            </w:pPr>
            <w:r w:rsidRPr="004A4B7C">
              <w:rPr>
                <w:rFonts w:ascii="Times New Roman" w:hAnsi="Times New Roman" w:cs="Times New Roman"/>
                <w:sz w:val="20"/>
                <w:szCs w:val="20"/>
              </w:rPr>
              <w:t xml:space="preserve">Number of patients eligible for </w:t>
            </w:r>
            <w:r w:rsidRPr="004A4B7C">
              <w:rPr>
                <w:rFonts w:ascii="Times New Roman" w:hAnsi="Times New Roman" w:cs="Times New Roman"/>
                <w:bCs/>
                <w:sz w:val="20"/>
                <w:szCs w:val="20"/>
              </w:rPr>
              <w:t>CAZ-AVI</w:t>
            </w:r>
          </w:p>
          <w:p w14:paraId="7A1E411B" w14:textId="77777777" w:rsidR="000E1361" w:rsidRPr="004A4B7C" w:rsidRDefault="000E1361" w:rsidP="004A4B7C">
            <w:pPr>
              <w:pStyle w:val="ListParagraph"/>
              <w:numPr>
                <w:ilvl w:val="0"/>
                <w:numId w:val="94"/>
              </w:numPr>
              <w:rPr>
                <w:rFonts w:ascii="Times New Roman" w:hAnsi="Times New Roman" w:cs="Times New Roman"/>
                <w:sz w:val="20"/>
                <w:szCs w:val="20"/>
              </w:rPr>
            </w:pPr>
            <w:r w:rsidRPr="004A4B7C">
              <w:rPr>
                <w:rFonts w:ascii="Times New Roman" w:hAnsi="Times New Roman" w:cs="Times New Roman"/>
                <w:bCs/>
                <w:sz w:val="20"/>
                <w:szCs w:val="20"/>
              </w:rPr>
              <w:t>LYs/QALYs lost due to infection</w:t>
            </w:r>
          </w:p>
        </w:tc>
      </w:tr>
      <w:tr w:rsidR="000E1361" w:rsidRPr="004A4B7C" w14:paraId="351E13B6" w14:textId="77777777" w:rsidTr="0022376C">
        <w:tc>
          <w:tcPr>
            <w:tcW w:w="2977" w:type="dxa"/>
          </w:tcPr>
          <w:p w14:paraId="2D82B853"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Elements of value as set out in the Evaluation Framework</w:t>
            </w:r>
          </w:p>
        </w:tc>
        <w:tc>
          <w:tcPr>
            <w:tcW w:w="6321" w:type="dxa"/>
          </w:tcPr>
          <w:p w14:paraId="0AE6036D"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Diversity value and transmission value are included in the modelled analysis. Both insurance and enablement value are only reflected in the modelled analysis to a very limited capacity</w:t>
            </w:r>
          </w:p>
        </w:tc>
      </w:tr>
      <w:tr w:rsidR="000E1361" w:rsidRPr="004A4B7C" w14:paraId="52C538E9" w14:textId="77777777" w:rsidTr="0022376C">
        <w:tc>
          <w:tcPr>
            <w:tcW w:w="2977" w:type="dxa"/>
          </w:tcPr>
          <w:p w14:paraId="5DE6FFE9"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Study designs</w:t>
            </w:r>
          </w:p>
        </w:tc>
        <w:tc>
          <w:tcPr>
            <w:tcW w:w="6321" w:type="dxa"/>
          </w:tcPr>
          <w:p w14:paraId="01F482D6" w14:textId="77777777" w:rsidR="000E1361" w:rsidRPr="004A4B7C" w:rsidRDefault="000E1361" w:rsidP="004A4B7C">
            <w:pPr>
              <w:contextualSpacing/>
              <w:rPr>
                <w:rFonts w:ascii="Times New Roman" w:hAnsi="Times New Roman" w:cs="Times New Roman"/>
                <w:sz w:val="20"/>
                <w:szCs w:val="20"/>
              </w:rPr>
            </w:pPr>
            <w:r w:rsidRPr="004A4B7C">
              <w:rPr>
                <w:rFonts w:ascii="Times New Roman" w:hAnsi="Times New Roman" w:cs="Times New Roman"/>
                <w:sz w:val="20"/>
                <w:szCs w:val="20"/>
              </w:rPr>
              <w:t xml:space="preserve">The types of studies and data used to parametrise to the model are: </w:t>
            </w:r>
          </w:p>
          <w:p w14:paraId="1C4C0284" w14:textId="77777777" w:rsidR="000E1361" w:rsidRPr="004A4B7C" w:rsidRDefault="000E1361" w:rsidP="004A4B7C">
            <w:pPr>
              <w:pStyle w:val="ListParagraph"/>
              <w:numPr>
                <w:ilvl w:val="0"/>
                <w:numId w:val="95"/>
              </w:numPr>
              <w:rPr>
                <w:rFonts w:ascii="Times New Roman" w:hAnsi="Times New Roman" w:cs="Times New Roman"/>
                <w:sz w:val="20"/>
                <w:szCs w:val="20"/>
              </w:rPr>
            </w:pPr>
            <w:r w:rsidRPr="004A4B7C">
              <w:rPr>
                <w:rFonts w:ascii="Times New Roman" w:hAnsi="Times New Roman" w:cs="Times New Roman"/>
                <w:sz w:val="20"/>
                <w:szCs w:val="20"/>
              </w:rPr>
              <w:t>RCTs</w:t>
            </w:r>
          </w:p>
          <w:p w14:paraId="2B095354" w14:textId="77777777" w:rsidR="000E1361" w:rsidRPr="004A4B7C" w:rsidRDefault="000E1361" w:rsidP="004A4B7C">
            <w:pPr>
              <w:pStyle w:val="ListParagraph"/>
              <w:numPr>
                <w:ilvl w:val="0"/>
                <w:numId w:val="95"/>
              </w:numPr>
              <w:rPr>
                <w:rFonts w:ascii="Times New Roman" w:hAnsi="Times New Roman" w:cs="Times New Roman"/>
                <w:sz w:val="20"/>
                <w:szCs w:val="20"/>
              </w:rPr>
            </w:pPr>
            <w:r w:rsidRPr="004A4B7C">
              <w:rPr>
                <w:rFonts w:ascii="Times New Roman" w:hAnsi="Times New Roman" w:cs="Times New Roman"/>
                <w:sz w:val="20"/>
                <w:szCs w:val="20"/>
              </w:rPr>
              <w:t>Observational studies</w:t>
            </w:r>
          </w:p>
          <w:p w14:paraId="1FCE9209" w14:textId="77777777" w:rsidR="000E1361" w:rsidRPr="004A4B7C" w:rsidRDefault="000E1361" w:rsidP="004A4B7C">
            <w:pPr>
              <w:pStyle w:val="ListParagraph"/>
              <w:numPr>
                <w:ilvl w:val="0"/>
                <w:numId w:val="95"/>
              </w:numPr>
              <w:rPr>
                <w:rFonts w:ascii="Times New Roman" w:hAnsi="Times New Roman" w:cs="Times New Roman"/>
                <w:sz w:val="20"/>
                <w:szCs w:val="20"/>
              </w:rPr>
            </w:pPr>
            <w:r w:rsidRPr="004A4B7C">
              <w:rPr>
                <w:rFonts w:ascii="Times New Roman" w:hAnsi="Times New Roman" w:cs="Times New Roman"/>
                <w:sz w:val="20"/>
                <w:szCs w:val="20"/>
              </w:rPr>
              <w:t xml:space="preserve">National and international datasets </w:t>
            </w:r>
          </w:p>
        </w:tc>
      </w:tr>
    </w:tbl>
    <w:p w14:paraId="73253415" w14:textId="7034C995" w:rsidR="000E1361" w:rsidRDefault="00EC4BFF" w:rsidP="00EC4BFF">
      <w:pPr>
        <w:pStyle w:val="EEPRUtextundertables"/>
      </w:pPr>
      <w:proofErr w:type="spellStart"/>
      <w:r>
        <w:t>cIAI</w:t>
      </w:r>
      <w:proofErr w:type="spellEnd"/>
      <w:r>
        <w:t xml:space="preserve">, complicated intraabdominal infection;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 LYs, life years; NMB, net monetary benefit, QALYs, quality adjusted life years; RCTs, randomised controlled trials</w:t>
      </w:r>
    </w:p>
    <w:p w14:paraId="079D309B" w14:textId="77777777" w:rsidR="00EC4BFF" w:rsidRPr="000E1361" w:rsidRDefault="00EC4BFF" w:rsidP="000E1361">
      <w:pPr>
        <w:spacing w:line="360" w:lineRule="auto"/>
        <w:contextualSpacing/>
        <w:jc w:val="both"/>
        <w:rPr>
          <w:rFonts w:ascii="Times New Roman" w:hAnsi="Times New Roman" w:cs="Times New Roman"/>
          <w:color w:val="000000" w:themeColor="text1"/>
        </w:rPr>
      </w:pPr>
    </w:p>
    <w:p w14:paraId="754C09FA" w14:textId="0D23D6E9"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The model has a time horizon of 10 years with monthly cycles. The transmission model pathway structure is ou</w:t>
      </w:r>
      <w:r w:rsidRPr="005B2689">
        <w:rPr>
          <w:rFonts w:ascii="Times New Roman" w:hAnsi="Times New Roman" w:cs="Times New Roman"/>
          <w:color w:val="000000" w:themeColor="text1"/>
        </w:rPr>
        <w:t>tlined in</w:t>
      </w:r>
      <w:r w:rsidR="005B2689" w:rsidRPr="005B2689">
        <w:rPr>
          <w:rFonts w:ascii="Times New Roman" w:hAnsi="Times New Roman" w:cs="Times New Roman"/>
          <w:color w:val="000000" w:themeColor="text1"/>
        </w:rPr>
        <w:t xml:space="preserve"> </w:t>
      </w:r>
      <w:r w:rsidR="005B2689" w:rsidRPr="005B2689">
        <w:rPr>
          <w:rFonts w:asciiTheme="majorBidi" w:hAnsiTheme="majorBidi" w:cstheme="majorBidi"/>
        </w:rPr>
        <w:t xml:space="preserve">Figure </w:t>
      </w:r>
      <w:r w:rsidR="005B2689" w:rsidRPr="005B2689">
        <w:rPr>
          <w:rFonts w:asciiTheme="majorBidi" w:hAnsiTheme="majorBidi" w:cstheme="majorBidi"/>
          <w:noProof/>
        </w:rPr>
        <w:t>9</w:t>
      </w:r>
      <w:r w:rsidRPr="005B2689">
        <w:rPr>
          <w:rFonts w:ascii="Times New Roman" w:hAnsi="Times New Roman" w:cs="Times New Roman"/>
          <w:color w:val="000000" w:themeColor="text1"/>
        </w:rPr>
        <w:t>. During</w:t>
      </w:r>
      <w:r w:rsidRPr="000E1361">
        <w:rPr>
          <w:rFonts w:ascii="Times New Roman" w:hAnsi="Times New Roman" w:cs="Times New Roman"/>
          <w:color w:val="000000" w:themeColor="text1"/>
        </w:rPr>
        <w:t xml:space="preserve"> each model cycle, patients may move between discrete health states representing the following states: susceptible, colonised, infected health states, or death. Susceptible is the absence of infection and pathogen, colonised patients have a pathogen without clinical symptoms of infection and infected individuals carry the pathogen and have symptomatic infection. The colonised and infected health states are sub-divided according to whether pathogen is sensitive or resistant to specific antibiotics. Colonised or infected with a sensitive pathogen means there is no resistance to any of the modelled treatments while colonisation or infected with a resistant pathogen means resistance to either one, two, or three of the modelled treatments. </w:t>
      </w:r>
    </w:p>
    <w:p w14:paraId="0127C1DF" w14:textId="77777777" w:rsidR="000E1361" w:rsidRPr="005B2689" w:rsidRDefault="000E1361" w:rsidP="000E1361">
      <w:pPr>
        <w:keepNext/>
        <w:spacing w:line="360" w:lineRule="auto"/>
        <w:contextualSpacing/>
        <w:rPr>
          <w:rFonts w:asciiTheme="majorBidi" w:hAnsiTheme="majorBidi" w:cstheme="majorBidi"/>
        </w:rPr>
      </w:pPr>
    </w:p>
    <w:p w14:paraId="278FF510" w14:textId="77777777" w:rsidR="0080269E" w:rsidRDefault="0080269E" w:rsidP="005B2689">
      <w:pPr>
        <w:pStyle w:val="Caption"/>
        <w:rPr>
          <w:rFonts w:asciiTheme="majorBidi" w:hAnsiTheme="majorBidi" w:cstheme="majorBidi"/>
          <w:b/>
          <w:bCs/>
          <w:i w:val="0"/>
          <w:iCs w:val="0"/>
          <w:color w:val="auto"/>
          <w:sz w:val="20"/>
          <w:szCs w:val="20"/>
        </w:rPr>
      </w:pPr>
      <w:bookmarkStart w:id="297" w:name="_Ref85747869"/>
    </w:p>
    <w:p w14:paraId="6D4539D6" w14:textId="2D24BE97" w:rsidR="000E1361" w:rsidRPr="0080269E" w:rsidRDefault="005B2689" w:rsidP="005B2689">
      <w:pPr>
        <w:pStyle w:val="Caption"/>
        <w:rPr>
          <w:rFonts w:asciiTheme="majorBidi" w:hAnsiTheme="majorBidi" w:cstheme="majorBidi"/>
          <w:b/>
          <w:bCs/>
          <w:i w:val="0"/>
          <w:iCs w:val="0"/>
          <w:color w:val="auto"/>
          <w:sz w:val="20"/>
          <w:szCs w:val="20"/>
        </w:rPr>
      </w:pPr>
      <w:bookmarkStart w:id="298" w:name="_Toc86419054"/>
      <w:r w:rsidRPr="0080269E">
        <w:rPr>
          <w:rFonts w:asciiTheme="majorBidi" w:hAnsiTheme="majorBidi" w:cstheme="majorBidi"/>
          <w:b/>
          <w:bCs/>
          <w:i w:val="0"/>
          <w:iCs w:val="0"/>
          <w:color w:val="auto"/>
          <w:sz w:val="20"/>
          <w:szCs w:val="20"/>
        </w:rPr>
        <w:t xml:space="preserve">Figure </w:t>
      </w:r>
      <w:r w:rsidR="0021430F">
        <w:rPr>
          <w:rFonts w:asciiTheme="majorBidi" w:hAnsiTheme="majorBidi" w:cstheme="majorBidi"/>
          <w:b/>
          <w:bCs/>
          <w:i w:val="0"/>
          <w:iCs w:val="0"/>
          <w:noProof/>
          <w:color w:val="auto"/>
          <w:sz w:val="20"/>
          <w:szCs w:val="20"/>
        </w:rPr>
        <w:t>9</w:t>
      </w:r>
      <w:bookmarkEnd w:id="297"/>
      <w:r w:rsidR="00483CEE" w:rsidRPr="0080269E">
        <w:rPr>
          <w:rFonts w:asciiTheme="majorBidi" w:hAnsiTheme="majorBidi" w:cstheme="majorBidi"/>
          <w:b/>
          <w:bCs/>
          <w:i w:val="0"/>
          <w:iCs w:val="0"/>
          <w:color w:val="auto"/>
          <w:sz w:val="20"/>
          <w:szCs w:val="20"/>
        </w:rPr>
        <w:t xml:space="preserve">: </w:t>
      </w:r>
      <w:r w:rsidR="000E1361" w:rsidRPr="0080269E">
        <w:rPr>
          <w:rFonts w:asciiTheme="majorBidi" w:hAnsiTheme="majorBidi" w:cstheme="majorBidi"/>
          <w:b/>
          <w:bCs/>
          <w:i w:val="0"/>
          <w:iCs w:val="0"/>
          <w:color w:val="auto"/>
          <w:sz w:val="20"/>
          <w:szCs w:val="20"/>
        </w:rPr>
        <w:t>Diagram of the transmission pathway structure (from Figure 13 of the company submission)</w:t>
      </w:r>
      <w:bookmarkEnd w:id="298"/>
    </w:p>
    <w:p w14:paraId="13C8BEEE" w14:textId="77777777" w:rsidR="000E1361" w:rsidRPr="000E1361" w:rsidRDefault="000E1361" w:rsidP="009E265F">
      <w:pPr>
        <w:pStyle w:val="TableofFigures"/>
      </w:pPr>
      <w:r w:rsidRPr="000E1361">
        <w:rPr>
          <w:noProof/>
          <w:lang w:eastAsia="en-GB"/>
        </w:rPr>
        <w:lastRenderedPageBreak/>
        <w:drawing>
          <wp:inline distT="0" distB="0" distL="0" distR="0" wp14:anchorId="16B5B589" wp14:editId="2B20AABB">
            <wp:extent cx="5731510" cy="2995295"/>
            <wp:effectExtent l="0" t="0" r="2540" b="0"/>
            <wp:docPr id="105" name="Picture 105" descr="Diagram of the transmission pathway structure (from Figure 13 of the company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 of the transmission pathway structure (from Figure 13 of the company submission)"/>
                    <pic:cNvPicPr/>
                  </pic:nvPicPr>
                  <pic:blipFill>
                    <a:blip r:embed="rId23"/>
                    <a:stretch>
                      <a:fillRect/>
                    </a:stretch>
                  </pic:blipFill>
                  <pic:spPr>
                    <a:xfrm>
                      <a:off x="0" y="0"/>
                      <a:ext cx="5731510" cy="2995295"/>
                    </a:xfrm>
                    <a:prstGeom prst="rect">
                      <a:avLst/>
                    </a:prstGeom>
                  </pic:spPr>
                </pic:pic>
              </a:graphicData>
            </a:graphic>
          </wp:inline>
        </w:drawing>
      </w:r>
    </w:p>
    <w:p w14:paraId="2C33D4AB" w14:textId="77777777" w:rsidR="000E1361" w:rsidRPr="000E1361" w:rsidRDefault="000E1361" w:rsidP="000E1361">
      <w:pPr>
        <w:spacing w:line="360" w:lineRule="auto"/>
        <w:contextualSpacing/>
        <w:rPr>
          <w:rFonts w:ascii="Times New Roman" w:hAnsi="Times New Roman" w:cs="Times New Roman"/>
        </w:rPr>
      </w:pPr>
    </w:p>
    <w:p w14:paraId="5B725BCB" w14:textId="54C95B47" w:rsidR="000E1361" w:rsidRPr="000E1361" w:rsidRDefault="005B2689" w:rsidP="0080269E">
      <w:pPr>
        <w:pStyle w:val="EEPRUnumberedlevel4"/>
        <w:ind w:hanging="250"/>
      </w:pPr>
      <w:bookmarkStart w:id="299" w:name="_Toc87463021"/>
      <w:r>
        <w:t xml:space="preserve">6.1.5.2 </w:t>
      </w:r>
      <w:r w:rsidR="000E1361" w:rsidRPr="000E1361">
        <w:t>Pathways to health effect in the model</w:t>
      </w:r>
      <w:bookmarkEnd w:id="299"/>
    </w:p>
    <w:p w14:paraId="4D385303" w14:textId="12524EDF"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H</w:t>
      </w:r>
      <w:r w:rsidRPr="000E1361">
        <w:rPr>
          <w:rFonts w:ascii="Times New Roman" w:hAnsi="Times New Roman" w:cs="Times New Roman"/>
          <w:color w:val="000000"/>
        </w:rPr>
        <w:t xml:space="preserve">ealth effects are the main drivers of cost-effectiveness results and are generated in the model from </w:t>
      </w:r>
      <w:r w:rsidRPr="000E1361">
        <w:rPr>
          <w:rFonts w:ascii="Times New Roman" w:hAnsi="Times New Roman" w:cs="Times New Roman"/>
        </w:rPr>
        <w:t xml:space="preserve">baseline resistance and treatment efficacy inputs. These inputs are </w:t>
      </w:r>
      <w:r w:rsidRPr="00647D29">
        <w:rPr>
          <w:rFonts w:asciiTheme="majorBidi" w:hAnsiTheme="majorBidi" w:cstheme="majorBidi"/>
        </w:rPr>
        <w:t xml:space="preserve">summarised in </w:t>
      </w:r>
      <w:r w:rsidR="00647D29" w:rsidRPr="00647D29">
        <w:rPr>
          <w:rFonts w:asciiTheme="majorBidi" w:hAnsiTheme="majorBidi" w:cstheme="majorBidi"/>
        </w:rPr>
        <w:t xml:space="preserve">Table </w:t>
      </w:r>
      <w:r w:rsidR="00647D29" w:rsidRPr="00647D29">
        <w:rPr>
          <w:rFonts w:asciiTheme="majorBidi" w:hAnsiTheme="majorBidi" w:cstheme="majorBidi"/>
          <w:noProof/>
        </w:rPr>
        <w:t>16</w:t>
      </w:r>
      <w:r w:rsidR="00647D29" w:rsidRPr="00647D29">
        <w:rPr>
          <w:rFonts w:asciiTheme="majorBidi" w:hAnsiTheme="majorBidi" w:cstheme="majorBidi"/>
        </w:rPr>
        <w:t xml:space="preserve"> </w:t>
      </w:r>
      <w:r w:rsidRPr="00647D29">
        <w:rPr>
          <w:rFonts w:asciiTheme="majorBidi" w:hAnsiTheme="majorBidi" w:cstheme="majorBidi"/>
          <w:color w:val="000000" w:themeColor="text1"/>
        </w:rPr>
        <w:t>for</w:t>
      </w:r>
      <w:r w:rsidRPr="000E1361">
        <w:rPr>
          <w:rFonts w:ascii="Times New Roman" w:hAnsi="Times New Roman" w:cs="Times New Roman"/>
          <w:color w:val="000000" w:themeColor="text1"/>
        </w:rPr>
        <w:t xml:space="preserve"> </w:t>
      </w:r>
      <w:r w:rsidRPr="000E1361">
        <w:rPr>
          <w:rFonts w:ascii="Times New Roman" w:hAnsi="Times New Roman" w:cs="Times New Roman"/>
        </w:rPr>
        <w:t>CAZ-AVI</w:t>
      </w:r>
      <w:r w:rsidRPr="000E1361">
        <w:rPr>
          <w:rFonts w:ascii="Times New Roman" w:hAnsi="Times New Roman" w:cs="Times New Roman"/>
          <w:color w:val="000000" w:themeColor="text1"/>
        </w:rPr>
        <w:t xml:space="preserve"> and comparator treatments. There are five pathways to health effect all </w:t>
      </w:r>
      <w:r w:rsidRPr="000E1361">
        <w:rPr>
          <w:rFonts w:ascii="Times New Roman" w:eastAsia="Calibri" w:hAnsi="Times New Roman" w:cs="Times New Roman"/>
          <w:color w:val="000000" w:themeColor="text1"/>
          <w:lang w:eastAsia="en-GB"/>
        </w:rPr>
        <w:t xml:space="preserve">of which </w:t>
      </w:r>
      <w:r w:rsidRPr="000E1361">
        <w:rPr>
          <w:rFonts w:ascii="Times New Roman" w:hAnsi="Times New Roman" w:cs="Times New Roman"/>
          <w:color w:val="000000" w:themeColor="text1"/>
        </w:rPr>
        <w:t xml:space="preserve">are influenced by the efficacy </w:t>
      </w:r>
      <w:r w:rsidRPr="000E1361">
        <w:rPr>
          <w:rFonts w:ascii="Times New Roman" w:eastAsia="Calibri" w:hAnsi="Times New Roman" w:cs="Times New Roman"/>
          <w:color w:val="000000" w:themeColor="text1"/>
          <w:lang w:eastAsia="en-GB"/>
        </w:rPr>
        <w:t xml:space="preserve">of, </w:t>
      </w:r>
      <w:r w:rsidRPr="000E1361">
        <w:rPr>
          <w:rFonts w:ascii="Times New Roman" w:hAnsi="Times New Roman" w:cs="Times New Roman"/>
          <w:color w:val="000000" w:themeColor="text1"/>
        </w:rPr>
        <w:t xml:space="preserve">and baseline resistance </w:t>
      </w:r>
      <w:r w:rsidRPr="000E1361">
        <w:rPr>
          <w:rFonts w:ascii="Times New Roman" w:eastAsia="Calibri" w:hAnsi="Times New Roman" w:cs="Times New Roman"/>
          <w:color w:val="000000" w:themeColor="text1"/>
          <w:lang w:eastAsia="en-GB"/>
        </w:rPr>
        <w:t xml:space="preserve">to, </w:t>
      </w:r>
      <w:r w:rsidRPr="000E1361">
        <w:rPr>
          <w:rFonts w:ascii="Times New Roman" w:hAnsi="Times New Roman" w:cs="Times New Roman"/>
          <w:color w:val="000000" w:themeColor="text1"/>
        </w:rPr>
        <w:t>the treatments. With greater efficacy and a lower level of baseline resistance the following health effects can occur:</w:t>
      </w:r>
    </w:p>
    <w:p w14:paraId="04D572E2" w14:textId="36A90E4D" w:rsidR="000E1361" w:rsidRPr="000E1361" w:rsidRDefault="000E1361" w:rsidP="005A3BE6">
      <w:pPr>
        <w:pStyle w:val="ListParagraph"/>
        <w:numPr>
          <w:ilvl w:val="0"/>
          <w:numId w:val="89"/>
        </w:numPr>
        <w:spacing w:line="360" w:lineRule="auto"/>
        <w:jc w:val="both"/>
        <w:rPr>
          <w:rFonts w:ascii="Times New Roman" w:hAnsi="Times New Roman" w:cs="Times New Roman"/>
          <w:color w:val="000000" w:themeColor="text1"/>
        </w:rPr>
      </w:pPr>
      <w:r w:rsidRPr="000E1361">
        <w:rPr>
          <w:rFonts w:ascii="Times New Roman" w:hAnsi="Times New Roman" w:cs="Times New Roman"/>
          <w:b/>
          <w:color w:val="000000" w:themeColor="text1"/>
        </w:rPr>
        <w:t>Direct patient benefits – clinical efficacy</w:t>
      </w:r>
      <w:r w:rsidRPr="000E1361">
        <w:rPr>
          <w:rFonts w:ascii="Times New Roman" w:hAnsi="Times New Roman" w:cs="Times New Roman"/>
          <w:color w:val="000000" w:themeColor="text1"/>
        </w:rPr>
        <w:t xml:space="preserve">: </w:t>
      </w:r>
      <w:r w:rsidR="00483CEE">
        <w:rPr>
          <w:rFonts w:ascii="Times New Roman" w:hAnsi="Times New Roman" w:cs="Times New Roman"/>
          <w:color w:val="000000" w:themeColor="text1"/>
        </w:rPr>
        <w:t>i</w:t>
      </w:r>
      <w:r w:rsidRPr="000E1361">
        <w:rPr>
          <w:rFonts w:ascii="Times New Roman" w:hAnsi="Times New Roman" w:cs="Times New Roman"/>
          <w:color w:val="000000" w:themeColor="text1"/>
        </w:rPr>
        <w:t xml:space="preserve">t is more likely an infection will be cured without the need </w:t>
      </w:r>
      <w:r w:rsidRPr="000E1361">
        <w:rPr>
          <w:rFonts w:ascii="Times New Roman" w:eastAsia="Calibri" w:hAnsi="Times New Roman" w:cs="Times New Roman"/>
          <w:color w:val="000000" w:themeColor="text1"/>
        </w:rPr>
        <w:t xml:space="preserve">for </w:t>
      </w:r>
      <w:r w:rsidRPr="000E1361">
        <w:rPr>
          <w:rFonts w:ascii="Times New Roman" w:hAnsi="Times New Roman" w:cs="Times New Roman"/>
          <w:color w:val="000000" w:themeColor="text1"/>
        </w:rPr>
        <w:t xml:space="preserve">any further treatment. This lowers the period of exposure to infection-related mortality, as </w:t>
      </w:r>
      <w:r w:rsidRPr="000E1361">
        <w:rPr>
          <w:rFonts w:ascii="Times New Roman" w:hAnsi="Times New Roman" w:cs="Times New Roman"/>
        </w:rPr>
        <w:t xml:space="preserve">patients in the infected health state incur a daily probability of mortality. </w:t>
      </w:r>
    </w:p>
    <w:p w14:paraId="0BA504F2" w14:textId="77777777" w:rsidR="000E1361" w:rsidRPr="000E1361" w:rsidRDefault="000E1361" w:rsidP="005A3BE6">
      <w:pPr>
        <w:pStyle w:val="ListParagraph"/>
        <w:numPr>
          <w:ilvl w:val="0"/>
          <w:numId w:val="89"/>
        </w:numPr>
        <w:spacing w:line="360" w:lineRule="auto"/>
        <w:jc w:val="both"/>
        <w:rPr>
          <w:rFonts w:ascii="Times New Roman" w:hAnsi="Times New Roman" w:cs="Times New Roman"/>
          <w:color w:val="000000" w:themeColor="text1"/>
        </w:rPr>
      </w:pPr>
      <w:r w:rsidRPr="000E1361">
        <w:rPr>
          <w:rFonts w:ascii="Times New Roman" w:hAnsi="Times New Roman" w:cs="Times New Roman"/>
          <w:b/>
          <w:color w:val="000000" w:themeColor="text1"/>
        </w:rPr>
        <w:t>Indirect patient benefits – additional treatment:</w:t>
      </w:r>
      <w:r w:rsidRPr="000E1361">
        <w:rPr>
          <w:rFonts w:ascii="Times New Roman" w:hAnsi="Times New Roman" w:cs="Times New Roman"/>
        </w:rPr>
        <w:t xml:space="preserve"> </w:t>
      </w:r>
      <w:r w:rsidRPr="000E1361">
        <w:rPr>
          <w:rFonts w:ascii="Times New Roman" w:hAnsi="Times New Roman" w:cs="Times New Roman"/>
          <w:color w:val="000000" w:themeColor="text1"/>
        </w:rPr>
        <w:t>it is less likely that the patient will be exposed to the assumption of immediate mortality from treatment failure across all lines;</w:t>
      </w:r>
      <w:r w:rsidRPr="000E1361">
        <w:rPr>
          <w:rFonts w:ascii="Times New Roman" w:hAnsi="Times New Roman" w:cs="Times New Roman"/>
        </w:rPr>
        <w:t xml:space="preserve"> patients who have exhausted all available antibiotic treatment options and fail to clear the infection naturally are assumed to die three days after their last available line of treatment. </w:t>
      </w:r>
    </w:p>
    <w:p w14:paraId="54BB7E45" w14:textId="77777777" w:rsidR="000E1361" w:rsidRPr="000E1361" w:rsidRDefault="000E1361" w:rsidP="005A3BE6">
      <w:pPr>
        <w:pStyle w:val="ListParagraph"/>
        <w:numPr>
          <w:ilvl w:val="0"/>
          <w:numId w:val="89"/>
        </w:numPr>
        <w:spacing w:line="360" w:lineRule="auto"/>
        <w:jc w:val="both"/>
        <w:rPr>
          <w:rFonts w:ascii="Times New Roman" w:hAnsi="Times New Roman" w:cs="Times New Roman"/>
          <w:color w:val="000000" w:themeColor="text1"/>
        </w:rPr>
      </w:pPr>
      <w:r w:rsidRPr="000E1361">
        <w:rPr>
          <w:rFonts w:ascii="Times New Roman" w:hAnsi="Times New Roman" w:cs="Times New Roman"/>
          <w:b/>
          <w:color w:val="000000" w:themeColor="text1"/>
        </w:rPr>
        <w:t>Population-level benefits – infection transmission:</w:t>
      </w:r>
      <w:r w:rsidRPr="000E1361">
        <w:rPr>
          <w:rFonts w:ascii="Times New Roman" w:hAnsi="Times New Roman" w:cs="Times New Roman"/>
          <w:color w:val="000000" w:themeColor="text1"/>
        </w:rPr>
        <w:t xml:space="preserve"> a shorter period of infection resulting in fewer person-to-person transmissions of infections and a reduction in infection mortality. </w:t>
      </w:r>
    </w:p>
    <w:p w14:paraId="19912021" w14:textId="2DAFC9CC" w:rsidR="00483CEE" w:rsidRPr="00483CEE" w:rsidRDefault="000E1361" w:rsidP="005A3BE6">
      <w:pPr>
        <w:pStyle w:val="ListParagraph"/>
        <w:numPr>
          <w:ilvl w:val="0"/>
          <w:numId w:val="90"/>
        </w:numPr>
        <w:spacing w:line="360" w:lineRule="auto"/>
        <w:jc w:val="both"/>
        <w:rPr>
          <w:rFonts w:ascii="Times New Roman" w:hAnsi="Times New Roman" w:cs="Times New Roman"/>
          <w:color w:val="000000"/>
        </w:rPr>
      </w:pPr>
      <w:r w:rsidRPr="000E1361">
        <w:rPr>
          <w:rFonts w:ascii="Times New Roman" w:hAnsi="Times New Roman" w:cs="Times New Roman"/>
          <w:b/>
          <w:color w:val="000000" w:themeColor="text1"/>
        </w:rPr>
        <w:t xml:space="preserve">Population-level benefits – diversification and resistance development. </w:t>
      </w:r>
      <w:r w:rsidRPr="000E1361">
        <w:rPr>
          <w:rFonts w:ascii="Times New Roman" w:hAnsi="Times New Roman" w:cs="Times New Roman"/>
          <w:color w:val="000000" w:themeColor="text1"/>
        </w:rPr>
        <w:t xml:space="preserve">It is more likely an infection will be cured without the need any further treatment. This reduces the selection pressure that would otherwise benefit resistance-giving mutations (since each additional treatment exerts its own selection pressure). The reduced selection pressure results in lower resistance levels and consequently infections are cured more often and more quickly, resulting </w:t>
      </w:r>
      <w:r w:rsidRPr="000E1361">
        <w:rPr>
          <w:rFonts w:ascii="Times New Roman" w:hAnsi="Times New Roman" w:cs="Times New Roman"/>
          <w:color w:val="000000" w:themeColor="text1"/>
        </w:rPr>
        <w:lastRenderedPageBreak/>
        <w:t xml:space="preserve">in less mortality. In addition, a shorter period of infection means a greater chance of clearing pathogens naturally resulting in lower resistance levels. This is because when infections are cleared patients move to colonised or susceptible, and </w:t>
      </w:r>
      <w:r w:rsidRPr="000E1361">
        <w:rPr>
          <w:rFonts w:ascii="Times New Roman" w:hAnsi="Times New Roman" w:cs="Times New Roman"/>
        </w:rPr>
        <w:t>colonised patients then have an opportunity to clear pathogens naturally. In contrast patients who remain infected are assumed to be subject only to the efficacy of the treatment.</w:t>
      </w:r>
    </w:p>
    <w:p w14:paraId="4BDD5E11" w14:textId="77777777" w:rsidR="00483CEE" w:rsidRPr="00483CEE" w:rsidRDefault="00483CEE" w:rsidP="00483CEE">
      <w:pPr>
        <w:spacing w:line="360" w:lineRule="auto"/>
        <w:ind w:left="360"/>
        <w:jc w:val="both"/>
        <w:rPr>
          <w:rFonts w:ascii="Times New Roman" w:hAnsi="Times New Roman" w:cs="Times New Roman"/>
          <w:color w:val="000000"/>
        </w:rPr>
      </w:pPr>
    </w:p>
    <w:p w14:paraId="5C30EED6" w14:textId="0FF584B1" w:rsidR="000E1361" w:rsidRPr="00483CEE" w:rsidRDefault="005B2689" w:rsidP="009E265F">
      <w:pPr>
        <w:pStyle w:val="table"/>
      </w:pPr>
      <w:bookmarkStart w:id="300" w:name="_Ref85749096"/>
      <w:bookmarkStart w:id="301" w:name="_Toc86418993"/>
      <w:r w:rsidRPr="00483CEE">
        <w:t xml:space="preserve">Table </w:t>
      </w:r>
      <w:r w:rsidR="00F10F0A">
        <w:rPr>
          <w:noProof/>
        </w:rPr>
        <w:t>16</w:t>
      </w:r>
      <w:bookmarkEnd w:id="300"/>
      <w:r w:rsidR="000E1361" w:rsidRPr="00483CEE">
        <w:t>: Summary of baseline resistance and treatment efficacy parameters included in the CAZ-AVI model</w:t>
      </w:r>
      <w:bookmarkEnd w:id="301"/>
    </w:p>
    <w:tbl>
      <w:tblPr>
        <w:tblStyle w:val="TableGrid1"/>
        <w:tblW w:w="5000" w:type="pct"/>
        <w:tblInd w:w="-5" w:type="dxa"/>
        <w:tblLayout w:type="fixed"/>
        <w:tblLook w:val="04A0" w:firstRow="1" w:lastRow="0" w:firstColumn="1" w:lastColumn="0" w:noHBand="0" w:noVBand="1"/>
      </w:tblPr>
      <w:tblGrid>
        <w:gridCol w:w="1242"/>
        <w:gridCol w:w="3011"/>
        <w:gridCol w:w="1417"/>
        <w:gridCol w:w="1467"/>
        <w:gridCol w:w="1000"/>
        <w:gridCol w:w="879"/>
      </w:tblGrid>
      <w:tr w:rsidR="000E1361" w:rsidRPr="004A4B7C" w14:paraId="5E7690C1" w14:textId="77777777" w:rsidTr="0022376C">
        <w:trPr>
          <w:trHeight w:val="288"/>
        </w:trPr>
        <w:tc>
          <w:tcPr>
            <w:tcW w:w="1242" w:type="dxa"/>
            <w:tcBorders>
              <w:top w:val="single" w:sz="4" w:space="0" w:color="auto"/>
              <w:left w:val="single" w:sz="4" w:space="0" w:color="auto"/>
              <w:bottom w:val="single" w:sz="4" w:space="0" w:color="auto"/>
              <w:right w:val="single" w:sz="4" w:space="0" w:color="auto"/>
            </w:tcBorders>
          </w:tcPr>
          <w:p w14:paraId="3A60385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Type of model input</w:t>
            </w:r>
          </w:p>
        </w:tc>
        <w:tc>
          <w:tcPr>
            <w:tcW w:w="3011" w:type="dxa"/>
            <w:tcBorders>
              <w:top w:val="single" w:sz="4" w:space="0" w:color="auto"/>
              <w:left w:val="single" w:sz="4" w:space="0" w:color="auto"/>
              <w:bottom w:val="single" w:sz="4" w:space="0" w:color="auto"/>
              <w:right w:val="single" w:sz="4" w:space="0" w:color="auto"/>
            </w:tcBorders>
            <w:noWrap/>
          </w:tcPr>
          <w:p w14:paraId="185DAD02"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Infection and pathogen</w:t>
            </w:r>
          </w:p>
        </w:tc>
        <w:tc>
          <w:tcPr>
            <w:tcW w:w="1417" w:type="dxa"/>
            <w:tcBorders>
              <w:top w:val="single" w:sz="4" w:space="0" w:color="auto"/>
              <w:left w:val="single" w:sz="4" w:space="0" w:color="auto"/>
              <w:bottom w:val="single" w:sz="4" w:space="0" w:color="auto"/>
              <w:right w:val="single" w:sz="4" w:space="0" w:color="auto"/>
            </w:tcBorders>
            <w:noWrap/>
          </w:tcPr>
          <w:p w14:paraId="5CC2EBEF"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Piperacillin/</w:t>
            </w:r>
          </w:p>
          <w:p w14:paraId="3CE2113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tazobactam</w:t>
            </w:r>
          </w:p>
        </w:tc>
        <w:tc>
          <w:tcPr>
            <w:tcW w:w="1467" w:type="dxa"/>
            <w:tcBorders>
              <w:top w:val="single" w:sz="4" w:space="0" w:color="auto"/>
              <w:left w:val="single" w:sz="4" w:space="0" w:color="auto"/>
              <w:bottom w:val="single" w:sz="4" w:space="0" w:color="auto"/>
              <w:right w:val="single" w:sz="4" w:space="0" w:color="auto"/>
            </w:tcBorders>
          </w:tcPr>
          <w:p w14:paraId="47BBE35E"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Meropenem</w:t>
            </w:r>
          </w:p>
        </w:tc>
        <w:tc>
          <w:tcPr>
            <w:tcW w:w="1000" w:type="dxa"/>
            <w:tcBorders>
              <w:top w:val="single" w:sz="4" w:space="0" w:color="auto"/>
              <w:left w:val="single" w:sz="4" w:space="0" w:color="auto"/>
              <w:bottom w:val="single" w:sz="4" w:space="0" w:color="auto"/>
              <w:right w:val="single" w:sz="4" w:space="0" w:color="auto"/>
            </w:tcBorders>
          </w:tcPr>
          <w:p w14:paraId="0E0E6C50"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Colistin</w:t>
            </w:r>
          </w:p>
        </w:tc>
        <w:tc>
          <w:tcPr>
            <w:tcW w:w="879" w:type="dxa"/>
            <w:tcBorders>
              <w:top w:val="single" w:sz="4" w:space="0" w:color="auto"/>
              <w:left w:val="single" w:sz="4" w:space="0" w:color="auto"/>
              <w:bottom w:val="single" w:sz="4" w:space="0" w:color="auto"/>
              <w:right w:val="single" w:sz="4" w:space="0" w:color="auto"/>
            </w:tcBorders>
          </w:tcPr>
          <w:p w14:paraId="5A5DE066" w14:textId="77777777" w:rsidR="000E1361" w:rsidRPr="004A4B7C" w:rsidRDefault="000E1361" w:rsidP="004A4B7C">
            <w:pPr>
              <w:pStyle w:val="NICEtabletext"/>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CAZ-AVI</w:t>
            </w:r>
          </w:p>
        </w:tc>
      </w:tr>
      <w:tr w:rsidR="000E1361" w:rsidRPr="004A4B7C" w14:paraId="09E46BD7" w14:textId="77777777" w:rsidTr="0022376C">
        <w:trPr>
          <w:trHeight w:val="288"/>
        </w:trPr>
        <w:tc>
          <w:tcPr>
            <w:tcW w:w="1242" w:type="dxa"/>
            <w:tcBorders>
              <w:top w:val="single" w:sz="4" w:space="0" w:color="auto"/>
              <w:left w:val="single" w:sz="4" w:space="0" w:color="auto"/>
              <w:right w:val="single" w:sz="4" w:space="0" w:color="auto"/>
            </w:tcBorders>
          </w:tcPr>
          <w:p w14:paraId="059C24F1" w14:textId="77777777" w:rsidR="000E1361" w:rsidRPr="00CF2F84" w:rsidRDefault="000E1361"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Baseline resistance</w:t>
            </w:r>
          </w:p>
        </w:tc>
        <w:tc>
          <w:tcPr>
            <w:tcW w:w="3011" w:type="dxa"/>
            <w:tcBorders>
              <w:top w:val="single" w:sz="4" w:space="0" w:color="auto"/>
              <w:left w:val="single" w:sz="4" w:space="0" w:color="auto"/>
              <w:bottom w:val="single" w:sz="4" w:space="0" w:color="auto"/>
              <w:right w:val="single" w:sz="4" w:space="0" w:color="auto"/>
            </w:tcBorders>
            <w:noWrap/>
          </w:tcPr>
          <w:p w14:paraId="5241E972"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proofErr w:type="gramStart"/>
            <w:r w:rsidRPr="004A4B7C">
              <w:rPr>
                <w:rFonts w:ascii="Times New Roman" w:hAnsi="Times New Roman" w:cs="Times New Roman"/>
                <w:sz w:val="20"/>
                <w:szCs w:val="20"/>
              </w:rPr>
              <w:t>E.coli</w:t>
            </w:r>
            <w:proofErr w:type="gramEnd"/>
          </w:p>
        </w:tc>
        <w:tc>
          <w:tcPr>
            <w:tcW w:w="1417" w:type="dxa"/>
            <w:tcBorders>
              <w:top w:val="single" w:sz="4" w:space="0" w:color="auto"/>
              <w:left w:val="single" w:sz="4" w:space="0" w:color="auto"/>
              <w:bottom w:val="single" w:sz="4" w:space="0" w:color="auto"/>
              <w:right w:val="single" w:sz="4" w:space="0" w:color="auto"/>
            </w:tcBorders>
            <w:noWrap/>
          </w:tcPr>
          <w:p w14:paraId="45A5A796"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8.89%</w:t>
            </w:r>
          </w:p>
        </w:tc>
        <w:tc>
          <w:tcPr>
            <w:tcW w:w="1467" w:type="dxa"/>
            <w:tcBorders>
              <w:top w:val="single" w:sz="4" w:space="0" w:color="auto"/>
              <w:left w:val="single" w:sz="4" w:space="0" w:color="auto"/>
              <w:bottom w:val="single" w:sz="4" w:space="0" w:color="auto"/>
              <w:right w:val="single" w:sz="4" w:space="0" w:color="auto"/>
            </w:tcBorders>
          </w:tcPr>
          <w:p w14:paraId="7F1AF1EA"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0.09%</w:t>
            </w:r>
          </w:p>
        </w:tc>
        <w:tc>
          <w:tcPr>
            <w:tcW w:w="1000" w:type="dxa"/>
            <w:tcBorders>
              <w:top w:val="single" w:sz="4" w:space="0" w:color="auto"/>
              <w:left w:val="single" w:sz="4" w:space="0" w:color="auto"/>
              <w:bottom w:val="single" w:sz="4" w:space="0" w:color="auto"/>
              <w:right w:val="single" w:sz="4" w:space="0" w:color="auto"/>
            </w:tcBorders>
          </w:tcPr>
          <w:p w14:paraId="47BFA8B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1.06%</w:t>
            </w:r>
          </w:p>
        </w:tc>
        <w:tc>
          <w:tcPr>
            <w:tcW w:w="879" w:type="dxa"/>
            <w:tcBorders>
              <w:top w:val="single" w:sz="4" w:space="0" w:color="auto"/>
              <w:left w:val="single" w:sz="4" w:space="0" w:color="auto"/>
              <w:bottom w:val="single" w:sz="4" w:space="0" w:color="auto"/>
              <w:right w:val="single" w:sz="4" w:space="0" w:color="auto"/>
            </w:tcBorders>
          </w:tcPr>
          <w:p w14:paraId="1EB7BD4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0.57%</w:t>
            </w:r>
          </w:p>
        </w:tc>
      </w:tr>
      <w:tr w:rsidR="000E1361" w:rsidRPr="004A4B7C" w14:paraId="2C015D66" w14:textId="77777777" w:rsidTr="0022376C">
        <w:trPr>
          <w:trHeight w:val="288"/>
        </w:trPr>
        <w:tc>
          <w:tcPr>
            <w:tcW w:w="1242" w:type="dxa"/>
            <w:tcBorders>
              <w:left w:val="single" w:sz="4" w:space="0" w:color="auto"/>
              <w:right w:val="single" w:sz="4" w:space="0" w:color="auto"/>
            </w:tcBorders>
          </w:tcPr>
          <w:p w14:paraId="1B09C8EF" w14:textId="27158AFA"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Baseline resistance</w:t>
            </w:r>
          </w:p>
        </w:tc>
        <w:tc>
          <w:tcPr>
            <w:tcW w:w="3011" w:type="dxa"/>
            <w:tcBorders>
              <w:top w:val="single" w:sz="4" w:space="0" w:color="auto"/>
              <w:left w:val="single" w:sz="4" w:space="0" w:color="auto"/>
              <w:bottom w:val="single" w:sz="4" w:space="0" w:color="auto"/>
              <w:right w:val="single" w:sz="4" w:space="0" w:color="auto"/>
            </w:tcBorders>
            <w:noWrap/>
          </w:tcPr>
          <w:p w14:paraId="616E4AA5"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K. pneumoniae</w:t>
            </w:r>
          </w:p>
        </w:tc>
        <w:tc>
          <w:tcPr>
            <w:tcW w:w="1417" w:type="dxa"/>
            <w:tcBorders>
              <w:top w:val="single" w:sz="4" w:space="0" w:color="auto"/>
              <w:left w:val="single" w:sz="4" w:space="0" w:color="auto"/>
              <w:bottom w:val="single" w:sz="4" w:space="0" w:color="auto"/>
              <w:right w:val="single" w:sz="4" w:space="0" w:color="auto"/>
            </w:tcBorders>
            <w:noWrap/>
          </w:tcPr>
          <w:p w14:paraId="5F328344"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14.62%</w:t>
            </w:r>
          </w:p>
        </w:tc>
        <w:tc>
          <w:tcPr>
            <w:tcW w:w="1467" w:type="dxa"/>
            <w:tcBorders>
              <w:top w:val="single" w:sz="4" w:space="0" w:color="auto"/>
              <w:left w:val="single" w:sz="4" w:space="0" w:color="auto"/>
              <w:bottom w:val="single" w:sz="4" w:space="0" w:color="auto"/>
              <w:right w:val="single" w:sz="4" w:space="0" w:color="auto"/>
            </w:tcBorders>
          </w:tcPr>
          <w:p w14:paraId="2FE2B40D"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0.87%</w:t>
            </w:r>
          </w:p>
        </w:tc>
        <w:tc>
          <w:tcPr>
            <w:tcW w:w="1000" w:type="dxa"/>
            <w:tcBorders>
              <w:top w:val="single" w:sz="4" w:space="0" w:color="auto"/>
              <w:left w:val="single" w:sz="4" w:space="0" w:color="auto"/>
              <w:bottom w:val="single" w:sz="4" w:space="0" w:color="auto"/>
              <w:right w:val="single" w:sz="4" w:space="0" w:color="auto"/>
            </w:tcBorders>
          </w:tcPr>
          <w:p w14:paraId="2722233A"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3.15%</w:t>
            </w:r>
          </w:p>
        </w:tc>
        <w:tc>
          <w:tcPr>
            <w:tcW w:w="879" w:type="dxa"/>
            <w:tcBorders>
              <w:top w:val="single" w:sz="4" w:space="0" w:color="auto"/>
              <w:left w:val="single" w:sz="4" w:space="0" w:color="auto"/>
              <w:bottom w:val="single" w:sz="4" w:space="0" w:color="auto"/>
              <w:right w:val="single" w:sz="4" w:space="0" w:color="auto"/>
            </w:tcBorders>
          </w:tcPr>
          <w:p w14:paraId="63AE2D01"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5.31%</w:t>
            </w:r>
          </w:p>
        </w:tc>
      </w:tr>
      <w:tr w:rsidR="000E1361" w:rsidRPr="004A4B7C" w14:paraId="2847C842" w14:textId="77777777" w:rsidTr="0022376C">
        <w:trPr>
          <w:trHeight w:val="288"/>
        </w:trPr>
        <w:tc>
          <w:tcPr>
            <w:tcW w:w="1242" w:type="dxa"/>
            <w:tcBorders>
              <w:left w:val="single" w:sz="4" w:space="0" w:color="auto"/>
              <w:bottom w:val="single" w:sz="4" w:space="0" w:color="auto"/>
              <w:right w:val="single" w:sz="4" w:space="0" w:color="auto"/>
            </w:tcBorders>
          </w:tcPr>
          <w:p w14:paraId="4B68EA52" w14:textId="008160C1"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Baseline resistance</w:t>
            </w:r>
          </w:p>
        </w:tc>
        <w:tc>
          <w:tcPr>
            <w:tcW w:w="3011" w:type="dxa"/>
            <w:tcBorders>
              <w:top w:val="single" w:sz="4" w:space="0" w:color="auto"/>
              <w:left w:val="single" w:sz="4" w:space="0" w:color="auto"/>
              <w:bottom w:val="single" w:sz="4" w:space="0" w:color="auto"/>
              <w:right w:val="single" w:sz="4" w:space="0" w:color="auto"/>
            </w:tcBorders>
            <w:noWrap/>
          </w:tcPr>
          <w:p w14:paraId="12F22495"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P. aeruginosa</w:t>
            </w:r>
          </w:p>
        </w:tc>
        <w:tc>
          <w:tcPr>
            <w:tcW w:w="1417" w:type="dxa"/>
            <w:tcBorders>
              <w:top w:val="single" w:sz="4" w:space="0" w:color="auto"/>
              <w:left w:val="single" w:sz="4" w:space="0" w:color="auto"/>
              <w:bottom w:val="single" w:sz="4" w:space="0" w:color="auto"/>
              <w:right w:val="single" w:sz="4" w:space="0" w:color="auto"/>
            </w:tcBorders>
            <w:noWrap/>
          </w:tcPr>
          <w:p w14:paraId="6E7224F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6.57%</w:t>
            </w:r>
          </w:p>
        </w:tc>
        <w:tc>
          <w:tcPr>
            <w:tcW w:w="1467" w:type="dxa"/>
            <w:tcBorders>
              <w:top w:val="single" w:sz="4" w:space="0" w:color="auto"/>
              <w:left w:val="single" w:sz="4" w:space="0" w:color="auto"/>
              <w:bottom w:val="single" w:sz="4" w:space="0" w:color="auto"/>
              <w:right w:val="single" w:sz="4" w:space="0" w:color="auto"/>
            </w:tcBorders>
          </w:tcPr>
          <w:p w14:paraId="2C012AD1"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6.87%</w:t>
            </w:r>
          </w:p>
        </w:tc>
        <w:tc>
          <w:tcPr>
            <w:tcW w:w="1000" w:type="dxa"/>
            <w:tcBorders>
              <w:top w:val="single" w:sz="4" w:space="0" w:color="auto"/>
              <w:left w:val="single" w:sz="4" w:space="0" w:color="auto"/>
              <w:bottom w:val="single" w:sz="4" w:space="0" w:color="auto"/>
              <w:right w:val="single" w:sz="4" w:space="0" w:color="auto"/>
            </w:tcBorders>
          </w:tcPr>
          <w:p w14:paraId="43D45CF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1.22%</w:t>
            </w:r>
          </w:p>
        </w:tc>
        <w:tc>
          <w:tcPr>
            <w:tcW w:w="879" w:type="dxa"/>
            <w:tcBorders>
              <w:top w:val="single" w:sz="4" w:space="0" w:color="auto"/>
              <w:left w:val="single" w:sz="4" w:space="0" w:color="auto"/>
              <w:bottom w:val="single" w:sz="4" w:space="0" w:color="auto"/>
              <w:right w:val="single" w:sz="4" w:space="0" w:color="auto"/>
            </w:tcBorders>
          </w:tcPr>
          <w:p w14:paraId="44FFE6D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3.79%</w:t>
            </w:r>
          </w:p>
        </w:tc>
      </w:tr>
      <w:tr w:rsidR="000E1361" w:rsidRPr="004A4B7C" w14:paraId="3C1D62E3" w14:textId="77777777" w:rsidTr="0022376C">
        <w:trPr>
          <w:trHeight w:val="288"/>
        </w:trPr>
        <w:tc>
          <w:tcPr>
            <w:tcW w:w="1242" w:type="dxa"/>
            <w:tcBorders>
              <w:left w:val="single" w:sz="4" w:space="0" w:color="auto"/>
              <w:right w:val="single" w:sz="4" w:space="0" w:color="auto"/>
            </w:tcBorders>
          </w:tcPr>
          <w:p w14:paraId="64DA5302" w14:textId="77777777" w:rsidR="000E1361" w:rsidRPr="00CF2F84" w:rsidRDefault="000E1361"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26AF550F"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cUTI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xml:space="preserve">– E coli. </w:t>
            </w:r>
          </w:p>
        </w:tc>
        <w:tc>
          <w:tcPr>
            <w:tcW w:w="1417" w:type="dxa"/>
            <w:tcBorders>
              <w:top w:val="single" w:sz="4" w:space="0" w:color="auto"/>
              <w:left w:val="single" w:sz="4" w:space="0" w:color="auto"/>
              <w:bottom w:val="single" w:sz="4" w:space="0" w:color="auto"/>
              <w:right w:val="single" w:sz="4" w:space="0" w:color="auto"/>
            </w:tcBorders>
            <w:noWrap/>
          </w:tcPr>
          <w:p w14:paraId="2F5EF86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91.6%</w:t>
            </w:r>
          </w:p>
        </w:tc>
        <w:tc>
          <w:tcPr>
            <w:tcW w:w="1467" w:type="dxa"/>
            <w:tcBorders>
              <w:top w:val="single" w:sz="4" w:space="0" w:color="auto"/>
              <w:left w:val="single" w:sz="4" w:space="0" w:color="auto"/>
              <w:bottom w:val="single" w:sz="4" w:space="0" w:color="auto"/>
              <w:right w:val="single" w:sz="4" w:space="0" w:color="auto"/>
            </w:tcBorders>
          </w:tcPr>
          <w:p w14:paraId="696CDDC9"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71.9%</w:t>
            </w:r>
          </w:p>
        </w:tc>
        <w:tc>
          <w:tcPr>
            <w:tcW w:w="1000" w:type="dxa"/>
            <w:tcBorders>
              <w:top w:val="single" w:sz="4" w:space="0" w:color="auto"/>
              <w:left w:val="single" w:sz="4" w:space="0" w:color="auto"/>
              <w:bottom w:val="single" w:sz="4" w:space="0" w:color="auto"/>
              <w:right w:val="single" w:sz="4" w:space="0" w:color="auto"/>
            </w:tcBorders>
          </w:tcPr>
          <w:p w14:paraId="10855BB6"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671C19F9"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78.4%</w:t>
            </w:r>
          </w:p>
        </w:tc>
      </w:tr>
      <w:tr w:rsidR="000E1361" w:rsidRPr="004A4B7C" w14:paraId="6A46BD0E" w14:textId="77777777" w:rsidTr="0022376C">
        <w:trPr>
          <w:trHeight w:val="288"/>
        </w:trPr>
        <w:tc>
          <w:tcPr>
            <w:tcW w:w="1242" w:type="dxa"/>
            <w:tcBorders>
              <w:left w:val="single" w:sz="4" w:space="0" w:color="auto"/>
              <w:right w:val="single" w:sz="4" w:space="0" w:color="auto"/>
            </w:tcBorders>
          </w:tcPr>
          <w:p w14:paraId="4E677ADA" w14:textId="5354ABFA"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72E0D59C"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cUTI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K. pneumoniae</w:t>
            </w:r>
          </w:p>
        </w:tc>
        <w:tc>
          <w:tcPr>
            <w:tcW w:w="1417" w:type="dxa"/>
            <w:tcBorders>
              <w:top w:val="single" w:sz="4" w:space="0" w:color="auto"/>
              <w:left w:val="single" w:sz="4" w:space="0" w:color="auto"/>
              <w:bottom w:val="single" w:sz="4" w:space="0" w:color="auto"/>
              <w:right w:val="single" w:sz="4" w:space="0" w:color="auto"/>
            </w:tcBorders>
            <w:noWrap/>
          </w:tcPr>
          <w:p w14:paraId="366FA866"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91.6%</w:t>
            </w:r>
          </w:p>
        </w:tc>
        <w:tc>
          <w:tcPr>
            <w:tcW w:w="1467" w:type="dxa"/>
            <w:tcBorders>
              <w:top w:val="single" w:sz="4" w:space="0" w:color="auto"/>
              <w:left w:val="single" w:sz="4" w:space="0" w:color="auto"/>
              <w:bottom w:val="single" w:sz="4" w:space="0" w:color="auto"/>
              <w:right w:val="single" w:sz="4" w:space="0" w:color="auto"/>
            </w:tcBorders>
          </w:tcPr>
          <w:p w14:paraId="749C2C17"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62.5%</w:t>
            </w:r>
          </w:p>
        </w:tc>
        <w:tc>
          <w:tcPr>
            <w:tcW w:w="1000" w:type="dxa"/>
            <w:tcBorders>
              <w:top w:val="single" w:sz="4" w:space="0" w:color="auto"/>
              <w:left w:val="single" w:sz="4" w:space="0" w:color="auto"/>
              <w:bottom w:val="single" w:sz="4" w:space="0" w:color="auto"/>
              <w:right w:val="single" w:sz="4" w:space="0" w:color="auto"/>
            </w:tcBorders>
          </w:tcPr>
          <w:p w14:paraId="265462CC"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0E5EEA14"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75.0%</w:t>
            </w:r>
          </w:p>
        </w:tc>
      </w:tr>
      <w:tr w:rsidR="000E1361" w:rsidRPr="004A4B7C" w14:paraId="18DF511C" w14:textId="77777777" w:rsidTr="0022376C">
        <w:trPr>
          <w:trHeight w:val="288"/>
        </w:trPr>
        <w:tc>
          <w:tcPr>
            <w:tcW w:w="1242" w:type="dxa"/>
            <w:tcBorders>
              <w:left w:val="single" w:sz="4" w:space="0" w:color="auto"/>
              <w:right w:val="single" w:sz="4" w:space="0" w:color="auto"/>
            </w:tcBorders>
          </w:tcPr>
          <w:p w14:paraId="36CFC057" w14:textId="72568490"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5B12A5EA"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cUTI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P. aeruginosa</w:t>
            </w:r>
          </w:p>
        </w:tc>
        <w:tc>
          <w:tcPr>
            <w:tcW w:w="1417" w:type="dxa"/>
            <w:tcBorders>
              <w:top w:val="single" w:sz="4" w:space="0" w:color="auto"/>
              <w:left w:val="single" w:sz="4" w:space="0" w:color="auto"/>
              <w:bottom w:val="single" w:sz="4" w:space="0" w:color="auto"/>
              <w:right w:val="single" w:sz="4" w:space="0" w:color="auto"/>
            </w:tcBorders>
            <w:noWrap/>
          </w:tcPr>
          <w:p w14:paraId="7573F9D1"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91.6%</w:t>
            </w:r>
          </w:p>
        </w:tc>
        <w:tc>
          <w:tcPr>
            <w:tcW w:w="1467" w:type="dxa"/>
            <w:tcBorders>
              <w:top w:val="single" w:sz="4" w:space="0" w:color="auto"/>
              <w:left w:val="single" w:sz="4" w:space="0" w:color="auto"/>
              <w:bottom w:val="single" w:sz="4" w:space="0" w:color="auto"/>
              <w:right w:val="single" w:sz="4" w:space="0" w:color="auto"/>
            </w:tcBorders>
          </w:tcPr>
          <w:p w14:paraId="7D43B1C5"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75.0%</w:t>
            </w:r>
          </w:p>
        </w:tc>
        <w:tc>
          <w:tcPr>
            <w:tcW w:w="1000" w:type="dxa"/>
            <w:tcBorders>
              <w:top w:val="single" w:sz="4" w:space="0" w:color="auto"/>
              <w:left w:val="single" w:sz="4" w:space="0" w:color="auto"/>
              <w:bottom w:val="single" w:sz="4" w:space="0" w:color="auto"/>
              <w:right w:val="single" w:sz="4" w:space="0" w:color="auto"/>
            </w:tcBorders>
          </w:tcPr>
          <w:p w14:paraId="2907D3A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2C501FC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66.7%</w:t>
            </w:r>
          </w:p>
        </w:tc>
      </w:tr>
      <w:tr w:rsidR="000E1361" w:rsidRPr="004A4B7C" w14:paraId="21F6B25F" w14:textId="77777777" w:rsidTr="0022376C">
        <w:trPr>
          <w:trHeight w:val="288"/>
        </w:trPr>
        <w:tc>
          <w:tcPr>
            <w:tcW w:w="1242" w:type="dxa"/>
            <w:tcBorders>
              <w:left w:val="single" w:sz="4" w:space="0" w:color="auto"/>
              <w:right w:val="single" w:sz="4" w:space="0" w:color="auto"/>
            </w:tcBorders>
          </w:tcPr>
          <w:p w14:paraId="4A376DC5" w14:textId="7C2873FB"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4B7B0D29"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cIAI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E coli.</w:t>
            </w:r>
          </w:p>
        </w:tc>
        <w:tc>
          <w:tcPr>
            <w:tcW w:w="1417" w:type="dxa"/>
            <w:tcBorders>
              <w:top w:val="single" w:sz="4" w:space="0" w:color="auto"/>
              <w:left w:val="single" w:sz="4" w:space="0" w:color="auto"/>
              <w:bottom w:val="single" w:sz="4" w:space="0" w:color="auto"/>
              <w:right w:val="single" w:sz="4" w:space="0" w:color="auto"/>
            </w:tcBorders>
            <w:noWrap/>
          </w:tcPr>
          <w:p w14:paraId="4AB4BBA1"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82.4%</w:t>
            </w:r>
          </w:p>
        </w:tc>
        <w:tc>
          <w:tcPr>
            <w:tcW w:w="1467" w:type="dxa"/>
            <w:tcBorders>
              <w:top w:val="single" w:sz="4" w:space="0" w:color="auto"/>
              <w:left w:val="single" w:sz="4" w:space="0" w:color="auto"/>
              <w:bottom w:val="single" w:sz="4" w:space="0" w:color="auto"/>
              <w:right w:val="single" w:sz="4" w:space="0" w:color="auto"/>
            </w:tcBorders>
          </w:tcPr>
          <w:p w14:paraId="128EF23F"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87.4%</w:t>
            </w:r>
          </w:p>
        </w:tc>
        <w:tc>
          <w:tcPr>
            <w:tcW w:w="1000" w:type="dxa"/>
            <w:tcBorders>
              <w:top w:val="single" w:sz="4" w:space="0" w:color="auto"/>
              <w:left w:val="single" w:sz="4" w:space="0" w:color="auto"/>
              <w:bottom w:val="single" w:sz="4" w:space="0" w:color="auto"/>
              <w:right w:val="single" w:sz="4" w:space="0" w:color="auto"/>
            </w:tcBorders>
          </w:tcPr>
          <w:p w14:paraId="10F01DCD"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66B3FCD0"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80.4%</w:t>
            </w:r>
          </w:p>
        </w:tc>
      </w:tr>
      <w:tr w:rsidR="000E1361" w:rsidRPr="004A4B7C" w14:paraId="5DC363C8" w14:textId="77777777" w:rsidTr="0022376C">
        <w:trPr>
          <w:trHeight w:val="288"/>
        </w:trPr>
        <w:tc>
          <w:tcPr>
            <w:tcW w:w="1242" w:type="dxa"/>
            <w:tcBorders>
              <w:left w:val="single" w:sz="4" w:space="0" w:color="auto"/>
              <w:right w:val="single" w:sz="4" w:space="0" w:color="auto"/>
            </w:tcBorders>
          </w:tcPr>
          <w:p w14:paraId="1025B531" w14:textId="36F66523"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11A4C1A4"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cIAI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K. pneumoniae</w:t>
            </w:r>
          </w:p>
        </w:tc>
        <w:tc>
          <w:tcPr>
            <w:tcW w:w="1417" w:type="dxa"/>
            <w:tcBorders>
              <w:top w:val="single" w:sz="4" w:space="0" w:color="auto"/>
              <w:left w:val="single" w:sz="4" w:space="0" w:color="auto"/>
              <w:bottom w:val="single" w:sz="4" w:space="0" w:color="auto"/>
              <w:right w:val="single" w:sz="4" w:space="0" w:color="auto"/>
            </w:tcBorders>
            <w:noWrap/>
          </w:tcPr>
          <w:p w14:paraId="78A563D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82.4%</w:t>
            </w:r>
          </w:p>
        </w:tc>
        <w:tc>
          <w:tcPr>
            <w:tcW w:w="1467" w:type="dxa"/>
            <w:tcBorders>
              <w:top w:val="single" w:sz="4" w:space="0" w:color="auto"/>
              <w:left w:val="single" w:sz="4" w:space="0" w:color="auto"/>
              <w:bottom w:val="single" w:sz="4" w:space="0" w:color="auto"/>
              <w:right w:val="single" w:sz="4" w:space="0" w:color="auto"/>
            </w:tcBorders>
          </w:tcPr>
          <w:p w14:paraId="7BF39F24"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75.5%</w:t>
            </w:r>
          </w:p>
        </w:tc>
        <w:tc>
          <w:tcPr>
            <w:tcW w:w="1000" w:type="dxa"/>
            <w:tcBorders>
              <w:top w:val="single" w:sz="4" w:space="0" w:color="auto"/>
              <w:left w:val="single" w:sz="4" w:space="0" w:color="auto"/>
              <w:bottom w:val="single" w:sz="4" w:space="0" w:color="auto"/>
              <w:right w:val="single" w:sz="4" w:space="0" w:color="auto"/>
            </w:tcBorders>
          </w:tcPr>
          <w:p w14:paraId="4C2D3445"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7D3B0F35"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78.4%</w:t>
            </w:r>
          </w:p>
        </w:tc>
      </w:tr>
      <w:tr w:rsidR="000E1361" w:rsidRPr="004A4B7C" w14:paraId="2113F202" w14:textId="77777777" w:rsidTr="0022376C">
        <w:trPr>
          <w:trHeight w:val="288"/>
        </w:trPr>
        <w:tc>
          <w:tcPr>
            <w:tcW w:w="1242" w:type="dxa"/>
            <w:tcBorders>
              <w:left w:val="single" w:sz="4" w:space="0" w:color="auto"/>
              <w:right w:val="single" w:sz="4" w:space="0" w:color="auto"/>
            </w:tcBorders>
          </w:tcPr>
          <w:p w14:paraId="2BD7CF7E" w14:textId="2592BA6C"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113FD477"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cIAI</w:t>
            </w:r>
            <w:proofErr w:type="spellEnd"/>
            <w:r w:rsidRPr="004A4B7C">
              <w:rPr>
                <w:rFonts w:ascii="Times New Roman" w:hAnsi="Times New Roman" w:cs="Times New Roman"/>
                <w:sz w:val="20"/>
                <w:szCs w:val="20"/>
              </w:rPr>
              <w:t xml:space="preserve">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P. aeruginosa</w:t>
            </w:r>
          </w:p>
        </w:tc>
        <w:tc>
          <w:tcPr>
            <w:tcW w:w="1417" w:type="dxa"/>
            <w:tcBorders>
              <w:top w:val="single" w:sz="4" w:space="0" w:color="auto"/>
              <w:left w:val="single" w:sz="4" w:space="0" w:color="auto"/>
              <w:bottom w:val="single" w:sz="4" w:space="0" w:color="auto"/>
              <w:right w:val="single" w:sz="4" w:space="0" w:color="auto"/>
            </w:tcBorders>
            <w:noWrap/>
          </w:tcPr>
          <w:p w14:paraId="58C69BD7"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82.4%</w:t>
            </w:r>
          </w:p>
        </w:tc>
        <w:tc>
          <w:tcPr>
            <w:tcW w:w="1467" w:type="dxa"/>
            <w:tcBorders>
              <w:top w:val="single" w:sz="4" w:space="0" w:color="auto"/>
              <w:left w:val="single" w:sz="4" w:space="0" w:color="auto"/>
              <w:bottom w:val="single" w:sz="4" w:space="0" w:color="auto"/>
              <w:right w:val="single" w:sz="4" w:space="0" w:color="auto"/>
            </w:tcBorders>
          </w:tcPr>
          <w:p w14:paraId="5655734D"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94.4%</w:t>
            </w:r>
          </w:p>
        </w:tc>
        <w:tc>
          <w:tcPr>
            <w:tcW w:w="1000" w:type="dxa"/>
            <w:tcBorders>
              <w:top w:val="single" w:sz="4" w:space="0" w:color="auto"/>
              <w:left w:val="single" w:sz="4" w:space="0" w:color="auto"/>
              <w:bottom w:val="single" w:sz="4" w:space="0" w:color="auto"/>
              <w:right w:val="single" w:sz="4" w:space="0" w:color="auto"/>
            </w:tcBorders>
          </w:tcPr>
          <w:p w14:paraId="273535E7"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879" w:type="dxa"/>
            <w:tcBorders>
              <w:top w:val="single" w:sz="4" w:space="0" w:color="auto"/>
              <w:left w:val="single" w:sz="4" w:space="0" w:color="auto"/>
              <w:bottom w:val="single" w:sz="4" w:space="0" w:color="auto"/>
              <w:right w:val="single" w:sz="4" w:space="0" w:color="auto"/>
            </w:tcBorders>
          </w:tcPr>
          <w:p w14:paraId="3F61AC1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85.7%</w:t>
            </w:r>
          </w:p>
        </w:tc>
      </w:tr>
      <w:tr w:rsidR="000E1361" w:rsidRPr="004A4B7C" w14:paraId="50C85C7D" w14:textId="77777777" w:rsidTr="0022376C">
        <w:trPr>
          <w:trHeight w:val="288"/>
        </w:trPr>
        <w:tc>
          <w:tcPr>
            <w:tcW w:w="1242" w:type="dxa"/>
            <w:tcBorders>
              <w:left w:val="single" w:sz="4" w:space="0" w:color="auto"/>
              <w:right w:val="single" w:sz="4" w:space="0" w:color="auto"/>
            </w:tcBorders>
          </w:tcPr>
          <w:p w14:paraId="1537EFAD" w14:textId="09067863"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1DF27520"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rPr>
            </w:pPr>
            <w:r w:rsidRPr="004A4B7C">
              <w:rPr>
                <w:rFonts w:ascii="Times New Roman" w:hAnsi="Times New Roman" w:cs="Times New Roman"/>
                <w:sz w:val="20"/>
                <w:szCs w:val="20"/>
              </w:rPr>
              <w:t xml:space="preserve">In HAP/VAP </w:t>
            </w:r>
            <w:r w:rsidRPr="004A4B7C">
              <w:rPr>
                <w:rFonts w:ascii="Times New Roman" w:hAnsi="Times New Roman" w:cs="Times New Roman"/>
                <w:sz w:val="20"/>
                <w:szCs w:val="20"/>
              </w:rPr>
              <w:softHyphen/>
            </w:r>
            <w:r w:rsidRPr="004A4B7C">
              <w:rPr>
                <w:rFonts w:ascii="Times New Roman" w:hAnsi="Times New Roman" w:cs="Times New Roman"/>
                <w:sz w:val="20"/>
                <w:szCs w:val="20"/>
              </w:rPr>
              <w:softHyphen/>
              <w:t>– E coli.</w:t>
            </w:r>
          </w:p>
        </w:tc>
        <w:tc>
          <w:tcPr>
            <w:tcW w:w="1417" w:type="dxa"/>
            <w:tcBorders>
              <w:top w:val="single" w:sz="4" w:space="0" w:color="auto"/>
              <w:left w:val="single" w:sz="4" w:space="0" w:color="auto"/>
              <w:bottom w:val="single" w:sz="4" w:space="0" w:color="auto"/>
              <w:right w:val="single" w:sz="4" w:space="0" w:color="auto"/>
            </w:tcBorders>
            <w:noWrap/>
          </w:tcPr>
          <w:p w14:paraId="798405B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1467" w:type="dxa"/>
            <w:tcBorders>
              <w:top w:val="single" w:sz="4" w:space="0" w:color="auto"/>
              <w:left w:val="single" w:sz="4" w:space="0" w:color="auto"/>
              <w:bottom w:val="single" w:sz="4" w:space="0" w:color="auto"/>
              <w:right w:val="single" w:sz="4" w:space="0" w:color="auto"/>
            </w:tcBorders>
          </w:tcPr>
          <w:p w14:paraId="58DC4D6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80.0%</w:t>
            </w:r>
          </w:p>
        </w:tc>
        <w:tc>
          <w:tcPr>
            <w:tcW w:w="1000" w:type="dxa"/>
            <w:tcBorders>
              <w:top w:val="single" w:sz="4" w:space="0" w:color="auto"/>
              <w:left w:val="single" w:sz="4" w:space="0" w:color="auto"/>
              <w:bottom w:val="single" w:sz="4" w:space="0" w:color="auto"/>
              <w:right w:val="single" w:sz="4" w:space="0" w:color="auto"/>
            </w:tcBorders>
          </w:tcPr>
          <w:p w14:paraId="1692D92A"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75.0%</w:t>
            </w:r>
          </w:p>
        </w:tc>
        <w:tc>
          <w:tcPr>
            <w:tcW w:w="879" w:type="dxa"/>
            <w:tcBorders>
              <w:top w:val="single" w:sz="4" w:space="0" w:color="auto"/>
              <w:left w:val="single" w:sz="4" w:space="0" w:color="auto"/>
              <w:bottom w:val="single" w:sz="4" w:space="0" w:color="auto"/>
              <w:right w:val="single" w:sz="4" w:space="0" w:color="auto"/>
            </w:tcBorders>
          </w:tcPr>
          <w:p w14:paraId="1AA1EB30"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76.5%</w:t>
            </w:r>
          </w:p>
        </w:tc>
      </w:tr>
      <w:tr w:rsidR="000E1361" w:rsidRPr="004A4B7C" w14:paraId="62688461" w14:textId="77777777" w:rsidTr="0022376C">
        <w:trPr>
          <w:trHeight w:val="288"/>
        </w:trPr>
        <w:tc>
          <w:tcPr>
            <w:tcW w:w="1242" w:type="dxa"/>
            <w:tcBorders>
              <w:left w:val="single" w:sz="4" w:space="0" w:color="auto"/>
              <w:right w:val="single" w:sz="4" w:space="0" w:color="auto"/>
            </w:tcBorders>
          </w:tcPr>
          <w:p w14:paraId="31910F43" w14:textId="58451573"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25034DBD"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lang w:val="nl-NL"/>
              </w:rPr>
            </w:pPr>
            <w:r w:rsidRPr="004A4B7C">
              <w:rPr>
                <w:rFonts w:ascii="Times New Roman" w:hAnsi="Times New Roman" w:cs="Times New Roman"/>
                <w:sz w:val="20"/>
                <w:szCs w:val="20"/>
                <w:lang w:val="nl-NL"/>
              </w:rPr>
              <w:t xml:space="preserve">In HAP/VAP </w:t>
            </w:r>
            <w:r w:rsidRPr="004A4B7C">
              <w:rPr>
                <w:rFonts w:ascii="Times New Roman" w:hAnsi="Times New Roman" w:cs="Times New Roman"/>
                <w:sz w:val="20"/>
                <w:szCs w:val="20"/>
                <w:lang w:val="nl-NL"/>
              </w:rPr>
              <w:softHyphen/>
            </w:r>
            <w:r w:rsidRPr="004A4B7C">
              <w:rPr>
                <w:rFonts w:ascii="Times New Roman" w:hAnsi="Times New Roman" w:cs="Times New Roman"/>
                <w:sz w:val="20"/>
                <w:szCs w:val="20"/>
                <w:lang w:val="nl-NL"/>
              </w:rPr>
              <w:softHyphen/>
              <w:t>– K. pneumoniae</w:t>
            </w:r>
          </w:p>
        </w:tc>
        <w:tc>
          <w:tcPr>
            <w:tcW w:w="1417" w:type="dxa"/>
            <w:tcBorders>
              <w:top w:val="single" w:sz="4" w:space="0" w:color="auto"/>
              <w:left w:val="single" w:sz="4" w:space="0" w:color="auto"/>
              <w:bottom w:val="single" w:sz="4" w:space="0" w:color="auto"/>
              <w:right w:val="single" w:sz="4" w:space="0" w:color="auto"/>
            </w:tcBorders>
            <w:noWrap/>
          </w:tcPr>
          <w:p w14:paraId="0ACA21AE"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1467" w:type="dxa"/>
            <w:tcBorders>
              <w:top w:val="single" w:sz="4" w:space="0" w:color="auto"/>
              <w:left w:val="single" w:sz="4" w:space="0" w:color="auto"/>
              <w:bottom w:val="single" w:sz="4" w:space="0" w:color="auto"/>
              <w:right w:val="single" w:sz="4" w:space="0" w:color="auto"/>
            </w:tcBorders>
          </w:tcPr>
          <w:p w14:paraId="077AD7C5"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74.6%</w:t>
            </w:r>
          </w:p>
        </w:tc>
        <w:tc>
          <w:tcPr>
            <w:tcW w:w="1000" w:type="dxa"/>
            <w:tcBorders>
              <w:top w:val="single" w:sz="4" w:space="0" w:color="auto"/>
              <w:left w:val="single" w:sz="4" w:space="0" w:color="auto"/>
              <w:bottom w:val="single" w:sz="4" w:space="0" w:color="auto"/>
              <w:right w:val="single" w:sz="4" w:space="0" w:color="auto"/>
            </w:tcBorders>
          </w:tcPr>
          <w:p w14:paraId="0EB465F4"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75.0%</w:t>
            </w:r>
          </w:p>
        </w:tc>
        <w:tc>
          <w:tcPr>
            <w:tcW w:w="879" w:type="dxa"/>
            <w:tcBorders>
              <w:top w:val="single" w:sz="4" w:space="0" w:color="auto"/>
              <w:left w:val="single" w:sz="4" w:space="0" w:color="auto"/>
              <w:bottom w:val="single" w:sz="4" w:space="0" w:color="auto"/>
              <w:right w:val="single" w:sz="4" w:space="0" w:color="auto"/>
            </w:tcBorders>
          </w:tcPr>
          <w:p w14:paraId="39B7FCC2"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62.7%</w:t>
            </w:r>
          </w:p>
        </w:tc>
      </w:tr>
      <w:tr w:rsidR="000E1361" w:rsidRPr="004A4B7C" w14:paraId="034B1BE0" w14:textId="77777777" w:rsidTr="0022376C">
        <w:trPr>
          <w:trHeight w:val="288"/>
        </w:trPr>
        <w:tc>
          <w:tcPr>
            <w:tcW w:w="1242" w:type="dxa"/>
            <w:tcBorders>
              <w:left w:val="single" w:sz="4" w:space="0" w:color="auto"/>
              <w:bottom w:val="single" w:sz="4" w:space="0" w:color="auto"/>
              <w:right w:val="single" w:sz="4" w:space="0" w:color="auto"/>
            </w:tcBorders>
          </w:tcPr>
          <w:p w14:paraId="5EAB5846" w14:textId="6D54D26A" w:rsidR="000E1361" w:rsidRPr="00CF2F84" w:rsidRDefault="00CF2F84" w:rsidP="004A4B7C">
            <w:pPr>
              <w:pStyle w:val="NICEtabletext"/>
              <w:spacing w:before="0" w:after="0" w:line="240" w:lineRule="auto"/>
              <w:contextualSpacing/>
              <w:rPr>
                <w:rFonts w:ascii="Times New Roman" w:hAnsi="Times New Roman" w:cs="Times New Roman"/>
                <w:bCs/>
                <w:sz w:val="20"/>
                <w:szCs w:val="20"/>
              </w:rPr>
            </w:pPr>
            <w:r w:rsidRPr="00CF2F84">
              <w:rPr>
                <w:rFonts w:ascii="Times New Roman" w:hAnsi="Times New Roman" w:cs="Times New Roman"/>
                <w:bCs/>
                <w:sz w:val="20"/>
                <w:szCs w:val="20"/>
              </w:rPr>
              <w:t>Efficacy</w:t>
            </w:r>
          </w:p>
        </w:tc>
        <w:tc>
          <w:tcPr>
            <w:tcW w:w="3011" w:type="dxa"/>
            <w:tcBorders>
              <w:top w:val="single" w:sz="4" w:space="0" w:color="auto"/>
              <w:left w:val="single" w:sz="4" w:space="0" w:color="auto"/>
              <w:bottom w:val="single" w:sz="4" w:space="0" w:color="auto"/>
              <w:right w:val="single" w:sz="4" w:space="0" w:color="auto"/>
            </w:tcBorders>
            <w:noWrap/>
          </w:tcPr>
          <w:p w14:paraId="6E6669DE" w14:textId="77777777" w:rsidR="000E1361" w:rsidRPr="004A4B7C" w:rsidRDefault="000E1361" w:rsidP="004A4B7C">
            <w:pPr>
              <w:pStyle w:val="NICEtabletext"/>
              <w:spacing w:before="0" w:after="0" w:line="240" w:lineRule="auto"/>
              <w:contextualSpacing/>
              <w:rPr>
                <w:rFonts w:ascii="Times New Roman" w:hAnsi="Times New Roman" w:cs="Times New Roman"/>
                <w:sz w:val="20"/>
                <w:szCs w:val="20"/>
                <w:lang w:val="nl-NL"/>
              </w:rPr>
            </w:pPr>
            <w:r w:rsidRPr="004A4B7C">
              <w:rPr>
                <w:rFonts w:ascii="Times New Roman" w:hAnsi="Times New Roman" w:cs="Times New Roman"/>
                <w:sz w:val="20"/>
                <w:szCs w:val="20"/>
                <w:lang w:val="nl-NL"/>
              </w:rPr>
              <w:t xml:space="preserve">In HAP/VAP </w:t>
            </w:r>
            <w:r w:rsidRPr="004A4B7C">
              <w:rPr>
                <w:rFonts w:ascii="Times New Roman" w:hAnsi="Times New Roman" w:cs="Times New Roman"/>
                <w:sz w:val="20"/>
                <w:szCs w:val="20"/>
                <w:lang w:val="nl-NL"/>
              </w:rPr>
              <w:softHyphen/>
            </w:r>
            <w:r w:rsidRPr="004A4B7C">
              <w:rPr>
                <w:rFonts w:ascii="Times New Roman" w:hAnsi="Times New Roman" w:cs="Times New Roman"/>
                <w:sz w:val="20"/>
                <w:szCs w:val="20"/>
                <w:lang w:val="nl-NL"/>
              </w:rPr>
              <w:softHyphen/>
              <w:t>– P. aeruginosa</w:t>
            </w:r>
          </w:p>
        </w:tc>
        <w:tc>
          <w:tcPr>
            <w:tcW w:w="1417" w:type="dxa"/>
            <w:tcBorders>
              <w:top w:val="single" w:sz="4" w:space="0" w:color="auto"/>
              <w:left w:val="single" w:sz="4" w:space="0" w:color="auto"/>
              <w:bottom w:val="single" w:sz="4" w:space="0" w:color="auto"/>
              <w:right w:val="single" w:sz="4" w:space="0" w:color="auto"/>
            </w:tcBorders>
            <w:noWrap/>
          </w:tcPr>
          <w:p w14:paraId="69F84DD3"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w:t>
            </w:r>
          </w:p>
        </w:tc>
        <w:tc>
          <w:tcPr>
            <w:tcW w:w="1467" w:type="dxa"/>
            <w:tcBorders>
              <w:top w:val="single" w:sz="4" w:space="0" w:color="auto"/>
              <w:left w:val="single" w:sz="4" w:space="0" w:color="auto"/>
              <w:bottom w:val="single" w:sz="4" w:space="0" w:color="auto"/>
              <w:right w:val="single" w:sz="4" w:space="0" w:color="auto"/>
            </w:tcBorders>
          </w:tcPr>
          <w:p w14:paraId="75CE924F"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38.3%</w:t>
            </w:r>
          </w:p>
        </w:tc>
        <w:tc>
          <w:tcPr>
            <w:tcW w:w="1000" w:type="dxa"/>
            <w:tcBorders>
              <w:top w:val="single" w:sz="4" w:space="0" w:color="auto"/>
              <w:left w:val="single" w:sz="4" w:space="0" w:color="auto"/>
              <w:bottom w:val="single" w:sz="4" w:space="0" w:color="auto"/>
              <w:right w:val="single" w:sz="4" w:space="0" w:color="auto"/>
            </w:tcBorders>
          </w:tcPr>
          <w:p w14:paraId="10CFC7CE"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75.0%</w:t>
            </w:r>
          </w:p>
        </w:tc>
        <w:tc>
          <w:tcPr>
            <w:tcW w:w="879" w:type="dxa"/>
            <w:tcBorders>
              <w:top w:val="single" w:sz="4" w:space="0" w:color="auto"/>
              <w:left w:val="single" w:sz="4" w:space="0" w:color="auto"/>
              <w:bottom w:val="single" w:sz="4" w:space="0" w:color="auto"/>
              <w:right w:val="single" w:sz="4" w:space="0" w:color="auto"/>
            </w:tcBorders>
          </w:tcPr>
          <w:p w14:paraId="0E30DAEB" w14:textId="77777777" w:rsidR="000E1361" w:rsidRPr="004A4B7C" w:rsidRDefault="000E1361" w:rsidP="004A4B7C">
            <w:pPr>
              <w:pStyle w:val="NICEtabletext"/>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37.9%</w:t>
            </w:r>
          </w:p>
        </w:tc>
      </w:tr>
    </w:tbl>
    <w:p w14:paraId="6170DA15" w14:textId="608B8163" w:rsidR="00EC4BFF" w:rsidRDefault="00EC4BFF" w:rsidP="00EC4BFF">
      <w:pPr>
        <w:pStyle w:val="EEPRUtextundertables"/>
      </w:pPr>
      <w:proofErr w:type="spellStart"/>
      <w:r>
        <w:t>cIAI</w:t>
      </w:r>
      <w:proofErr w:type="spellEnd"/>
      <w:r>
        <w:t xml:space="preserve">, complicated intraabdominal infection;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w:t>
      </w:r>
    </w:p>
    <w:p w14:paraId="7379242F" w14:textId="77777777" w:rsidR="000E1361" w:rsidRPr="000E1361" w:rsidRDefault="000E1361" w:rsidP="000E1361">
      <w:pPr>
        <w:spacing w:line="360" w:lineRule="auto"/>
        <w:contextualSpacing/>
        <w:rPr>
          <w:rFonts w:ascii="Times New Roman" w:hAnsi="Times New Roman" w:cs="Times New Roman"/>
        </w:rPr>
      </w:pPr>
    </w:p>
    <w:p w14:paraId="096E07AE" w14:textId="35924311" w:rsidR="000E1361" w:rsidRPr="000E1361" w:rsidRDefault="005B2689" w:rsidP="0080269E">
      <w:pPr>
        <w:pStyle w:val="EEPRUnumberedlevel4"/>
        <w:ind w:hanging="250"/>
      </w:pPr>
      <w:bookmarkStart w:id="302" w:name="_Toc87463022"/>
      <w:r>
        <w:t xml:space="preserve">6.1.5.3 </w:t>
      </w:r>
      <w:r w:rsidR="000E1361" w:rsidRPr="000E1361">
        <w:t>Detailed explanation of model structure</w:t>
      </w:r>
      <w:bookmarkEnd w:id="302"/>
    </w:p>
    <w:p w14:paraId="5D295847" w14:textId="5FD2C33E" w:rsidR="000E1361" w:rsidRPr="000E1361" w:rsidRDefault="000E1361" w:rsidP="000E1361">
      <w:pPr>
        <w:spacing w:line="360" w:lineRule="auto"/>
        <w:contextualSpacing/>
        <w:rPr>
          <w:rFonts w:ascii="Times New Roman" w:hAnsi="Times New Roman" w:cs="Times New Roman"/>
        </w:rPr>
      </w:pPr>
      <w:r w:rsidRPr="000E1361">
        <w:rPr>
          <w:rFonts w:ascii="Times New Roman" w:hAnsi="Times New Roman" w:cs="Times New Roman"/>
          <w:iCs/>
        </w:rPr>
        <w:t>Patients who are susceptible</w:t>
      </w:r>
      <w:r w:rsidRPr="000E1361">
        <w:rPr>
          <w:rFonts w:ascii="Times New Roman" w:hAnsi="Times New Roman" w:cs="Times New Roman"/>
        </w:rPr>
        <w:t xml:space="preserve"> or colonised may or may not become infected or colonised at the end of a cycle, as illustrated in</w:t>
      </w:r>
      <w:r w:rsidR="005B2689">
        <w:rPr>
          <w:rFonts w:ascii="Times New Roman" w:hAnsi="Times New Roman" w:cs="Times New Roman"/>
        </w:rPr>
        <w:t xml:space="preserve"> </w:t>
      </w:r>
      <w:r w:rsidR="005B2689" w:rsidRPr="000E1361">
        <w:rPr>
          <w:rFonts w:ascii="Times New Roman" w:hAnsi="Times New Roman" w:cs="Times New Roman"/>
        </w:rPr>
        <w:t xml:space="preserve">Figure </w:t>
      </w:r>
      <w:r w:rsidR="005B2689">
        <w:rPr>
          <w:rFonts w:ascii="Times New Roman" w:hAnsi="Times New Roman" w:cs="Times New Roman"/>
          <w:noProof/>
        </w:rPr>
        <w:t>10</w:t>
      </w:r>
      <w:r w:rsidRPr="000E1361">
        <w:rPr>
          <w:rFonts w:ascii="Times New Roman" w:hAnsi="Times New Roman" w:cs="Times New Roman"/>
        </w:rPr>
        <w:t xml:space="preserve">. Susceptible or colonised patients who are infected (at the end of a given cycle) move to the infected state at the start of the next cycle and will receive all lines of treatment within a single cycle. The spread and treatment of infection within the hospital environment is illustrated in </w:t>
      </w:r>
      <w:r w:rsidR="005B2689" w:rsidRPr="000E1361">
        <w:rPr>
          <w:rFonts w:ascii="Times New Roman" w:hAnsi="Times New Roman" w:cs="Times New Roman"/>
        </w:rPr>
        <w:t xml:space="preserve">Figure </w:t>
      </w:r>
      <w:r w:rsidR="005B2689">
        <w:rPr>
          <w:rFonts w:ascii="Times New Roman" w:hAnsi="Times New Roman" w:cs="Times New Roman"/>
        </w:rPr>
        <w:t>10</w:t>
      </w:r>
      <w:r w:rsidRPr="000E1361">
        <w:rPr>
          <w:rFonts w:ascii="Times New Roman" w:hAnsi="Times New Roman" w:cs="Times New Roman"/>
        </w:rPr>
        <w:t xml:space="preserve">, and the pathway from first line of treatment is illustrated in </w:t>
      </w:r>
      <w:r w:rsidR="005B2689" w:rsidRPr="000E1361">
        <w:rPr>
          <w:rFonts w:ascii="Times New Roman" w:hAnsi="Times New Roman" w:cs="Times New Roman"/>
        </w:rPr>
        <w:t xml:space="preserve">Figure </w:t>
      </w:r>
      <w:r w:rsidR="005B2689">
        <w:rPr>
          <w:rFonts w:ascii="Times New Roman" w:hAnsi="Times New Roman" w:cs="Times New Roman"/>
        </w:rPr>
        <w:t>11</w:t>
      </w:r>
      <w:r w:rsidRPr="000E1361">
        <w:rPr>
          <w:rFonts w:ascii="Times New Roman" w:hAnsi="Times New Roman" w:cs="Times New Roman"/>
        </w:rPr>
        <w:t>. Only infected patients receive active treatment.</w:t>
      </w:r>
    </w:p>
    <w:p w14:paraId="47190671" w14:textId="239C7AC7" w:rsidR="000E1361" w:rsidRPr="000E1361" w:rsidRDefault="000E1361" w:rsidP="000E1361">
      <w:pPr>
        <w:spacing w:line="360" w:lineRule="auto"/>
        <w:contextualSpacing/>
        <w:rPr>
          <w:rFonts w:ascii="Times New Roman" w:hAnsi="Times New Roman" w:cs="Times New Roman"/>
          <w:color w:val="000000" w:themeColor="text1"/>
        </w:rPr>
      </w:pPr>
    </w:p>
    <w:p w14:paraId="2618E5E2" w14:textId="1BF90CB0" w:rsidR="000E1361" w:rsidRPr="0080269E" w:rsidRDefault="000E1361" w:rsidP="009E265F">
      <w:pPr>
        <w:pStyle w:val="TableofFigures"/>
      </w:pPr>
      <w:bookmarkStart w:id="303" w:name="_Ref85468679"/>
      <w:bookmarkStart w:id="304" w:name="_Toc86419055"/>
      <w:r w:rsidRPr="0080269E">
        <w:t xml:space="preserve">Figure </w:t>
      </w:r>
      <w:r w:rsidR="0021430F">
        <w:rPr>
          <w:noProof/>
        </w:rPr>
        <w:t>10</w:t>
      </w:r>
      <w:bookmarkEnd w:id="303"/>
      <w:r w:rsidRPr="0080269E">
        <w:t>: Overview of transmission in the infectious environment (from Figure 4 of the company submission Appendix K)</w:t>
      </w:r>
      <w:bookmarkEnd w:id="304"/>
    </w:p>
    <w:p w14:paraId="2437D7DC" w14:textId="77777777" w:rsidR="000E1361" w:rsidRPr="000E1361" w:rsidRDefault="000E1361" w:rsidP="009E265F">
      <w:pPr>
        <w:pStyle w:val="TableofFigures"/>
        <w:rPr>
          <w:color w:val="000000" w:themeColor="text1"/>
        </w:rPr>
      </w:pPr>
      <w:r w:rsidRPr="000E1361">
        <w:rPr>
          <w:noProof/>
          <w:lang w:eastAsia="en-GB"/>
        </w:rPr>
        <w:lastRenderedPageBreak/>
        <w:drawing>
          <wp:inline distT="0" distB="0" distL="0" distR="0" wp14:anchorId="6B4AEDA7" wp14:editId="777B5208">
            <wp:extent cx="5731510" cy="3362325"/>
            <wp:effectExtent l="0" t="0" r="0" b="0"/>
            <wp:docPr id="106" name="Picture 106" descr="Overview of transmission in the infectious environment (from Figure 4 of the company submission Appendix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Overview of transmission in the infectious environment (from Figure 4 of the company submission Appendix 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62325"/>
                    </a:xfrm>
                    <a:prstGeom prst="rect">
                      <a:avLst/>
                    </a:prstGeom>
                    <a:noFill/>
                  </pic:spPr>
                </pic:pic>
              </a:graphicData>
            </a:graphic>
          </wp:inline>
        </w:drawing>
      </w:r>
      <w:bookmarkStart w:id="305" w:name="_Toc17383329"/>
      <w:bookmarkStart w:id="306" w:name="_Toc73099623"/>
    </w:p>
    <w:p w14:paraId="0D60D4B6" w14:textId="3517187E" w:rsidR="000E1361" w:rsidRDefault="000E1361" w:rsidP="000E1361">
      <w:pPr>
        <w:spacing w:line="360" w:lineRule="auto"/>
        <w:contextualSpacing/>
        <w:rPr>
          <w:rFonts w:ascii="Times New Roman" w:hAnsi="Times New Roman" w:cs="Times New Roman"/>
          <w:color w:val="000000" w:themeColor="text1"/>
        </w:rPr>
      </w:pPr>
    </w:p>
    <w:p w14:paraId="521377F5" w14:textId="7B2C31AA" w:rsidR="00483CEE" w:rsidRDefault="00483CEE" w:rsidP="000E1361">
      <w:pPr>
        <w:spacing w:line="360" w:lineRule="auto"/>
        <w:contextualSpacing/>
        <w:rPr>
          <w:rFonts w:ascii="Times New Roman" w:hAnsi="Times New Roman" w:cs="Times New Roman"/>
          <w:color w:val="000000" w:themeColor="text1"/>
        </w:rPr>
      </w:pPr>
    </w:p>
    <w:p w14:paraId="697A3F77" w14:textId="3F8F0379" w:rsidR="00483CEE" w:rsidRDefault="00483CEE" w:rsidP="000E1361">
      <w:pPr>
        <w:spacing w:line="360" w:lineRule="auto"/>
        <w:contextualSpacing/>
        <w:rPr>
          <w:rFonts w:ascii="Times New Roman" w:hAnsi="Times New Roman" w:cs="Times New Roman"/>
          <w:color w:val="000000" w:themeColor="text1"/>
        </w:rPr>
      </w:pPr>
    </w:p>
    <w:p w14:paraId="6C8509BA" w14:textId="6BFADC63" w:rsidR="00483CEE" w:rsidRDefault="00483CEE" w:rsidP="000E1361">
      <w:pPr>
        <w:spacing w:line="360" w:lineRule="auto"/>
        <w:contextualSpacing/>
        <w:rPr>
          <w:rFonts w:ascii="Times New Roman" w:hAnsi="Times New Roman" w:cs="Times New Roman"/>
          <w:color w:val="000000" w:themeColor="text1"/>
        </w:rPr>
      </w:pPr>
    </w:p>
    <w:p w14:paraId="56CD1006" w14:textId="33984D54" w:rsidR="000E1361" w:rsidRPr="000E1361" w:rsidRDefault="000E1361" w:rsidP="009E265F">
      <w:pPr>
        <w:pStyle w:val="TableofFigures"/>
      </w:pPr>
      <w:bookmarkStart w:id="307" w:name="_Ref85468691"/>
      <w:bookmarkStart w:id="308" w:name="_Toc86419056"/>
      <w:r w:rsidRPr="000E1361">
        <w:t xml:space="preserve">Figure </w:t>
      </w:r>
      <w:r w:rsidR="0021430F">
        <w:rPr>
          <w:noProof/>
        </w:rPr>
        <w:t>11</w:t>
      </w:r>
      <w:bookmarkEnd w:id="307"/>
      <w:r w:rsidRPr="000E1361">
        <w:t>: Overview of the treatment pathway</w:t>
      </w:r>
      <w:bookmarkEnd w:id="305"/>
      <w:bookmarkEnd w:id="306"/>
      <w:r w:rsidRPr="000E1361">
        <w:t xml:space="preserve"> (from Figure 13 of the company submission)</w:t>
      </w:r>
      <w:bookmarkEnd w:id="308"/>
      <w:r w:rsidRPr="000E1361">
        <w:t xml:space="preserve"> </w:t>
      </w:r>
    </w:p>
    <w:p w14:paraId="13ECA214" w14:textId="363036A3" w:rsidR="000E1361" w:rsidRPr="000E1361" w:rsidRDefault="000E1361" w:rsidP="000E1361">
      <w:pPr>
        <w:spacing w:line="360" w:lineRule="auto"/>
        <w:contextualSpacing/>
        <w:rPr>
          <w:rFonts w:ascii="Times New Roman" w:hAnsi="Times New Roman" w:cs="Times New Roman"/>
          <w:color w:val="000000" w:themeColor="text1"/>
        </w:rPr>
      </w:pPr>
      <w:r w:rsidRPr="000E1361">
        <w:rPr>
          <w:rFonts w:ascii="Times New Roman" w:hAnsi="Times New Roman" w:cs="Times New Roman"/>
          <w:noProof/>
          <w:lang w:eastAsia="en-GB"/>
        </w:rPr>
        <w:drawing>
          <wp:inline distT="0" distB="0" distL="0" distR="0" wp14:anchorId="7A4B923F" wp14:editId="6BAD9299">
            <wp:extent cx="5731510" cy="1976120"/>
            <wp:effectExtent l="0" t="0" r="2540" b="5080"/>
            <wp:docPr id="4" name="Picture 9" descr="Overview of the treatment pathway (from Figure 13 of the company submission) ">
              <a:extLst xmlns:a="http://schemas.openxmlformats.org/drawingml/2006/main">
                <a:ext uri="{FF2B5EF4-FFF2-40B4-BE49-F238E27FC236}">
                  <a16:creationId xmlns:a16="http://schemas.microsoft.com/office/drawing/2014/main" id="{29CBE9A9-D241-4997-B84F-91684CFB0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Overview of the treatment pathway (from Figure 13 of the company submission) ">
                      <a:extLst>
                        <a:ext uri="{FF2B5EF4-FFF2-40B4-BE49-F238E27FC236}">
                          <a16:creationId xmlns:a16="http://schemas.microsoft.com/office/drawing/2014/main" id="{29CBE9A9-D241-4997-B84F-91684CFB0B88}"/>
                        </a:ext>
                      </a:extLst>
                    </pic:cNvPr>
                    <pic:cNvPicPr>
                      <a:picLocks noChangeAspect="1"/>
                    </pic:cNvPicPr>
                  </pic:nvPicPr>
                  <pic:blipFill>
                    <a:blip r:embed="rId25"/>
                    <a:stretch>
                      <a:fillRect/>
                    </a:stretch>
                  </pic:blipFill>
                  <pic:spPr>
                    <a:xfrm>
                      <a:off x="0" y="0"/>
                      <a:ext cx="5731510" cy="1976120"/>
                    </a:xfrm>
                    <a:prstGeom prst="rect">
                      <a:avLst/>
                    </a:prstGeom>
                  </pic:spPr>
                </pic:pic>
              </a:graphicData>
            </a:graphic>
          </wp:inline>
        </w:drawing>
      </w:r>
    </w:p>
    <w:p w14:paraId="7812A251" w14:textId="77777777" w:rsidR="000E1361" w:rsidRPr="000E1361" w:rsidRDefault="000E1361" w:rsidP="000E1361">
      <w:pPr>
        <w:spacing w:line="360" w:lineRule="auto"/>
        <w:contextualSpacing/>
        <w:rPr>
          <w:rFonts w:ascii="Times New Roman" w:hAnsi="Times New Roman" w:cs="Times New Roman"/>
          <w:color w:val="000000" w:themeColor="text1"/>
        </w:rPr>
      </w:pPr>
    </w:p>
    <w:p w14:paraId="7DEA0172" w14:textId="37FC2459" w:rsid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There are two pathways to the spread of infections and colonisations in a cycle. A susceptible patient may become infected or gain a pathogen (without infection) from direct transmission from patients who are infected or colonised</w:t>
      </w:r>
      <w:r w:rsidR="00483CEE">
        <w:rPr>
          <w:rFonts w:ascii="Times New Roman" w:hAnsi="Times New Roman" w:cs="Times New Roman"/>
          <w:color w:val="000000" w:themeColor="text1"/>
        </w:rPr>
        <w:t>,</w:t>
      </w:r>
      <w:r w:rsidRPr="000E1361">
        <w:rPr>
          <w:rFonts w:ascii="Times New Roman" w:hAnsi="Times New Roman" w:cs="Times New Roman"/>
          <w:color w:val="000000" w:themeColor="text1"/>
        </w:rPr>
        <w:t xml:space="preserve"> respectively, and this probability increases with the number of infected or colonised patients within the hospital. Colonised patients can become infected via direct contact with patients with the same strain (sensitive or resistant) of bacteria, and this probability of infection rises with the number of infected patients within the hospital. A constant proportion of colonised patients </w:t>
      </w:r>
      <w:r w:rsidRPr="000E1361">
        <w:rPr>
          <w:rFonts w:ascii="Times New Roman" w:hAnsi="Times New Roman" w:cs="Times New Roman"/>
          <w:color w:val="000000" w:themeColor="text1"/>
        </w:rPr>
        <w:lastRenderedPageBreak/>
        <w:t xml:space="preserve">will also become infected from environmental exposure (with the proportion varying by type of pathogen). This represents spontaneous infection development in colonised patients from causes other than person-to-person transmission. In the absence of treatment, resistance in colonised patients is gradually lost at a fixed rate over time, which represents the pathogen being outcompeted by sensitive pathogens. As colonised patients do not receive AMs this is the only process by which they can be cleared of a resistant pathogen. There is no gradual loss of resistance in infected patients. </w:t>
      </w:r>
    </w:p>
    <w:p w14:paraId="1A531ADD" w14:textId="77777777" w:rsidR="005B2689" w:rsidRPr="000E1361" w:rsidRDefault="005B2689" w:rsidP="000E1361">
      <w:pPr>
        <w:spacing w:line="360" w:lineRule="auto"/>
        <w:contextualSpacing/>
        <w:jc w:val="both"/>
        <w:rPr>
          <w:rFonts w:ascii="Times New Roman" w:hAnsi="Times New Roman" w:cs="Times New Roman"/>
        </w:rPr>
      </w:pPr>
    </w:p>
    <w:p w14:paraId="154674B8" w14:textId="39C7D571"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Infection may be viewed as a temporary state, as patients do not remain in it for more than one cycle (</w:t>
      </w:r>
      <w:r w:rsidR="00492404" w:rsidRPr="00492404">
        <w:rPr>
          <w:rFonts w:asciiTheme="majorBidi" w:hAnsiTheme="majorBidi" w:cstheme="majorBidi"/>
        </w:rPr>
        <w:t xml:space="preserve">Figure </w:t>
      </w:r>
      <w:r w:rsidR="00492404" w:rsidRPr="00492404">
        <w:rPr>
          <w:rFonts w:asciiTheme="majorBidi" w:hAnsiTheme="majorBidi" w:cstheme="majorBidi"/>
          <w:noProof/>
        </w:rPr>
        <w:t>9</w:t>
      </w:r>
      <w:r w:rsidRPr="000E1361">
        <w:rPr>
          <w:rFonts w:ascii="Times New Roman" w:hAnsi="Times New Roman" w:cs="Times New Roman"/>
          <w:color w:val="000000" w:themeColor="text1"/>
        </w:rPr>
        <w:t>). Clinical success is accounted for as clearance of symptoms of an infection, which may</w:t>
      </w:r>
      <w:r w:rsidRPr="000E1361">
        <w:rPr>
          <w:rFonts w:ascii="Times New Roman" w:hAnsi="Times New Roman" w:cs="Times New Roman"/>
        </w:rPr>
        <w:t xml:space="preserve"> </w:t>
      </w:r>
      <w:r w:rsidRPr="000E1361">
        <w:rPr>
          <w:rFonts w:ascii="Times New Roman" w:hAnsi="Times New Roman" w:cs="Times New Roman"/>
          <w:color w:val="000000" w:themeColor="text1"/>
        </w:rPr>
        <w:t>or may not</w:t>
      </w:r>
      <w:r w:rsidRPr="000E1361">
        <w:rPr>
          <w:rFonts w:ascii="Times New Roman" w:hAnsi="Times New Roman" w:cs="Times New Roman"/>
        </w:rPr>
        <w:t xml:space="preserve"> result in the patient no longer being colonised by pathogen</w:t>
      </w:r>
      <w:r w:rsidRPr="000E1361">
        <w:rPr>
          <w:rFonts w:ascii="Times New Roman" w:hAnsi="Times New Roman" w:cs="Times New Roman"/>
          <w:color w:val="000000" w:themeColor="text1"/>
        </w:rPr>
        <w:t xml:space="preserve">. </w:t>
      </w:r>
      <w:r w:rsidRPr="000E1361">
        <w:rPr>
          <w:rFonts w:ascii="Times New Roman" w:hAnsi="Times New Roman" w:cs="Times New Roman"/>
        </w:rPr>
        <w:t>If the infection is not cleared</w:t>
      </w:r>
      <w:r w:rsidR="00BB72A2">
        <w:rPr>
          <w:rFonts w:ascii="Times New Roman" w:hAnsi="Times New Roman" w:cs="Times New Roman"/>
        </w:rPr>
        <w:t>,</w:t>
      </w:r>
      <w:r w:rsidRPr="000E1361">
        <w:rPr>
          <w:rFonts w:ascii="Times New Roman" w:hAnsi="Times New Roman" w:cs="Times New Roman"/>
        </w:rPr>
        <w:t xml:space="preserve"> the patient will move to the next line of treatment to which they may be sensitive, and any resistant pathogens will be retained. Infected patients who are resistant to their current antibiotic treatment regimen or exhausted all treatment options have a probability of naturally clearing their infection and pathogen while receiving treatment</w:t>
      </w:r>
      <w:r w:rsidRPr="000E1361">
        <w:rPr>
          <w:rFonts w:ascii="Times New Roman" w:hAnsi="Times New Roman" w:cs="Times New Roman"/>
          <w:color w:val="000000" w:themeColor="text1"/>
        </w:rPr>
        <w:t>. Infected patients for whom the last available line of treatment was unsuccessful are assumed to die. These patients are replaced in the next cycle by new admissions that are in the susceptible or colonised state. Hence the number of individuals in the hospital remains constant (at 1000) and all infections are acquired within the hospital environment from person-to-person transmission rather than from admissions.</w:t>
      </w:r>
    </w:p>
    <w:p w14:paraId="4AF86586" w14:textId="77777777" w:rsidR="000E1361" w:rsidRPr="000E1361" w:rsidRDefault="000E1361" w:rsidP="000E1361">
      <w:pPr>
        <w:spacing w:line="360" w:lineRule="auto"/>
        <w:contextualSpacing/>
        <w:rPr>
          <w:rFonts w:ascii="Times New Roman" w:hAnsi="Times New Roman" w:cs="Times New Roman"/>
        </w:rPr>
      </w:pPr>
    </w:p>
    <w:p w14:paraId="365BA5BD" w14:textId="57282682" w:rsidR="000E1361" w:rsidRPr="000E1361" w:rsidRDefault="005B2689" w:rsidP="0080269E">
      <w:pPr>
        <w:pStyle w:val="EEPRUnumberedlevel4"/>
        <w:ind w:hanging="250"/>
      </w:pPr>
      <w:bookmarkStart w:id="309" w:name="_Toc87463023"/>
      <w:r>
        <w:t xml:space="preserve">6.1.5.4 </w:t>
      </w:r>
      <w:r w:rsidR="000E1361" w:rsidRPr="000E1361">
        <w:t>Overview of economic results</w:t>
      </w:r>
      <w:bookmarkEnd w:id="309"/>
    </w:p>
    <w:p w14:paraId="74F21840" w14:textId="3B8DD32C"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economic results show the effect of adding CAZ-AVI as an additional treatment line to form a three-line diversified treatment strategy compared to a non-diversified two-line treatment strategy made up of existing drugs. The base case analysis is shown in </w:t>
      </w:r>
      <w:r w:rsidR="00BB72A2" w:rsidRPr="000E1361">
        <w:rPr>
          <w:rFonts w:ascii="Times New Roman" w:hAnsi="Times New Roman" w:cs="Times New Roman"/>
        </w:rPr>
        <w:t xml:space="preserve">Table </w:t>
      </w:r>
      <w:r w:rsidR="00BB72A2">
        <w:rPr>
          <w:rFonts w:ascii="Times New Roman" w:hAnsi="Times New Roman" w:cs="Times New Roman"/>
          <w:noProof/>
        </w:rPr>
        <w:t>17</w:t>
      </w:r>
      <w:r w:rsidRPr="000E1361">
        <w:rPr>
          <w:rFonts w:ascii="Times New Roman" w:hAnsi="Times New Roman" w:cs="Times New Roman"/>
          <w:color w:val="000000" w:themeColor="text1"/>
        </w:rPr>
        <w:t xml:space="preserve">. The introduction of CAZ-AVI had the greatest clinical benefits when used for treating HAP/VAP. When a weighted analysis was performed, combining results from all pathogens for each indication, the </w:t>
      </w:r>
      <w:r w:rsidR="005B4EB8">
        <w:rPr>
          <w:rFonts w:ascii="Times New Roman" w:hAnsi="Times New Roman" w:cs="Times New Roman"/>
          <w:color w:val="000000" w:themeColor="text1"/>
        </w:rPr>
        <w:t>net monetary benefit (</w:t>
      </w:r>
      <w:r w:rsidRPr="000E1361">
        <w:rPr>
          <w:rFonts w:ascii="Times New Roman" w:hAnsi="Times New Roman" w:cs="Times New Roman"/>
          <w:color w:val="000000" w:themeColor="text1"/>
        </w:rPr>
        <w:t>NMB</w:t>
      </w:r>
      <w:r w:rsidR="005B4EB8">
        <w:rPr>
          <w:rFonts w:ascii="Times New Roman" w:hAnsi="Times New Roman" w:cs="Times New Roman"/>
          <w:color w:val="000000" w:themeColor="text1"/>
        </w:rPr>
        <w:t>)</w:t>
      </w:r>
      <w:r w:rsidRPr="000E1361">
        <w:rPr>
          <w:rFonts w:ascii="Times New Roman" w:hAnsi="Times New Roman" w:cs="Times New Roman"/>
          <w:color w:val="000000" w:themeColor="text1"/>
        </w:rPr>
        <w:t xml:space="preserve"> estimate was £598,779,222 over a 10-year time horizon at a cost per QALY threshold of £30,000. </w:t>
      </w:r>
    </w:p>
    <w:p w14:paraId="4F19C644" w14:textId="77777777" w:rsidR="002755D4" w:rsidRPr="000E1361" w:rsidRDefault="002755D4" w:rsidP="000E1361">
      <w:pPr>
        <w:spacing w:line="360" w:lineRule="auto"/>
        <w:contextualSpacing/>
        <w:jc w:val="both"/>
        <w:rPr>
          <w:rFonts w:ascii="Times New Roman" w:hAnsi="Times New Roman" w:cs="Times New Roman"/>
          <w:color w:val="000000" w:themeColor="text1"/>
        </w:rPr>
      </w:pPr>
    </w:p>
    <w:p w14:paraId="200510A7" w14:textId="77777777" w:rsidR="0080269E" w:rsidRDefault="0080269E" w:rsidP="009E265F">
      <w:pPr>
        <w:pStyle w:val="table"/>
      </w:pPr>
      <w:bookmarkStart w:id="310" w:name="_Ref83726759"/>
    </w:p>
    <w:p w14:paraId="65A79705" w14:textId="77777777" w:rsidR="0080269E" w:rsidRDefault="0080269E" w:rsidP="009E265F">
      <w:pPr>
        <w:pStyle w:val="table"/>
      </w:pPr>
    </w:p>
    <w:p w14:paraId="2BD0F52F" w14:textId="77777777" w:rsidR="0080269E" w:rsidRDefault="0080269E" w:rsidP="009E265F">
      <w:pPr>
        <w:pStyle w:val="table"/>
      </w:pPr>
    </w:p>
    <w:p w14:paraId="57760A41" w14:textId="77777777" w:rsidR="0080269E" w:rsidRDefault="0080269E" w:rsidP="009E265F">
      <w:pPr>
        <w:pStyle w:val="table"/>
      </w:pPr>
    </w:p>
    <w:p w14:paraId="15A4539B" w14:textId="77777777" w:rsidR="0080269E" w:rsidRDefault="0080269E" w:rsidP="009E265F">
      <w:pPr>
        <w:pStyle w:val="table"/>
      </w:pPr>
    </w:p>
    <w:p w14:paraId="0AD45C1F" w14:textId="77777777" w:rsidR="0080269E" w:rsidRDefault="0080269E" w:rsidP="009E265F">
      <w:pPr>
        <w:pStyle w:val="table"/>
      </w:pPr>
    </w:p>
    <w:p w14:paraId="7381320C" w14:textId="77777777" w:rsidR="0080269E" w:rsidRDefault="0080269E" w:rsidP="009E265F">
      <w:pPr>
        <w:pStyle w:val="table"/>
      </w:pPr>
    </w:p>
    <w:p w14:paraId="033E7764" w14:textId="77777777" w:rsidR="0080269E" w:rsidRDefault="0080269E" w:rsidP="009E265F">
      <w:pPr>
        <w:pStyle w:val="table"/>
      </w:pPr>
    </w:p>
    <w:p w14:paraId="010CAA2E" w14:textId="77777777" w:rsidR="0080269E" w:rsidRDefault="0080269E" w:rsidP="009E265F">
      <w:pPr>
        <w:pStyle w:val="table"/>
      </w:pPr>
    </w:p>
    <w:p w14:paraId="5D9FE4D0" w14:textId="77777777" w:rsidR="0080269E" w:rsidRDefault="0080269E" w:rsidP="009E265F">
      <w:pPr>
        <w:pStyle w:val="table"/>
      </w:pPr>
    </w:p>
    <w:p w14:paraId="42F44207" w14:textId="46259DF1" w:rsidR="000E1361" w:rsidRPr="00BB72A2" w:rsidRDefault="000E1361" w:rsidP="009E265F">
      <w:pPr>
        <w:pStyle w:val="table"/>
      </w:pPr>
      <w:bookmarkStart w:id="311" w:name="_Toc86418994"/>
      <w:r w:rsidRPr="00BB72A2">
        <w:t xml:space="preserve">Table </w:t>
      </w:r>
      <w:r w:rsidR="00F10F0A">
        <w:rPr>
          <w:noProof/>
        </w:rPr>
        <w:t>17</w:t>
      </w:r>
      <w:bookmarkEnd w:id="310"/>
      <w:r w:rsidRPr="00BB72A2">
        <w:t>: Base case analysis results; 1,000 patients over a 10-year horizon giving 93,432 beds occupied (from Table 62 of the company submission)</w:t>
      </w:r>
      <w:bookmarkEnd w:id="3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1431"/>
        <w:gridCol w:w="1534"/>
        <w:gridCol w:w="1121"/>
        <w:gridCol w:w="1844"/>
        <w:gridCol w:w="1965"/>
      </w:tblGrid>
      <w:tr w:rsidR="000E1361" w:rsidRPr="004A4B7C" w14:paraId="4E7461B0" w14:textId="77777777" w:rsidTr="002755D4">
        <w:trPr>
          <w:trHeight w:val="20"/>
        </w:trPr>
        <w:tc>
          <w:tcPr>
            <w:tcW w:w="1121" w:type="dxa"/>
          </w:tcPr>
          <w:p w14:paraId="23E2005F"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sz w:val="20"/>
                <w:szCs w:val="20"/>
              </w:rPr>
            </w:pPr>
            <w:r w:rsidRPr="004A4B7C">
              <w:rPr>
                <w:rFonts w:ascii="Times New Roman" w:hAnsi="Times New Roman" w:cs="Times New Roman"/>
                <w:b/>
                <w:sz w:val="20"/>
                <w:szCs w:val="20"/>
              </w:rPr>
              <w:t>Infection</w:t>
            </w:r>
          </w:p>
        </w:tc>
        <w:tc>
          <w:tcPr>
            <w:tcW w:w="1431" w:type="dxa"/>
            <w:shd w:val="clear" w:color="auto" w:fill="auto"/>
            <w:noWrap/>
            <w:vAlign w:val="center"/>
            <w:hideMark/>
          </w:tcPr>
          <w:p w14:paraId="3034F90E"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sz w:val="20"/>
                <w:szCs w:val="20"/>
              </w:rPr>
            </w:pPr>
            <w:bookmarkStart w:id="312" w:name="_Hlk72419524"/>
            <w:r w:rsidRPr="004A4B7C">
              <w:rPr>
                <w:rFonts w:ascii="Times New Roman" w:hAnsi="Times New Roman" w:cs="Times New Roman"/>
                <w:b/>
                <w:sz w:val="20"/>
                <w:szCs w:val="20"/>
              </w:rPr>
              <w:t>Treatment</w:t>
            </w:r>
          </w:p>
        </w:tc>
        <w:tc>
          <w:tcPr>
            <w:tcW w:w="1534" w:type="dxa"/>
            <w:shd w:val="clear" w:color="auto" w:fill="auto"/>
            <w:vAlign w:val="center"/>
            <w:hideMark/>
          </w:tcPr>
          <w:p w14:paraId="7B435EEE" w14:textId="77777777" w:rsidR="000E1361" w:rsidRPr="004A4B7C" w:rsidRDefault="000E1361" w:rsidP="004A4B7C">
            <w:pPr>
              <w:pStyle w:val="NICEtabletext"/>
              <w:keepNext/>
              <w:keepLines/>
              <w:spacing w:before="0" w:after="0" w:line="240" w:lineRule="auto"/>
              <w:ind w:right="-31"/>
              <w:contextualSpacing/>
              <w:jc w:val="center"/>
              <w:rPr>
                <w:rFonts w:ascii="Times New Roman" w:hAnsi="Times New Roman" w:cs="Times New Roman"/>
                <w:b/>
                <w:bCs/>
                <w:sz w:val="20"/>
                <w:szCs w:val="20"/>
              </w:rPr>
            </w:pPr>
            <w:r w:rsidRPr="004A4B7C">
              <w:rPr>
                <w:rFonts w:ascii="Times New Roman" w:hAnsi="Times New Roman" w:cs="Times New Roman"/>
                <w:b/>
                <w:bCs/>
                <w:sz w:val="20"/>
                <w:szCs w:val="20"/>
              </w:rPr>
              <w:t>QALYs lost due to infection</w:t>
            </w:r>
          </w:p>
        </w:tc>
        <w:tc>
          <w:tcPr>
            <w:tcW w:w="1121" w:type="dxa"/>
          </w:tcPr>
          <w:p w14:paraId="629DD049" w14:textId="77777777" w:rsidR="000E1361" w:rsidRPr="004A4B7C" w:rsidRDefault="000E1361" w:rsidP="004A4B7C">
            <w:pPr>
              <w:pStyle w:val="NICEtabletext"/>
              <w:keepNext/>
              <w:keepLines/>
              <w:spacing w:before="0" w:after="0" w:line="240" w:lineRule="auto"/>
              <w:ind w:left="-113" w:right="-116"/>
              <w:contextualSpacing/>
              <w:jc w:val="center"/>
              <w:rPr>
                <w:rFonts w:ascii="Times New Roman" w:hAnsi="Times New Roman" w:cs="Times New Roman"/>
                <w:b/>
                <w:bCs/>
                <w:sz w:val="20"/>
                <w:szCs w:val="20"/>
              </w:rPr>
            </w:pPr>
            <w:r w:rsidRPr="004A4B7C">
              <w:rPr>
                <w:rFonts w:ascii="Times New Roman" w:hAnsi="Times New Roman" w:cs="Times New Roman"/>
                <w:b/>
                <w:bCs/>
                <w:sz w:val="20"/>
                <w:szCs w:val="20"/>
              </w:rPr>
              <w:t>Incremental costs (£)</w:t>
            </w:r>
          </w:p>
        </w:tc>
        <w:tc>
          <w:tcPr>
            <w:tcW w:w="1844" w:type="dxa"/>
            <w:shd w:val="clear" w:color="auto" w:fill="auto"/>
            <w:vAlign w:val="center"/>
          </w:tcPr>
          <w:p w14:paraId="5B4C7C3A"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r w:rsidRPr="004A4B7C">
              <w:rPr>
                <w:rFonts w:ascii="Times New Roman" w:hAnsi="Times New Roman" w:cs="Times New Roman"/>
                <w:b/>
                <w:bCs/>
                <w:sz w:val="20"/>
                <w:szCs w:val="20"/>
              </w:rPr>
              <w:t>Incremental QALYs saved via infections avoided</w:t>
            </w:r>
          </w:p>
        </w:tc>
        <w:tc>
          <w:tcPr>
            <w:tcW w:w="1965" w:type="dxa"/>
            <w:vAlign w:val="center"/>
            <w:hideMark/>
          </w:tcPr>
          <w:p w14:paraId="204692A4"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r w:rsidRPr="004A4B7C">
              <w:rPr>
                <w:rFonts w:ascii="Times New Roman" w:hAnsi="Times New Roman" w:cs="Times New Roman"/>
                <w:b/>
                <w:bCs/>
                <w:sz w:val="20"/>
                <w:szCs w:val="20"/>
              </w:rPr>
              <w:t>NMB</w:t>
            </w:r>
            <w:r w:rsidRPr="004A4B7C">
              <w:rPr>
                <w:rFonts w:ascii="Times New Roman" w:hAnsi="Times New Roman" w:cs="Times New Roman"/>
                <w:sz w:val="20"/>
                <w:szCs w:val="20"/>
              </w:rPr>
              <w:t xml:space="preserve"> </w:t>
            </w:r>
            <w:r w:rsidRPr="004A4B7C">
              <w:rPr>
                <w:rFonts w:ascii="Times New Roman" w:hAnsi="Times New Roman" w:cs="Times New Roman"/>
                <w:b/>
                <w:sz w:val="20"/>
                <w:szCs w:val="20"/>
              </w:rPr>
              <w:t>at cost per QALY threshold of £30,000</w:t>
            </w:r>
          </w:p>
        </w:tc>
      </w:tr>
      <w:tr w:rsidR="000E1361" w:rsidRPr="004A4B7C" w14:paraId="0B161A7D" w14:textId="77777777" w:rsidTr="002755D4">
        <w:trPr>
          <w:trHeight w:val="288"/>
        </w:trPr>
        <w:tc>
          <w:tcPr>
            <w:tcW w:w="1121" w:type="dxa"/>
            <w:vMerge w:val="restart"/>
          </w:tcPr>
          <w:p w14:paraId="61D47B0C"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proofErr w:type="spellStart"/>
            <w:r w:rsidRPr="004A4B7C">
              <w:rPr>
                <w:rFonts w:ascii="Times New Roman" w:hAnsi="Times New Roman" w:cs="Times New Roman"/>
                <w:b/>
                <w:bCs/>
                <w:sz w:val="20"/>
                <w:szCs w:val="20"/>
              </w:rPr>
              <w:t>cUTI</w:t>
            </w:r>
            <w:proofErr w:type="spellEnd"/>
          </w:p>
        </w:tc>
        <w:tc>
          <w:tcPr>
            <w:tcW w:w="1431" w:type="dxa"/>
            <w:shd w:val="clear" w:color="auto" w:fill="auto"/>
            <w:noWrap/>
            <w:vAlign w:val="center"/>
            <w:hideMark/>
          </w:tcPr>
          <w:p w14:paraId="2F815A98"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 xml:space="preserve">CAZ-AVI </w:t>
            </w:r>
          </w:p>
        </w:tc>
        <w:tc>
          <w:tcPr>
            <w:tcW w:w="1534" w:type="dxa"/>
            <w:shd w:val="clear" w:color="auto" w:fill="auto"/>
            <w:noWrap/>
            <w:vAlign w:val="center"/>
          </w:tcPr>
          <w:p w14:paraId="107D4DE4"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3,392</w:t>
            </w:r>
          </w:p>
        </w:tc>
        <w:tc>
          <w:tcPr>
            <w:tcW w:w="1121" w:type="dxa"/>
            <w:vMerge w:val="restart"/>
            <w:vAlign w:val="center"/>
          </w:tcPr>
          <w:p w14:paraId="3221E10C"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9034.97</w:t>
            </w:r>
          </w:p>
        </w:tc>
        <w:tc>
          <w:tcPr>
            <w:tcW w:w="1844" w:type="dxa"/>
            <w:vMerge w:val="restart"/>
            <w:vAlign w:val="center"/>
          </w:tcPr>
          <w:p w14:paraId="58C34C32"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5,529</w:t>
            </w:r>
          </w:p>
        </w:tc>
        <w:tc>
          <w:tcPr>
            <w:tcW w:w="1965" w:type="dxa"/>
            <w:vMerge w:val="restart"/>
            <w:shd w:val="clear" w:color="auto" w:fill="auto"/>
            <w:noWrap/>
            <w:vAlign w:val="center"/>
          </w:tcPr>
          <w:p w14:paraId="574EF4E7" w14:textId="77777777" w:rsidR="000E1361" w:rsidRPr="004A4B7C" w:rsidRDefault="000E1361" w:rsidP="004A4B7C">
            <w:pPr>
              <w:pStyle w:val="NICEtabletext"/>
              <w:keepNext/>
              <w:keepLines/>
              <w:spacing w:before="0" w:after="0" w:line="240" w:lineRule="auto"/>
              <w:ind w:left="-102" w:right="-114"/>
              <w:contextualSpacing/>
              <w:jc w:val="center"/>
              <w:rPr>
                <w:rFonts w:ascii="Times New Roman" w:hAnsi="Times New Roman" w:cs="Times New Roman"/>
                <w:sz w:val="20"/>
                <w:szCs w:val="20"/>
              </w:rPr>
            </w:pPr>
            <w:r w:rsidRPr="004A4B7C">
              <w:rPr>
                <w:rFonts w:ascii="Times New Roman" w:hAnsi="Times New Roman" w:cs="Times New Roman"/>
                <w:sz w:val="20"/>
                <w:szCs w:val="20"/>
              </w:rPr>
              <w:t>£156,835,028</w:t>
            </w:r>
          </w:p>
        </w:tc>
      </w:tr>
      <w:tr w:rsidR="000E1361" w:rsidRPr="004A4B7C" w14:paraId="0C46D6A1" w14:textId="77777777" w:rsidTr="002755D4">
        <w:trPr>
          <w:trHeight w:val="288"/>
        </w:trPr>
        <w:tc>
          <w:tcPr>
            <w:tcW w:w="1121" w:type="dxa"/>
            <w:vMerge/>
          </w:tcPr>
          <w:p w14:paraId="6A02D558"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p>
        </w:tc>
        <w:tc>
          <w:tcPr>
            <w:tcW w:w="1431" w:type="dxa"/>
            <w:shd w:val="clear" w:color="auto" w:fill="auto"/>
            <w:noWrap/>
            <w:vAlign w:val="center"/>
            <w:hideMark/>
          </w:tcPr>
          <w:p w14:paraId="09BF8A0E"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No CAZ-AVI</w:t>
            </w:r>
          </w:p>
        </w:tc>
        <w:tc>
          <w:tcPr>
            <w:tcW w:w="1534" w:type="dxa"/>
            <w:shd w:val="clear" w:color="auto" w:fill="auto"/>
            <w:noWrap/>
            <w:vAlign w:val="center"/>
          </w:tcPr>
          <w:p w14:paraId="142002F2"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sz w:val="20"/>
                <w:szCs w:val="20"/>
              </w:rPr>
            </w:pPr>
            <w:r w:rsidRPr="004A4B7C">
              <w:rPr>
                <w:rFonts w:ascii="Times New Roman" w:hAnsi="Times New Roman" w:cs="Times New Roman"/>
                <w:sz w:val="20"/>
                <w:szCs w:val="20"/>
              </w:rPr>
              <w:t>8,921</w:t>
            </w:r>
          </w:p>
        </w:tc>
        <w:tc>
          <w:tcPr>
            <w:tcW w:w="1121" w:type="dxa"/>
            <w:vMerge/>
          </w:tcPr>
          <w:p w14:paraId="2B1DB8CF"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sz w:val="20"/>
                <w:szCs w:val="20"/>
              </w:rPr>
            </w:pPr>
          </w:p>
        </w:tc>
        <w:tc>
          <w:tcPr>
            <w:tcW w:w="1844" w:type="dxa"/>
            <w:vMerge/>
            <w:vAlign w:val="center"/>
          </w:tcPr>
          <w:p w14:paraId="2E47AE33"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sz w:val="20"/>
                <w:szCs w:val="20"/>
              </w:rPr>
            </w:pPr>
          </w:p>
        </w:tc>
        <w:tc>
          <w:tcPr>
            <w:tcW w:w="1965" w:type="dxa"/>
            <w:vMerge/>
            <w:shd w:val="clear" w:color="auto" w:fill="auto"/>
            <w:noWrap/>
            <w:vAlign w:val="center"/>
          </w:tcPr>
          <w:p w14:paraId="0EF29B92"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sz w:val="20"/>
                <w:szCs w:val="20"/>
              </w:rPr>
            </w:pPr>
          </w:p>
        </w:tc>
      </w:tr>
      <w:tr w:rsidR="000E1361" w:rsidRPr="004A4B7C" w14:paraId="21B4CE5A" w14:textId="77777777" w:rsidTr="002755D4">
        <w:trPr>
          <w:trHeight w:val="288"/>
        </w:trPr>
        <w:tc>
          <w:tcPr>
            <w:tcW w:w="1121" w:type="dxa"/>
            <w:vMerge w:val="restart"/>
          </w:tcPr>
          <w:p w14:paraId="14A4A6DF"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proofErr w:type="spellStart"/>
            <w:r w:rsidRPr="004A4B7C">
              <w:rPr>
                <w:rFonts w:ascii="Times New Roman" w:hAnsi="Times New Roman" w:cs="Times New Roman"/>
                <w:b/>
                <w:bCs/>
                <w:sz w:val="20"/>
                <w:szCs w:val="20"/>
              </w:rPr>
              <w:t>cIAI</w:t>
            </w:r>
            <w:proofErr w:type="spellEnd"/>
          </w:p>
        </w:tc>
        <w:tc>
          <w:tcPr>
            <w:tcW w:w="1431" w:type="dxa"/>
            <w:shd w:val="clear" w:color="auto" w:fill="auto"/>
            <w:noWrap/>
            <w:vAlign w:val="center"/>
          </w:tcPr>
          <w:p w14:paraId="0BA27E53"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 xml:space="preserve">CAZ-AVI </w:t>
            </w:r>
          </w:p>
        </w:tc>
        <w:tc>
          <w:tcPr>
            <w:tcW w:w="1534" w:type="dxa"/>
            <w:shd w:val="clear" w:color="auto" w:fill="auto"/>
            <w:noWrap/>
            <w:vAlign w:val="center"/>
          </w:tcPr>
          <w:p w14:paraId="73D4EA4D"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r w:rsidRPr="004A4B7C">
              <w:rPr>
                <w:rFonts w:ascii="Times New Roman" w:hAnsi="Times New Roman" w:cs="Times New Roman"/>
                <w:sz w:val="20"/>
                <w:szCs w:val="20"/>
              </w:rPr>
              <w:t>1,687</w:t>
            </w:r>
          </w:p>
        </w:tc>
        <w:tc>
          <w:tcPr>
            <w:tcW w:w="1121" w:type="dxa"/>
            <w:vMerge w:val="restart"/>
            <w:vAlign w:val="center"/>
          </w:tcPr>
          <w:p w14:paraId="4A2D75FF"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827.25</w:t>
            </w:r>
          </w:p>
        </w:tc>
        <w:tc>
          <w:tcPr>
            <w:tcW w:w="1844" w:type="dxa"/>
            <w:vMerge w:val="restart"/>
            <w:vAlign w:val="center"/>
          </w:tcPr>
          <w:p w14:paraId="4D149260"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4,747</w:t>
            </w:r>
          </w:p>
        </w:tc>
        <w:tc>
          <w:tcPr>
            <w:tcW w:w="1965" w:type="dxa"/>
            <w:vMerge w:val="restart"/>
            <w:shd w:val="clear" w:color="auto" w:fill="auto"/>
            <w:noWrap/>
            <w:vAlign w:val="center"/>
          </w:tcPr>
          <w:p w14:paraId="29404571" w14:textId="77777777" w:rsidR="000E1361" w:rsidRPr="004A4B7C" w:rsidRDefault="000E1361" w:rsidP="004A4B7C">
            <w:pPr>
              <w:pStyle w:val="NICEtabletext"/>
              <w:keepNext/>
              <w:keepLines/>
              <w:spacing w:before="0" w:after="0" w:line="240" w:lineRule="auto"/>
              <w:ind w:left="-102" w:right="-114"/>
              <w:contextualSpacing/>
              <w:jc w:val="center"/>
              <w:rPr>
                <w:rFonts w:ascii="Times New Roman" w:hAnsi="Times New Roman" w:cs="Times New Roman"/>
                <w:sz w:val="20"/>
                <w:szCs w:val="20"/>
              </w:rPr>
            </w:pPr>
            <w:r w:rsidRPr="004A4B7C">
              <w:rPr>
                <w:rFonts w:ascii="Times New Roman" w:hAnsi="Times New Roman" w:cs="Times New Roman"/>
                <w:sz w:val="20"/>
                <w:szCs w:val="20"/>
              </w:rPr>
              <w:t>£141,582,748</w:t>
            </w:r>
          </w:p>
        </w:tc>
      </w:tr>
      <w:tr w:rsidR="000E1361" w:rsidRPr="004A4B7C" w14:paraId="5ACF511A" w14:textId="77777777" w:rsidTr="002755D4">
        <w:trPr>
          <w:trHeight w:val="288"/>
        </w:trPr>
        <w:tc>
          <w:tcPr>
            <w:tcW w:w="1121" w:type="dxa"/>
            <w:vMerge/>
          </w:tcPr>
          <w:p w14:paraId="305D256B"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p>
        </w:tc>
        <w:tc>
          <w:tcPr>
            <w:tcW w:w="1431" w:type="dxa"/>
            <w:shd w:val="clear" w:color="auto" w:fill="auto"/>
            <w:noWrap/>
            <w:vAlign w:val="center"/>
          </w:tcPr>
          <w:p w14:paraId="007141BB" w14:textId="77777777" w:rsidR="000E1361" w:rsidRPr="004A4B7C" w:rsidRDefault="000E1361" w:rsidP="004A4B7C">
            <w:pPr>
              <w:pStyle w:val="NICEtabletext"/>
              <w:keepNext/>
              <w:keepLines/>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No CAZ-AVI</w:t>
            </w:r>
          </w:p>
        </w:tc>
        <w:tc>
          <w:tcPr>
            <w:tcW w:w="1534" w:type="dxa"/>
            <w:shd w:val="clear" w:color="auto" w:fill="auto"/>
            <w:noWrap/>
            <w:vAlign w:val="center"/>
          </w:tcPr>
          <w:p w14:paraId="13F35DD5"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r w:rsidRPr="004A4B7C">
              <w:rPr>
                <w:rFonts w:ascii="Times New Roman" w:hAnsi="Times New Roman" w:cs="Times New Roman"/>
                <w:sz w:val="20"/>
                <w:szCs w:val="20"/>
              </w:rPr>
              <w:t>6,434</w:t>
            </w:r>
          </w:p>
        </w:tc>
        <w:tc>
          <w:tcPr>
            <w:tcW w:w="1121" w:type="dxa"/>
            <w:vMerge/>
          </w:tcPr>
          <w:p w14:paraId="7A635F03"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p>
        </w:tc>
        <w:tc>
          <w:tcPr>
            <w:tcW w:w="1844" w:type="dxa"/>
            <w:vMerge/>
            <w:vAlign w:val="center"/>
          </w:tcPr>
          <w:p w14:paraId="5140E8FE"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p>
        </w:tc>
        <w:tc>
          <w:tcPr>
            <w:tcW w:w="1965" w:type="dxa"/>
            <w:vMerge/>
            <w:shd w:val="clear" w:color="auto" w:fill="auto"/>
            <w:noWrap/>
            <w:vAlign w:val="center"/>
          </w:tcPr>
          <w:p w14:paraId="423733E9" w14:textId="77777777" w:rsidR="000E1361" w:rsidRPr="004A4B7C" w:rsidRDefault="000E1361" w:rsidP="004A4B7C">
            <w:pPr>
              <w:pStyle w:val="NICEtabletext"/>
              <w:keepNext/>
              <w:keepLines/>
              <w:spacing w:before="0" w:after="0" w:line="240" w:lineRule="auto"/>
              <w:contextualSpacing/>
              <w:jc w:val="center"/>
              <w:rPr>
                <w:rFonts w:ascii="Times New Roman" w:hAnsi="Times New Roman" w:cs="Times New Roman"/>
                <w:b/>
                <w:bCs/>
                <w:sz w:val="20"/>
                <w:szCs w:val="20"/>
              </w:rPr>
            </w:pPr>
          </w:p>
        </w:tc>
      </w:tr>
      <w:tr w:rsidR="000E1361" w:rsidRPr="004A4B7C" w14:paraId="5CD44BCF" w14:textId="77777777" w:rsidTr="002755D4">
        <w:trPr>
          <w:trHeight w:val="288"/>
        </w:trPr>
        <w:tc>
          <w:tcPr>
            <w:tcW w:w="1121" w:type="dxa"/>
            <w:vMerge w:val="restart"/>
          </w:tcPr>
          <w:p w14:paraId="5E673C05"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b/>
                <w:bCs/>
                <w:sz w:val="20"/>
                <w:szCs w:val="20"/>
              </w:rPr>
              <w:t>HAP/VAP</w:t>
            </w:r>
          </w:p>
        </w:tc>
        <w:tc>
          <w:tcPr>
            <w:tcW w:w="1431" w:type="dxa"/>
            <w:shd w:val="clear" w:color="auto" w:fill="auto"/>
            <w:noWrap/>
            <w:vAlign w:val="center"/>
          </w:tcPr>
          <w:p w14:paraId="39766309"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 xml:space="preserve">CAZ-AVI </w:t>
            </w:r>
          </w:p>
        </w:tc>
        <w:tc>
          <w:tcPr>
            <w:tcW w:w="1534" w:type="dxa"/>
            <w:shd w:val="clear" w:color="auto" w:fill="auto"/>
            <w:noWrap/>
            <w:vAlign w:val="center"/>
          </w:tcPr>
          <w:p w14:paraId="0DC2143C"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sz w:val="20"/>
                <w:szCs w:val="20"/>
              </w:rPr>
              <w:t>10,090</w:t>
            </w:r>
          </w:p>
        </w:tc>
        <w:tc>
          <w:tcPr>
            <w:tcW w:w="1121" w:type="dxa"/>
            <w:vMerge w:val="restart"/>
            <w:vAlign w:val="center"/>
          </w:tcPr>
          <w:p w14:paraId="698EEB9B"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5968.55</w:t>
            </w:r>
          </w:p>
        </w:tc>
        <w:tc>
          <w:tcPr>
            <w:tcW w:w="1844" w:type="dxa"/>
            <w:vMerge w:val="restart"/>
            <w:vAlign w:val="center"/>
          </w:tcPr>
          <w:p w14:paraId="2AF180C9"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10,211</w:t>
            </w:r>
          </w:p>
        </w:tc>
        <w:tc>
          <w:tcPr>
            <w:tcW w:w="1965" w:type="dxa"/>
            <w:vMerge w:val="restart"/>
            <w:shd w:val="clear" w:color="auto" w:fill="auto"/>
            <w:noWrap/>
            <w:vAlign w:val="center"/>
          </w:tcPr>
          <w:p w14:paraId="0DE672F1" w14:textId="77777777" w:rsidR="000E1361" w:rsidRPr="004A4B7C" w:rsidRDefault="000E1361" w:rsidP="004A4B7C">
            <w:pPr>
              <w:pStyle w:val="NICEtabletext"/>
              <w:spacing w:before="0" w:after="0" w:line="240" w:lineRule="auto"/>
              <w:ind w:left="-102" w:right="-114"/>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£300,361,446</w:t>
            </w:r>
          </w:p>
        </w:tc>
      </w:tr>
      <w:tr w:rsidR="000E1361" w:rsidRPr="004A4B7C" w14:paraId="45C77CC1" w14:textId="77777777" w:rsidTr="002755D4">
        <w:trPr>
          <w:trHeight w:val="288"/>
        </w:trPr>
        <w:tc>
          <w:tcPr>
            <w:tcW w:w="1121" w:type="dxa"/>
            <w:vMerge/>
          </w:tcPr>
          <w:p w14:paraId="576D303F"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p>
        </w:tc>
        <w:tc>
          <w:tcPr>
            <w:tcW w:w="1431" w:type="dxa"/>
            <w:shd w:val="clear" w:color="auto" w:fill="auto"/>
            <w:noWrap/>
            <w:vAlign w:val="center"/>
          </w:tcPr>
          <w:p w14:paraId="12E0B7E2"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No CAZ-AVI</w:t>
            </w:r>
          </w:p>
        </w:tc>
        <w:tc>
          <w:tcPr>
            <w:tcW w:w="1534" w:type="dxa"/>
            <w:shd w:val="clear" w:color="auto" w:fill="auto"/>
            <w:noWrap/>
            <w:vAlign w:val="center"/>
          </w:tcPr>
          <w:p w14:paraId="51FB082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sz w:val="20"/>
                <w:szCs w:val="20"/>
              </w:rPr>
              <w:t>20,302</w:t>
            </w:r>
          </w:p>
        </w:tc>
        <w:tc>
          <w:tcPr>
            <w:tcW w:w="1121" w:type="dxa"/>
            <w:vMerge/>
          </w:tcPr>
          <w:p w14:paraId="2674C312"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c>
          <w:tcPr>
            <w:tcW w:w="1844" w:type="dxa"/>
            <w:vMerge/>
            <w:vAlign w:val="center"/>
          </w:tcPr>
          <w:p w14:paraId="686C4987"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c>
          <w:tcPr>
            <w:tcW w:w="1965" w:type="dxa"/>
            <w:vMerge/>
            <w:shd w:val="clear" w:color="auto" w:fill="auto"/>
            <w:noWrap/>
            <w:vAlign w:val="center"/>
          </w:tcPr>
          <w:p w14:paraId="1D4D9E8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r>
      <w:tr w:rsidR="000E1361" w:rsidRPr="004A4B7C" w14:paraId="19C3C2F9" w14:textId="77777777" w:rsidTr="002755D4">
        <w:trPr>
          <w:trHeight w:val="288"/>
        </w:trPr>
        <w:tc>
          <w:tcPr>
            <w:tcW w:w="1121" w:type="dxa"/>
            <w:vMerge w:val="restart"/>
          </w:tcPr>
          <w:p w14:paraId="1109DE8B" w14:textId="77777777" w:rsidR="000E1361" w:rsidRPr="004A4B7C" w:rsidRDefault="000E1361" w:rsidP="004A4B7C">
            <w:pPr>
              <w:pStyle w:val="NICEtabletext"/>
              <w:spacing w:before="0" w:after="0" w:line="240" w:lineRule="auto"/>
              <w:ind w:right="-109"/>
              <w:contextualSpacing/>
              <w:jc w:val="left"/>
              <w:rPr>
                <w:rFonts w:ascii="Times New Roman" w:hAnsi="Times New Roman" w:cs="Times New Roman"/>
                <w:sz w:val="20"/>
                <w:szCs w:val="20"/>
              </w:rPr>
            </w:pPr>
            <w:r w:rsidRPr="004A4B7C">
              <w:rPr>
                <w:rFonts w:ascii="Times New Roman" w:hAnsi="Times New Roman" w:cs="Times New Roman"/>
                <w:b/>
                <w:bCs/>
                <w:sz w:val="20"/>
                <w:szCs w:val="20"/>
              </w:rPr>
              <w:t>All indications above combined</w:t>
            </w:r>
          </w:p>
        </w:tc>
        <w:tc>
          <w:tcPr>
            <w:tcW w:w="1431" w:type="dxa"/>
            <w:shd w:val="clear" w:color="auto" w:fill="auto"/>
            <w:noWrap/>
            <w:vAlign w:val="center"/>
          </w:tcPr>
          <w:p w14:paraId="42AB3996" w14:textId="77777777" w:rsidR="000E1361" w:rsidRPr="004A4B7C" w:rsidRDefault="000E1361" w:rsidP="004A4B7C">
            <w:pPr>
              <w:pStyle w:val="NICEtabletext"/>
              <w:spacing w:before="0" w:after="0" w:line="240" w:lineRule="auto"/>
              <w:ind w:right="-109"/>
              <w:contextualSpacing/>
              <w:jc w:val="left"/>
              <w:rPr>
                <w:rFonts w:ascii="Times New Roman" w:hAnsi="Times New Roman" w:cs="Times New Roman"/>
                <w:sz w:val="20"/>
                <w:szCs w:val="20"/>
              </w:rPr>
            </w:pPr>
            <w:r w:rsidRPr="004A4B7C">
              <w:rPr>
                <w:rFonts w:ascii="Times New Roman" w:hAnsi="Times New Roman" w:cs="Times New Roman"/>
                <w:sz w:val="20"/>
                <w:szCs w:val="20"/>
              </w:rPr>
              <w:t xml:space="preserve">CAZ-AVI </w:t>
            </w:r>
          </w:p>
        </w:tc>
        <w:tc>
          <w:tcPr>
            <w:tcW w:w="1534" w:type="dxa"/>
            <w:shd w:val="clear" w:color="auto" w:fill="auto"/>
            <w:noWrap/>
            <w:vAlign w:val="center"/>
          </w:tcPr>
          <w:p w14:paraId="3DCD0715"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sz w:val="20"/>
                <w:szCs w:val="20"/>
              </w:rPr>
              <w:t>15,169</w:t>
            </w:r>
          </w:p>
        </w:tc>
        <w:tc>
          <w:tcPr>
            <w:tcW w:w="1121" w:type="dxa"/>
            <w:vMerge w:val="restart"/>
            <w:vAlign w:val="center"/>
          </w:tcPr>
          <w:p w14:paraId="7D95976D"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15830.78</w:t>
            </w:r>
          </w:p>
        </w:tc>
        <w:tc>
          <w:tcPr>
            <w:tcW w:w="1844" w:type="dxa"/>
            <w:vMerge w:val="restart"/>
            <w:vAlign w:val="center"/>
          </w:tcPr>
          <w:p w14:paraId="6EDF38E4" w14:textId="77777777" w:rsidR="000E1361" w:rsidRPr="004A4B7C" w:rsidRDefault="000E1361" w:rsidP="004A4B7C">
            <w:pPr>
              <w:spacing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20,487</w:t>
            </w:r>
          </w:p>
        </w:tc>
        <w:tc>
          <w:tcPr>
            <w:tcW w:w="1965" w:type="dxa"/>
            <w:vMerge w:val="restart"/>
            <w:shd w:val="clear" w:color="auto" w:fill="auto"/>
            <w:noWrap/>
            <w:vAlign w:val="center"/>
          </w:tcPr>
          <w:p w14:paraId="04966C42" w14:textId="77777777" w:rsidR="000E1361" w:rsidRPr="004A4B7C" w:rsidRDefault="000E1361" w:rsidP="004A4B7C">
            <w:pPr>
              <w:pStyle w:val="NICEtabletext"/>
              <w:spacing w:before="0" w:after="0" w:line="240" w:lineRule="auto"/>
              <w:ind w:left="-102" w:right="-114"/>
              <w:contextualSpacing/>
              <w:jc w:val="center"/>
              <w:rPr>
                <w:rFonts w:ascii="Times New Roman" w:hAnsi="Times New Roman" w:cs="Times New Roman"/>
                <w:color w:val="000000"/>
                <w:sz w:val="20"/>
                <w:szCs w:val="20"/>
              </w:rPr>
            </w:pPr>
            <w:r w:rsidRPr="004A4B7C">
              <w:rPr>
                <w:rFonts w:ascii="Times New Roman" w:hAnsi="Times New Roman" w:cs="Times New Roman"/>
                <w:color w:val="000000"/>
                <w:sz w:val="20"/>
                <w:szCs w:val="20"/>
              </w:rPr>
              <w:t>£598,779,222</w:t>
            </w:r>
          </w:p>
        </w:tc>
      </w:tr>
      <w:tr w:rsidR="000E1361" w:rsidRPr="004A4B7C" w14:paraId="31C8B6EA" w14:textId="77777777" w:rsidTr="002755D4">
        <w:trPr>
          <w:trHeight w:val="288"/>
        </w:trPr>
        <w:tc>
          <w:tcPr>
            <w:tcW w:w="1121" w:type="dxa"/>
            <w:vMerge/>
          </w:tcPr>
          <w:p w14:paraId="061B7745"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p>
        </w:tc>
        <w:tc>
          <w:tcPr>
            <w:tcW w:w="1431" w:type="dxa"/>
            <w:shd w:val="clear" w:color="auto" w:fill="auto"/>
            <w:noWrap/>
            <w:vAlign w:val="center"/>
          </w:tcPr>
          <w:p w14:paraId="66BB3701" w14:textId="77777777" w:rsidR="000E1361" w:rsidRPr="004A4B7C" w:rsidRDefault="000E1361" w:rsidP="004A4B7C">
            <w:pPr>
              <w:pStyle w:val="NICEtabletext"/>
              <w:spacing w:before="0" w:after="0" w:line="240" w:lineRule="auto"/>
              <w:contextualSpacing/>
              <w:jc w:val="left"/>
              <w:rPr>
                <w:rFonts w:ascii="Times New Roman" w:hAnsi="Times New Roman" w:cs="Times New Roman"/>
                <w:sz w:val="20"/>
                <w:szCs w:val="20"/>
              </w:rPr>
            </w:pPr>
            <w:r w:rsidRPr="004A4B7C">
              <w:rPr>
                <w:rFonts w:ascii="Times New Roman" w:hAnsi="Times New Roman" w:cs="Times New Roman"/>
                <w:sz w:val="20"/>
                <w:szCs w:val="20"/>
              </w:rPr>
              <w:t>No CAZ-AVI</w:t>
            </w:r>
          </w:p>
        </w:tc>
        <w:tc>
          <w:tcPr>
            <w:tcW w:w="1534" w:type="dxa"/>
            <w:shd w:val="clear" w:color="auto" w:fill="auto"/>
            <w:noWrap/>
            <w:vAlign w:val="center"/>
          </w:tcPr>
          <w:p w14:paraId="373A1042"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r w:rsidRPr="004A4B7C">
              <w:rPr>
                <w:rFonts w:ascii="Times New Roman" w:hAnsi="Times New Roman" w:cs="Times New Roman"/>
                <w:sz w:val="20"/>
                <w:szCs w:val="20"/>
              </w:rPr>
              <w:t>35,657</w:t>
            </w:r>
          </w:p>
        </w:tc>
        <w:tc>
          <w:tcPr>
            <w:tcW w:w="1121" w:type="dxa"/>
            <w:vMerge/>
          </w:tcPr>
          <w:p w14:paraId="498E8739"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c>
          <w:tcPr>
            <w:tcW w:w="1844" w:type="dxa"/>
            <w:vMerge/>
            <w:vAlign w:val="center"/>
          </w:tcPr>
          <w:p w14:paraId="7BE667FA"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c>
          <w:tcPr>
            <w:tcW w:w="1965" w:type="dxa"/>
            <w:vMerge/>
            <w:shd w:val="clear" w:color="auto" w:fill="auto"/>
            <w:noWrap/>
            <w:vAlign w:val="center"/>
          </w:tcPr>
          <w:p w14:paraId="512FCC98" w14:textId="77777777" w:rsidR="000E1361" w:rsidRPr="004A4B7C" w:rsidRDefault="000E1361" w:rsidP="004A4B7C">
            <w:pPr>
              <w:pStyle w:val="NICEtabletext"/>
              <w:spacing w:before="0" w:after="0" w:line="240" w:lineRule="auto"/>
              <w:contextualSpacing/>
              <w:jc w:val="center"/>
              <w:rPr>
                <w:rFonts w:ascii="Times New Roman" w:hAnsi="Times New Roman" w:cs="Times New Roman"/>
                <w:color w:val="000000"/>
                <w:sz w:val="20"/>
                <w:szCs w:val="20"/>
              </w:rPr>
            </w:pPr>
          </w:p>
        </w:tc>
      </w:tr>
    </w:tbl>
    <w:bookmarkEnd w:id="312"/>
    <w:p w14:paraId="24BEBCFD" w14:textId="0554286E" w:rsidR="00EC4BFF" w:rsidRDefault="00EC4BFF" w:rsidP="00EC4BFF">
      <w:pPr>
        <w:pStyle w:val="EEPRUtextundertables"/>
      </w:pPr>
      <w:proofErr w:type="spellStart"/>
      <w:r>
        <w:t>cIAI</w:t>
      </w:r>
      <w:proofErr w:type="spellEnd"/>
      <w:r>
        <w:t xml:space="preserve">, complicated intraabdominal infection;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 NMB, net monetary benefit; QALYs, quality adjusted life years</w:t>
      </w:r>
    </w:p>
    <w:p w14:paraId="7C1E04B9" w14:textId="77777777" w:rsidR="000E1361" w:rsidRPr="000E1361" w:rsidRDefault="000E1361" w:rsidP="000E1361">
      <w:pPr>
        <w:spacing w:line="360" w:lineRule="auto"/>
        <w:contextualSpacing/>
        <w:rPr>
          <w:rFonts w:ascii="Times New Roman" w:hAnsi="Times New Roman" w:cs="Times New Roman"/>
          <w:i/>
        </w:rPr>
      </w:pPr>
    </w:p>
    <w:p w14:paraId="26A8259E" w14:textId="64E8B542" w:rsid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A probabilistic sensitivity analyses was not conducted due to limited uncertainty information for parameters. Scenario analyses were conducted by altering the following base case values by +/- 10%: </w:t>
      </w:r>
      <w:r w:rsidR="00BB72A2">
        <w:rPr>
          <w:rFonts w:ascii="Times New Roman" w:hAnsi="Times New Roman" w:cs="Times New Roman"/>
        </w:rPr>
        <w:t>b</w:t>
      </w:r>
      <w:r w:rsidRPr="000E1361">
        <w:rPr>
          <w:rFonts w:ascii="Times New Roman" w:hAnsi="Times New Roman" w:cs="Times New Roman"/>
        </w:rPr>
        <w:t xml:space="preserve">aseline resistance; </w:t>
      </w:r>
      <w:r w:rsidR="00BB72A2">
        <w:rPr>
          <w:rFonts w:ascii="Times New Roman" w:hAnsi="Times New Roman" w:cs="Times New Roman"/>
        </w:rPr>
        <w:t>i</w:t>
      </w:r>
      <w:r w:rsidRPr="000E1361">
        <w:rPr>
          <w:rFonts w:ascii="Times New Roman" w:hAnsi="Times New Roman" w:cs="Times New Roman"/>
        </w:rPr>
        <w:t xml:space="preserve">nfection incidence; </w:t>
      </w:r>
      <w:r w:rsidR="00BB72A2">
        <w:rPr>
          <w:rFonts w:ascii="Times New Roman" w:hAnsi="Times New Roman" w:cs="Times New Roman"/>
        </w:rPr>
        <w:t>t</w:t>
      </w:r>
      <w:r w:rsidRPr="000E1361">
        <w:rPr>
          <w:rFonts w:ascii="Times New Roman" w:hAnsi="Times New Roman" w:cs="Times New Roman"/>
        </w:rPr>
        <w:t xml:space="preserve">reatment efficacy; </w:t>
      </w:r>
      <w:r w:rsidR="00BB72A2">
        <w:rPr>
          <w:rFonts w:ascii="Times New Roman" w:hAnsi="Times New Roman" w:cs="Times New Roman"/>
        </w:rPr>
        <w:t>t</w:t>
      </w:r>
      <w:r w:rsidRPr="000E1361">
        <w:rPr>
          <w:rFonts w:ascii="Times New Roman" w:hAnsi="Times New Roman" w:cs="Times New Roman"/>
        </w:rPr>
        <w:t xml:space="preserve">reatment/hospital duration; </w:t>
      </w:r>
      <w:r w:rsidR="00BB72A2">
        <w:rPr>
          <w:rFonts w:ascii="Times New Roman" w:hAnsi="Times New Roman" w:cs="Times New Roman"/>
        </w:rPr>
        <w:t>r</w:t>
      </w:r>
      <w:r w:rsidRPr="000E1361">
        <w:rPr>
          <w:rFonts w:ascii="Times New Roman" w:hAnsi="Times New Roman" w:cs="Times New Roman"/>
        </w:rPr>
        <w:t xml:space="preserve">ate of death; </w:t>
      </w:r>
      <w:r w:rsidR="00BB72A2">
        <w:rPr>
          <w:rFonts w:ascii="Times New Roman" w:hAnsi="Times New Roman" w:cs="Times New Roman"/>
        </w:rPr>
        <w:t>c</w:t>
      </w:r>
      <w:r w:rsidRPr="000E1361">
        <w:rPr>
          <w:rFonts w:ascii="Times New Roman" w:hAnsi="Times New Roman" w:cs="Times New Roman"/>
        </w:rPr>
        <w:t xml:space="preserve">osts; </w:t>
      </w:r>
      <w:r w:rsidR="00BB72A2">
        <w:rPr>
          <w:rFonts w:ascii="Times New Roman" w:hAnsi="Times New Roman" w:cs="Times New Roman"/>
        </w:rPr>
        <w:t>u</w:t>
      </w:r>
      <w:r w:rsidRPr="000E1361">
        <w:rPr>
          <w:rFonts w:ascii="Times New Roman" w:hAnsi="Times New Roman" w:cs="Times New Roman"/>
        </w:rPr>
        <w:t xml:space="preserve">tilities; </w:t>
      </w:r>
      <w:r w:rsidR="00BB72A2">
        <w:rPr>
          <w:rFonts w:ascii="Times New Roman" w:hAnsi="Times New Roman" w:cs="Times New Roman"/>
        </w:rPr>
        <w:t>i</w:t>
      </w:r>
      <w:r w:rsidRPr="000E1361">
        <w:rPr>
          <w:rFonts w:ascii="Times New Roman" w:hAnsi="Times New Roman" w:cs="Times New Roman"/>
        </w:rPr>
        <w:t xml:space="preserve">nputs related to </w:t>
      </w:r>
      <w:r w:rsidRPr="000E1361">
        <w:rPr>
          <w:rStyle w:val="Emphasis"/>
          <w:rFonts w:ascii="Times New Roman" w:hAnsi="Times New Roman" w:cs="Times New Roman"/>
          <w:color w:val="000000" w:themeColor="text1"/>
          <w:shd w:val="clear" w:color="auto" w:fill="FFFFFF"/>
        </w:rPr>
        <w:t>Clostridium difficile</w:t>
      </w:r>
      <w:r w:rsidRPr="000E1361">
        <w:rPr>
          <w:rFonts w:ascii="Times New Roman" w:hAnsi="Times New Roman" w:cs="Times New Roman"/>
        </w:rPr>
        <w:t xml:space="preserve"> infections; </w:t>
      </w:r>
      <w:r w:rsidR="00BB72A2">
        <w:rPr>
          <w:rFonts w:ascii="Times New Roman" w:hAnsi="Times New Roman" w:cs="Times New Roman"/>
        </w:rPr>
        <w:t>i</w:t>
      </w:r>
      <w:r w:rsidRPr="000E1361">
        <w:rPr>
          <w:rFonts w:ascii="Times New Roman" w:hAnsi="Times New Roman" w:cs="Times New Roman"/>
        </w:rPr>
        <w:t xml:space="preserve">nputs related to disease transmission parameters; </w:t>
      </w:r>
      <w:r w:rsidR="00BB72A2">
        <w:rPr>
          <w:rFonts w:ascii="Times New Roman" w:hAnsi="Times New Roman" w:cs="Times New Roman"/>
        </w:rPr>
        <w:t>p</w:t>
      </w:r>
      <w:r w:rsidRPr="000E1361">
        <w:rPr>
          <w:rFonts w:ascii="Times New Roman" w:hAnsi="Times New Roman" w:cs="Times New Roman"/>
        </w:rPr>
        <w:t>atients with known resistance status (</w:t>
      </w:r>
      <w:r w:rsidR="00BB72A2">
        <w:rPr>
          <w:rFonts w:ascii="Times New Roman" w:hAnsi="Times New Roman" w:cs="Times New Roman"/>
        </w:rPr>
        <w:t>i</w:t>
      </w:r>
      <w:r w:rsidR="00BB72A2" w:rsidRPr="000E1361">
        <w:rPr>
          <w:rFonts w:ascii="Times New Roman" w:hAnsi="Times New Roman" w:cs="Times New Roman"/>
        </w:rPr>
        <w:t>.e.,</w:t>
      </w:r>
      <w:r w:rsidRPr="000E1361">
        <w:rPr>
          <w:rFonts w:ascii="Times New Roman" w:hAnsi="Times New Roman" w:cs="Times New Roman"/>
        </w:rPr>
        <w:t xml:space="preserve"> directed treatment).</w:t>
      </w:r>
    </w:p>
    <w:p w14:paraId="3286AC3E" w14:textId="77777777" w:rsidR="005B2689" w:rsidRPr="000E1361" w:rsidRDefault="005B2689" w:rsidP="000E1361">
      <w:pPr>
        <w:spacing w:line="360" w:lineRule="auto"/>
        <w:contextualSpacing/>
        <w:jc w:val="both"/>
        <w:rPr>
          <w:rFonts w:ascii="Times New Roman" w:hAnsi="Times New Roman" w:cs="Times New Roman"/>
        </w:rPr>
      </w:pPr>
    </w:p>
    <w:p w14:paraId="1BB7F458" w14:textId="397F4926"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 xml:space="preserve">In addition, a scenario explored the impact of varying the discount rate on costs and </w:t>
      </w:r>
      <w:r w:rsidRPr="000E1361">
        <w:rPr>
          <w:rFonts w:ascii="Times New Roman" w:hAnsi="Times New Roman" w:cs="Times New Roman"/>
          <w:color w:val="000000" w:themeColor="text1"/>
        </w:rPr>
        <w:t>benefits at 1.5% and 5%. The results are presented in Tornado diagram (</w:t>
      </w:r>
      <w:r w:rsidR="00BB72A2" w:rsidRPr="00BB72A2">
        <w:rPr>
          <w:rFonts w:ascii="Times New Roman" w:hAnsi="Times New Roman" w:cs="Times New Roman"/>
        </w:rPr>
        <w:t xml:space="preserve">Figure </w:t>
      </w:r>
      <w:r w:rsidR="00BB72A2" w:rsidRPr="00BB72A2">
        <w:rPr>
          <w:rFonts w:ascii="Times New Roman" w:hAnsi="Times New Roman" w:cs="Times New Roman"/>
          <w:noProof/>
        </w:rPr>
        <w:t>12</w:t>
      </w:r>
      <w:r w:rsidRPr="000E1361">
        <w:rPr>
          <w:rFonts w:ascii="Times New Roman" w:hAnsi="Times New Roman" w:cs="Times New Roman"/>
          <w:color w:val="000000" w:themeColor="text1"/>
        </w:rPr>
        <w:t xml:space="preserve">). The major influences on NMB were treatment efficacy, discounting, utility, life expectancy and the </w:t>
      </w:r>
      <w:r w:rsidRPr="000E1361">
        <w:rPr>
          <w:rFonts w:ascii="Times New Roman" w:hAnsi="Times New Roman" w:cs="Times New Roman"/>
        </w:rPr>
        <w:t>transmission and clearance rate.</w:t>
      </w:r>
    </w:p>
    <w:p w14:paraId="7B25948E" w14:textId="413E79F3" w:rsidR="000E1361" w:rsidRDefault="000E1361" w:rsidP="000E1361">
      <w:pPr>
        <w:spacing w:line="360" w:lineRule="auto"/>
        <w:contextualSpacing/>
        <w:rPr>
          <w:rFonts w:ascii="Times New Roman" w:hAnsi="Times New Roman" w:cs="Times New Roman"/>
        </w:rPr>
      </w:pPr>
    </w:p>
    <w:p w14:paraId="6AAD087C" w14:textId="17A6395D" w:rsidR="002755D4" w:rsidRPr="000E1361" w:rsidRDefault="002755D4" w:rsidP="002755D4">
      <w:pPr>
        <w:spacing w:line="360" w:lineRule="auto"/>
        <w:contextualSpacing/>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following scenario analysis analyses were also considered:  varying the baseline resistance by ± 20%; varying the percentage of patients receiving targeted treatment to 15% and 25%, applying a 3-year time horizon. The results are presented in </w:t>
      </w:r>
      <w:r w:rsidR="00BB72A2" w:rsidRPr="00BB72A2">
        <w:rPr>
          <w:rFonts w:ascii="Times New Roman" w:hAnsi="Times New Roman" w:cs="Times New Roman"/>
        </w:rPr>
        <w:t xml:space="preserve">Figure </w:t>
      </w:r>
      <w:r w:rsidR="00BB72A2" w:rsidRPr="00BB72A2">
        <w:rPr>
          <w:rFonts w:ascii="Times New Roman" w:hAnsi="Times New Roman" w:cs="Times New Roman"/>
          <w:noProof/>
        </w:rPr>
        <w:t>13</w:t>
      </w:r>
      <w:r w:rsidRPr="000E1361">
        <w:rPr>
          <w:rFonts w:ascii="Times New Roman" w:hAnsi="Times New Roman" w:cs="Times New Roman"/>
          <w:color w:val="000000" w:themeColor="text1"/>
        </w:rPr>
        <w:t xml:space="preserve"> and show minor variation across the scenarios with the results most sensitive to the 3-year time horizon scenario. </w:t>
      </w:r>
    </w:p>
    <w:p w14:paraId="14D944A9" w14:textId="0B2B70E4" w:rsidR="002755D4" w:rsidRDefault="002755D4" w:rsidP="000E1361">
      <w:pPr>
        <w:spacing w:line="360" w:lineRule="auto"/>
        <w:contextualSpacing/>
        <w:rPr>
          <w:rFonts w:ascii="Times New Roman" w:hAnsi="Times New Roman" w:cs="Times New Roman"/>
        </w:rPr>
      </w:pPr>
    </w:p>
    <w:p w14:paraId="25177D5D" w14:textId="77777777" w:rsidR="002755D4" w:rsidRPr="000E1361" w:rsidRDefault="002755D4" w:rsidP="000E1361">
      <w:pPr>
        <w:spacing w:line="360" w:lineRule="auto"/>
        <w:contextualSpacing/>
        <w:rPr>
          <w:rFonts w:ascii="Times New Roman" w:hAnsi="Times New Roman" w:cs="Times New Roman"/>
        </w:rPr>
      </w:pPr>
    </w:p>
    <w:p w14:paraId="0B7628F2" w14:textId="77777777" w:rsidR="009E265F" w:rsidRDefault="009E265F" w:rsidP="00BB72A2">
      <w:pPr>
        <w:pStyle w:val="Caption"/>
        <w:spacing w:after="160"/>
        <w:contextualSpacing/>
        <w:rPr>
          <w:rFonts w:ascii="Times New Roman" w:hAnsi="Times New Roman" w:cs="Times New Roman"/>
          <w:b/>
          <w:i w:val="0"/>
          <w:iCs w:val="0"/>
          <w:color w:val="auto"/>
          <w:sz w:val="20"/>
          <w:szCs w:val="20"/>
        </w:rPr>
      </w:pPr>
      <w:bookmarkStart w:id="313" w:name="_Ref73448390"/>
      <w:bookmarkStart w:id="314" w:name="_Toc73634826"/>
    </w:p>
    <w:p w14:paraId="0C97AD15" w14:textId="77777777" w:rsidR="003F2678" w:rsidRDefault="003F2678" w:rsidP="00BB72A2">
      <w:pPr>
        <w:pStyle w:val="Caption"/>
        <w:spacing w:after="160"/>
        <w:contextualSpacing/>
        <w:rPr>
          <w:rFonts w:ascii="Times New Roman" w:hAnsi="Times New Roman" w:cs="Times New Roman"/>
          <w:b/>
          <w:i w:val="0"/>
          <w:iCs w:val="0"/>
          <w:color w:val="auto"/>
          <w:sz w:val="20"/>
          <w:szCs w:val="20"/>
        </w:rPr>
      </w:pPr>
      <w:bookmarkStart w:id="315" w:name="_Toc86419057"/>
    </w:p>
    <w:p w14:paraId="39D5D31F" w14:textId="77777777" w:rsidR="003F2678" w:rsidRDefault="003F2678" w:rsidP="00BB72A2">
      <w:pPr>
        <w:pStyle w:val="Caption"/>
        <w:spacing w:after="160"/>
        <w:contextualSpacing/>
        <w:rPr>
          <w:rFonts w:ascii="Times New Roman" w:hAnsi="Times New Roman" w:cs="Times New Roman"/>
          <w:b/>
          <w:i w:val="0"/>
          <w:iCs w:val="0"/>
          <w:color w:val="auto"/>
          <w:sz w:val="20"/>
          <w:szCs w:val="20"/>
        </w:rPr>
      </w:pPr>
    </w:p>
    <w:p w14:paraId="39F59BE1" w14:textId="77777777" w:rsidR="003F2678" w:rsidRDefault="003F2678" w:rsidP="00BB72A2">
      <w:pPr>
        <w:pStyle w:val="Caption"/>
        <w:spacing w:after="160"/>
        <w:contextualSpacing/>
        <w:rPr>
          <w:rFonts w:ascii="Times New Roman" w:hAnsi="Times New Roman" w:cs="Times New Roman"/>
          <w:b/>
          <w:i w:val="0"/>
          <w:iCs w:val="0"/>
          <w:color w:val="auto"/>
          <w:sz w:val="20"/>
          <w:szCs w:val="20"/>
        </w:rPr>
      </w:pPr>
    </w:p>
    <w:p w14:paraId="5E3E266B" w14:textId="77777777" w:rsidR="003F2678" w:rsidRDefault="003F2678" w:rsidP="00BB72A2">
      <w:pPr>
        <w:pStyle w:val="Caption"/>
        <w:spacing w:after="160"/>
        <w:contextualSpacing/>
        <w:rPr>
          <w:rFonts w:ascii="Times New Roman" w:hAnsi="Times New Roman" w:cs="Times New Roman"/>
          <w:b/>
          <w:i w:val="0"/>
          <w:iCs w:val="0"/>
          <w:color w:val="auto"/>
          <w:sz w:val="20"/>
          <w:szCs w:val="20"/>
        </w:rPr>
      </w:pPr>
    </w:p>
    <w:p w14:paraId="6BC0FB74" w14:textId="1E69DC89" w:rsidR="000E1361" w:rsidRPr="009E265F" w:rsidRDefault="000E1361" w:rsidP="00BB72A2">
      <w:pPr>
        <w:pStyle w:val="Caption"/>
        <w:spacing w:after="160"/>
        <w:contextualSpacing/>
        <w:rPr>
          <w:rFonts w:ascii="Times New Roman" w:hAnsi="Times New Roman" w:cs="Times New Roman"/>
          <w:b/>
          <w:i w:val="0"/>
          <w:iCs w:val="0"/>
          <w:color w:val="auto"/>
          <w:sz w:val="20"/>
          <w:szCs w:val="20"/>
        </w:rPr>
      </w:pPr>
      <w:r w:rsidRPr="009E265F">
        <w:rPr>
          <w:rFonts w:ascii="Times New Roman" w:hAnsi="Times New Roman" w:cs="Times New Roman"/>
          <w:b/>
          <w:i w:val="0"/>
          <w:iCs w:val="0"/>
          <w:color w:val="auto"/>
          <w:sz w:val="20"/>
          <w:szCs w:val="20"/>
        </w:rPr>
        <w:lastRenderedPageBreak/>
        <w:t xml:space="preserve">Figure </w:t>
      </w:r>
      <w:r w:rsidR="0021430F">
        <w:rPr>
          <w:rFonts w:ascii="Times New Roman" w:hAnsi="Times New Roman" w:cs="Times New Roman"/>
          <w:b/>
          <w:i w:val="0"/>
          <w:iCs w:val="0"/>
          <w:noProof/>
          <w:color w:val="auto"/>
          <w:sz w:val="20"/>
          <w:szCs w:val="20"/>
        </w:rPr>
        <w:t>12</w:t>
      </w:r>
      <w:bookmarkEnd w:id="313"/>
      <w:r w:rsidRPr="009E265F">
        <w:rPr>
          <w:rFonts w:ascii="Times New Roman" w:hAnsi="Times New Roman" w:cs="Times New Roman"/>
          <w:b/>
          <w:i w:val="0"/>
          <w:iCs w:val="0"/>
          <w:color w:val="auto"/>
          <w:sz w:val="20"/>
          <w:szCs w:val="20"/>
        </w:rPr>
        <w:t xml:space="preserve">: Tornado diagram showing uncertainty analysis </w:t>
      </w:r>
      <w:bookmarkEnd w:id="314"/>
      <w:r w:rsidRPr="009E265F">
        <w:rPr>
          <w:rFonts w:ascii="Times New Roman" w:hAnsi="Times New Roman" w:cs="Times New Roman"/>
          <w:b/>
          <w:i w:val="0"/>
          <w:iCs w:val="0"/>
          <w:color w:val="auto"/>
          <w:sz w:val="20"/>
          <w:szCs w:val="20"/>
        </w:rPr>
        <w:t>(from Figure 17 of the company submission)</w:t>
      </w:r>
      <w:bookmarkEnd w:id="315"/>
    </w:p>
    <w:p w14:paraId="4BDDA442" w14:textId="77777777" w:rsidR="000E1361" w:rsidRPr="000E1361" w:rsidRDefault="000E1361" w:rsidP="009E265F">
      <w:pPr>
        <w:pStyle w:val="TableofFigures"/>
      </w:pPr>
      <w:r w:rsidRPr="000E1361">
        <w:rPr>
          <w:noProof/>
          <w:lang w:eastAsia="en-GB"/>
        </w:rPr>
        <w:drawing>
          <wp:inline distT="0" distB="0" distL="0" distR="0" wp14:anchorId="050E93D4" wp14:editId="3814CC0A">
            <wp:extent cx="5162400" cy="3650400"/>
            <wp:effectExtent l="0" t="0" r="635" b="7620"/>
            <wp:docPr id="107" name="Picture 107" descr="Tornado diagram showing uncertainty analysis (from Figure 17 of the company submission). This chart is summarised in sectio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ornado diagram showing uncertainty analysis (from Figure 17 of the company submission). This chart is summarised in section 6.1.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2400" cy="3650400"/>
                    </a:xfrm>
                    <a:prstGeom prst="rect">
                      <a:avLst/>
                    </a:prstGeom>
                  </pic:spPr>
                </pic:pic>
              </a:graphicData>
            </a:graphic>
          </wp:inline>
        </w:drawing>
      </w:r>
    </w:p>
    <w:p w14:paraId="5F888843" w14:textId="77777777" w:rsidR="000E1361" w:rsidRPr="000E1361" w:rsidRDefault="000E1361" w:rsidP="000E1361">
      <w:pPr>
        <w:spacing w:line="360" w:lineRule="auto"/>
        <w:contextualSpacing/>
        <w:rPr>
          <w:rFonts w:ascii="Times New Roman" w:hAnsi="Times New Roman" w:cs="Times New Roman"/>
          <w:color w:val="000000" w:themeColor="text1"/>
        </w:rPr>
      </w:pPr>
    </w:p>
    <w:p w14:paraId="5A8B3CCD" w14:textId="552323BE" w:rsidR="000E1361" w:rsidRPr="009E265F" w:rsidRDefault="000E1361" w:rsidP="00BB72A2">
      <w:pPr>
        <w:pStyle w:val="Caption"/>
        <w:spacing w:after="160"/>
        <w:contextualSpacing/>
        <w:rPr>
          <w:rFonts w:ascii="Times New Roman" w:hAnsi="Times New Roman" w:cs="Times New Roman"/>
          <w:b/>
          <w:i w:val="0"/>
          <w:iCs w:val="0"/>
          <w:color w:val="auto"/>
          <w:sz w:val="20"/>
          <w:szCs w:val="20"/>
        </w:rPr>
      </w:pPr>
      <w:bookmarkStart w:id="316" w:name="_Ref71904009"/>
      <w:bookmarkStart w:id="317" w:name="_Ref85469153"/>
      <w:bookmarkStart w:id="318" w:name="_Toc73634823"/>
      <w:bookmarkStart w:id="319" w:name="_Toc86419058"/>
      <w:r w:rsidRPr="009E265F">
        <w:rPr>
          <w:rFonts w:ascii="Times New Roman" w:hAnsi="Times New Roman" w:cs="Times New Roman"/>
          <w:b/>
          <w:i w:val="0"/>
          <w:iCs w:val="0"/>
          <w:color w:val="auto"/>
          <w:sz w:val="20"/>
          <w:szCs w:val="20"/>
        </w:rPr>
        <w:t xml:space="preserve">Figure </w:t>
      </w:r>
      <w:r w:rsidR="0021430F">
        <w:rPr>
          <w:rFonts w:ascii="Times New Roman" w:hAnsi="Times New Roman" w:cs="Times New Roman"/>
          <w:b/>
          <w:i w:val="0"/>
          <w:iCs w:val="0"/>
          <w:noProof/>
          <w:color w:val="auto"/>
          <w:sz w:val="20"/>
          <w:szCs w:val="20"/>
        </w:rPr>
        <w:t>13</w:t>
      </w:r>
      <w:bookmarkEnd w:id="316"/>
      <w:bookmarkEnd w:id="317"/>
      <w:r w:rsidRPr="009E265F">
        <w:rPr>
          <w:rFonts w:ascii="Times New Roman" w:hAnsi="Times New Roman" w:cs="Times New Roman"/>
          <w:b/>
          <w:i w:val="0"/>
          <w:iCs w:val="0"/>
          <w:color w:val="auto"/>
          <w:sz w:val="20"/>
          <w:szCs w:val="20"/>
        </w:rPr>
        <w:t>: Annual NMB outcomes based on the uncertainty analysis on key model parameters</w:t>
      </w:r>
      <w:bookmarkEnd w:id="318"/>
      <w:r w:rsidRPr="009E265F">
        <w:rPr>
          <w:rFonts w:ascii="Times New Roman" w:hAnsi="Times New Roman" w:cs="Times New Roman"/>
          <w:b/>
          <w:i w:val="0"/>
          <w:iCs w:val="0"/>
          <w:color w:val="auto"/>
          <w:sz w:val="20"/>
          <w:szCs w:val="20"/>
        </w:rPr>
        <w:t xml:space="preserve"> (from Figure 16 of the company submission)</w:t>
      </w:r>
      <w:bookmarkEnd w:id="319"/>
    </w:p>
    <w:p w14:paraId="2AA85B9E" w14:textId="77777777" w:rsidR="000E1361" w:rsidRPr="000E1361" w:rsidRDefault="000E1361" w:rsidP="009E265F">
      <w:pPr>
        <w:pStyle w:val="TableofFigures"/>
      </w:pPr>
      <w:r w:rsidRPr="000E1361">
        <w:rPr>
          <w:noProof/>
          <w:lang w:eastAsia="en-GB"/>
        </w:rPr>
        <w:drawing>
          <wp:inline distT="0" distB="0" distL="0" distR="0" wp14:anchorId="7B6BDDD0" wp14:editId="68703540">
            <wp:extent cx="4957200" cy="3502800"/>
            <wp:effectExtent l="0" t="0" r="0" b="2540"/>
            <wp:docPr id="108" name="Picture 108" descr="Bar chart to show annual NMB outcomes based on the uncertainty analysis on key model parameters (from Figure 16 of the company submission). This chart is summarised in sectio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ar chart to show annual NMB outcomes based on the uncertainty analysis on key model parameters (from Figure 16 of the company submission). This chart is summarised in section 6.1.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7200" cy="3502800"/>
                    </a:xfrm>
                    <a:prstGeom prst="rect">
                      <a:avLst/>
                    </a:prstGeom>
                  </pic:spPr>
                </pic:pic>
              </a:graphicData>
            </a:graphic>
          </wp:inline>
        </w:drawing>
      </w:r>
    </w:p>
    <w:p w14:paraId="0D70C5A0" w14:textId="77777777" w:rsidR="000E1361" w:rsidRPr="000E1361" w:rsidRDefault="000E1361" w:rsidP="000E1361">
      <w:pPr>
        <w:spacing w:line="360" w:lineRule="auto"/>
        <w:contextualSpacing/>
        <w:rPr>
          <w:rFonts w:ascii="Times New Roman" w:hAnsi="Times New Roman" w:cs="Times New Roman"/>
          <w:color w:val="000000" w:themeColor="text1"/>
        </w:rPr>
      </w:pPr>
    </w:p>
    <w:p w14:paraId="3A5A4BDD" w14:textId="09DBB014" w:rsidR="000E1361" w:rsidRPr="000E1361" w:rsidRDefault="005B2689" w:rsidP="00211C53">
      <w:pPr>
        <w:pStyle w:val="EEPRUnumberedlevel4"/>
        <w:ind w:hanging="283"/>
      </w:pPr>
      <w:bookmarkStart w:id="320" w:name="_Toc87463024"/>
      <w:r>
        <w:lastRenderedPageBreak/>
        <w:t xml:space="preserve">6.1.5.5 </w:t>
      </w:r>
      <w:r w:rsidR="000E1361" w:rsidRPr="000E1361">
        <w:t xml:space="preserve">Areas of inconsistency or lack of clarity in the </w:t>
      </w:r>
      <w:r w:rsidR="00492404">
        <w:t>company submission</w:t>
      </w:r>
      <w:bookmarkEnd w:id="320"/>
    </w:p>
    <w:p w14:paraId="351D34BA" w14:textId="2EBF5D40" w:rsidR="000E1361" w:rsidRPr="000E1361" w:rsidRDefault="000E1361" w:rsidP="005B2689">
      <w:pPr>
        <w:spacing w:line="360" w:lineRule="auto"/>
        <w:contextualSpacing/>
        <w:jc w:val="both"/>
        <w:rPr>
          <w:rFonts w:ascii="Times New Roman" w:hAnsi="Times New Roman" w:cs="Times New Roman"/>
        </w:rPr>
      </w:pPr>
      <w:r w:rsidRPr="000E1361">
        <w:rPr>
          <w:rFonts w:ascii="Times New Roman" w:hAnsi="Times New Roman" w:cs="Times New Roman"/>
        </w:rPr>
        <w:t xml:space="preserve">There were some key processes of the company’s submitted model which it was difficult to understand based on the submitted documentation. The following are key aspects of the model that were not transparent from the description provided in the </w:t>
      </w:r>
      <w:r w:rsidR="00492404">
        <w:rPr>
          <w:rFonts w:ascii="Times New Roman" w:hAnsi="Times New Roman" w:cs="Times New Roman"/>
        </w:rPr>
        <w:t>submission</w:t>
      </w:r>
      <w:r w:rsidRPr="000E1361">
        <w:rPr>
          <w:rFonts w:ascii="Times New Roman" w:hAnsi="Times New Roman" w:cs="Times New Roman"/>
        </w:rPr>
        <w:t>:</w:t>
      </w:r>
    </w:p>
    <w:p w14:paraId="3C7C9C70" w14:textId="2E962F9B" w:rsidR="000E1361" w:rsidRPr="00492404" w:rsidRDefault="000E1361" w:rsidP="005A3BE6">
      <w:pPr>
        <w:pStyle w:val="ListParagraph"/>
        <w:numPr>
          <w:ilvl w:val="0"/>
          <w:numId w:val="88"/>
        </w:numPr>
        <w:spacing w:line="360" w:lineRule="auto"/>
        <w:jc w:val="both"/>
        <w:rPr>
          <w:rFonts w:ascii="Times New Roman" w:hAnsi="Times New Roman" w:cs="Times New Roman"/>
          <w:color w:val="000000" w:themeColor="text1"/>
        </w:rPr>
      </w:pPr>
      <w:r w:rsidRPr="000E1361">
        <w:rPr>
          <w:rFonts w:ascii="Times New Roman" w:hAnsi="Times New Roman" w:cs="Times New Roman"/>
        </w:rPr>
        <w:t>During the treatment pathway</w:t>
      </w:r>
      <w:r w:rsidR="00BB72A2">
        <w:rPr>
          <w:rFonts w:ascii="Times New Roman" w:hAnsi="Times New Roman" w:cs="Times New Roman"/>
        </w:rPr>
        <w:t>,</w:t>
      </w:r>
      <w:r w:rsidRPr="000E1361">
        <w:rPr>
          <w:rFonts w:ascii="Times New Roman" w:hAnsi="Times New Roman" w:cs="Times New Roman"/>
        </w:rPr>
        <w:t xml:space="preserve"> a patient with an infection and sensitive pathogen may develop resistance from treatment and become infected with a resistant pathogen. Such changes are not represented in the model.  The model structure necessitates the full treatment </w:t>
      </w:r>
      <w:r w:rsidRPr="00492404">
        <w:rPr>
          <w:rFonts w:ascii="Times New Roman" w:hAnsi="Times New Roman" w:cs="Times New Roman"/>
        </w:rPr>
        <w:t>pathway (</w:t>
      </w:r>
      <w:r w:rsidR="00BB72A2" w:rsidRPr="000E1361">
        <w:rPr>
          <w:rFonts w:ascii="Times New Roman" w:hAnsi="Times New Roman" w:cs="Times New Roman"/>
        </w:rPr>
        <w:t xml:space="preserve">Figure </w:t>
      </w:r>
      <w:r w:rsidR="00BB72A2">
        <w:rPr>
          <w:rFonts w:ascii="Times New Roman" w:hAnsi="Times New Roman" w:cs="Times New Roman"/>
          <w:noProof/>
        </w:rPr>
        <w:t>11</w:t>
      </w:r>
      <w:r w:rsidRPr="00492404">
        <w:rPr>
          <w:rFonts w:ascii="Times New Roman" w:hAnsi="Times New Roman" w:cs="Times New Roman"/>
        </w:rPr>
        <w:t>) to be completed before there is a movement to a different health state (</w:t>
      </w:r>
      <w:r w:rsidR="00BB72A2" w:rsidRPr="00BB72A2">
        <w:rPr>
          <w:rFonts w:asciiTheme="majorBidi" w:hAnsiTheme="majorBidi" w:cstheme="majorBidi"/>
        </w:rPr>
        <w:t xml:space="preserve">Figure </w:t>
      </w:r>
      <w:r w:rsidR="00BB72A2" w:rsidRPr="00BB72A2">
        <w:rPr>
          <w:rFonts w:asciiTheme="majorBidi" w:hAnsiTheme="majorBidi" w:cstheme="majorBidi"/>
          <w:noProof/>
        </w:rPr>
        <w:t>9</w:t>
      </w:r>
      <w:r w:rsidRPr="00492404">
        <w:rPr>
          <w:rFonts w:ascii="Times New Roman" w:hAnsi="Times New Roman" w:cs="Times New Roman"/>
        </w:rPr>
        <w:t>).</w:t>
      </w:r>
      <w:r w:rsidRPr="00492404">
        <w:rPr>
          <w:rFonts w:ascii="Times New Roman" w:hAnsi="Times New Roman" w:cs="Times New Roman"/>
          <w:color w:val="000000" w:themeColor="text1"/>
        </w:rPr>
        <w:t xml:space="preserve"> </w:t>
      </w:r>
    </w:p>
    <w:p w14:paraId="138A3880" w14:textId="1A9EAE8E" w:rsidR="000E1361" w:rsidRPr="000E1361" w:rsidRDefault="000E1361" w:rsidP="005A3BE6">
      <w:pPr>
        <w:pStyle w:val="ListParagraph"/>
        <w:numPr>
          <w:ilvl w:val="0"/>
          <w:numId w:val="88"/>
        </w:numPr>
        <w:spacing w:line="360" w:lineRule="auto"/>
        <w:jc w:val="both"/>
        <w:rPr>
          <w:rFonts w:ascii="Times New Roman" w:hAnsi="Times New Roman" w:cs="Times New Roman"/>
        </w:rPr>
      </w:pPr>
      <w:r w:rsidRPr="000E1361">
        <w:rPr>
          <w:rFonts w:ascii="Times New Roman" w:hAnsi="Times New Roman" w:cs="Times New Roman"/>
          <w:color w:val="000000" w:themeColor="text1"/>
        </w:rPr>
        <w:t xml:space="preserve">The model assumptions appear to be inconsistent regarding the transmission of resistant pathogens between colonised patients. The company </w:t>
      </w:r>
      <w:r w:rsidR="00492404">
        <w:rPr>
          <w:rFonts w:ascii="Times New Roman" w:hAnsi="Times New Roman" w:cs="Times New Roman"/>
          <w:color w:val="000000" w:themeColor="text1"/>
        </w:rPr>
        <w:t>submission</w:t>
      </w:r>
      <w:r w:rsidRPr="000E1361">
        <w:rPr>
          <w:rFonts w:ascii="Times New Roman" w:hAnsi="Times New Roman" w:cs="Times New Roman"/>
          <w:color w:val="000000" w:themeColor="text1"/>
        </w:rPr>
        <w:t xml:space="preserve"> states that “</w:t>
      </w:r>
      <w:r w:rsidRPr="000E1361">
        <w:rPr>
          <w:rFonts w:ascii="Times New Roman" w:hAnsi="Times New Roman" w:cs="Times New Roman"/>
          <w:i/>
          <w:iCs/>
          <w:color w:val="000000" w:themeColor="text1"/>
        </w:rPr>
        <w:t>Patients may not move directly between different colonised health states</w:t>
      </w:r>
      <w:r w:rsidRPr="000E1361">
        <w:rPr>
          <w:rFonts w:ascii="Times New Roman" w:hAnsi="Times New Roman" w:cs="Times New Roman"/>
          <w:color w:val="000000" w:themeColor="text1"/>
        </w:rPr>
        <w:t xml:space="preserve">” (p.182). This appears to contradict the model schematic. </w:t>
      </w:r>
    </w:p>
    <w:p w14:paraId="38A648BD" w14:textId="0B2D544C" w:rsidR="000E1361" w:rsidRPr="000E1361" w:rsidRDefault="000E1361" w:rsidP="005A3BE6">
      <w:pPr>
        <w:pStyle w:val="ListParagraph"/>
        <w:numPr>
          <w:ilvl w:val="0"/>
          <w:numId w:val="87"/>
        </w:numPr>
        <w:spacing w:line="360" w:lineRule="auto"/>
        <w:jc w:val="both"/>
        <w:rPr>
          <w:rFonts w:ascii="Times New Roman" w:hAnsi="Times New Roman" w:cs="Times New Roman"/>
        </w:rPr>
      </w:pPr>
      <w:r w:rsidRPr="000E1361">
        <w:rPr>
          <w:rFonts w:ascii="Times New Roman" w:hAnsi="Times New Roman" w:cs="Times New Roman"/>
        </w:rPr>
        <w:t xml:space="preserve">There is a transition from infected with a sensitive pathogen to colonised with a sensitive pathogen. The </w:t>
      </w:r>
      <w:r w:rsidR="00492404">
        <w:rPr>
          <w:rFonts w:ascii="Times New Roman" w:hAnsi="Times New Roman" w:cs="Times New Roman"/>
        </w:rPr>
        <w:t>submission</w:t>
      </w:r>
      <w:r w:rsidRPr="000E1361">
        <w:rPr>
          <w:rFonts w:ascii="Times New Roman" w:hAnsi="Times New Roman" w:cs="Times New Roman"/>
        </w:rPr>
        <w:t xml:space="preserve"> does not explain the mechanism of this transition.</w:t>
      </w:r>
    </w:p>
    <w:p w14:paraId="5E414403" w14:textId="186BF878" w:rsidR="000E1361" w:rsidRPr="000E1361" w:rsidRDefault="000E1361" w:rsidP="005A3BE6">
      <w:pPr>
        <w:pStyle w:val="ListParagraph"/>
        <w:numPr>
          <w:ilvl w:val="0"/>
          <w:numId w:val="85"/>
        </w:numPr>
        <w:spacing w:line="360" w:lineRule="auto"/>
        <w:jc w:val="both"/>
        <w:rPr>
          <w:rFonts w:ascii="Times New Roman" w:hAnsi="Times New Roman" w:cs="Times New Roman"/>
        </w:rPr>
      </w:pPr>
      <w:r w:rsidRPr="000E1361">
        <w:rPr>
          <w:rFonts w:ascii="Times New Roman" w:hAnsi="Times New Roman" w:cs="Times New Roman"/>
        </w:rPr>
        <w:t>The description of treatment success is ambiguous in places: “</w:t>
      </w:r>
      <w:r w:rsidRPr="000E1361">
        <w:rPr>
          <w:rFonts w:ascii="Times New Roman" w:hAnsi="Times New Roman" w:cs="Times New Roman"/>
          <w:i/>
          <w:iCs/>
        </w:rPr>
        <w:t>after a patient is successfully treated, they may return to the susceptible or colonised health states</w:t>
      </w:r>
      <w:r w:rsidRPr="000E1361">
        <w:rPr>
          <w:rFonts w:ascii="Times New Roman" w:hAnsi="Times New Roman" w:cs="Times New Roman"/>
        </w:rPr>
        <w:t>” (p.160) is in contrast to a suggestion that the pathogen is always eliminated</w:t>
      </w:r>
      <w:r w:rsidR="00BB72A2">
        <w:rPr>
          <w:rFonts w:ascii="Times New Roman" w:hAnsi="Times New Roman" w:cs="Times New Roman"/>
        </w:rPr>
        <w:t>:</w:t>
      </w:r>
      <w:r w:rsidRPr="000E1361">
        <w:rPr>
          <w:rFonts w:ascii="Times New Roman" w:hAnsi="Times New Roman" w:cs="Times New Roman"/>
        </w:rPr>
        <w:t xml:space="preserve"> “</w:t>
      </w:r>
      <w:r w:rsidRPr="000E1361">
        <w:rPr>
          <w:rFonts w:ascii="Times New Roman" w:hAnsi="Times New Roman" w:cs="Times New Roman"/>
          <w:i/>
          <w:iCs/>
        </w:rPr>
        <w:t>The proportion of infections cleared, denoted by the symbol φ, corresponds to the likelihood that a patient has been successfully treated, resulting in the patient no longer being infected or colonised by the pathogen</w:t>
      </w:r>
      <w:r w:rsidRPr="000E1361">
        <w:rPr>
          <w:rFonts w:ascii="Times New Roman" w:hAnsi="Times New Roman" w:cs="Times New Roman"/>
        </w:rPr>
        <w:t>.” (p.11, Appendix K)</w:t>
      </w:r>
    </w:p>
    <w:p w14:paraId="08DB20A1" w14:textId="4289215D" w:rsidR="000E1361" w:rsidRPr="000E1361" w:rsidRDefault="000E1361" w:rsidP="005A3BE6">
      <w:pPr>
        <w:pStyle w:val="ListParagraph"/>
        <w:numPr>
          <w:ilvl w:val="0"/>
          <w:numId w:val="85"/>
        </w:numPr>
        <w:spacing w:line="360" w:lineRule="auto"/>
        <w:jc w:val="both"/>
        <w:rPr>
          <w:rFonts w:ascii="Times New Roman" w:hAnsi="Times New Roman" w:cs="Times New Roman"/>
        </w:rPr>
      </w:pPr>
      <w:r w:rsidRPr="000E1361">
        <w:rPr>
          <w:rFonts w:ascii="Times New Roman" w:hAnsi="Times New Roman" w:cs="Times New Roman"/>
        </w:rPr>
        <w:t xml:space="preserve">The model can allow treatment cycling to examine the impact of different stewardship strategies. The approach to treatment cycling adopted in the model is explained in detail in the </w:t>
      </w:r>
      <w:r w:rsidR="00492404">
        <w:rPr>
          <w:rFonts w:ascii="Times New Roman" w:hAnsi="Times New Roman" w:cs="Times New Roman"/>
        </w:rPr>
        <w:t>submission</w:t>
      </w:r>
      <w:r w:rsidRPr="000E1361">
        <w:rPr>
          <w:rFonts w:ascii="Times New Roman" w:hAnsi="Times New Roman" w:cs="Times New Roman"/>
        </w:rPr>
        <w:t>. However, it appears that all results are presented without any form of treatment cycling because cycling is not mentioned in the company’s results section. Therefore, it is unclear why different approaches to treatment cycling were outlined.</w:t>
      </w:r>
    </w:p>
    <w:p w14:paraId="597F656D" w14:textId="77777777" w:rsidR="000E1361" w:rsidRPr="000E1361" w:rsidRDefault="000E1361" w:rsidP="000E1361">
      <w:pPr>
        <w:spacing w:line="360" w:lineRule="auto"/>
        <w:contextualSpacing/>
        <w:jc w:val="both"/>
        <w:rPr>
          <w:rFonts w:ascii="Times New Roman" w:hAnsi="Times New Roman" w:cs="Times New Roman"/>
          <w:i/>
        </w:rPr>
      </w:pPr>
    </w:p>
    <w:p w14:paraId="0762F57F" w14:textId="77777777" w:rsidR="000E1361" w:rsidRPr="000E1361" w:rsidRDefault="000E1361" w:rsidP="000E1361">
      <w:pPr>
        <w:spacing w:line="360" w:lineRule="auto"/>
        <w:contextualSpacing/>
        <w:jc w:val="both"/>
        <w:rPr>
          <w:rFonts w:ascii="Times New Roman" w:hAnsi="Times New Roman" w:cs="Times New Roman"/>
          <w:i/>
        </w:rPr>
      </w:pPr>
      <w:r w:rsidRPr="000E1361">
        <w:rPr>
          <w:rFonts w:ascii="Times New Roman" w:hAnsi="Times New Roman" w:cs="Times New Roman"/>
          <w:i/>
        </w:rPr>
        <w:t>Issues identified by the review group with the company’s model</w:t>
      </w:r>
    </w:p>
    <w:p w14:paraId="7A70B604" w14:textId="77777777" w:rsidR="000E1361" w:rsidRPr="000E1361" w:rsidRDefault="000E1361" w:rsidP="000E1361">
      <w:pPr>
        <w:spacing w:line="360" w:lineRule="auto"/>
        <w:contextualSpacing/>
        <w:rPr>
          <w:rFonts w:ascii="Times New Roman" w:hAnsi="Times New Roman" w:cs="Times New Roman"/>
          <w:b/>
          <w:vertAlign w:val="subscript"/>
        </w:rPr>
      </w:pPr>
      <w:r w:rsidRPr="000E1361">
        <w:rPr>
          <w:rFonts w:ascii="Times New Roman" w:hAnsi="Times New Roman" w:cs="Times New Roman"/>
        </w:rPr>
        <w:t>A detailed discussion of key concerns is followed by a brief overview of other issues with the model.</w:t>
      </w:r>
    </w:p>
    <w:p w14:paraId="5103B016" w14:textId="77777777" w:rsidR="000E1361" w:rsidRPr="000E1361" w:rsidRDefault="000E1361" w:rsidP="000E1361">
      <w:pPr>
        <w:spacing w:line="360" w:lineRule="auto"/>
        <w:contextualSpacing/>
        <w:rPr>
          <w:rFonts w:ascii="Times New Roman" w:hAnsi="Times New Roman" w:cs="Times New Roman"/>
          <w:vertAlign w:val="subscript"/>
        </w:rPr>
      </w:pPr>
    </w:p>
    <w:p w14:paraId="158726EB" w14:textId="5C559E44" w:rsidR="000E1361" w:rsidRPr="000E1361" w:rsidRDefault="000E1361" w:rsidP="005A3BE6">
      <w:pPr>
        <w:pStyle w:val="ListParagraph"/>
        <w:numPr>
          <w:ilvl w:val="0"/>
          <w:numId w:val="96"/>
        </w:numPr>
        <w:spacing w:line="360" w:lineRule="auto"/>
        <w:rPr>
          <w:rFonts w:ascii="Times New Roman" w:hAnsi="Times New Roman" w:cs="Times New Roman"/>
        </w:rPr>
      </w:pPr>
      <w:r w:rsidRPr="000E1361">
        <w:rPr>
          <w:rFonts w:ascii="Times New Roman" w:hAnsi="Times New Roman" w:cs="Times New Roman"/>
          <w:b/>
        </w:rPr>
        <w:t>The company’s interpretation of the population considered likely to receive CAZ-AVI and the setting in which it would be received</w:t>
      </w:r>
    </w:p>
    <w:p w14:paraId="7CECC090" w14:textId="58E4A322"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In comparison to the PICOS developed for this </w:t>
      </w:r>
      <w:r w:rsidRPr="003B4513">
        <w:rPr>
          <w:rFonts w:ascii="Times New Roman" w:hAnsi="Times New Roman" w:cs="Times New Roman"/>
          <w:color w:val="000000" w:themeColor="text1"/>
        </w:rPr>
        <w:t>assessment (see</w:t>
      </w:r>
      <w:r w:rsidR="00993D2A" w:rsidRPr="003B4513">
        <w:rPr>
          <w:rFonts w:ascii="Times New Roman" w:hAnsi="Times New Roman" w:cs="Times New Roman"/>
          <w:color w:val="000000" w:themeColor="text1"/>
        </w:rPr>
        <w:t xml:space="preserve"> </w:t>
      </w:r>
      <w:r w:rsidR="00BB72A2" w:rsidRPr="00BB72A2">
        <w:rPr>
          <w:rFonts w:asciiTheme="majorBidi" w:hAnsiTheme="majorBidi"/>
        </w:rPr>
        <w:t xml:space="preserve">Table </w:t>
      </w:r>
      <w:r w:rsidR="00BB72A2" w:rsidRPr="00BB72A2">
        <w:rPr>
          <w:rFonts w:asciiTheme="majorBidi" w:hAnsiTheme="majorBidi"/>
          <w:noProof/>
        </w:rPr>
        <w:t>1</w:t>
      </w:r>
      <w:r w:rsidRPr="003B4513">
        <w:rPr>
          <w:rFonts w:ascii="Times New Roman" w:hAnsi="Times New Roman" w:cs="Times New Roman"/>
          <w:color w:val="000000" w:themeColor="text1"/>
        </w:rPr>
        <w:t>), the analyses</w:t>
      </w:r>
      <w:r w:rsidRPr="000E1361">
        <w:rPr>
          <w:rFonts w:ascii="Times New Roman" w:hAnsi="Times New Roman" w:cs="Times New Roman"/>
          <w:color w:val="000000" w:themeColor="text1"/>
        </w:rPr>
        <w:t xml:space="preserve"> submitted by the company capture a broader population of all patients with certain (</w:t>
      </w:r>
      <w:proofErr w:type="spellStart"/>
      <w:r w:rsidRPr="000E1361">
        <w:rPr>
          <w:rFonts w:ascii="Times New Roman" w:hAnsi="Times New Roman" w:cs="Times New Roman"/>
          <w:color w:val="000000" w:themeColor="text1"/>
        </w:rPr>
        <w:t>cIAI</w:t>
      </w:r>
      <w:proofErr w:type="spellEnd"/>
      <w:r w:rsidRPr="000E1361">
        <w:rPr>
          <w:rFonts w:ascii="Times New Roman" w:hAnsi="Times New Roman" w:cs="Times New Roman"/>
          <w:color w:val="000000" w:themeColor="text1"/>
        </w:rPr>
        <w:t xml:space="preserve">, </w:t>
      </w:r>
      <w:proofErr w:type="spellStart"/>
      <w:r w:rsidRPr="000E1361">
        <w:rPr>
          <w:rFonts w:ascii="Times New Roman" w:hAnsi="Times New Roman" w:cs="Times New Roman"/>
          <w:color w:val="000000" w:themeColor="text1"/>
        </w:rPr>
        <w:t>cUTI</w:t>
      </w:r>
      <w:proofErr w:type="spellEnd"/>
      <w:r w:rsidRPr="000E1361">
        <w:rPr>
          <w:rFonts w:ascii="Times New Roman" w:hAnsi="Times New Roman" w:cs="Times New Roman"/>
          <w:color w:val="000000" w:themeColor="text1"/>
        </w:rPr>
        <w:t xml:space="preserve"> and HAP/VAP) hospital </w:t>
      </w:r>
      <w:r w:rsidRPr="000E1361">
        <w:rPr>
          <w:rFonts w:ascii="Times New Roman" w:hAnsi="Times New Roman" w:cs="Times New Roman"/>
          <w:color w:val="000000" w:themeColor="text1"/>
        </w:rPr>
        <w:lastRenderedPageBreak/>
        <w:t xml:space="preserve">infections. </w:t>
      </w:r>
      <w:r w:rsidRPr="000E1361">
        <w:rPr>
          <w:rFonts w:ascii="Times New Roman" w:hAnsi="Times New Roman" w:cs="Times New Roman"/>
          <w:color w:val="000000"/>
        </w:rPr>
        <w:t>Use in this population creates the risk of rapid emergence of resistance to CAZ-AVI and the treatment becoming obsolete.</w:t>
      </w:r>
    </w:p>
    <w:p w14:paraId="21A4412F" w14:textId="77777777"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p>
    <w:p w14:paraId="35657F11" w14:textId="71F4F5BB"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The model assumes that on presentation</w:t>
      </w:r>
      <w:r w:rsidRPr="000E1361">
        <w:rPr>
          <w:rFonts w:ascii="Times New Roman" w:eastAsia="Calibri" w:hAnsi="Times New Roman" w:cs="Times New Roman"/>
          <w:color w:val="000000" w:themeColor="text1"/>
        </w:rPr>
        <w:t>,</w:t>
      </w:r>
      <w:r w:rsidRPr="000E1361">
        <w:rPr>
          <w:rFonts w:ascii="Times New Roman" w:hAnsi="Times New Roman" w:cs="Times New Roman"/>
          <w:color w:val="000000" w:themeColor="text1"/>
        </w:rPr>
        <w:t xml:space="preserve"> 20% of patients have known resistance and receive directed treatment rather than empirical treatment, meaning that they will not receive an antibiotic to which the infectious pathogen is resistant. Directed treatment in the model probably represents the proportion of first-line treatment that is informed by microbiology-testing. Based on clinical advice EEPRU consider</w:t>
      </w:r>
      <w:r w:rsidR="00BB72A2">
        <w:rPr>
          <w:rFonts w:ascii="Times New Roman" w:hAnsi="Times New Roman" w:cs="Times New Roman"/>
          <w:color w:val="000000" w:themeColor="text1"/>
        </w:rPr>
        <w:t>s</w:t>
      </w:r>
      <w:r w:rsidRPr="000E1361">
        <w:rPr>
          <w:rFonts w:ascii="Times New Roman" w:hAnsi="Times New Roman" w:cs="Times New Roman"/>
          <w:color w:val="000000" w:themeColor="text1"/>
        </w:rPr>
        <w:t xml:space="preserve"> that a more plausible model assumption is that most patients receive microbiology-directed treatment at the second line (that is, patients receive </w:t>
      </w:r>
      <w:r w:rsidRPr="000E1361">
        <w:rPr>
          <w:rFonts w:ascii="Times New Roman" w:hAnsi="Times New Roman" w:cs="Times New Roman"/>
        </w:rPr>
        <w:t>empiric treatment followed by microbiology-directed treatment where needed</w:t>
      </w:r>
      <w:r w:rsidRPr="000E1361">
        <w:rPr>
          <w:rFonts w:ascii="Times New Roman" w:hAnsi="Times New Roman" w:cs="Times New Roman"/>
          <w:color w:val="000000" w:themeColor="text1"/>
        </w:rPr>
        <w:t>). The expected effect of this assumption in the model could be to reduce the level of infection and resistance in the hospital due to patients receiving an appropriate treatment by at least the second treatment line, resulting in lower infection related mortality which in turn reduces the health gains that can be attributable to the addition of CAZ-AVI. This approach (which corresponds to the modelling approach used by EEPRU) would also mean that only two treatment lines need modelling, again reducing the modelled benefits of CAZ-AVI which arise by virtue of it resulting in a third treatment line.</w:t>
      </w:r>
    </w:p>
    <w:p w14:paraId="11C88499" w14:textId="77777777"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p>
    <w:p w14:paraId="549397C1" w14:textId="77777777"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For those patients who receive </w:t>
      </w:r>
      <w:proofErr w:type="gramStart"/>
      <w:r w:rsidRPr="000E1361">
        <w:rPr>
          <w:rFonts w:ascii="Times New Roman" w:hAnsi="Times New Roman" w:cs="Times New Roman"/>
          <w:color w:val="000000" w:themeColor="text1"/>
        </w:rPr>
        <w:t>first-line</w:t>
      </w:r>
      <w:proofErr w:type="gramEnd"/>
      <w:r w:rsidRPr="000E1361">
        <w:rPr>
          <w:rFonts w:ascii="Times New Roman" w:hAnsi="Times New Roman" w:cs="Times New Roman"/>
          <w:color w:val="000000" w:themeColor="text1"/>
        </w:rPr>
        <w:t xml:space="preserve"> directed treatment, the model does not account for a delay of three to five days for the test results to be produced during which a patient may die from infection and incur hospital costs due to bed occupancy. Further, no evidence is provided for the assumed 20% rate of directed testing. The clinical advisors to EEPRU believe that the rates testing vary greatly across the UK. The variation in </w:t>
      </w:r>
      <w:r w:rsidRPr="000E1361">
        <w:rPr>
          <w:rFonts w:ascii="Times New Roman" w:hAnsi="Times New Roman" w:cs="Times New Roman"/>
          <w:color w:val="000000"/>
        </w:rPr>
        <w:t xml:space="preserve">microbiology-directed </w:t>
      </w:r>
      <w:r w:rsidRPr="000E1361">
        <w:rPr>
          <w:rFonts w:ascii="Times New Roman" w:hAnsi="Times New Roman" w:cs="Times New Roman"/>
          <w:color w:val="000000" w:themeColor="text1"/>
        </w:rPr>
        <w:t>testing rates may be due to variation across hospital in type of infection. Alternatively, delaying treatment to wait for test results may not be considered an option when an infection is life threating. For this reason, it is preferable that the economic model</w:t>
      </w:r>
      <w:r w:rsidRPr="000E1361">
        <w:rPr>
          <w:rFonts w:ascii="Times New Roman" w:hAnsi="Times New Roman" w:cs="Times New Roman"/>
        </w:rPr>
        <w:t xml:space="preserve"> considers a wide range of different rates for directed testing.</w:t>
      </w:r>
    </w:p>
    <w:p w14:paraId="35D88CB7" w14:textId="77777777" w:rsidR="000E1361" w:rsidRPr="000E1361" w:rsidRDefault="000E1361" w:rsidP="000E1361">
      <w:pPr>
        <w:autoSpaceDE w:val="0"/>
        <w:autoSpaceDN w:val="0"/>
        <w:adjustRightInd w:val="0"/>
        <w:spacing w:line="360" w:lineRule="auto"/>
        <w:contextualSpacing/>
        <w:rPr>
          <w:rFonts w:ascii="Times New Roman" w:hAnsi="Times New Roman" w:cs="Times New Roman"/>
          <w:color w:val="000000" w:themeColor="text1"/>
        </w:rPr>
      </w:pPr>
    </w:p>
    <w:p w14:paraId="4F9B2431" w14:textId="77777777" w:rsidR="000E1361" w:rsidRPr="009E265F" w:rsidRDefault="000E1361" w:rsidP="009E265F">
      <w:pPr>
        <w:spacing w:line="360" w:lineRule="auto"/>
        <w:rPr>
          <w:rFonts w:ascii="Times New Roman" w:hAnsi="Times New Roman" w:cs="Times New Roman"/>
          <w:bCs/>
          <w:i/>
          <w:iCs/>
        </w:rPr>
      </w:pPr>
      <w:r w:rsidRPr="009E265F">
        <w:rPr>
          <w:rFonts w:ascii="Times New Roman" w:hAnsi="Times New Roman" w:cs="Times New Roman"/>
          <w:bCs/>
          <w:i/>
          <w:iCs/>
        </w:rPr>
        <w:t xml:space="preserve">Modelling assumptions concerning eradication of colonisation </w:t>
      </w:r>
    </w:p>
    <w:p w14:paraId="0DC8523B" w14:textId="77777777" w:rsidR="000E1361" w:rsidRPr="000E1361" w:rsidRDefault="000E1361" w:rsidP="000E1361">
      <w:pPr>
        <w:shd w:val="clear" w:color="auto" w:fill="FFFFFF"/>
        <w:spacing w:line="360" w:lineRule="auto"/>
        <w:contextualSpacing/>
        <w:jc w:val="both"/>
        <w:rPr>
          <w:rFonts w:ascii="Times New Roman" w:hAnsi="Times New Roman" w:cs="Times New Roman"/>
          <w:color w:val="000000" w:themeColor="text1"/>
        </w:rPr>
      </w:pPr>
      <w:r w:rsidRPr="000E1361">
        <w:rPr>
          <w:rFonts w:ascii="Times New Roman" w:eastAsia="Calibri" w:hAnsi="Times New Roman" w:cs="Times New Roman"/>
          <w:color w:val="000000" w:themeColor="text1"/>
        </w:rPr>
        <w:t>A potentially important assumption within the model is that there can be complete eradication</w:t>
      </w:r>
      <w:r w:rsidRPr="000E1361">
        <w:rPr>
          <w:rFonts w:ascii="Times New Roman" w:hAnsi="Times New Roman" w:cs="Times New Roman"/>
          <w:color w:val="000000" w:themeColor="text1"/>
        </w:rPr>
        <w:t xml:space="preserve"> of </w:t>
      </w:r>
      <w:r w:rsidRPr="000E1361">
        <w:rPr>
          <w:rFonts w:ascii="Times New Roman" w:eastAsia="Calibri" w:hAnsi="Times New Roman" w:cs="Times New Roman"/>
          <w:color w:val="000000" w:themeColor="text1"/>
        </w:rPr>
        <w:t>colonisation</w:t>
      </w:r>
      <w:r w:rsidRPr="000E1361">
        <w:rPr>
          <w:rFonts w:ascii="Times New Roman" w:hAnsi="Times New Roman" w:cs="Times New Roman"/>
          <w:color w:val="000000" w:themeColor="text1"/>
        </w:rPr>
        <w:t xml:space="preserve"> </w:t>
      </w:r>
      <w:r w:rsidRPr="000E1361">
        <w:rPr>
          <w:rFonts w:ascii="Times New Roman" w:eastAsia="Times New Roman" w:hAnsi="Times New Roman" w:cs="Times New Roman"/>
          <w:color w:val="000000" w:themeColor="text1"/>
          <w:lang w:eastAsia="en-GB"/>
        </w:rPr>
        <w:t xml:space="preserve">with </w:t>
      </w:r>
      <w:r w:rsidRPr="000E1361">
        <w:rPr>
          <w:rFonts w:ascii="Times New Roman" w:hAnsi="Times New Roman" w:cs="Times New Roman"/>
          <w:color w:val="000000" w:themeColor="text1"/>
        </w:rPr>
        <w:t>any pathogen (sensitive or resistant</w:t>
      </w:r>
      <w:r w:rsidRPr="000E1361">
        <w:rPr>
          <w:rFonts w:ascii="Times New Roman" w:eastAsia="Times New Roman" w:hAnsi="Times New Roman" w:cs="Times New Roman"/>
          <w:color w:val="000000" w:themeColor="text1"/>
          <w:lang w:eastAsia="en-GB"/>
        </w:rPr>
        <w:t>), and that treatment increases the likelihood of this occurring</w:t>
      </w:r>
      <w:r w:rsidRPr="000E1361">
        <w:rPr>
          <w:rFonts w:ascii="Times New Roman" w:eastAsia="Calibri" w:hAnsi="Times New Roman" w:cs="Times New Roman"/>
          <w:color w:val="000000" w:themeColor="text1"/>
        </w:rPr>
        <w:t>.</w:t>
      </w:r>
      <w:r w:rsidRPr="000E1361">
        <w:rPr>
          <w:rFonts w:ascii="Times New Roman" w:hAnsi="Times New Roman" w:cs="Times New Roman"/>
          <w:color w:val="000000" w:themeColor="text1"/>
        </w:rPr>
        <w:t xml:space="preserve"> The clinical advisors to EEPRU believe that complete eradication is unlikely to happen as there will always be a reservoir of the pathogen remaining in the gut. The influence on results of introducing this alternative assumption into the model is difficult to know due to the dynamic-transmission aspects of the model. However, if it is assumed that discharged patients are prone to developing the same pathogen again (and that this can further infections) the result will be a lower population health benefit from treatment including from the introduction of CAZ-AVI.</w:t>
      </w:r>
    </w:p>
    <w:p w14:paraId="59076086" w14:textId="77777777" w:rsidR="000E1361" w:rsidRPr="000E1361" w:rsidRDefault="000E1361" w:rsidP="000E1361">
      <w:pPr>
        <w:spacing w:line="360" w:lineRule="auto"/>
        <w:contextualSpacing/>
        <w:rPr>
          <w:rFonts w:ascii="Times New Roman" w:hAnsi="Times New Roman" w:cs="Times New Roman"/>
        </w:rPr>
      </w:pPr>
    </w:p>
    <w:p w14:paraId="0B0ECC46" w14:textId="647AF6A9" w:rsidR="000E1361" w:rsidRPr="009E265F" w:rsidRDefault="000E1361" w:rsidP="009E265F">
      <w:pPr>
        <w:spacing w:line="360" w:lineRule="auto"/>
        <w:rPr>
          <w:rFonts w:ascii="Times New Roman" w:hAnsi="Times New Roman" w:cs="Times New Roman"/>
          <w:bCs/>
          <w:i/>
          <w:iCs/>
        </w:rPr>
      </w:pPr>
      <w:r w:rsidRPr="009E265F">
        <w:rPr>
          <w:rFonts w:ascii="Times New Roman" w:hAnsi="Times New Roman" w:cs="Times New Roman"/>
          <w:bCs/>
          <w:i/>
          <w:iCs/>
        </w:rPr>
        <w:lastRenderedPageBreak/>
        <w:t xml:space="preserve">Issues with absence of information on the key drivers of net </w:t>
      </w:r>
      <w:r w:rsidR="00B00084" w:rsidRPr="009E265F">
        <w:rPr>
          <w:rFonts w:ascii="Times New Roman" w:hAnsi="Times New Roman" w:cs="Times New Roman"/>
          <w:bCs/>
          <w:i/>
          <w:iCs/>
        </w:rPr>
        <w:t>m</w:t>
      </w:r>
      <w:r w:rsidRPr="009E265F">
        <w:rPr>
          <w:rFonts w:ascii="Times New Roman" w:hAnsi="Times New Roman" w:cs="Times New Roman"/>
          <w:bCs/>
          <w:i/>
          <w:iCs/>
        </w:rPr>
        <w:t xml:space="preserve">onetary </w:t>
      </w:r>
      <w:r w:rsidR="00B00084" w:rsidRPr="009E265F">
        <w:rPr>
          <w:rFonts w:ascii="Times New Roman" w:hAnsi="Times New Roman" w:cs="Times New Roman"/>
          <w:bCs/>
          <w:i/>
          <w:iCs/>
        </w:rPr>
        <w:t>b</w:t>
      </w:r>
      <w:r w:rsidRPr="009E265F">
        <w:rPr>
          <w:rFonts w:ascii="Times New Roman" w:hAnsi="Times New Roman" w:cs="Times New Roman"/>
          <w:bCs/>
          <w:i/>
          <w:iCs/>
        </w:rPr>
        <w:t xml:space="preserve">enefit </w:t>
      </w:r>
    </w:p>
    <w:p w14:paraId="51BF59DE" w14:textId="43191B1D"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base-case NMB </w:t>
      </w:r>
      <w:proofErr w:type="gramStart"/>
      <w:r w:rsidRPr="000E1361">
        <w:rPr>
          <w:rFonts w:ascii="Times New Roman" w:hAnsi="Times New Roman" w:cs="Times New Roman"/>
          <w:color w:val="000000" w:themeColor="text1"/>
        </w:rPr>
        <w:t>estimate,</w:t>
      </w:r>
      <w:proofErr w:type="gramEnd"/>
      <w:r w:rsidRPr="000E1361">
        <w:rPr>
          <w:rFonts w:ascii="Times New Roman" w:hAnsi="Times New Roman" w:cs="Times New Roman"/>
          <w:color w:val="000000" w:themeColor="text1"/>
        </w:rPr>
        <w:t xml:space="preserve"> at a cost per QALY threshold of £30,000, was £598,779,222 for the three indications </w:t>
      </w:r>
      <w:proofErr w:type="spellStart"/>
      <w:r w:rsidRPr="000E1361">
        <w:rPr>
          <w:rFonts w:ascii="Times New Roman" w:hAnsi="Times New Roman" w:cs="Times New Roman"/>
          <w:color w:val="000000" w:themeColor="text1"/>
        </w:rPr>
        <w:t>cUTI</w:t>
      </w:r>
      <w:proofErr w:type="spellEnd"/>
      <w:r w:rsidRPr="000E1361">
        <w:rPr>
          <w:rFonts w:ascii="Times New Roman" w:hAnsi="Times New Roman" w:cs="Times New Roman"/>
          <w:color w:val="000000" w:themeColor="text1"/>
        </w:rPr>
        <w:t xml:space="preserve">, </w:t>
      </w:r>
      <w:proofErr w:type="spellStart"/>
      <w:r w:rsidRPr="000E1361">
        <w:rPr>
          <w:rFonts w:ascii="Times New Roman" w:hAnsi="Times New Roman" w:cs="Times New Roman"/>
          <w:color w:val="000000" w:themeColor="text1"/>
        </w:rPr>
        <w:t>cIAI</w:t>
      </w:r>
      <w:proofErr w:type="spellEnd"/>
      <w:r w:rsidRPr="000E1361">
        <w:rPr>
          <w:rFonts w:ascii="Times New Roman" w:hAnsi="Times New Roman" w:cs="Times New Roman"/>
          <w:color w:val="000000" w:themeColor="text1"/>
        </w:rPr>
        <w:t>, and HAP/VAP combined, in the population of England</w:t>
      </w:r>
      <w:r w:rsidR="00B00084">
        <w:rPr>
          <w:rFonts w:ascii="Times New Roman" w:hAnsi="Times New Roman" w:cs="Times New Roman"/>
          <w:color w:val="000000" w:themeColor="text1"/>
        </w:rPr>
        <w:t>,</w:t>
      </w:r>
      <w:r w:rsidRPr="000E1361">
        <w:rPr>
          <w:rFonts w:ascii="Times New Roman" w:hAnsi="Times New Roman" w:cs="Times New Roman"/>
          <w:color w:val="000000" w:themeColor="text1"/>
        </w:rPr>
        <w:t xml:space="preserve"> over a 10-year time horizon. These results are shown in </w:t>
      </w:r>
      <w:r w:rsidR="00B00084" w:rsidRPr="00B00084">
        <w:rPr>
          <w:rFonts w:ascii="Times New Roman" w:hAnsi="Times New Roman" w:cs="Times New Roman"/>
        </w:rPr>
        <w:t xml:space="preserve">Table </w:t>
      </w:r>
      <w:r w:rsidR="00B00084" w:rsidRPr="00B00084">
        <w:rPr>
          <w:rFonts w:ascii="Times New Roman" w:hAnsi="Times New Roman" w:cs="Times New Roman"/>
          <w:noProof/>
        </w:rPr>
        <w:t>17</w:t>
      </w:r>
      <w:r w:rsidRPr="000E1361">
        <w:rPr>
          <w:rFonts w:ascii="Times New Roman" w:hAnsi="Times New Roman" w:cs="Times New Roman"/>
          <w:color w:val="000000" w:themeColor="text1"/>
        </w:rPr>
        <w:t>. The magnitude of the NMB is likely to be driven by additional health gains (QALYs) with the use of CAZ-AVI as the incremental costs are comparably small in the absence of CAZ-AVI acquisition costs. The incremental QALY gains are likely to be driven by differences in mortality rather than changes in utility during infection because the duration of disutility due to an infection is short: the duration of treatment is assumed to be two days for unsuccessful treatment and less than 10 days for successful treatment, whilst mortality occurs three days after the final unsuccessful treatment. If the NMB of CAZ-AVI is driven by differences in mortality from infection, it is unclear how these results were obtained. This is because CAZ-AVI is never the most effective treatment option, and any improvements in efficacy over comparators is modest (see</w:t>
      </w:r>
      <w:r w:rsidR="00885971">
        <w:rPr>
          <w:rFonts w:ascii="Times New Roman" w:hAnsi="Times New Roman" w:cs="Times New Roman"/>
          <w:color w:val="000000" w:themeColor="text1"/>
        </w:rPr>
        <w:t xml:space="preserve"> </w:t>
      </w:r>
      <w:r w:rsidR="00B00084" w:rsidRPr="00483CEE">
        <w:rPr>
          <w:rFonts w:ascii="Times New Roman" w:hAnsi="Times New Roman" w:cs="Times New Roman"/>
          <w:sz w:val="20"/>
          <w:szCs w:val="20"/>
        </w:rPr>
        <w:t>Table 16</w:t>
      </w:r>
      <w:r w:rsidRPr="000E1361">
        <w:rPr>
          <w:rFonts w:ascii="Times New Roman" w:hAnsi="Times New Roman" w:cs="Times New Roman"/>
          <w:color w:val="000000" w:themeColor="text1"/>
        </w:rPr>
        <w:t xml:space="preserve">). </w:t>
      </w:r>
      <w:r w:rsidR="00492404" w:rsidRPr="000E1361">
        <w:rPr>
          <w:rFonts w:ascii="Times New Roman" w:hAnsi="Times New Roman" w:cs="Times New Roman"/>
          <w:color w:val="000000" w:themeColor="text1"/>
        </w:rPr>
        <w:t>Similarly</w:t>
      </w:r>
      <w:r w:rsidRPr="000E1361">
        <w:rPr>
          <w:rFonts w:ascii="Times New Roman" w:hAnsi="Times New Roman" w:cs="Times New Roman"/>
          <w:color w:val="000000" w:themeColor="text1"/>
        </w:rPr>
        <w:t xml:space="preserve">, CAZ-AVI never has the lowest rates of baseline resistance, and values are generally very similar to those for </w:t>
      </w:r>
      <w:r w:rsidRPr="000E1361">
        <w:rPr>
          <w:rFonts w:ascii="Times New Roman" w:hAnsi="Times New Roman" w:cs="Times New Roman"/>
        </w:rPr>
        <w:t>meropenem and colistin (</w:t>
      </w:r>
      <w:r w:rsidRPr="000E1361">
        <w:rPr>
          <w:rFonts w:ascii="Times New Roman" w:hAnsi="Times New Roman" w:cs="Times New Roman"/>
          <w:color w:val="000000" w:themeColor="text1"/>
        </w:rPr>
        <w:t>see</w:t>
      </w:r>
      <w:r w:rsidR="00885971">
        <w:rPr>
          <w:rFonts w:ascii="Times New Roman" w:hAnsi="Times New Roman" w:cs="Times New Roman"/>
          <w:color w:val="000000" w:themeColor="text1"/>
        </w:rPr>
        <w:t xml:space="preserve"> </w:t>
      </w:r>
      <w:r w:rsidR="00885971" w:rsidRPr="00885971">
        <w:rPr>
          <w:rFonts w:ascii="Times New Roman" w:hAnsi="Times New Roman" w:cs="Times New Roman"/>
        </w:rPr>
        <w:t>Table 16</w:t>
      </w:r>
      <w:r w:rsidR="00885971">
        <w:rPr>
          <w:rFonts w:ascii="Times New Roman" w:hAnsi="Times New Roman" w:cs="Times New Roman"/>
          <w:color w:val="000000" w:themeColor="text1"/>
        </w:rPr>
        <w:t>)</w:t>
      </w:r>
      <w:r w:rsidRPr="000E1361">
        <w:rPr>
          <w:rFonts w:ascii="Times New Roman" w:hAnsi="Times New Roman" w:cs="Times New Roman"/>
        </w:rPr>
        <w:t xml:space="preserve">. This lack of clarity is compounded </w:t>
      </w:r>
      <w:r w:rsidRPr="000E1361">
        <w:rPr>
          <w:rFonts w:ascii="Times New Roman" w:hAnsi="Times New Roman" w:cs="Times New Roman"/>
          <w:color w:val="000000" w:themeColor="text1"/>
        </w:rPr>
        <w:t xml:space="preserve">as the company’s </w:t>
      </w:r>
      <w:r w:rsidR="00492404">
        <w:rPr>
          <w:rFonts w:ascii="Times New Roman" w:hAnsi="Times New Roman" w:cs="Times New Roman"/>
          <w:color w:val="000000" w:themeColor="text1"/>
        </w:rPr>
        <w:t>submission</w:t>
      </w:r>
      <w:r w:rsidRPr="000E1361">
        <w:rPr>
          <w:rFonts w:ascii="Times New Roman" w:hAnsi="Times New Roman" w:cs="Times New Roman"/>
          <w:color w:val="000000" w:themeColor="text1"/>
        </w:rPr>
        <w:t xml:space="preserve"> does not go to reasonable lengths to provide </w:t>
      </w:r>
      <w:r w:rsidRPr="000E1361">
        <w:rPr>
          <w:rFonts w:ascii="Times New Roman" w:hAnsi="Times New Roman" w:cs="Times New Roman"/>
          <w:color w:val="000000" w:themeColor="text1"/>
          <w:lang w:eastAsia="en-GB"/>
        </w:rPr>
        <w:t>a detailed</w:t>
      </w:r>
      <w:r w:rsidRPr="000E1361">
        <w:rPr>
          <w:rFonts w:ascii="Times New Roman" w:hAnsi="Times New Roman" w:cs="Times New Roman"/>
          <w:color w:val="000000" w:themeColor="text1"/>
        </w:rPr>
        <w:t xml:space="preserve"> analysis of what is driving this outcome.</w:t>
      </w:r>
    </w:p>
    <w:p w14:paraId="34E77B95" w14:textId="77777777" w:rsidR="000E1361" w:rsidRPr="000E1361" w:rsidRDefault="000E1361" w:rsidP="000E1361">
      <w:pPr>
        <w:autoSpaceDE w:val="0"/>
        <w:autoSpaceDN w:val="0"/>
        <w:adjustRightInd w:val="0"/>
        <w:spacing w:line="360" w:lineRule="auto"/>
        <w:contextualSpacing/>
        <w:jc w:val="both"/>
        <w:rPr>
          <w:rFonts w:ascii="Times New Roman" w:hAnsi="Times New Roman" w:cs="Times New Roman"/>
        </w:rPr>
      </w:pPr>
    </w:p>
    <w:p w14:paraId="2F7CC61E" w14:textId="1B86C537"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company presents a range of sensitivity analysis </w:t>
      </w:r>
      <w:r w:rsidRPr="000E1361">
        <w:rPr>
          <w:rFonts w:ascii="Times New Roman" w:hAnsi="Times New Roman" w:cs="Times New Roman"/>
          <w:color w:val="000000" w:themeColor="text1"/>
          <w:lang w:eastAsia="en-GB"/>
        </w:rPr>
        <w:t xml:space="preserve">analyses </w:t>
      </w:r>
      <w:r w:rsidRPr="000E1361">
        <w:rPr>
          <w:rFonts w:ascii="Times New Roman" w:hAnsi="Times New Roman" w:cs="Times New Roman"/>
          <w:color w:val="000000" w:themeColor="text1"/>
        </w:rPr>
        <w:t xml:space="preserve">of changes in key parameter values and the NMB results are found to be most sensitive to treatment efficacy as shown in </w:t>
      </w:r>
      <w:r w:rsidR="000A1217" w:rsidRPr="000A1217">
        <w:rPr>
          <w:rFonts w:ascii="Times New Roman" w:hAnsi="Times New Roman" w:cs="Times New Roman"/>
        </w:rPr>
        <w:t xml:space="preserve">Figure </w:t>
      </w:r>
      <w:r w:rsidR="000A1217" w:rsidRPr="000A1217">
        <w:rPr>
          <w:rFonts w:ascii="Times New Roman" w:hAnsi="Times New Roman" w:cs="Times New Roman"/>
          <w:noProof/>
        </w:rPr>
        <w:t>12</w:t>
      </w:r>
      <w:r w:rsidRPr="000E1361">
        <w:rPr>
          <w:rFonts w:ascii="Times New Roman" w:hAnsi="Times New Roman" w:cs="Times New Roman"/>
          <w:color w:val="000000" w:themeColor="text1"/>
          <w:lang w:eastAsia="en-GB"/>
        </w:rPr>
        <w:t>.</w:t>
      </w:r>
      <w:r w:rsidRPr="000E1361">
        <w:rPr>
          <w:rFonts w:ascii="Times New Roman" w:hAnsi="Times New Roman" w:cs="Times New Roman"/>
          <w:color w:val="000000" w:themeColor="text1"/>
        </w:rPr>
        <w:t xml:space="preserve"> However, absent</w:t>
      </w:r>
      <w:r w:rsidRPr="000E1361">
        <w:rPr>
          <w:rFonts w:ascii="Times New Roman" w:hAnsi="Times New Roman" w:cs="Times New Roman"/>
          <w:color w:val="000000" w:themeColor="text1"/>
          <w:lang w:eastAsia="en-GB"/>
        </w:rPr>
        <w:t xml:space="preserve"> from the sensitivity analysis</w:t>
      </w:r>
      <w:r w:rsidRPr="000E1361">
        <w:rPr>
          <w:rFonts w:ascii="Times New Roman" w:hAnsi="Times New Roman" w:cs="Times New Roman"/>
          <w:color w:val="000000" w:themeColor="text1"/>
        </w:rPr>
        <w:t xml:space="preserve"> is information on the relative contribution to incremental QALYs from treatment-related causes that are most likely to be driving mortality and hence the NMB results. The company </w:t>
      </w:r>
      <w:r w:rsidR="00492404">
        <w:rPr>
          <w:rFonts w:ascii="Times New Roman" w:hAnsi="Times New Roman" w:cs="Times New Roman"/>
          <w:color w:val="000000" w:themeColor="text1"/>
        </w:rPr>
        <w:t>submission</w:t>
      </w:r>
      <w:r w:rsidRPr="000E1361">
        <w:rPr>
          <w:rFonts w:ascii="Times New Roman" w:hAnsi="Times New Roman" w:cs="Times New Roman"/>
          <w:color w:val="000000" w:themeColor="text1"/>
        </w:rPr>
        <w:t xml:space="preserve"> is not transparent on how much of the improvement in mortality with CAZ-AVI is due to static effects in the model (direct patient benefits from the relative clinical efficacy of CAZ-AVI) and how much is due to the different dynamic aspects of the model that influence population-level benefits such as the health benefits from reduced infection transmission and from diversity strategies. To validate the plausibility of the economic results, information is needed on the QALYs gained in each distinct pathway of treatment effect on mortality. A potential explanation for the large NMB attributable to CAZ-AVI may be the specification of the comparators in the decision problem, as discussed next.</w:t>
      </w:r>
    </w:p>
    <w:p w14:paraId="60C92F35" w14:textId="77777777" w:rsidR="000E1361" w:rsidRPr="000E1361" w:rsidRDefault="000E1361" w:rsidP="000E1361">
      <w:pPr>
        <w:spacing w:line="360" w:lineRule="auto"/>
        <w:contextualSpacing/>
        <w:jc w:val="both"/>
        <w:rPr>
          <w:rFonts w:ascii="Times New Roman" w:hAnsi="Times New Roman" w:cs="Times New Roman"/>
          <w:color w:val="000000" w:themeColor="text1"/>
        </w:rPr>
      </w:pPr>
    </w:p>
    <w:p w14:paraId="2124FAF1" w14:textId="77777777" w:rsidR="000E1361" w:rsidRPr="009E265F" w:rsidRDefault="000E1361" w:rsidP="009E265F">
      <w:pPr>
        <w:spacing w:line="360" w:lineRule="auto"/>
        <w:rPr>
          <w:rFonts w:ascii="Times New Roman" w:hAnsi="Times New Roman" w:cs="Times New Roman"/>
          <w:bCs/>
          <w:i/>
          <w:iCs/>
        </w:rPr>
      </w:pPr>
      <w:r w:rsidRPr="009E265F">
        <w:rPr>
          <w:rFonts w:ascii="Times New Roman" w:hAnsi="Times New Roman" w:cs="Times New Roman"/>
          <w:bCs/>
          <w:i/>
          <w:iCs/>
        </w:rPr>
        <w:t>Implications of a two-line comparator treatment sequence</w:t>
      </w:r>
    </w:p>
    <w:p w14:paraId="22BBBE9A" w14:textId="282DEB00"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color w:val="000000"/>
        </w:rPr>
      </w:pPr>
      <w:r w:rsidRPr="000E1361">
        <w:rPr>
          <w:rFonts w:ascii="Times New Roman" w:hAnsi="Times New Roman" w:cs="Times New Roman"/>
          <w:color w:val="000000"/>
        </w:rPr>
        <w:t xml:space="preserve">The comparators used in the company submission are shown in </w:t>
      </w:r>
      <w:r w:rsidR="000A1217" w:rsidRPr="000E1361">
        <w:rPr>
          <w:rFonts w:ascii="Times New Roman" w:hAnsi="Times New Roman" w:cs="Times New Roman"/>
        </w:rPr>
        <w:t xml:space="preserve">Table </w:t>
      </w:r>
      <w:r w:rsidR="000A1217">
        <w:rPr>
          <w:rFonts w:ascii="Times New Roman" w:hAnsi="Times New Roman" w:cs="Times New Roman"/>
          <w:noProof/>
        </w:rPr>
        <w:t>18</w:t>
      </w:r>
      <w:r w:rsidRPr="000E1361">
        <w:rPr>
          <w:rFonts w:ascii="Times New Roman" w:eastAsia="Calibri" w:hAnsi="Times New Roman" w:cs="Times New Roman"/>
          <w:color w:val="000000"/>
        </w:rPr>
        <w:t xml:space="preserve">. This suggests </w:t>
      </w:r>
      <w:r w:rsidRPr="000E1361">
        <w:rPr>
          <w:rFonts w:ascii="Times New Roman" w:hAnsi="Times New Roman" w:cs="Times New Roman"/>
          <w:color w:val="000000"/>
        </w:rPr>
        <w:t xml:space="preserve">that the company’s model applies a two-line sequence as the comparator (it is unclear if a treatment could be used twice). A clear justification for choice of comparators is not provided in the company’s </w:t>
      </w:r>
      <w:r w:rsidR="00492404">
        <w:rPr>
          <w:rFonts w:ascii="Times New Roman" w:hAnsi="Times New Roman" w:cs="Times New Roman"/>
          <w:color w:val="000000"/>
        </w:rPr>
        <w:t>submission</w:t>
      </w:r>
      <w:r w:rsidRPr="000E1361">
        <w:rPr>
          <w:rFonts w:ascii="Times New Roman" w:hAnsi="Times New Roman" w:cs="Times New Roman"/>
          <w:color w:val="000000"/>
        </w:rPr>
        <w:t xml:space="preserve">. In addition, the assumption of a two-line comparator sequence is not supported by evidence </w:t>
      </w:r>
      <w:r w:rsidRPr="000E1361">
        <w:rPr>
          <w:rFonts w:ascii="Times New Roman" w:eastAsia="Calibri" w:hAnsi="Times New Roman" w:cs="Times New Roman"/>
          <w:color w:val="000000"/>
        </w:rPr>
        <w:t xml:space="preserve">as </w:t>
      </w:r>
      <w:r w:rsidR="000A1217" w:rsidRPr="000E1361">
        <w:rPr>
          <w:rFonts w:ascii="Times New Roman" w:eastAsia="Calibri" w:hAnsi="Times New Roman" w:cs="Times New Roman"/>
          <w:color w:val="000000"/>
        </w:rPr>
        <w:t>several</w:t>
      </w:r>
      <w:r w:rsidRPr="000E1361">
        <w:rPr>
          <w:rFonts w:ascii="Times New Roman" w:eastAsia="Calibri" w:hAnsi="Times New Roman" w:cs="Times New Roman"/>
          <w:color w:val="000000"/>
        </w:rPr>
        <w:t xml:space="preserve"> </w:t>
      </w:r>
      <w:r w:rsidRPr="000E1361">
        <w:rPr>
          <w:rFonts w:ascii="Times New Roman" w:eastAsia="Calibri" w:hAnsi="Times New Roman" w:cs="Times New Roman"/>
          <w:color w:val="000000"/>
        </w:rPr>
        <w:lastRenderedPageBreak/>
        <w:t xml:space="preserve">antibiotics are likely to be effective in the non-resistance enriched patient population considered by the model. For example, </w:t>
      </w:r>
      <w:r w:rsidRPr="000E1361">
        <w:rPr>
          <w:rFonts w:ascii="Times New Roman" w:hAnsi="Times New Roman" w:cs="Times New Roman"/>
          <w:color w:val="000000"/>
        </w:rPr>
        <w:t>the EEPRU</w:t>
      </w:r>
      <w:r w:rsidR="000A1217">
        <w:rPr>
          <w:rFonts w:ascii="Times New Roman" w:hAnsi="Times New Roman" w:cs="Times New Roman"/>
          <w:color w:val="000000"/>
        </w:rPr>
        <w:t>’s</w:t>
      </w:r>
      <w:r w:rsidRPr="000E1361">
        <w:rPr>
          <w:rFonts w:ascii="Times New Roman" w:hAnsi="Times New Roman" w:cs="Times New Roman"/>
          <w:color w:val="000000"/>
        </w:rPr>
        <w:t xml:space="preserve"> </w:t>
      </w:r>
      <w:r w:rsidRPr="003B4513">
        <w:rPr>
          <w:rFonts w:ascii="Times New Roman" w:hAnsi="Times New Roman" w:cs="Times New Roman"/>
          <w:color w:val="000000"/>
        </w:rPr>
        <w:t>PICOS in</w:t>
      </w:r>
      <w:r w:rsidR="00F3729C" w:rsidRPr="003B4513">
        <w:rPr>
          <w:rFonts w:ascii="Times New Roman" w:hAnsi="Times New Roman" w:cs="Times New Roman"/>
          <w:color w:val="000000"/>
        </w:rPr>
        <w:t xml:space="preserve"> </w:t>
      </w:r>
      <w:r w:rsidR="000A1217" w:rsidRPr="000A1217">
        <w:rPr>
          <w:rFonts w:asciiTheme="majorBidi" w:hAnsiTheme="majorBidi"/>
        </w:rPr>
        <w:t xml:space="preserve">Table </w:t>
      </w:r>
      <w:r w:rsidR="000A1217" w:rsidRPr="000A1217">
        <w:rPr>
          <w:rFonts w:asciiTheme="majorBidi" w:hAnsiTheme="majorBidi"/>
          <w:noProof/>
        </w:rPr>
        <w:t>1</w:t>
      </w:r>
      <w:r w:rsidRPr="003B4513">
        <w:rPr>
          <w:rFonts w:ascii="Times New Roman" w:hAnsi="Times New Roman" w:cs="Times New Roman"/>
          <w:color w:val="000000"/>
        </w:rPr>
        <w:t xml:space="preserve"> lists</w:t>
      </w:r>
      <w:r w:rsidRPr="000E1361">
        <w:rPr>
          <w:rFonts w:ascii="Times New Roman" w:hAnsi="Times New Roman" w:cs="Times New Roman"/>
          <w:color w:val="000000"/>
        </w:rPr>
        <w:t xml:space="preserve"> several AMs. The inclusion of one of these would allow for treatment sequences with three (or more) treatments in the company’s model.</w:t>
      </w:r>
    </w:p>
    <w:p w14:paraId="178BE5A0" w14:textId="77777777"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b/>
        </w:rPr>
      </w:pPr>
    </w:p>
    <w:p w14:paraId="6CF4F022" w14:textId="77777777"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rPr>
        <w:t xml:space="preserve">Patients who have exhausted all available antibiotic treatment options and fail to clear the infection naturally are assumed to die after three days. Hence the addition of </w:t>
      </w:r>
      <w:r w:rsidRPr="000E1361">
        <w:rPr>
          <w:rFonts w:ascii="Times New Roman" w:eastAsia="Calibri" w:hAnsi="Times New Roman" w:cs="Times New Roman"/>
          <w:color w:val="000000"/>
        </w:rPr>
        <w:t>any drug</w:t>
      </w:r>
      <w:r w:rsidRPr="000E1361">
        <w:rPr>
          <w:rFonts w:ascii="Times New Roman" w:hAnsi="Times New Roman" w:cs="Times New Roman"/>
          <w:color w:val="000000"/>
        </w:rPr>
        <w:t xml:space="preserve"> to a treatment sequence is expected to generate an advantage when compared to a two-line sequence. Further, it is unclear if </w:t>
      </w:r>
      <w:r w:rsidRPr="000E1361">
        <w:rPr>
          <w:rFonts w:ascii="Times New Roman" w:hAnsi="Times New Roman" w:cs="Times New Roman"/>
          <w:color w:val="000000" w:themeColor="text1"/>
        </w:rPr>
        <w:t>person-to-person transmission</w:t>
      </w:r>
      <w:r w:rsidRPr="000E1361">
        <w:rPr>
          <w:rFonts w:ascii="Times New Roman" w:hAnsi="Times New Roman" w:cs="Times New Roman"/>
          <w:color w:val="000000"/>
        </w:rPr>
        <w:t xml:space="preserve"> of resistance is greater in two-line treatment lines compared to a three-line sequence in the company’s model. A difference would be due to the reduced benefit from </w:t>
      </w:r>
      <w:r w:rsidRPr="000E1361">
        <w:rPr>
          <w:rFonts w:ascii="Times New Roman" w:hAnsi="Times New Roman" w:cs="Times New Roman"/>
          <w:color w:val="000000" w:themeColor="text1"/>
        </w:rPr>
        <w:t>diversification: there is less opportunity in a two-line sequence for infected patients to move to the colonised state before exhausting available treatments, and patients are assumed to gradually lose resistance at a fixed rate over time only when in a colonised state.</w:t>
      </w:r>
    </w:p>
    <w:p w14:paraId="0BAD2D5C" w14:textId="77777777"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color w:val="000000" w:themeColor="text1"/>
        </w:rPr>
      </w:pPr>
    </w:p>
    <w:p w14:paraId="0DB1D035" w14:textId="77777777"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As previously noted, clinical advisors to EEPRU suggest that microbiologic testing is appropriate for the infections considered. </w:t>
      </w:r>
      <w:r w:rsidRPr="000E1361">
        <w:rPr>
          <w:rFonts w:ascii="Times New Roman" w:hAnsi="Times New Roman" w:cs="Times New Roman"/>
        </w:rPr>
        <w:t>The company considers a broadly empiric strategy for all treatment lines, this will enhance the relative benefits of a three-line treatment sequence compared to a two-line comparator sequence</w:t>
      </w:r>
      <w:r w:rsidRPr="000E1361">
        <w:rPr>
          <w:rFonts w:ascii="Times New Roman" w:hAnsi="Times New Roman" w:cs="Times New Roman"/>
          <w:color w:val="000000"/>
        </w:rPr>
        <w:t xml:space="preserve">. </w:t>
      </w:r>
    </w:p>
    <w:p w14:paraId="798D340D" w14:textId="77777777" w:rsidR="000E1361" w:rsidRPr="000E1361" w:rsidRDefault="000E1361" w:rsidP="000E1361">
      <w:pPr>
        <w:pBdr>
          <w:top w:val="nil"/>
          <w:left w:val="nil"/>
          <w:bottom w:val="nil"/>
          <w:right w:val="nil"/>
          <w:between w:val="nil"/>
        </w:pBdr>
        <w:spacing w:line="360" w:lineRule="auto"/>
        <w:contextualSpacing/>
        <w:jc w:val="both"/>
        <w:rPr>
          <w:rFonts w:ascii="Times New Roman" w:hAnsi="Times New Roman" w:cs="Times New Roman"/>
          <w:color w:val="000000"/>
        </w:rPr>
      </w:pPr>
    </w:p>
    <w:p w14:paraId="3912DCC5" w14:textId="2BF1A6AA" w:rsidR="000E1361" w:rsidRPr="009E265F" w:rsidRDefault="000E1361" w:rsidP="009E265F">
      <w:pPr>
        <w:pStyle w:val="table"/>
      </w:pPr>
      <w:bookmarkStart w:id="321" w:name="_Ref83727971"/>
      <w:bookmarkStart w:id="322" w:name="_Toc86418995"/>
      <w:r w:rsidRPr="009E265F">
        <w:t xml:space="preserve">Table </w:t>
      </w:r>
      <w:r w:rsidR="00F10F0A" w:rsidRPr="009E265F">
        <w:rPr>
          <w:noProof/>
        </w:rPr>
        <w:t>18</w:t>
      </w:r>
      <w:bookmarkEnd w:id="321"/>
      <w:r w:rsidRPr="009E265F">
        <w:t>: Summary of intervention technology and comparators across indications</w:t>
      </w:r>
      <w:bookmarkEnd w:id="322"/>
    </w:p>
    <w:tbl>
      <w:tblPr>
        <w:tblStyle w:val="TableGrid"/>
        <w:tblW w:w="5000" w:type="pct"/>
        <w:tblLook w:val="04A0" w:firstRow="1" w:lastRow="0" w:firstColumn="1" w:lastColumn="0" w:noHBand="0" w:noVBand="1"/>
      </w:tblPr>
      <w:tblGrid>
        <w:gridCol w:w="3695"/>
        <w:gridCol w:w="1773"/>
        <w:gridCol w:w="1774"/>
        <w:gridCol w:w="1774"/>
      </w:tblGrid>
      <w:tr w:rsidR="000E1361" w:rsidRPr="004A4B7C" w14:paraId="74323147" w14:textId="77777777" w:rsidTr="0022376C">
        <w:tc>
          <w:tcPr>
            <w:tcW w:w="2049" w:type="pct"/>
          </w:tcPr>
          <w:p w14:paraId="6182347C" w14:textId="25CA7899" w:rsidR="000E1361" w:rsidRPr="004A4B7C" w:rsidRDefault="00CF2F84" w:rsidP="004A4B7C">
            <w:pPr>
              <w:pStyle w:val="TableContent"/>
              <w:spacing w:after="0"/>
              <w:contextualSpacing/>
              <w:rPr>
                <w:rFonts w:ascii="Times New Roman" w:hAnsi="Times New Roman"/>
                <w:sz w:val="20"/>
                <w:szCs w:val="20"/>
              </w:rPr>
            </w:pPr>
            <w:r w:rsidRPr="004A4B7C">
              <w:rPr>
                <w:rFonts w:ascii="Times New Roman" w:hAnsi="Times New Roman"/>
                <w:b/>
                <w:bCs/>
                <w:sz w:val="20"/>
                <w:szCs w:val="20"/>
              </w:rPr>
              <w:t>Intervention</w:t>
            </w:r>
          </w:p>
        </w:tc>
        <w:tc>
          <w:tcPr>
            <w:tcW w:w="983" w:type="pct"/>
          </w:tcPr>
          <w:p w14:paraId="5B246458" w14:textId="091EB46D" w:rsidR="000E1361" w:rsidRPr="004A4B7C" w:rsidRDefault="00CF2F84" w:rsidP="004A4B7C">
            <w:pPr>
              <w:pStyle w:val="TableContent"/>
              <w:keepNext/>
              <w:keepLines/>
              <w:spacing w:after="0"/>
              <w:contextualSpacing/>
              <w:jc w:val="center"/>
              <w:rPr>
                <w:rFonts w:ascii="Times New Roman" w:hAnsi="Times New Roman"/>
                <w:b/>
                <w:sz w:val="20"/>
                <w:szCs w:val="20"/>
              </w:rPr>
            </w:pPr>
            <w:r>
              <w:rPr>
                <w:rFonts w:ascii="Times New Roman" w:hAnsi="Times New Roman"/>
                <w:b/>
                <w:sz w:val="20"/>
                <w:szCs w:val="20"/>
              </w:rPr>
              <w:t xml:space="preserve">Indication </w:t>
            </w:r>
            <w:proofErr w:type="spellStart"/>
            <w:r w:rsidR="000E1361" w:rsidRPr="004A4B7C">
              <w:rPr>
                <w:rFonts w:ascii="Times New Roman" w:hAnsi="Times New Roman"/>
                <w:b/>
                <w:sz w:val="20"/>
                <w:szCs w:val="20"/>
              </w:rPr>
              <w:t>cIAI</w:t>
            </w:r>
            <w:proofErr w:type="spellEnd"/>
          </w:p>
        </w:tc>
        <w:tc>
          <w:tcPr>
            <w:tcW w:w="984" w:type="pct"/>
          </w:tcPr>
          <w:p w14:paraId="1E2A6202" w14:textId="5D4CBAF9" w:rsidR="000E1361" w:rsidRPr="004A4B7C" w:rsidRDefault="00CF2F84" w:rsidP="004A4B7C">
            <w:pPr>
              <w:pStyle w:val="TableContent"/>
              <w:keepNext/>
              <w:keepLines/>
              <w:spacing w:after="0"/>
              <w:contextualSpacing/>
              <w:jc w:val="center"/>
              <w:rPr>
                <w:rFonts w:ascii="Times New Roman" w:hAnsi="Times New Roman"/>
                <w:b/>
                <w:sz w:val="20"/>
                <w:szCs w:val="20"/>
              </w:rPr>
            </w:pPr>
            <w:r>
              <w:rPr>
                <w:rFonts w:ascii="Times New Roman" w:hAnsi="Times New Roman"/>
                <w:b/>
                <w:sz w:val="20"/>
                <w:szCs w:val="20"/>
              </w:rPr>
              <w:t xml:space="preserve">Indication </w:t>
            </w:r>
            <w:proofErr w:type="spellStart"/>
            <w:r w:rsidR="000E1361" w:rsidRPr="004A4B7C">
              <w:rPr>
                <w:rFonts w:ascii="Times New Roman" w:hAnsi="Times New Roman"/>
                <w:b/>
                <w:sz w:val="20"/>
                <w:szCs w:val="20"/>
              </w:rPr>
              <w:t>cUTI</w:t>
            </w:r>
            <w:proofErr w:type="spellEnd"/>
          </w:p>
        </w:tc>
        <w:tc>
          <w:tcPr>
            <w:tcW w:w="984" w:type="pct"/>
          </w:tcPr>
          <w:p w14:paraId="5AFE98A1" w14:textId="6F93D35C" w:rsidR="000E1361" w:rsidRPr="004A4B7C" w:rsidRDefault="00CF2F84" w:rsidP="004A4B7C">
            <w:pPr>
              <w:pStyle w:val="TableContent"/>
              <w:keepNext/>
              <w:keepLines/>
              <w:spacing w:after="0"/>
              <w:contextualSpacing/>
              <w:jc w:val="center"/>
              <w:rPr>
                <w:rFonts w:ascii="Times New Roman" w:hAnsi="Times New Roman"/>
                <w:b/>
                <w:sz w:val="20"/>
                <w:szCs w:val="20"/>
              </w:rPr>
            </w:pPr>
            <w:r>
              <w:rPr>
                <w:rFonts w:ascii="Times New Roman" w:hAnsi="Times New Roman"/>
                <w:b/>
                <w:sz w:val="20"/>
                <w:szCs w:val="20"/>
              </w:rPr>
              <w:t xml:space="preserve">Indication </w:t>
            </w:r>
            <w:r w:rsidR="000E1361" w:rsidRPr="004A4B7C">
              <w:rPr>
                <w:rFonts w:ascii="Times New Roman" w:hAnsi="Times New Roman"/>
                <w:b/>
                <w:sz w:val="20"/>
                <w:szCs w:val="20"/>
              </w:rPr>
              <w:t>HAP/VAP</w:t>
            </w:r>
          </w:p>
        </w:tc>
      </w:tr>
      <w:tr w:rsidR="000E1361" w:rsidRPr="004A4B7C" w14:paraId="604A9414" w14:textId="77777777" w:rsidTr="0022376C">
        <w:tc>
          <w:tcPr>
            <w:tcW w:w="2049" w:type="pct"/>
          </w:tcPr>
          <w:p w14:paraId="44995400" w14:textId="77777777" w:rsidR="000E1361" w:rsidRPr="004A4B7C" w:rsidRDefault="000E1361" w:rsidP="004A4B7C">
            <w:pPr>
              <w:pStyle w:val="TableContent"/>
              <w:spacing w:after="0"/>
              <w:contextualSpacing/>
              <w:rPr>
                <w:rFonts w:ascii="Times New Roman" w:hAnsi="Times New Roman"/>
                <w:sz w:val="20"/>
                <w:szCs w:val="20"/>
              </w:rPr>
            </w:pPr>
            <w:r w:rsidRPr="004A4B7C">
              <w:rPr>
                <w:rFonts w:ascii="Times New Roman" w:hAnsi="Times New Roman"/>
                <w:sz w:val="20"/>
                <w:szCs w:val="20"/>
              </w:rPr>
              <w:t>Piperacillin/tazobactam (Pip/Taz)</w:t>
            </w:r>
          </w:p>
        </w:tc>
        <w:tc>
          <w:tcPr>
            <w:tcW w:w="983" w:type="pct"/>
          </w:tcPr>
          <w:p w14:paraId="49384A5C"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0F897468"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27436A1D"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4F"/>
            </w:r>
          </w:p>
        </w:tc>
      </w:tr>
      <w:tr w:rsidR="000E1361" w:rsidRPr="004A4B7C" w14:paraId="7410CD33" w14:textId="77777777" w:rsidTr="0022376C">
        <w:tc>
          <w:tcPr>
            <w:tcW w:w="2049" w:type="pct"/>
          </w:tcPr>
          <w:p w14:paraId="281FB04A" w14:textId="77777777" w:rsidR="000E1361" w:rsidRPr="004A4B7C" w:rsidRDefault="000E1361" w:rsidP="004A4B7C">
            <w:pPr>
              <w:pStyle w:val="TableContent"/>
              <w:spacing w:after="0"/>
              <w:contextualSpacing/>
              <w:rPr>
                <w:rFonts w:ascii="Times New Roman" w:hAnsi="Times New Roman"/>
                <w:sz w:val="20"/>
                <w:szCs w:val="20"/>
              </w:rPr>
            </w:pPr>
            <w:r w:rsidRPr="004A4B7C">
              <w:rPr>
                <w:rFonts w:ascii="Times New Roman" w:hAnsi="Times New Roman"/>
                <w:sz w:val="20"/>
                <w:szCs w:val="20"/>
              </w:rPr>
              <w:t xml:space="preserve">Colistin </w:t>
            </w:r>
          </w:p>
        </w:tc>
        <w:tc>
          <w:tcPr>
            <w:tcW w:w="983" w:type="pct"/>
          </w:tcPr>
          <w:p w14:paraId="62BAC55F"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4F"/>
            </w:r>
          </w:p>
        </w:tc>
        <w:tc>
          <w:tcPr>
            <w:tcW w:w="984" w:type="pct"/>
          </w:tcPr>
          <w:p w14:paraId="3232BA15"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4F"/>
            </w:r>
          </w:p>
        </w:tc>
        <w:tc>
          <w:tcPr>
            <w:tcW w:w="984" w:type="pct"/>
          </w:tcPr>
          <w:p w14:paraId="5F199909"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r>
      <w:tr w:rsidR="000E1361" w:rsidRPr="004A4B7C" w14:paraId="04A9ECB7" w14:textId="77777777" w:rsidTr="0022376C">
        <w:tc>
          <w:tcPr>
            <w:tcW w:w="2049" w:type="pct"/>
          </w:tcPr>
          <w:p w14:paraId="439D230D" w14:textId="77777777" w:rsidR="000E1361" w:rsidRPr="004A4B7C" w:rsidRDefault="000E1361" w:rsidP="004A4B7C">
            <w:pPr>
              <w:pStyle w:val="TableContent"/>
              <w:spacing w:after="0"/>
              <w:contextualSpacing/>
              <w:rPr>
                <w:rFonts w:ascii="Times New Roman" w:hAnsi="Times New Roman"/>
                <w:sz w:val="20"/>
                <w:szCs w:val="20"/>
              </w:rPr>
            </w:pPr>
            <w:r w:rsidRPr="004A4B7C">
              <w:rPr>
                <w:rFonts w:ascii="Times New Roman" w:hAnsi="Times New Roman"/>
                <w:sz w:val="20"/>
                <w:szCs w:val="20"/>
              </w:rPr>
              <w:t>Meropenem</w:t>
            </w:r>
          </w:p>
        </w:tc>
        <w:tc>
          <w:tcPr>
            <w:tcW w:w="983" w:type="pct"/>
          </w:tcPr>
          <w:p w14:paraId="7E567792"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563611AD"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7350FA94"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r>
      <w:tr w:rsidR="000E1361" w:rsidRPr="004A4B7C" w14:paraId="57E09161" w14:textId="77777777" w:rsidTr="0022376C">
        <w:tc>
          <w:tcPr>
            <w:tcW w:w="2049" w:type="pct"/>
          </w:tcPr>
          <w:p w14:paraId="05EAE028" w14:textId="77777777" w:rsidR="000E1361" w:rsidRPr="004A4B7C" w:rsidRDefault="000E1361" w:rsidP="004A4B7C">
            <w:pPr>
              <w:pStyle w:val="TableContent"/>
              <w:spacing w:after="0"/>
              <w:contextualSpacing/>
              <w:rPr>
                <w:rFonts w:ascii="Times New Roman" w:hAnsi="Times New Roman"/>
                <w:sz w:val="20"/>
                <w:szCs w:val="20"/>
              </w:rPr>
            </w:pPr>
            <w:r w:rsidRPr="004A4B7C">
              <w:rPr>
                <w:rFonts w:ascii="Times New Roman" w:hAnsi="Times New Roman"/>
                <w:sz w:val="20"/>
                <w:szCs w:val="20"/>
              </w:rPr>
              <w:t>CAZ-AVI</w:t>
            </w:r>
          </w:p>
        </w:tc>
        <w:tc>
          <w:tcPr>
            <w:tcW w:w="983" w:type="pct"/>
          </w:tcPr>
          <w:p w14:paraId="1EA61070"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63D14B1D"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c>
          <w:tcPr>
            <w:tcW w:w="984" w:type="pct"/>
          </w:tcPr>
          <w:p w14:paraId="6F3B7ABD" w14:textId="77777777" w:rsidR="000E1361" w:rsidRPr="004A4B7C" w:rsidRDefault="000E1361" w:rsidP="004A4B7C">
            <w:pPr>
              <w:pStyle w:val="TableContent"/>
              <w:keepNext/>
              <w:keepLines/>
              <w:spacing w:after="0"/>
              <w:contextualSpacing/>
              <w:jc w:val="center"/>
              <w:rPr>
                <w:rFonts w:ascii="Times New Roman" w:hAnsi="Times New Roman"/>
                <w:sz w:val="20"/>
                <w:szCs w:val="20"/>
              </w:rPr>
            </w:pPr>
            <w:r w:rsidRPr="004A4B7C">
              <w:rPr>
                <w:rFonts w:ascii="Times New Roman" w:eastAsia="Wingdings 2" w:hAnsi="Times New Roman"/>
                <w:sz w:val="20"/>
                <w:szCs w:val="20"/>
              </w:rPr>
              <w:sym w:font="Wingdings 2" w:char="F050"/>
            </w:r>
          </w:p>
        </w:tc>
      </w:tr>
    </w:tbl>
    <w:p w14:paraId="7ECAFE31" w14:textId="13FC84D0" w:rsidR="00EC4BFF" w:rsidRDefault="00EC4BFF" w:rsidP="00EC4BFF">
      <w:pPr>
        <w:pStyle w:val="EEPRUtextundertables"/>
      </w:pPr>
      <w:proofErr w:type="spellStart"/>
      <w:r>
        <w:t>cIAI</w:t>
      </w:r>
      <w:proofErr w:type="spellEnd"/>
      <w:r>
        <w:t xml:space="preserve">, complicated intraabdominal infection;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w:t>
      </w:r>
    </w:p>
    <w:p w14:paraId="61491116" w14:textId="77777777" w:rsidR="000E1361" w:rsidRPr="000E1361" w:rsidRDefault="000E1361" w:rsidP="000E1361">
      <w:pPr>
        <w:pBdr>
          <w:top w:val="nil"/>
          <w:left w:val="nil"/>
          <w:bottom w:val="nil"/>
          <w:right w:val="nil"/>
          <w:between w:val="nil"/>
        </w:pBdr>
        <w:spacing w:line="360" w:lineRule="auto"/>
        <w:contextualSpacing/>
        <w:rPr>
          <w:rFonts w:ascii="Times New Roman" w:hAnsi="Times New Roman" w:cs="Times New Roman"/>
          <w:color w:val="000000" w:themeColor="text1"/>
        </w:rPr>
      </w:pPr>
    </w:p>
    <w:p w14:paraId="4B216663" w14:textId="77777777" w:rsidR="000E1361" w:rsidRPr="009E265F" w:rsidRDefault="000E1361" w:rsidP="009E265F">
      <w:pPr>
        <w:spacing w:line="360" w:lineRule="auto"/>
        <w:rPr>
          <w:rFonts w:ascii="Times New Roman" w:hAnsi="Times New Roman" w:cs="Times New Roman"/>
          <w:bCs/>
          <w:i/>
          <w:iCs/>
        </w:rPr>
      </w:pPr>
      <w:r w:rsidRPr="009E265F">
        <w:rPr>
          <w:rFonts w:ascii="Times New Roman" w:hAnsi="Times New Roman" w:cs="Times New Roman"/>
          <w:bCs/>
          <w:i/>
          <w:iCs/>
        </w:rPr>
        <w:t>Further sources of concern in the NMB calculation</w:t>
      </w:r>
    </w:p>
    <w:p w14:paraId="5B61D0C2" w14:textId="30D1EC25" w:rsid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There is uncertainty in the appropriateness of the population size used in the NMB calculations, which is not fully justified. The company </w:t>
      </w:r>
      <w:r w:rsidR="00885971">
        <w:rPr>
          <w:rFonts w:ascii="Times New Roman" w:hAnsi="Times New Roman" w:cs="Times New Roman"/>
          <w:color w:val="000000" w:themeColor="text1"/>
        </w:rPr>
        <w:t>submission</w:t>
      </w:r>
      <w:r w:rsidRPr="000E1361">
        <w:rPr>
          <w:rFonts w:ascii="Times New Roman" w:hAnsi="Times New Roman" w:cs="Times New Roman"/>
          <w:color w:val="000000" w:themeColor="text1"/>
        </w:rPr>
        <w:t xml:space="preserve"> states that the population level in England was “</w:t>
      </w:r>
      <w:r w:rsidRPr="000E1361">
        <w:rPr>
          <w:rFonts w:ascii="Times New Roman" w:hAnsi="Times New Roman" w:cs="Times New Roman"/>
          <w:i/>
          <w:iCs/>
          <w:color w:val="000000" w:themeColor="text1"/>
        </w:rPr>
        <w:t>based on 2019 overnight hospital bed occupancy where it was assumed 93,432 beds in England are constantly occupied in the general and acute wards</w:t>
      </w:r>
      <w:r w:rsidRPr="000E1361">
        <w:rPr>
          <w:rFonts w:ascii="Times New Roman" w:hAnsi="Times New Roman" w:cs="Times New Roman"/>
          <w:color w:val="000000" w:themeColor="text1"/>
        </w:rPr>
        <w:t>” (p.159) and that approximately 3,100 patients per annum over a 10-year period were used (p16). The sources and calculations used to establish the overall population size are not clearly stated. If the population size is unreasonably large</w:t>
      </w:r>
      <w:r w:rsidR="000A1217">
        <w:rPr>
          <w:rFonts w:ascii="Times New Roman" w:hAnsi="Times New Roman" w:cs="Times New Roman"/>
          <w:color w:val="000000" w:themeColor="text1"/>
        </w:rPr>
        <w:t>,</w:t>
      </w:r>
      <w:r w:rsidRPr="000E1361">
        <w:rPr>
          <w:rFonts w:ascii="Times New Roman" w:hAnsi="Times New Roman" w:cs="Times New Roman"/>
          <w:color w:val="000000" w:themeColor="text1"/>
        </w:rPr>
        <w:t xml:space="preserve"> this will magnify the NMB of CAZ-AVI. Further, as previously noted, the submitted analyses consider an indication for CAZ-AVI that is broader than that expected by the clinical advisors to EEPRU. An increase in patient </w:t>
      </w:r>
      <w:r w:rsidRPr="000E1361">
        <w:rPr>
          <w:rFonts w:ascii="Times New Roman" w:hAnsi="Times New Roman" w:cs="Times New Roman"/>
          <w:color w:val="000000" w:themeColor="text1"/>
        </w:rPr>
        <w:lastRenderedPageBreak/>
        <w:t>numbers receiving CAZ-AVI will contribute to health gains associated with the CAZ-AVI arm and hence NMB.</w:t>
      </w:r>
    </w:p>
    <w:p w14:paraId="45E5A727" w14:textId="77777777" w:rsidR="003B4513" w:rsidRPr="000E1361" w:rsidRDefault="003B4513" w:rsidP="000E1361">
      <w:pPr>
        <w:autoSpaceDE w:val="0"/>
        <w:autoSpaceDN w:val="0"/>
        <w:adjustRightInd w:val="0"/>
        <w:spacing w:line="360" w:lineRule="auto"/>
        <w:contextualSpacing/>
        <w:jc w:val="both"/>
        <w:rPr>
          <w:rFonts w:ascii="Times New Roman" w:hAnsi="Times New Roman" w:cs="Times New Roman"/>
          <w:color w:val="000000" w:themeColor="text1"/>
        </w:rPr>
      </w:pPr>
    </w:p>
    <w:p w14:paraId="529298CA" w14:textId="6FEC9685"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color w:val="000000" w:themeColor="text1"/>
        </w:rPr>
        <w:t>The model appears to have overestimated the health losses of patients from mortality, which is expected to advantage the per patient NMB of introducing CAZ-AVI. This is because the corresponding QALY decrement was derived by comparing the health utility and life expectancy of infected patients to the general population. A more accurate comparison would be to people who are in contact with the health system and at high risk of infection; such patients are likely to have a worse quality of life and life expectancy than the general population. Furthermore, it is unclear if discounting w</w:t>
      </w:r>
      <w:r w:rsidR="000A1217">
        <w:rPr>
          <w:rFonts w:ascii="Times New Roman" w:hAnsi="Times New Roman" w:cs="Times New Roman"/>
          <w:color w:val="000000" w:themeColor="text1"/>
        </w:rPr>
        <w:t>as</w:t>
      </w:r>
      <w:r w:rsidRPr="000E1361">
        <w:rPr>
          <w:rFonts w:ascii="Times New Roman" w:hAnsi="Times New Roman" w:cs="Times New Roman"/>
          <w:color w:val="000000" w:themeColor="text1"/>
        </w:rPr>
        <w:t xml:space="preserve"> applied to each additional year of expected survival of non-infected patients. The choice of a </w:t>
      </w:r>
      <w:r w:rsidR="000A1217">
        <w:rPr>
          <w:rFonts w:ascii="Times New Roman" w:hAnsi="Times New Roman" w:cs="Times New Roman"/>
          <w:color w:val="000000" w:themeColor="text1"/>
        </w:rPr>
        <w:t>cost-effectiveness</w:t>
      </w:r>
      <w:r w:rsidRPr="000E1361">
        <w:rPr>
          <w:rFonts w:ascii="Times New Roman" w:hAnsi="Times New Roman" w:cs="Times New Roman"/>
          <w:color w:val="000000" w:themeColor="text1"/>
        </w:rPr>
        <w:t xml:space="preserve"> threshold of £30,000 is also not justified.</w:t>
      </w:r>
    </w:p>
    <w:p w14:paraId="5CFC4FF4" w14:textId="77777777" w:rsidR="000E1361" w:rsidRPr="000E1361" w:rsidRDefault="000E1361" w:rsidP="000E1361">
      <w:pPr>
        <w:autoSpaceDE w:val="0"/>
        <w:autoSpaceDN w:val="0"/>
        <w:adjustRightInd w:val="0"/>
        <w:spacing w:line="360" w:lineRule="auto"/>
        <w:contextualSpacing/>
        <w:jc w:val="both"/>
        <w:rPr>
          <w:rFonts w:ascii="Times New Roman" w:hAnsi="Times New Roman" w:cs="Times New Roman"/>
          <w:color w:val="000000" w:themeColor="text1"/>
        </w:rPr>
      </w:pPr>
    </w:p>
    <w:p w14:paraId="569423EC" w14:textId="314ACCA6" w:rsidR="000E1361" w:rsidRPr="000E1361" w:rsidRDefault="003B4513" w:rsidP="009E265F">
      <w:pPr>
        <w:pStyle w:val="EEPRUnumberedlevel4"/>
        <w:ind w:hanging="250"/>
      </w:pPr>
      <w:bookmarkStart w:id="323" w:name="_Toc87463025"/>
      <w:r>
        <w:t xml:space="preserve">6.1.5.6 </w:t>
      </w:r>
      <w:r w:rsidR="000E1361" w:rsidRPr="000E1361">
        <w:t>Other concerns with the model</w:t>
      </w:r>
      <w:bookmarkEnd w:id="323"/>
    </w:p>
    <w:p w14:paraId="1B50140C" w14:textId="77777777"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rPr>
        <w:t>The following are additional limitations of the model:</w:t>
      </w:r>
    </w:p>
    <w:p w14:paraId="6A1DD870" w14:textId="0C450D14" w:rsidR="000E1361" w:rsidRPr="000E1361" w:rsidRDefault="000E1361" w:rsidP="005A3BE6">
      <w:pPr>
        <w:pStyle w:val="ListParagraph"/>
        <w:numPr>
          <w:ilvl w:val="0"/>
          <w:numId w:val="91"/>
        </w:numPr>
        <w:spacing w:line="360" w:lineRule="auto"/>
        <w:jc w:val="both"/>
        <w:rPr>
          <w:rFonts w:ascii="Times New Roman" w:hAnsi="Times New Roman" w:cs="Times New Roman"/>
          <w:color w:val="000000" w:themeColor="text1"/>
        </w:rPr>
      </w:pPr>
      <w:r w:rsidRPr="000E1361">
        <w:rPr>
          <w:rFonts w:ascii="Times New Roman" w:hAnsi="Times New Roman" w:cs="Times New Roman"/>
          <w:color w:val="000000" w:themeColor="text1"/>
        </w:rPr>
        <w:t>All transition parameters</w:t>
      </w:r>
      <w:r w:rsidRPr="000E1361">
        <w:rPr>
          <w:rFonts w:ascii="Times New Roman" w:hAnsi="Times New Roman" w:cs="Times New Roman"/>
        </w:rPr>
        <w:t xml:space="preserve"> were established from calibration to infection incidence and resistance development </w:t>
      </w:r>
      <w:r w:rsidRPr="000E1361">
        <w:rPr>
          <w:rFonts w:ascii="Times New Roman" w:hAnsi="Times New Roman" w:cs="Times New Roman"/>
          <w:color w:val="000000" w:themeColor="text1"/>
        </w:rPr>
        <w:t>time-series data</w:t>
      </w:r>
      <w:r w:rsidRPr="000E1361">
        <w:rPr>
          <w:rFonts w:ascii="Times New Roman" w:hAnsi="Times New Roman" w:cs="Times New Roman"/>
        </w:rPr>
        <w:t xml:space="preserve"> reported by PHE and Fingertips.</w:t>
      </w:r>
      <w:r w:rsidRPr="000E1361">
        <w:rPr>
          <w:rFonts w:ascii="Times New Roman" w:hAnsi="Times New Roman" w:cs="Times New Roman"/>
          <w:color w:val="000000" w:themeColor="text1"/>
        </w:rPr>
        <w:t xml:space="preserve"> Model calibration is conducted with reference to national resistance and incidence data in all settings. Calibration to the subset of data available from hospital settings (</w:t>
      </w:r>
      <w:r w:rsidR="000A1217">
        <w:rPr>
          <w:rFonts w:ascii="Times New Roman" w:hAnsi="Times New Roman" w:cs="Times New Roman"/>
          <w:color w:val="000000" w:themeColor="text1"/>
        </w:rPr>
        <w:t>a</w:t>
      </w:r>
      <w:r w:rsidRPr="000E1361">
        <w:rPr>
          <w:rFonts w:ascii="Times New Roman" w:hAnsi="Times New Roman" w:cs="Times New Roman"/>
          <w:color w:val="000000" w:themeColor="text1"/>
        </w:rPr>
        <w:t xml:space="preserve">cute </w:t>
      </w:r>
      <w:r w:rsidR="000A1217">
        <w:rPr>
          <w:rFonts w:ascii="Times New Roman" w:hAnsi="Times New Roman" w:cs="Times New Roman"/>
          <w:color w:val="000000" w:themeColor="text1"/>
        </w:rPr>
        <w:t>t</w:t>
      </w:r>
      <w:r w:rsidRPr="000E1361">
        <w:rPr>
          <w:rFonts w:ascii="Times New Roman" w:hAnsi="Times New Roman" w:cs="Times New Roman"/>
          <w:color w:val="000000" w:themeColor="text1"/>
        </w:rPr>
        <w:t>rusts) is more appropriate given that the model simulates a hospital environment and the greater use of antibiotics in hospital environments means the rates of resistance are typically larger than in the community.</w:t>
      </w:r>
    </w:p>
    <w:p w14:paraId="160536DA" w14:textId="6209847E" w:rsidR="000E1361" w:rsidRPr="000E1361" w:rsidRDefault="000E1361" w:rsidP="005A3BE6">
      <w:pPr>
        <w:pStyle w:val="ListParagraph"/>
        <w:numPr>
          <w:ilvl w:val="0"/>
          <w:numId w:val="91"/>
        </w:numPr>
        <w:autoSpaceDE w:val="0"/>
        <w:autoSpaceDN w:val="0"/>
        <w:adjustRightInd w:val="0"/>
        <w:spacing w:line="360" w:lineRule="auto"/>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model requires evidence for </w:t>
      </w:r>
      <w:proofErr w:type="gramStart"/>
      <w:r w:rsidRPr="000E1361">
        <w:rPr>
          <w:rFonts w:ascii="Times New Roman" w:hAnsi="Times New Roman" w:cs="Times New Roman"/>
          <w:color w:val="000000" w:themeColor="text1"/>
        </w:rPr>
        <w:t>a large number of</w:t>
      </w:r>
      <w:proofErr w:type="gramEnd"/>
      <w:r w:rsidRPr="000E1361">
        <w:rPr>
          <w:rFonts w:ascii="Times New Roman" w:hAnsi="Times New Roman" w:cs="Times New Roman"/>
          <w:color w:val="000000" w:themeColor="text1"/>
        </w:rPr>
        <w:t xml:space="preserve"> parameters to allow the prediction of outcomes. As such, a significant number of data-related assumptions was required to produce the published outcomes. There do not appear to be any formal </w:t>
      </w:r>
      <w:r w:rsidR="000A1217">
        <w:rPr>
          <w:rFonts w:ascii="Times New Roman" w:hAnsi="Times New Roman" w:cs="Times New Roman"/>
          <w:color w:val="000000" w:themeColor="text1"/>
        </w:rPr>
        <w:t xml:space="preserve">structured </w:t>
      </w:r>
      <w:r w:rsidRPr="000E1361">
        <w:rPr>
          <w:rFonts w:ascii="Times New Roman" w:hAnsi="Times New Roman" w:cs="Times New Roman"/>
          <w:color w:val="000000" w:themeColor="text1"/>
        </w:rPr>
        <w:t>expert elicitation exercises to reduce this reliance on assumptions. This is a</w:t>
      </w:r>
      <w:r w:rsidRPr="000E1361">
        <w:rPr>
          <w:rFonts w:ascii="Times New Roman" w:hAnsi="Times New Roman" w:cs="Times New Roman"/>
        </w:rPr>
        <w:t xml:space="preserve"> concern as there is no validation of the model outcomes to additional data sources. This may be because of the limited range of data sources on resistance and incidence. Validation of the model could assess the extent it can predict historical time trends outside the range of years used in calibration (</w:t>
      </w:r>
      <w:proofErr w:type="gramStart"/>
      <w:r w:rsidRPr="000E1361">
        <w:rPr>
          <w:rFonts w:ascii="Times New Roman" w:hAnsi="Times New Roman" w:cs="Times New Roman"/>
        </w:rPr>
        <w:t>i.e.</w:t>
      </w:r>
      <w:proofErr w:type="gramEnd"/>
      <w:r w:rsidRPr="000E1361">
        <w:rPr>
          <w:rFonts w:ascii="Times New Roman" w:hAnsi="Times New Roman" w:cs="Times New Roman"/>
        </w:rPr>
        <w:t xml:space="preserve"> prior to 2013 and after the year 2018) from the same data sources.</w:t>
      </w:r>
    </w:p>
    <w:p w14:paraId="61160DD4" w14:textId="77777777" w:rsidR="000E1361" w:rsidRPr="000E1361" w:rsidRDefault="000E1361" w:rsidP="005A3BE6">
      <w:pPr>
        <w:pStyle w:val="ListParagraph"/>
        <w:numPr>
          <w:ilvl w:val="0"/>
          <w:numId w:val="91"/>
        </w:numPr>
        <w:autoSpaceDE w:val="0"/>
        <w:autoSpaceDN w:val="0"/>
        <w:adjustRightInd w:val="0"/>
        <w:spacing w:line="360" w:lineRule="auto"/>
        <w:jc w:val="both"/>
        <w:rPr>
          <w:rFonts w:ascii="Times New Roman" w:hAnsi="Times New Roman" w:cs="Times New Roman"/>
          <w:color w:val="000000" w:themeColor="text1"/>
        </w:rPr>
      </w:pPr>
      <w:r w:rsidRPr="000E1361">
        <w:rPr>
          <w:rFonts w:ascii="Times New Roman" w:hAnsi="Times New Roman" w:cs="Times New Roman"/>
        </w:rPr>
        <w:t>The model assumes that AM use drives resistance. The reverse may also hold, for example due to considerations of AM stewardship, known resistance may lead to reduced use of an AM.</w:t>
      </w:r>
      <w:r w:rsidRPr="000E1361">
        <w:rPr>
          <w:rFonts w:ascii="Times New Roman" w:hAnsi="Times New Roman" w:cs="Times New Roman"/>
          <w:color w:val="000000" w:themeColor="text1"/>
        </w:rPr>
        <w:t xml:space="preserve"> Therefore, it is preferable if calibration is to data that includes the rate of consumption of antibiotics in hospitals to allow the model to construct a more complete picture of the ecological forces that drive the spread of antibiotic resistance. </w:t>
      </w:r>
    </w:p>
    <w:p w14:paraId="261D668B" w14:textId="77777777" w:rsidR="000E1361" w:rsidRPr="000E1361" w:rsidRDefault="000E1361" w:rsidP="005A3BE6">
      <w:pPr>
        <w:pStyle w:val="ListParagraph"/>
        <w:numPr>
          <w:ilvl w:val="0"/>
          <w:numId w:val="55"/>
        </w:numPr>
        <w:autoSpaceDE w:val="0"/>
        <w:autoSpaceDN w:val="0"/>
        <w:adjustRightInd w:val="0"/>
        <w:spacing w:line="360" w:lineRule="auto"/>
        <w:jc w:val="both"/>
        <w:rPr>
          <w:rFonts w:ascii="Times New Roman" w:hAnsi="Times New Roman" w:cs="Times New Roman"/>
        </w:rPr>
      </w:pPr>
      <w:r w:rsidRPr="000E1361">
        <w:rPr>
          <w:rFonts w:ascii="Times New Roman" w:hAnsi="Times New Roman" w:cs="Times New Roman"/>
        </w:rPr>
        <w:lastRenderedPageBreak/>
        <w:t xml:space="preserve">The </w:t>
      </w:r>
      <w:r w:rsidRPr="000E1361">
        <w:rPr>
          <w:rFonts w:ascii="Times New Roman" w:hAnsi="Times New Roman" w:cs="Times New Roman"/>
          <w:color w:val="000000" w:themeColor="text1"/>
        </w:rPr>
        <w:t xml:space="preserve">output of the model does not include </w:t>
      </w:r>
      <w:r w:rsidRPr="000E1361">
        <w:rPr>
          <w:rFonts w:ascii="Times New Roman" w:hAnsi="Times New Roman" w:cs="Times New Roman"/>
        </w:rPr>
        <w:t>any estimate of uncertainty from a probabilistic sensitivity analysis.</w:t>
      </w:r>
    </w:p>
    <w:p w14:paraId="50F3A4E2" w14:textId="77777777" w:rsidR="000E1361" w:rsidRPr="000E1361" w:rsidRDefault="000E1361" w:rsidP="005A3BE6">
      <w:pPr>
        <w:pStyle w:val="ListParagraph"/>
        <w:numPr>
          <w:ilvl w:val="0"/>
          <w:numId w:val="55"/>
        </w:numPr>
        <w:spacing w:line="360" w:lineRule="auto"/>
        <w:jc w:val="both"/>
        <w:rPr>
          <w:rFonts w:ascii="Times New Roman" w:hAnsi="Times New Roman" w:cs="Times New Roman"/>
          <w:color w:val="000000" w:themeColor="text1"/>
        </w:rPr>
      </w:pPr>
      <w:r w:rsidRPr="000E1361">
        <w:rPr>
          <w:rFonts w:ascii="Times New Roman" w:hAnsi="Times New Roman" w:cs="Times New Roman"/>
          <w:color w:val="000000" w:themeColor="text1"/>
        </w:rPr>
        <w:t xml:space="preserve">The base case NMB estimates appear to be for a scenario without any treatment cycling. However, the benefits of treatment cycling may already be accounted for in the results because the rate of resistance data used in calibration to determine key transmission parameters </w:t>
      </w:r>
      <w:r w:rsidRPr="000E1361">
        <w:rPr>
          <w:rFonts w:ascii="Times New Roman" w:hAnsi="Times New Roman" w:cs="Times New Roman"/>
        </w:rPr>
        <w:t xml:space="preserve">in the model </w:t>
      </w:r>
      <w:r w:rsidRPr="000E1361">
        <w:rPr>
          <w:rFonts w:ascii="Times New Roman" w:hAnsi="Times New Roman" w:cs="Times New Roman"/>
          <w:color w:val="000000" w:themeColor="text1"/>
        </w:rPr>
        <w:t xml:space="preserve">will include any cycling behaviour between antibiotics that has taken place in England. </w:t>
      </w:r>
    </w:p>
    <w:p w14:paraId="2E094965" w14:textId="77777777" w:rsidR="000E1361" w:rsidRPr="000E1361" w:rsidRDefault="000E1361" w:rsidP="000E1361">
      <w:pPr>
        <w:spacing w:line="360" w:lineRule="auto"/>
        <w:contextualSpacing/>
        <w:jc w:val="both"/>
        <w:rPr>
          <w:rFonts w:ascii="Times New Roman" w:hAnsi="Times New Roman" w:cs="Times New Roman"/>
          <w:color w:val="000000" w:themeColor="text1"/>
        </w:rPr>
      </w:pPr>
    </w:p>
    <w:p w14:paraId="3551729F" w14:textId="4F1F1171" w:rsidR="000E1361" w:rsidRPr="000E1361" w:rsidRDefault="003B4513" w:rsidP="00211C53">
      <w:pPr>
        <w:pStyle w:val="EEPRUnumberedlevel4"/>
        <w:ind w:hanging="283"/>
      </w:pPr>
      <w:bookmarkStart w:id="324" w:name="_Toc87463026"/>
      <w:r>
        <w:t xml:space="preserve">6.1.5.7 </w:t>
      </w:r>
      <w:r w:rsidR="000E1361" w:rsidRPr="000E1361">
        <w:t>Conclusion</w:t>
      </w:r>
      <w:bookmarkEnd w:id="324"/>
    </w:p>
    <w:p w14:paraId="10A709D1" w14:textId="1ACCE77E" w:rsidR="000E1361" w:rsidRPr="000E1361" w:rsidRDefault="000E1361" w:rsidP="000E1361">
      <w:pPr>
        <w:spacing w:line="360" w:lineRule="auto"/>
        <w:contextualSpacing/>
        <w:jc w:val="both"/>
        <w:rPr>
          <w:rFonts w:ascii="Times New Roman" w:hAnsi="Times New Roman" w:cs="Times New Roman"/>
          <w:color w:val="000000" w:themeColor="text1"/>
        </w:rPr>
      </w:pPr>
      <w:r w:rsidRPr="000E1361">
        <w:rPr>
          <w:rFonts w:ascii="Times New Roman" w:hAnsi="Times New Roman" w:cs="Times New Roman"/>
        </w:rPr>
        <w:t xml:space="preserve">The company has submitted a dynamic cohort-based model to analyse the NMB associated with the introduction of </w:t>
      </w:r>
      <w:r w:rsidRPr="000E1361">
        <w:rPr>
          <w:rFonts w:ascii="Times New Roman" w:hAnsi="Times New Roman" w:cs="Times New Roman"/>
          <w:color w:val="000000" w:themeColor="text1"/>
        </w:rPr>
        <w:t xml:space="preserve">CAZ-AVI. The model considers </w:t>
      </w:r>
      <w:r w:rsidRPr="000E1361">
        <w:rPr>
          <w:rFonts w:ascii="Times New Roman" w:hAnsi="Times New Roman" w:cs="Times New Roman"/>
        </w:rPr>
        <w:t xml:space="preserve">changing the pattern of use of existing AMs in an infectious environment with a constant number of patients but changing proportions that are susceptible, </w:t>
      </w:r>
      <w:proofErr w:type="gramStart"/>
      <w:r w:rsidRPr="000E1361">
        <w:rPr>
          <w:rFonts w:ascii="Times New Roman" w:hAnsi="Times New Roman" w:cs="Times New Roman"/>
        </w:rPr>
        <w:t>colonised</w:t>
      </w:r>
      <w:proofErr w:type="gramEnd"/>
      <w:r w:rsidRPr="000E1361">
        <w:rPr>
          <w:rFonts w:ascii="Times New Roman" w:hAnsi="Times New Roman" w:cs="Times New Roman"/>
        </w:rPr>
        <w:t xml:space="preserve"> and infected. Pathogens may be resistant or sensitive to treatment. </w:t>
      </w:r>
      <w:r w:rsidRPr="000E1361">
        <w:rPr>
          <w:rFonts w:ascii="Times New Roman" w:hAnsi="Times New Roman" w:cs="Times New Roman"/>
          <w:color w:val="000000" w:themeColor="text1"/>
        </w:rPr>
        <w:t xml:space="preserve">The base-case NMB estimate was £598,779,222 </w:t>
      </w:r>
      <w:r w:rsidR="000A1217">
        <w:rPr>
          <w:rFonts w:ascii="Times New Roman" w:hAnsi="Times New Roman" w:cs="Times New Roman"/>
          <w:color w:val="000000" w:themeColor="text1"/>
        </w:rPr>
        <w:t xml:space="preserve">(at a cost-effectiveness threshold of £30,000/QALY) </w:t>
      </w:r>
      <w:r w:rsidRPr="000E1361">
        <w:rPr>
          <w:rFonts w:ascii="Times New Roman" w:hAnsi="Times New Roman" w:cs="Times New Roman"/>
          <w:color w:val="000000" w:themeColor="text1"/>
        </w:rPr>
        <w:t xml:space="preserve">for the three indications </w:t>
      </w:r>
      <w:proofErr w:type="spellStart"/>
      <w:r w:rsidRPr="000E1361">
        <w:rPr>
          <w:rFonts w:ascii="Times New Roman" w:hAnsi="Times New Roman" w:cs="Times New Roman"/>
          <w:color w:val="000000" w:themeColor="text1"/>
        </w:rPr>
        <w:t>cUTI</w:t>
      </w:r>
      <w:proofErr w:type="spellEnd"/>
      <w:r w:rsidRPr="000E1361">
        <w:rPr>
          <w:rFonts w:ascii="Times New Roman" w:hAnsi="Times New Roman" w:cs="Times New Roman"/>
          <w:color w:val="000000" w:themeColor="text1"/>
        </w:rPr>
        <w:t xml:space="preserve">, </w:t>
      </w:r>
      <w:proofErr w:type="spellStart"/>
      <w:r w:rsidRPr="000E1361">
        <w:rPr>
          <w:rFonts w:ascii="Times New Roman" w:hAnsi="Times New Roman" w:cs="Times New Roman"/>
          <w:color w:val="000000" w:themeColor="text1"/>
        </w:rPr>
        <w:t>cIAI</w:t>
      </w:r>
      <w:proofErr w:type="spellEnd"/>
      <w:r w:rsidRPr="000E1361">
        <w:rPr>
          <w:rFonts w:ascii="Times New Roman" w:hAnsi="Times New Roman" w:cs="Times New Roman"/>
          <w:color w:val="000000" w:themeColor="text1"/>
        </w:rPr>
        <w:t xml:space="preserve">, and HAP/VAP combined in the population of England over a 10-year time horizon. </w:t>
      </w:r>
    </w:p>
    <w:p w14:paraId="73305869" w14:textId="77777777" w:rsidR="000E1361" w:rsidRPr="000E1361" w:rsidRDefault="000E1361" w:rsidP="000E1361">
      <w:pPr>
        <w:spacing w:line="360" w:lineRule="auto"/>
        <w:contextualSpacing/>
        <w:jc w:val="both"/>
        <w:rPr>
          <w:rFonts w:ascii="Times New Roman" w:hAnsi="Times New Roman" w:cs="Times New Roman"/>
          <w:color w:val="000000" w:themeColor="text1"/>
        </w:rPr>
      </w:pPr>
    </w:p>
    <w:p w14:paraId="20BCAAE8" w14:textId="77777777" w:rsidR="000E1361" w:rsidRPr="000E1361" w:rsidRDefault="000E1361" w:rsidP="000E1361">
      <w:pPr>
        <w:spacing w:line="360" w:lineRule="auto"/>
        <w:contextualSpacing/>
        <w:jc w:val="both"/>
        <w:rPr>
          <w:rFonts w:ascii="Times New Roman" w:eastAsia="Calibri" w:hAnsi="Times New Roman" w:cs="Times New Roman"/>
          <w:color w:val="000000"/>
        </w:rPr>
      </w:pPr>
      <w:r w:rsidRPr="000E1361">
        <w:rPr>
          <w:rFonts w:ascii="Times New Roman" w:hAnsi="Times New Roman" w:cs="Times New Roman"/>
          <w:color w:val="000000" w:themeColor="text1"/>
        </w:rPr>
        <w:t xml:space="preserve">There is concern that the </w:t>
      </w:r>
      <w:r w:rsidRPr="000E1361">
        <w:rPr>
          <w:rFonts w:ascii="Times New Roman" w:hAnsi="Times New Roman" w:cs="Times New Roman"/>
          <w:color w:val="000000"/>
        </w:rPr>
        <w:t>population considered in the model</w:t>
      </w:r>
      <w:r w:rsidRPr="000E1361">
        <w:rPr>
          <w:rFonts w:ascii="Times New Roman" w:hAnsi="Times New Roman" w:cs="Times New Roman"/>
          <w:color w:val="000000" w:themeColor="text1"/>
        </w:rPr>
        <w:t xml:space="preserve"> diverges from the guidance provided by clinical advisors to EEPRU, where usage of CAZ-AVI would be restricted to patients that are suspected of having a carbapenem-resistant infection</w:t>
      </w:r>
      <w:r w:rsidRPr="000E1361">
        <w:rPr>
          <w:rFonts w:ascii="Times New Roman" w:hAnsi="Times New Roman" w:cs="Times New Roman"/>
        </w:rPr>
        <w:t xml:space="preserve">. The broader use of </w:t>
      </w:r>
      <w:r w:rsidRPr="000E1361">
        <w:rPr>
          <w:rFonts w:ascii="Times New Roman" w:hAnsi="Times New Roman" w:cs="Times New Roman"/>
          <w:color w:val="000000" w:themeColor="text1"/>
        </w:rPr>
        <w:t>CAZ-AVI in the company’s model will contribute to an increased population NMB estimate.</w:t>
      </w:r>
      <w:r w:rsidRPr="000E1361">
        <w:rPr>
          <w:rFonts w:ascii="Times New Roman" w:hAnsi="Times New Roman" w:cs="Times New Roman"/>
        </w:rPr>
        <w:t xml:space="preserve"> </w:t>
      </w:r>
      <w:r w:rsidRPr="000E1361">
        <w:rPr>
          <w:rFonts w:ascii="Times New Roman" w:hAnsi="Times New Roman" w:cs="Times New Roman"/>
          <w:color w:val="000000"/>
        </w:rPr>
        <w:t xml:space="preserve">In addition, </w:t>
      </w:r>
      <w:r w:rsidRPr="000E1361">
        <w:rPr>
          <w:rFonts w:ascii="Times New Roman" w:eastAsia="Calibri" w:hAnsi="Times New Roman" w:cs="Times New Roman"/>
          <w:color w:val="000000"/>
        </w:rPr>
        <w:t>the model assumes that treatment can completely eradicate patients of colonisation with a</w:t>
      </w:r>
      <w:r w:rsidRPr="000E1361">
        <w:rPr>
          <w:rFonts w:ascii="Times New Roman" w:hAnsi="Times New Roman" w:cs="Times New Roman"/>
          <w:color w:val="000000"/>
        </w:rPr>
        <w:t xml:space="preserve"> sensitive</w:t>
      </w:r>
      <w:r w:rsidRPr="000E1361">
        <w:rPr>
          <w:rFonts w:ascii="Times New Roman" w:eastAsia="Calibri" w:hAnsi="Times New Roman" w:cs="Times New Roman"/>
          <w:color w:val="000000"/>
        </w:rPr>
        <w:t xml:space="preserve"> or </w:t>
      </w:r>
      <w:r w:rsidRPr="000E1361">
        <w:rPr>
          <w:rFonts w:ascii="Times New Roman" w:hAnsi="Times New Roman" w:cs="Times New Roman"/>
          <w:color w:val="000000"/>
        </w:rPr>
        <w:t>resistant</w:t>
      </w:r>
      <w:r w:rsidRPr="000E1361">
        <w:rPr>
          <w:rFonts w:ascii="Times New Roman" w:eastAsia="Calibri" w:hAnsi="Times New Roman" w:cs="Times New Roman"/>
          <w:color w:val="000000"/>
        </w:rPr>
        <w:t xml:space="preserve"> pathogen. </w:t>
      </w:r>
      <w:r w:rsidRPr="000E1361">
        <w:rPr>
          <w:rFonts w:ascii="Times New Roman" w:hAnsi="Times New Roman" w:cs="Times New Roman"/>
          <w:color w:val="000000"/>
        </w:rPr>
        <w:t>This also diverges from the clinical advice given to EEPRU.</w:t>
      </w:r>
    </w:p>
    <w:p w14:paraId="00F55C61" w14:textId="77777777" w:rsidR="000E1361" w:rsidRPr="000E1361" w:rsidRDefault="000E1361" w:rsidP="000E1361">
      <w:pPr>
        <w:spacing w:line="360" w:lineRule="auto"/>
        <w:contextualSpacing/>
        <w:jc w:val="both"/>
        <w:rPr>
          <w:rFonts w:ascii="Times New Roman" w:hAnsi="Times New Roman" w:cs="Times New Roman"/>
        </w:rPr>
      </w:pPr>
    </w:p>
    <w:p w14:paraId="5FE59D66" w14:textId="4D17E5C6" w:rsidR="000E1361" w:rsidRPr="000E1361" w:rsidRDefault="000E1361" w:rsidP="000E1361">
      <w:pPr>
        <w:spacing w:line="360" w:lineRule="auto"/>
        <w:contextualSpacing/>
        <w:jc w:val="both"/>
        <w:rPr>
          <w:rFonts w:ascii="Times New Roman" w:hAnsi="Times New Roman" w:cs="Times New Roman"/>
        </w:rPr>
      </w:pPr>
      <w:r w:rsidRPr="000E1361">
        <w:rPr>
          <w:rFonts w:ascii="Times New Roman" w:hAnsi="Times New Roman" w:cs="Times New Roman"/>
          <w:color w:val="000000" w:themeColor="text1"/>
        </w:rPr>
        <w:t xml:space="preserve">Single use of </w:t>
      </w:r>
      <w:r w:rsidRPr="000E1361">
        <w:rPr>
          <w:rFonts w:ascii="Times New Roman" w:hAnsi="Times New Roman" w:cs="Times New Roman"/>
        </w:rPr>
        <w:t>CAZ-AVI compared to a single comparator could be expected to generate broadly similar rates of mortality given the broadly similar efficacy and baseline resistance of CAZ-AVI and alternative treatments</w:t>
      </w:r>
      <w:r w:rsidR="000A1217">
        <w:rPr>
          <w:rFonts w:ascii="Times New Roman" w:hAnsi="Times New Roman" w:cs="Times New Roman"/>
        </w:rPr>
        <w:t>.</w:t>
      </w:r>
      <w:r w:rsidRPr="000E1361">
        <w:rPr>
          <w:rFonts w:ascii="Times New Roman" w:hAnsi="Times New Roman" w:cs="Times New Roman"/>
        </w:rPr>
        <w:t xml:space="preserve"> Therefore, the large NMB may be account</w:t>
      </w:r>
      <w:r w:rsidR="000A1217">
        <w:rPr>
          <w:rFonts w:ascii="Times New Roman" w:hAnsi="Times New Roman" w:cs="Times New Roman"/>
        </w:rPr>
        <w:t>ed for by</w:t>
      </w:r>
      <w:r w:rsidRPr="000E1361">
        <w:rPr>
          <w:rFonts w:ascii="Times New Roman" w:hAnsi="Times New Roman" w:cs="Times New Roman"/>
        </w:rPr>
        <w:t xml:space="preserve"> the dynamic aspects of the model such as the diversification stewardship strategy and the company’s approach to the decision problem, with no </w:t>
      </w:r>
      <w:r w:rsidRPr="000E1361">
        <w:rPr>
          <w:rFonts w:ascii="Times New Roman" w:hAnsi="Times New Roman" w:cs="Times New Roman"/>
          <w:color w:val="000000" w:themeColor="text1"/>
        </w:rPr>
        <w:t>microbiology-directed tested treatment sequence,</w:t>
      </w:r>
      <w:r w:rsidRPr="000E1361">
        <w:rPr>
          <w:rFonts w:ascii="Times New Roman" w:hAnsi="Times New Roman" w:cs="Times New Roman"/>
        </w:rPr>
        <w:t xml:space="preserve"> and a three-line treatment sequence with </w:t>
      </w:r>
      <w:r w:rsidRPr="000E1361">
        <w:rPr>
          <w:rFonts w:ascii="Times New Roman" w:hAnsi="Times New Roman" w:cs="Times New Roman"/>
          <w:color w:val="000000" w:themeColor="text1"/>
        </w:rPr>
        <w:t>CAZ-AVI</w:t>
      </w:r>
      <w:r w:rsidRPr="000E1361">
        <w:rPr>
          <w:rFonts w:ascii="Times New Roman" w:hAnsi="Times New Roman" w:cs="Times New Roman"/>
        </w:rPr>
        <w:t xml:space="preserve"> compared to a two-line comparator. The company has not provided an account of the processes driving the large health benefits in the model.</w:t>
      </w:r>
    </w:p>
    <w:bookmarkEnd w:id="293"/>
    <w:p w14:paraId="177A7764" w14:textId="77777777" w:rsidR="00A4788F" w:rsidRDefault="00A4788F" w:rsidP="00A4788F">
      <w:pPr>
        <w:rPr>
          <w:highlight w:val="green"/>
        </w:rPr>
      </w:pPr>
    </w:p>
    <w:p w14:paraId="4357D1A1" w14:textId="77777777" w:rsidR="00956BFE" w:rsidRPr="001E3274" w:rsidRDefault="00956BFE" w:rsidP="005A3BE6">
      <w:pPr>
        <w:pStyle w:val="EEPRUnumberedLevel1Headingnew"/>
        <w:numPr>
          <w:ilvl w:val="0"/>
          <w:numId w:val="114"/>
        </w:numPr>
      </w:pPr>
      <w:bookmarkStart w:id="325" w:name="_Toc85732258"/>
      <w:bookmarkStart w:id="326" w:name="_Toc87463027"/>
      <w:bookmarkEnd w:id="291"/>
      <w:bookmarkEnd w:id="292"/>
      <w:r>
        <w:lastRenderedPageBreak/>
        <w:t>Methods for EEPRU quantitative assessment of value</w:t>
      </w:r>
      <w:bookmarkEnd w:id="325"/>
      <w:bookmarkEnd w:id="326"/>
    </w:p>
    <w:p w14:paraId="1B11F305" w14:textId="77777777" w:rsidR="00956BFE" w:rsidRPr="007E0A82" w:rsidRDefault="00956BFE" w:rsidP="005A3BE6">
      <w:pPr>
        <w:pStyle w:val="EEPRUnumberedLevel2Headingnew"/>
        <w:numPr>
          <w:ilvl w:val="1"/>
          <w:numId w:val="114"/>
        </w:numPr>
      </w:pPr>
      <w:bookmarkStart w:id="327" w:name="_Toc85732259"/>
      <w:bookmarkStart w:id="328" w:name="_Toc87463028"/>
      <w:r w:rsidRPr="007E0A82">
        <w:t xml:space="preserve">Overview of </w:t>
      </w:r>
      <w:r>
        <w:rPr>
          <w:rFonts w:cs="Times New Roman"/>
        </w:rPr>
        <w:t xml:space="preserve">EEPRU </w:t>
      </w:r>
      <w:r w:rsidRPr="007E0A82">
        <w:t>approach</w:t>
      </w:r>
      <w:bookmarkEnd w:id="327"/>
      <w:bookmarkEnd w:id="328"/>
      <w:r w:rsidRPr="007E0A82">
        <w:t xml:space="preserve"> </w:t>
      </w:r>
    </w:p>
    <w:p w14:paraId="1ECB1012" w14:textId="11686CB6" w:rsidR="00A4788F" w:rsidRPr="001641BF" w:rsidRDefault="00A4788F" w:rsidP="00E14439">
      <w:pPr>
        <w:spacing w:line="360" w:lineRule="auto"/>
        <w:jc w:val="both"/>
        <w:rPr>
          <w:rFonts w:asciiTheme="majorBidi" w:hAnsiTheme="majorBidi" w:cstheme="majorBidi"/>
          <w:color w:val="000000"/>
        </w:rPr>
      </w:pPr>
      <w:r w:rsidRPr="001641BF">
        <w:rPr>
          <w:rFonts w:asciiTheme="majorBidi" w:hAnsiTheme="majorBidi" w:cstheme="majorBidi"/>
        </w:rPr>
        <w:t xml:space="preserve">The quantitative economic analysis developed for this appraisal comprises three components: an assessment of the INHEs of introducing </w:t>
      </w:r>
      <w:r w:rsidR="00FE2007">
        <w:rPr>
          <w:rFonts w:asciiTheme="majorBidi" w:hAnsiTheme="majorBidi" w:cstheme="majorBidi"/>
        </w:rPr>
        <w:t>CAZ-AVI</w:t>
      </w:r>
      <w:r w:rsidRPr="001641BF">
        <w:rPr>
          <w:rFonts w:asciiTheme="majorBidi" w:hAnsiTheme="majorBidi" w:cstheme="majorBidi"/>
        </w:rPr>
        <w:t xml:space="preserve"> within the HVCSs at the patient level; an assessment of INHEs within the HVCSs at the population level; and an assessment of how population-level INHEs within the HVCSs might appropriately be rescaled to reflect expected usage across the NHS. An overview of each component is provided below, and the methods for each component are described in the following sections</w:t>
      </w:r>
      <w:r w:rsidR="00A01EFF">
        <w:rPr>
          <w:rFonts w:asciiTheme="majorBidi" w:hAnsiTheme="majorBidi" w:cstheme="majorBidi"/>
        </w:rPr>
        <w:t xml:space="preserve"> of Section 7.1</w:t>
      </w:r>
      <w:r w:rsidRPr="001641BF">
        <w:rPr>
          <w:rFonts w:asciiTheme="majorBidi" w:hAnsiTheme="majorBidi" w:cstheme="majorBidi"/>
        </w:rPr>
        <w:t>. In line with the NICE Reference Case, t</w:t>
      </w:r>
      <w:r w:rsidRPr="001641BF">
        <w:rPr>
          <w:rFonts w:asciiTheme="majorBidi" w:hAnsiTheme="majorBidi" w:cstheme="majorBidi"/>
          <w:color w:val="000000"/>
        </w:rPr>
        <w:t>he model perspective is the NHS and Personal and Social Services, health benefits are expressed in terms of quality-adjusted life years (QALYs) and both costs and QALYs are discounted at a rate of 3.5% per annum. </w:t>
      </w:r>
    </w:p>
    <w:p w14:paraId="6F3452A3" w14:textId="41C25493" w:rsidR="00A4788F" w:rsidRPr="001641BF" w:rsidRDefault="00A4788F" w:rsidP="00A4788F">
      <w:pPr>
        <w:spacing w:line="360" w:lineRule="auto"/>
        <w:jc w:val="both"/>
        <w:rPr>
          <w:rFonts w:asciiTheme="majorBidi" w:hAnsiTheme="majorBidi" w:cstheme="majorBidi"/>
          <w:color w:val="000000"/>
        </w:rPr>
      </w:pPr>
      <w:r w:rsidRPr="001641BF">
        <w:rPr>
          <w:rFonts w:asciiTheme="majorBidi" w:hAnsiTheme="majorBidi" w:cstheme="majorBidi"/>
        </w:rPr>
        <w:t xml:space="preserve">The patient-level component of the model is structured similarly to models developed as part of other </w:t>
      </w:r>
      <w:r w:rsidRPr="001641BF">
        <w:rPr>
          <w:rFonts w:asciiTheme="majorBidi" w:hAnsiTheme="majorBidi" w:cstheme="majorBidi"/>
          <w:color w:val="000000"/>
        </w:rPr>
        <w:t xml:space="preserve">NICE </w:t>
      </w:r>
      <w:r w:rsidR="00A01EFF">
        <w:rPr>
          <w:rFonts w:asciiTheme="majorBidi" w:hAnsiTheme="majorBidi" w:cstheme="majorBidi"/>
          <w:color w:val="000000"/>
        </w:rPr>
        <w:t>programmes,</w:t>
      </w:r>
      <w:r w:rsidRPr="001641BF">
        <w:rPr>
          <w:rFonts w:asciiTheme="majorBidi" w:hAnsiTheme="majorBidi" w:cstheme="majorBidi"/>
          <w:color w:val="000000"/>
        </w:rPr>
        <w:t xml:space="preserve"> and characterises the likely comparative effectiveness of </w:t>
      </w:r>
      <w:r w:rsidR="00FE2007">
        <w:rPr>
          <w:rFonts w:asciiTheme="majorBidi" w:hAnsiTheme="majorBidi" w:cstheme="majorBidi"/>
          <w:color w:val="000000"/>
        </w:rPr>
        <w:t>CAZ-AVI</w:t>
      </w:r>
      <w:r w:rsidRPr="001641BF">
        <w:rPr>
          <w:rFonts w:asciiTheme="majorBidi" w:hAnsiTheme="majorBidi" w:cstheme="majorBidi"/>
          <w:color w:val="000000"/>
        </w:rPr>
        <w:t xml:space="preserve"> and existing AM usage scenarios; </w:t>
      </w:r>
      <w:proofErr w:type="gramStart"/>
      <w:r w:rsidRPr="001641BF">
        <w:rPr>
          <w:rFonts w:asciiTheme="majorBidi" w:hAnsiTheme="majorBidi" w:cstheme="majorBidi"/>
          <w:color w:val="000000"/>
        </w:rPr>
        <w:t>also</w:t>
      </w:r>
      <w:proofErr w:type="gramEnd"/>
      <w:r w:rsidRPr="001641BF">
        <w:rPr>
          <w:rFonts w:asciiTheme="majorBidi" w:hAnsiTheme="majorBidi" w:cstheme="majorBidi"/>
          <w:color w:val="000000"/>
        </w:rPr>
        <w:t xml:space="preserve"> the impact of </w:t>
      </w:r>
      <w:r w:rsidR="00FE2007">
        <w:rPr>
          <w:rFonts w:asciiTheme="majorBidi" w:hAnsiTheme="majorBidi" w:cstheme="majorBidi"/>
          <w:color w:val="000000"/>
        </w:rPr>
        <w:t>CAZ-AVI</w:t>
      </w:r>
      <w:r w:rsidRPr="001641BF">
        <w:rPr>
          <w:rFonts w:asciiTheme="majorBidi" w:hAnsiTheme="majorBidi" w:cstheme="majorBidi"/>
          <w:color w:val="000000"/>
        </w:rPr>
        <w:t xml:space="preserve"> and existing AM usage scenarios on costs, </w:t>
      </w:r>
      <w:proofErr w:type="spellStart"/>
      <w:r w:rsidRPr="001641BF">
        <w:rPr>
          <w:rFonts w:asciiTheme="majorBidi" w:hAnsiTheme="majorBidi" w:cstheme="majorBidi"/>
          <w:color w:val="000000"/>
        </w:rPr>
        <w:t>HRQoL</w:t>
      </w:r>
      <w:proofErr w:type="spellEnd"/>
      <w:r w:rsidRPr="001641BF">
        <w:rPr>
          <w:rFonts w:asciiTheme="majorBidi" w:hAnsiTheme="majorBidi" w:cstheme="majorBidi"/>
          <w:color w:val="000000"/>
        </w:rPr>
        <w:t xml:space="preserve"> and mortality over the lifetime of the patient. </w:t>
      </w:r>
    </w:p>
    <w:p w14:paraId="455317B9" w14:textId="2B60FDAE" w:rsidR="00A4788F" w:rsidRPr="001641BF" w:rsidRDefault="00A4788F" w:rsidP="00A83123">
      <w:pPr>
        <w:spacing w:line="360" w:lineRule="auto"/>
        <w:jc w:val="both"/>
        <w:rPr>
          <w:rFonts w:asciiTheme="majorBidi" w:hAnsiTheme="majorBidi" w:cstheme="majorBidi"/>
          <w:color w:val="000000"/>
        </w:rPr>
      </w:pPr>
      <w:r w:rsidRPr="001641BF">
        <w:rPr>
          <w:rFonts w:asciiTheme="majorBidi" w:hAnsiTheme="majorBidi" w:cstheme="majorBidi"/>
          <w:color w:val="000000"/>
        </w:rPr>
        <w:t xml:space="preserve">The population-level component aggregates the patient-level predictions to the population level accounting for the size of, and growth over time in, the eligible patient population in England within each HVCS.  This component also reflects how resistance is likely to develop to </w:t>
      </w:r>
      <w:r w:rsidR="00FE2007">
        <w:rPr>
          <w:rFonts w:asciiTheme="majorBidi" w:hAnsiTheme="majorBidi" w:cstheme="majorBidi"/>
          <w:color w:val="000000"/>
        </w:rPr>
        <w:t>CAZ-AVI</w:t>
      </w:r>
      <w:r w:rsidRPr="001641BF">
        <w:rPr>
          <w:rFonts w:asciiTheme="majorBidi" w:hAnsiTheme="majorBidi" w:cstheme="majorBidi"/>
          <w:color w:val="000000"/>
        </w:rPr>
        <w:t xml:space="preserve"> and existing AMs over time. The previous EEPRU framework outlined two broad approaches to modelling this: mechanistic dynamic transmission modelling</w:t>
      </w:r>
      <w:r w:rsidR="00E9704A">
        <w:rPr>
          <w:rFonts w:asciiTheme="majorBidi" w:hAnsiTheme="majorBidi" w:cstheme="majorBidi"/>
          <w:color w:val="000000"/>
        </w:rPr>
        <w:t>,</w:t>
      </w:r>
      <w:r w:rsidRPr="001641BF">
        <w:rPr>
          <w:rFonts w:asciiTheme="majorBidi" w:hAnsiTheme="majorBidi" w:cstheme="majorBidi"/>
          <w:color w:val="000000"/>
        </w:rPr>
        <w:t xml:space="preserve"> which attempts to explain the way in which susceptible and resistant pathogens spread through the population; and statistical forecasting models </w:t>
      </w:r>
      <w:r w:rsidR="00E9704A">
        <w:rPr>
          <w:rFonts w:asciiTheme="majorBidi" w:hAnsiTheme="majorBidi" w:cstheme="majorBidi"/>
          <w:color w:val="000000"/>
        </w:rPr>
        <w:t>which</w:t>
      </w:r>
      <w:r w:rsidRPr="001641BF">
        <w:rPr>
          <w:rFonts w:asciiTheme="majorBidi" w:hAnsiTheme="majorBidi" w:cstheme="majorBidi"/>
          <w:color w:val="000000"/>
        </w:rPr>
        <w:t xml:space="preserve"> predict the number of people with infections with specific resistance profiles without explicitly modelling the underlying mechanistic processes of pathogen transmission and resistance acquisition</w:t>
      </w:r>
      <w:r w:rsidR="00E9704A">
        <w:rPr>
          <w:rFonts w:asciiTheme="majorBidi" w:hAnsiTheme="majorBidi" w:cstheme="majorBidi"/>
          <w:color w:val="000000"/>
        </w:rPr>
        <w:t>.</w:t>
      </w:r>
      <w:r w:rsidR="00A83123" w:rsidRPr="00A83123">
        <w:rPr>
          <w:rFonts w:asciiTheme="majorBidi" w:hAnsiTheme="majorBidi" w:cstheme="majorBidi"/>
          <w:noProof/>
          <w:color w:val="000000"/>
          <w:vertAlign w:val="superscript"/>
        </w:rPr>
        <w:t>13</w:t>
      </w:r>
      <w:r w:rsidRPr="001641BF">
        <w:rPr>
          <w:rFonts w:asciiTheme="majorBidi" w:hAnsiTheme="majorBidi" w:cstheme="majorBidi"/>
          <w:color w:val="000000"/>
        </w:rPr>
        <w:t xml:space="preserve"> </w:t>
      </w:r>
      <w:r w:rsidRPr="001641BF">
        <w:rPr>
          <w:rFonts w:asciiTheme="majorBidi" w:hAnsiTheme="majorBidi" w:cstheme="majorBidi"/>
        </w:rPr>
        <w:t xml:space="preserve">We considered both approaches, but ultimately used a </w:t>
      </w:r>
      <w:r w:rsidR="00593E66" w:rsidRPr="001641BF">
        <w:rPr>
          <w:rFonts w:asciiTheme="majorBidi" w:hAnsiTheme="majorBidi" w:cstheme="majorBidi"/>
        </w:rPr>
        <w:t>forecast</w:t>
      </w:r>
      <w:r w:rsidRPr="001641BF">
        <w:rPr>
          <w:rFonts w:asciiTheme="majorBidi" w:hAnsiTheme="majorBidi" w:cstheme="majorBidi"/>
        </w:rPr>
        <w:t>-based approach, for reasons detailed below.</w:t>
      </w:r>
      <w:r w:rsidRPr="001641BF">
        <w:rPr>
          <w:rFonts w:asciiTheme="majorBidi" w:hAnsiTheme="majorBidi" w:cstheme="majorBidi"/>
          <w:color w:val="000000"/>
        </w:rPr>
        <w:t xml:space="preserve"> </w:t>
      </w:r>
    </w:p>
    <w:p w14:paraId="1FC1EC40" w14:textId="1DBCA3B7" w:rsidR="00A4788F" w:rsidRPr="001641BF" w:rsidRDefault="00A4788F" w:rsidP="00A83123">
      <w:pPr>
        <w:spacing w:line="360" w:lineRule="auto"/>
        <w:jc w:val="both"/>
        <w:rPr>
          <w:rFonts w:asciiTheme="majorBidi" w:hAnsiTheme="majorBidi" w:cstheme="majorBidi"/>
        </w:rPr>
      </w:pPr>
      <w:r w:rsidRPr="001641BF">
        <w:rPr>
          <w:rFonts w:asciiTheme="majorBidi" w:hAnsiTheme="majorBidi" w:cstheme="majorBidi"/>
          <w:color w:val="000000"/>
        </w:rPr>
        <w:t xml:space="preserve">The use of a transmission model was considered but not pursued on three grounds. Firstly, developing a mechanistic transmission model that characterises the spread of carbapenem-resistant organisms, with an adequate level of detail to model the introduction of </w:t>
      </w:r>
      <w:r w:rsidR="00FE2007">
        <w:rPr>
          <w:rFonts w:asciiTheme="majorBidi" w:hAnsiTheme="majorBidi" w:cstheme="majorBidi"/>
          <w:color w:val="000000"/>
        </w:rPr>
        <w:t>CAZ-AVI</w:t>
      </w:r>
      <w:r w:rsidRPr="001641BF">
        <w:rPr>
          <w:rFonts w:asciiTheme="majorBidi" w:hAnsiTheme="majorBidi" w:cstheme="majorBidi"/>
          <w:color w:val="000000"/>
        </w:rPr>
        <w:t xml:space="preserve">, and that is appropriately calibrated to historical epidemiological data was not considered feasible within the </w:t>
      </w:r>
      <w:r w:rsidRPr="001641BF">
        <w:rPr>
          <w:rFonts w:asciiTheme="majorBidi" w:hAnsiTheme="majorBidi" w:cstheme="majorBidi"/>
        </w:rPr>
        <w:t>time and resources available for this 9-month project. Secondly, our clinical advisors considered that the direction and magnitude of the effects of the new treatments on transmission were uncertain and not well evidenced (</w:t>
      </w:r>
      <w:r w:rsidRPr="003A1F87">
        <w:rPr>
          <w:rFonts w:asciiTheme="majorBidi" w:hAnsiTheme="majorBidi" w:cstheme="majorBidi"/>
        </w:rPr>
        <w:t>see Section</w:t>
      </w:r>
      <w:r w:rsidRPr="003A1F87">
        <w:rPr>
          <w:rFonts w:asciiTheme="majorBidi" w:hAnsiTheme="majorBidi" w:cstheme="majorBidi"/>
          <w:i/>
          <w:iCs/>
        </w:rPr>
        <w:t xml:space="preserve"> </w:t>
      </w:r>
      <w:r w:rsidR="003A1F87" w:rsidRPr="003A1F87">
        <w:rPr>
          <w:rFonts w:asciiTheme="majorBidi" w:hAnsiTheme="majorBidi" w:cstheme="majorBidi"/>
        </w:rPr>
        <w:t>8.3</w:t>
      </w:r>
      <w:r w:rsidRPr="003A1F87">
        <w:rPr>
          <w:rFonts w:asciiTheme="majorBidi" w:hAnsiTheme="majorBidi" w:cstheme="majorBidi"/>
        </w:rPr>
        <w:t xml:space="preserve">). </w:t>
      </w:r>
      <w:r w:rsidRPr="001641BF">
        <w:rPr>
          <w:rFonts w:asciiTheme="majorBidi" w:hAnsiTheme="majorBidi" w:cstheme="majorBidi"/>
        </w:rPr>
        <w:t xml:space="preserve">Thirdly, advice during our previous EEPRU work </w:t>
      </w:r>
      <w:r w:rsidR="00A83123" w:rsidRPr="00A83123">
        <w:rPr>
          <w:rFonts w:asciiTheme="majorBidi" w:hAnsiTheme="majorBidi" w:cstheme="majorBidi"/>
          <w:noProof/>
          <w:vertAlign w:val="superscript"/>
        </w:rPr>
        <w:t>13</w:t>
      </w:r>
      <w:r w:rsidRPr="001641BF">
        <w:rPr>
          <w:rFonts w:asciiTheme="majorBidi" w:hAnsiTheme="majorBidi" w:cstheme="majorBidi"/>
        </w:rPr>
        <w:t xml:space="preserve"> indicated that transmission modelling in AMR is an evolving science where the degree of parameter and structural uncertainty can lead to instability in model predictions and that, although there is no guarantee that a forecast-based approach will offer more certain or robust predictions, it should offer greater transparency. The company submitted a transmission model which we review in </w:t>
      </w:r>
      <w:r w:rsidRPr="002755D4">
        <w:rPr>
          <w:rFonts w:asciiTheme="majorBidi" w:hAnsiTheme="majorBidi" w:cstheme="majorBidi"/>
        </w:rPr>
        <w:t xml:space="preserve">detail in Section </w:t>
      </w:r>
      <w:r w:rsidR="002755D4" w:rsidRPr="002755D4">
        <w:rPr>
          <w:rFonts w:asciiTheme="majorBidi" w:hAnsiTheme="majorBidi" w:cstheme="majorBidi"/>
        </w:rPr>
        <w:t>6.1.5</w:t>
      </w:r>
      <w:r w:rsidRPr="002755D4">
        <w:rPr>
          <w:rFonts w:asciiTheme="majorBidi" w:hAnsiTheme="majorBidi" w:cstheme="majorBidi"/>
        </w:rPr>
        <w:t>. This h</w:t>
      </w:r>
      <w:r w:rsidRPr="001641BF">
        <w:rPr>
          <w:rFonts w:asciiTheme="majorBidi" w:hAnsiTheme="majorBidi" w:cstheme="majorBidi"/>
        </w:rPr>
        <w:t xml:space="preserve">ighlighted some of the challenges </w:t>
      </w:r>
      <w:r w:rsidRPr="001641BF">
        <w:rPr>
          <w:rFonts w:asciiTheme="majorBidi" w:hAnsiTheme="majorBidi" w:cstheme="majorBidi"/>
        </w:rPr>
        <w:lastRenderedPageBreak/>
        <w:t xml:space="preserve">of developing and communicating these types of models in a way that allows appropriate levels of scrutiny of their outputs. </w:t>
      </w:r>
    </w:p>
    <w:p w14:paraId="6D911722" w14:textId="269D1A11" w:rsidR="00A4788F" w:rsidRPr="001641BF" w:rsidRDefault="00A4788F" w:rsidP="00A4788F">
      <w:pPr>
        <w:spacing w:line="360" w:lineRule="auto"/>
        <w:jc w:val="both"/>
        <w:rPr>
          <w:rFonts w:asciiTheme="majorBidi" w:hAnsiTheme="majorBidi" w:cstheme="majorBidi"/>
          <w:color w:val="000000"/>
        </w:rPr>
      </w:pPr>
      <w:r w:rsidRPr="001641BF">
        <w:rPr>
          <w:rFonts w:asciiTheme="majorBidi" w:hAnsiTheme="majorBidi" w:cstheme="majorBidi"/>
          <w:color w:val="000000"/>
        </w:rPr>
        <w:t xml:space="preserve">The final quantitative assessment performed is to rescale the population INHEs observed in the HVCSs to reflect expected usage. This part of the quantitative assessment takes a very pragmatic approach seeking to identify the range of clinical scenarios in which </w:t>
      </w:r>
      <w:r w:rsidR="00FE2007">
        <w:rPr>
          <w:rFonts w:asciiTheme="majorBidi" w:hAnsiTheme="majorBidi" w:cstheme="majorBidi"/>
          <w:color w:val="000000"/>
        </w:rPr>
        <w:t>CAZ-AVI</w:t>
      </w:r>
      <w:r w:rsidRPr="001641BF">
        <w:rPr>
          <w:rFonts w:asciiTheme="majorBidi" w:hAnsiTheme="majorBidi" w:cstheme="majorBidi"/>
          <w:color w:val="000000"/>
        </w:rPr>
        <w:t xml:space="preserve"> is expected to be used, enumerate the corresponding population sizes using the best available evidence, and rescale the population INHEs estimated for the HVCS accordingly. </w:t>
      </w:r>
    </w:p>
    <w:p w14:paraId="723162EB" w14:textId="1508E526" w:rsidR="00A4788F" w:rsidRPr="001641BF" w:rsidRDefault="00A4788F" w:rsidP="00A83123">
      <w:pPr>
        <w:spacing w:line="360" w:lineRule="auto"/>
        <w:jc w:val="both"/>
        <w:rPr>
          <w:rFonts w:asciiTheme="majorBidi" w:hAnsiTheme="majorBidi" w:cstheme="majorBidi"/>
          <w:color w:val="000000"/>
        </w:rPr>
      </w:pPr>
      <w:r w:rsidRPr="001641BF">
        <w:rPr>
          <w:rFonts w:asciiTheme="majorBidi" w:hAnsiTheme="majorBidi" w:cstheme="majorBidi"/>
        </w:rPr>
        <w:t>The literature on the economic evaluation of AMs has described a range of elements of value associated with these products that are not relevant to and therefore do not feature in evaluations of other drugs and health technologies</w:t>
      </w:r>
      <w:r w:rsidR="003A1F87">
        <w:rPr>
          <w:rFonts w:asciiTheme="majorBidi" w:hAnsiTheme="majorBidi" w:cstheme="majorBidi"/>
        </w:rPr>
        <w:t>.</w:t>
      </w:r>
      <w:r w:rsidR="00A83123" w:rsidRPr="00A83123">
        <w:rPr>
          <w:rFonts w:asciiTheme="majorBidi" w:hAnsiTheme="majorBidi" w:cstheme="majorBidi"/>
          <w:noProof/>
          <w:vertAlign w:val="superscript"/>
        </w:rPr>
        <w:t>13,117</w:t>
      </w:r>
      <w:r w:rsidR="003A1F87">
        <w:rPr>
          <w:rFonts w:asciiTheme="majorBidi" w:hAnsiTheme="majorBidi" w:cstheme="majorBidi"/>
        </w:rPr>
        <w:t xml:space="preserve"> </w:t>
      </w:r>
      <w:r w:rsidRPr="001641BF">
        <w:rPr>
          <w:rFonts w:asciiTheme="majorBidi" w:hAnsiTheme="majorBidi" w:cstheme="majorBidi"/>
        </w:rPr>
        <w:t xml:space="preserve"> Following presentation of the quantitative assessments of value, we therefore discuss whether these additional elements of value might be delivered via use of </w:t>
      </w:r>
      <w:r w:rsidR="00FE2007">
        <w:rPr>
          <w:rFonts w:asciiTheme="majorBidi" w:hAnsiTheme="majorBidi" w:cstheme="majorBidi"/>
        </w:rPr>
        <w:t>CAZ-AVI</w:t>
      </w:r>
      <w:r w:rsidRPr="001641BF">
        <w:rPr>
          <w:rFonts w:asciiTheme="majorBidi" w:hAnsiTheme="majorBidi" w:cstheme="majorBidi"/>
        </w:rPr>
        <w:t>, the extent to which they are captured by our quantitative assessments, and where they are not captured whether they are likely to substantively modify the estimates of value presented (see</w:t>
      </w:r>
      <w:r w:rsidR="003A1F87">
        <w:rPr>
          <w:rFonts w:asciiTheme="majorBidi" w:hAnsiTheme="majorBidi" w:cstheme="majorBidi"/>
        </w:rPr>
        <w:t xml:space="preserve"> Section 8.3</w:t>
      </w:r>
    </w:p>
    <w:p w14:paraId="4C5B66D3" w14:textId="1F0480CF" w:rsidR="009E265F" w:rsidRPr="009E265F" w:rsidRDefault="00F1720A" w:rsidP="005A3BE6">
      <w:pPr>
        <w:pStyle w:val="EEPRUNumberedsubheading"/>
        <w:numPr>
          <w:ilvl w:val="1"/>
          <w:numId w:val="114"/>
        </w:numPr>
        <w:rPr>
          <w:rStyle w:val="CommentReference"/>
          <w:sz w:val="26"/>
          <w:szCs w:val="26"/>
        </w:rPr>
      </w:pPr>
      <w:bookmarkStart w:id="329" w:name="_Toc77944769"/>
      <w:bookmarkStart w:id="330" w:name="_Toc85194066"/>
      <w:bookmarkStart w:id="331" w:name="_Toc85732260"/>
      <w:bookmarkStart w:id="332" w:name="_Ref86314215"/>
      <w:bookmarkStart w:id="333" w:name="_Ref86316447"/>
      <w:bookmarkStart w:id="334" w:name="_Ref86316478"/>
      <w:bookmarkStart w:id="335" w:name="_Toc87463029"/>
      <w:r w:rsidRPr="00EE55AD">
        <w:t xml:space="preserve">Modelling direct patient net health effects </w:t>
      </w:r>
      <w:r w:rsidR="00C11D9C">
        <w:t xml:space="preserve">(NHE) </w:t>
      </w:r>
      <w:r w:rsidRPr="00EE55AD">
        <w:t>in HVCS</w:t>
      </w:r>
      <w:bookmarkStart w:id="336" w:name="_Toc77944770"/>
      <w:bookmarkStart w:id="337" w:name="_Toc77950652"/>
      <w:bookmarkStart w:id="338" w:name="_Toc85194067"/>
      <w:bookmarkStart w:id="339" w:name="_Toc85732261"/>
      <w:bookmarkStart w:id="340" w:name="_Hlk85732830"/>
      <w:bookmarkEnd w:id="329"/>
      <w:bookmarkEnd w:id="330"/>
      <w:bookmarkEnd w:id="331"/>
      <w:bookmarkEnd w:id="332"/>
      <w:bookmarkEnd w:id="333"/>
      <w:bookmarkEnd w:id="334"/>
      <w:bookmarkEnd w:id="335"/>
    </w:p>
    <w:p w14:paraId="6C08B9AA" w14:textId="7436398D" w:rsidR="00F1720A" w:rsidRPr="00EE55AD" w:rsidRDefault="009E265F" w:rsidP="009E265F">
      <w:pPr>
        <w:pStyle w:val="EEPRUNumberedsubheading"/>
        <w:numPr>
          <w:ilvl w:val="0"/>
          <w:numId w:val="0"/>
        </w:numPr>
        <w:ind w:left="720" w:firstLine="720"/>
      </w:pPr>
      <w:bookmarkStart w:id="341" w:name="_Toc87463030"/>
      <w:r w:rsidRPr="009E265F">
        <w:rPr>
          <w:rStyle w:val="CommentReference"/>
          <w:sz w:val="26"/>
          <w:szCs w:val="26"/>
        </w:rPr>
        <w:t>7.2.1</w:t>
      </w:r>
      <w:r>
        <w:rPr>
          <w:rStyle w:val="CommentReference"/>
          <w:sz w:val="26"/>
          <w:szCs w:val="26"/>
        </w:rPr>
        <w:t xml:space="preserve"> </w:t>
      </w:r>
      <w:r w:rsidR="00F1720A" w:rsidRPr="009E265F">
        <w:t>Relationship</w:t>
      </w:r>
      <w:r w:rsidR="00F1720A" w:rsidRPr="00EE55AD">
        <w:t xml:space="preserve"> with decision problem</w:t>
      </w:r>
      <w:bookmarkEnd w:id="336"/>
      <w:bookmarkEnd w:id="337"/>
      <w:bookmarkEnd w:id="338"/>
      <w:bookmarkEnd w:id="339"/>
      <w:bookmarkEnd w:id="341"/>
    </w:p>
    <w:p w14:paraId="25C7B27C" w14:textId="318DD8F6" w:rsidR="00F1720A" w:rsidRPr="009E265F" w:rsidRDefault="00F1720A" w:rsidP="00211C53">
      <w:pPr>
        <w:pStyle w:val="EEPRUnumberedlevel4"/>
        <w:ind w:left="2268" w:hanging="141"/>
      </w:pPr>
      <w:bookmarkStart w:id="342" w:name="_Toc85732262"/>
      <w:bookmarkStart w:id="343" w:name="_Toc87463031"/>
      <w:r w:rsidRPr="009E265F">
        <w:t>7.2.1.1</w:t>
      </w:r>
      <w:r w:rsidR="009E265F">
        <w:t xml:space="preserve"> </w:t>
      </w:r>
      <w:r w:rsidRPr="009E265F">
        <w:t>Population</w:t>
      </w:r>
      <w:bookmarkEnd w:id="342"/>
      <w:bookmarkEnd w:id="343"/>
    </w:p>
    <w:bookmarkEnd w:id="340"/>
    <w:p w14:paraId="2E09C3B3" w14:textId="49E5792E" w:rsidR="00A4788F" w:rsidRPr="003B4513" w:rsidRDefault="00F1720A" w:rsidP="00F1720A">
      <w:pPr>
        <w:spacing w:line="360" w:lineRule="auto"/>
        <w:rPr>
          <w:rFonts w:asciiTheme="majorBidi" w:hAnsiTheme="majorBidi" w:cstheme="majorBidi"/>
        </w:rPr>
      </w:pPr>
      <w:r w:rsidRPr="003B4513">
        <w:rPr>
          <w:rFonts w:asciiTheme="majorBidi" w:hAnsiTheme="majorBidi" w:cstheme="majorBidi"/>
        </w:rPr>
        <w:t xml:space="preserve">The patient populations modelled align with the decision problem outlined in Section 3. These are summarised in </w:t>
      </w:r>
      <w:r w:rsidR="00533EB8" w:rsidRPr="00533EB8">
        <w:rPr>
          <w:rFonts w:asciiTheme="majorBidi" w:hAnsiTheme="majorBidi" w:cstheme="majorBidi"/>
        </w:rPr>
        <w:t xml:space="preserve">Table </w:t>
      </w:r>
      <w:r w:rsidR="00533EB8" w:rsidRPr="00533EB8">
        <w:rPr>
          <w:rFonts w:asciiTheme="majorBidi" w:hAnsiTheme="majorBidi" w:cstheme="majorBidi"/>
          <w:noProof/>
        </w:rPr>
        <w:t>19</w:t>
      </w:r>
      <w:r w:rsidR="00A4788F" w:rsidRPr="003B4513">
        <w:rPr>
          <w:rFonts w:asciiTheme="majorBidi" w:hAnsiTheme="majorBidi" w:cstheme="majorBidi"/>
        </w:rPr>
        <w:t xml:space="preserve">. </w:t>
      </w:r>
    </w:p>
    <w:p w14:paraId="47A57960" w14:textId="12352C47" w:rsidR="00A4788F" w:rsidRPr="00EE4C38" w:rsidRDefault="00A4788F" w:rsidP="009E265F">
      <w:pPr>
        <w:pStyle w:val="table"/>
        <w:rPr>
          <w:lang w:val="fr-FR"/>
        </w:rPr>
      </w:pPr>
      <w:bookmarkStart w:id="344" w:name="_Ref77947481"/>
      <w:bookmarkStart w:id="345" w:name="_Toc83589974"/>
      <w:bookmarkStart w:id="346" w:name="_Toc86418996"/>
      <w:r w:rsidRPr="00EE4C38">
        <w:rPr>
          <w:lang w:val="fr-FR"/>
        </w:rPr>
        <w:t xml:space="preserve">Table </w:t>
      </w:r>
      <w:proofErr w:type="gramStart"/>
      <w:r w:rsidR="00F10F0A">
        <w:rPr>
          <w:noProof/>
          <w:lang w:val="fr-FR"/>
        </w:rPr>
        <w:t>19</w:t>
      </w:r>
      <w:bookmarkEnd w:id="344"/>
      <w:r w:rsidRPr="00EE4C38">
        <w:rPr>
          <w:lang w:val="fr-FR"/>
        </w:rPr>
        <w:t>:</w:t>
      </w:r>
      <w:proofErr w:type="gramEnd"/>
      <w:r w:rsidRPr="00EE4C38">
        <w:rPr>
          <w:lang w:val="fr-FR"/>
        </w:rPr>
        <w:t xml:space="preserve"> HVCS patient populations </w:t>
      </w:r>
      <w:proofErr w:type="spellStart"/>
      <w:r w:rsidRPr="00EE4C38">
        <w:rPr>
          <w:lang w:val="fr-FR"/>
        </w:rPr>
        <w:t>modelled</w:t>
      </w:r>
      <w:bookmarkEnd w:id="345"/>
      <w:bookmarkEnd w:id="346"/>
      <w:proofErr w:type="spellEnd"/>
    </w:p>
    <w:tbl>
      <w:tblPr>
        <w:tblStyle w:val="TableGrid"/>
        <w:tblW w:w="9346" w:type="dxa"/>
        <w:tblLook w:val="04A0" w:firstRow="1" w:lastRow="0" w:firstColumn="1" w:lastColumn="0" w:noHBand="0" w:noVBand="1"/>
      </w:tblPr>
      <w:tblGrid>
        <w:gridCol w:w="1220"/>
        <w:gridCol w:w="1813"/>
        <w:gridCol w:w="1371"/>
        <w:gridCol w:w="4942"/>
      </w:tblGrid>
      <w:tr w:rsidR="00A4788F" w:rsidRPr="004A4B7C" w14:paraId="411E334D" w14:textId="77777777" w:rsidTr="00A4788F">
        <w:tc>
          <w:tcPr>
            <w:tcW w:w="0" w:type="auto"/>
            <w:hideMark/>
          </w:tcPr>
          <w:p w14:paraId="3344137D" w14:textId="77777777" w:rsidR="00A4788F" w:rsidRPr="004A4B7C" w:rsidRDefault="00A4788F" w:rsidP="004A4B7C">
            <w:pPr>
              <w:rPr>
                <w:rFonts w:asciiTheme="majorBidi" w:eastAsiaTheme="minorHAnsi" w:hAnsiTheme="majorBidi" w:cstheme="majorBidi"/>
                <w:b/>
                <w:sz w:val="20"/>
                <w:szCs w:val="20"/>
                <w:lang w:eastAsia="en-US"/>
              </w:rPr>
            </w:pPr>
            <w:r w:rsidRPr="004A4B7C">
              <w:rPr>
                <w:rFonts w:asciiTheme="majorBidi" w:eastAsiaTheme="minorHAnsi" w:hAnsiTheme="majorBidi" w:cstheme="majorBidi"/>
                <w:b/>
                <w:sz w:val="20"/>
                <w:szCs w:val="20"/>
                <w:lang w:eastAsia="en-US"/>
              </w:rPr>
              <w:t>Site</w:t>
            </w:r>
          </w:p>
        </w:tc>
        <w:tc>
          <w:tcPr>
            <w:tcW w:w="0" w:type="auto"/>
            <w:hideMark/>
          </w:tcPr>
          <w:p w14:paraId="55AC628C" w14:textId="77777777" w:rsidR="00A4788F" w:rsidRPr="004A4B7C" w:rsidRDefault="00A4788F" w:rsidP="004A4B7C">
            <w:pPr>
              <w:rPr>
                <w:rFonts w:asciiTheme="majorBidi" w:eastAsiaTheme="minorHAnsi" w:hAnsiTheme="majorBidi" w:cstheme="majorBidi"/>
                <w:b/>
                <w:sz w:val="20"/>
                <w:szCs w:val="20"/>
                <w:lang w:eastAsia="en-US"/>
              </w:rPr>
            </w:pPr>
            <w:r w:rsidRPr="004A4B7C">
              <w:rPr>
                <w:rFonts w:asciiTheme="majorBidi" w:eastAsiaTheme="minorHAnsi" w:hAnsiTheme="majorBidi" w:cstheme="majorBidi"/>
                <w:b/>
                <w:sz w:val="20"/>
                <w:szCs w:val="20"/>
                <w:lang w:eastAsia="en-US"/>
              </w:rPr>
              <w:t>Pathogen</w:t>
            </w:r>
          </w:p>
        </w:tc>
        <w:tc>
          <w:tcPr>
            <w:tcW w:w="0" w:type="auto"/>
            <w:hideMark/>
          </w:tcPr>
          <w:p w14:paraId="514D8148" w14:textId="77777777" w:rsidR="00A4788F" w:rsidRPr="004A4B7C" w:rsidRDefault="00A4788F" w:rsidP="004A4B7C">
            <w:pPr>
              <w:rPr>
                <w:rFonts w:asciiTheme="majorBidi" w:eastAsiaTheme="minorHAnsi" w:hAnsiTheme="majorBidi" w:cstheme="majorBidi"/>
                <w:b/>
                <w:sz w:val="20"/>
                <w:szCs w:val="20"/>
                <w:lang w:eastAsia="en-US"/>
              </w:rPr>
            </w:pPr>
            <w:r w:rsidRPr="004A4B7C">
              <w:rPr>
                <w:rFonts w:asciiTheme="majorBidi" w:eastAsiaTheme="minorHAnsi" w:hAnsiTheme="majorBidi" w:cstheme="majorBidi"/>
                <w:b/>
                <w:sz w:val="20"/>
                <w:szCs w:val="20"/>
                <w:lang w:eastAsia="en-US"/>
              </w:rPr>
              <w:t>Mechanism</w:t>
            </w:r>
          </w:p>
        </w:tc>
        <w:tc>
          <w:tcPr>
            <w:tcW w:w="4942" w:type="dxa"/>
            <w:hideMark/>
          </w:tcPr>
          <w:p w14:paraId="25657AA1" w14:textId="77777777" w:rsidR="00A4788F" w:rsidRPr="004A4B7C" w:rsidRDefault="00A4788F" w:rsidP="004A4B7C">
            <w:pPr>
              <w:rPr>
                <w:rFonts w:asciiTheme="majorBidi" w:eastAsiaTheme="minorHAnsi" w:hAnsiTheme="majorBidi" w:cstheme="majorBidi"/>
                <w:b/>
                <w:sz w:val="20"/>
                <w:szCs w:val="20"/>
                <w:lang w:eastAsia="en-US"/>
              </w:rPr>
            </w:pPr>
            <w:r w:rsidRPr="004A4B7C">
              <w:rPr>
                <w:rFonts w:asciiTheme="majorBidi" w:eastAsiaTheme="minorHAnsi" w:hAnsiTheme="majorBidi" w:cstheme="majorBidi"/>
                <w:b/>
                <w:sz w:val="20"/>
                <w:szCs w:val="20"/>
                <w:lang w:eastAsia="en-US"/>
              </w:rPr>
              <w:t>Setting</w:t>
            </w:r>
          </w:p>
        </w:tc>
      </w:tr>
      <w:tr w:rsidR="00A4788F" w:rsidRPr="004A4B7C" w14:paraId="26230405" w14:textId="77777777" w:rsidTr="00A4788F">
        <w:tc>
          <w:tcPr>
            <w:tcW w:w="0" w:type="auto"/>
          </w:tcPr>
          <w:p w14:paraId="3EA2EF62" w14:textId="77777777" w:rsidR="00A4788F" w:rsidRPr="004A4B7C" w:rsidRDefault="00A4788F" w:rsidP="004A4B7C">
            <w:pPr>
              <w:rPr>
                <w:rFonts w:asciiTheme="majorBidi" w:hAnsiTheme="majorBidi" w:cstheme="majorBidi"/>
                <w:sz w:val="20"/>
                <w:szCs w:val="20"/>
              </w:rPr>
            </w:pPr>
            <w:r w:rsidRPr="004A4B7C">
              <w:rPr>
                <w:rFonts w:asciiTheme="majorBidi" w:eastAsiaTheme="minorHAnsi" w:hAnsiTheme="majorBidi" w:cstheme="majorBidi"/>
                <w:sz w:val="20"/>
                <w:szCs w:val="20"/>
                <w:lang w:eastAsia="en-US"/>
              </w:rPr>
              <w:t>HAP/VAP</w:t>
            </w:r>
          </w:p>
        </w:tc>
        <w:tc>
          <w:tcPr>
            <w:tcW w:w="0" w:type="auto"/>
          </w:tcPr>
          <w:p w14:paraId="0BC65759" w14:textId="54B02966" w:rsidR="00A4788F" w:rsidRPr="004A4B7C" w:rsidRDefault="00FE2007" w:rsidP="004A4B7C">
            <w:pPr>
              <w:rPr>
                <w:rFonts w:asciiTheme="majorBidi" w:hAnsiTheme="majorBidi" w:cstheme="majorBidi"/>
                <w:sz w:val="20"/>
                <w:szCs w:val="20"/>
              </w:rPr>
            </w:pPr>
            <w:proofErr w:type="spellStart"/>
            <w:r w:rsidRPr="004A4B7C">
              <w:rPr>
                <w:rFonts w:asciiTheme="majorBidi" w:eastAsiaTheme="minorHAnsi" w:hAnsiTheme="majorBidi" w:cstheme="majorBidi"/>
                <w:i/>
                <w:iCs/>
                <w:sz w:val="20"/>
                <w:szCs w:val="20"/>
                <w:lang w:eastAsia="en-US"/>
              </w:rPr>
              <w:t>Enterobacterales</w:t>
            </w:r>
            <w:proofErr w:type="spellEnd"/>
          </w:p>
        </w:tc>
        <w:tc>
          <w:tcPr>
            <w:tcW w:w="0" w:type="auto"/>
          </w:tcPr>
          <w:p w14:paraId="5311B584"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OXA-48</w:t>
            </w:r>
          </w:p>
        </w:tc>
        <w:tc>
          <w:tcPr>
            <w:tcW w:w="4942" w:type="dxa"/>
          </w:tcPr>
          <w:p w14:paraId="696D6E07" w14:textId="77777777" w:rsidR="00A4788F" w:rsidRPr="004A4B7C" w:rsidRDefault="00A4788F" w:rsidP="004A4B7C">
            <w:pPr>
              <w:rPr>
                <w:rFonts w:asciiTheme="majorBidi" w:hAnsiTheme="majorBidi" w:cstheme="majorBidi"/>
                <w:sz w:val="20"/>
                <w:szCs w:val="20"/>
              </w:rPr>
            </w:pPr>
            <w:r w:rsidRPr="004A4B7C">
              <w:rPr>
                <w:rFonts w:asciiTheme="majorBidi" w:eastAsiaTheme="minorHAnsi" w:hAnsiTheme="majorBidi" w:cstheme="majorBidi"/>
                <w:sz w:val="20"/>
                <w:szCs w:val="20"/>
                <w:lang w:eastAsia="en-US"/>
              </w:rPr>
              <w:t>Microbiology-directed</w:t>
            </w:r>
          </w:p>
        </w:tc>
      </w:tr>
      <w:tr w:rsidR="00A4788F" w:rsidRPr="004A4B7C" w14:paraId="0D66353E" w14:textId="77777777" w:rsidTr="00A4788F">
        <w:tc>
          <w:tcPr>
            <w:tcW w:w="0" w:type="auto"/>
          </w:tcPr>
          <w:p w14:paraId="285E08DD" w14:textId="77777777" w:rsidR="00A4788F" w:rsidRPr="004A4B7C" w:rsidRDefault="00A4788F" w:rsidP="004A4B7C">
            <w:pPr>
              <w:rPr>
                <w:rFonts w:asciiTheme="majorBidi" w:hAnsiTheme="majorBidi" w:cstheme="majorBidi"/>
                <w:sz w:val="20"/>
                <w:szCs w:val="20"/>
              </w:rPr>
            </w:pPr>
            <w:r w:rsidRPr="004A4B7C">
              <w:rPr>
                <w:rFonts w:asciiTheme="majorBidi" w:eastAsiaTheme="minorHAnsi" w:hAnsiTheme="majorBidi" w:cstheme="majorBidi"/>
                <w:sz w:val="20"/>
                <w:szCs w:val="20"/>
                <w:lang w:eastAsia="en-US"/>
              </w:rPr>
              <w:t>HAP/VAP</w:t>
            </w:r>
          </w:p>
        </w:tc>
        <w:tc>
          <w:tcPr>
            <w:tcW w:w="0" w:type="auto"/>
          </w:tcPr>
          <w:p w14:paraId="3A86BFFB" w14:textId="457E8890" w:rsidR="00A4788F" w:rsidRPr="004A4B7C" w:rsidRDefault="00FE2007" w:rsidP="004A4B7C">
            <w:pPr>
              <w:rPr>
                <w:rFonts w:asciiTheme="majorBidi" w:hAnsiTheme="majorBidi" w:cstheme="majorBidi"/>
                <w:sz w:val="20"/>
                <w:szCs w:val="20"/>
              </w:rPr>
            </w:pPr>
            <w:proofErr w:type="spellStart"/>
            <w:r w:rsidRPr="004A4B7C">
              <w:rPr>
                <w:rFonts w:asciiTheme="majorBidi" w:eastAsiaTheme="minorHAnsi" w:hAnsiTheme="majorBidi" w:cstheme="majorBidi"/>
                <w:i/>
                <w:iCs/>
                <w:sz w:val="20"/>
                <w:szCs w:val="20"/>
                <w:lang w:eastAsia="en-US"/>
              </w:rPr>
              <w:t>Enterobacterales</w:t>
            </w:r>
            <w:proofErr w:type="spellEnd"/>
          </w:p>
        </w:tc>
        <w:tc>
          <w:tcPr>
            <w:tcW w:w="0" w:type="auto"/>
          </w:tcPr>
          <w:p w14:paraId="5E7FD4C7"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OXA-48</w:t>
            </w:r>
          </w:p>
        </w:tc>
        <w:tc>
          <w:tcPr>
            <w:tcW w:w="4942" w:type="dxa"/>
          </w:tcPr>
          <w:p w14:paraId="6912B2E7" w14:textId="77777777" w:rsidR="00A4788F" w:rsidRPr="004A4B7C" w:rsidRDefault="00A4788F" w:rsidP="004A4B7C">
            <w:pPr>
              <w:rPr>
                <w:rFonts w:asciiTheme="majorBidi" w:hAnsiTheme="majorBidi" w:cstheme="majorBidi"/>
                <w:sz w:val="20"/>
                <w:szCs w:val="20"/>
              </w:rPr>
            </w:pPr>
            <w:r w:rsidRPr="004A4B7C">
              <w:rPr>
                <w:rFonts w:asciiTheme="majorBidi" w:eastAsiaTheme="minorHAnsi" w:hAnsiTheme="majorBidi" w:cstheme="majorBidi"/>
                <w:sz w:val="20"/>
                <w:szCs w:val="20"/>
                <w:lang w:eastAsia="en-US"/>
              </w:rPr>
              <w:t>Risk-based empiric treatment</w:t>
            </w:r>
          </w:p>
        </w:tc>
      </w:tr>
      <w:tr w:rsidR="00A4788F" w:rsidRPr="004A4B7C" w14:paraId="016BA149" w14:textId="77777777" w:rsidTr="00A4788F">
        <w:tc>
          <w:tcPr>
            <w:tcW w:w="0" w:type="auto"/>
          </w:tcPr>
          <w:p w14:paraId="25153F87" w14:textId="77777777" w:rsidR="00A4788F" w:rsidRPr="004A4B7C" w:rsidRDefault="00A4788F" w:rsidP="004A4B7C">
            <w:pPr>
              <w:rPr>
                <w:rFonts w:asciiTheme="majorBidi" w:hAnsiTheme="majorBidi" w:cstheme="majorBidi"/>
                <w:sz w:val="20"/>
                <w:szCs w:val="20"/>
              </w:rPr>
            </w:pPr>
            <w:proofErr w:type="spellStart"/>
            <w:r w:rsidRPr="004A4B7C">
              <w:rPr>
                <w:rFonts w:asciiTheme="majorBidi" w:eastAsiaTheme="minorHAnsi" w:hAnsiTheme="majorBidi" w:cstheme="majorBidi"/>
                <w:sz w:val="20"/>
                <w:szCs w:val="20"/>
                <w:lang w:eastAsia="en-US"/>
              </w:rPr>
              <w:t>cUTI</w:t>
            </w:r>
            <w:proofErr w:type="spellEnd"/>
          </w:p>
        </w:tc>
        <w:tc>
          <w:tcPr>
            <w:tcW w:w="0" w:type="auto"/>
          </w:tcPr>
          <w:p w14:paraId="3B32D3C4" w14:textId="03452364" w:rsidR="00A4788F" w:rsidRPr="004A4B7C" w:rsidRDefault="00FE2007" w:rsidP="004A4B7C">
            <w:pPr>
              <w:rPr>
                <w:rFonts w:asciiTheme="majorBidi" w:hAnsiTheme="majorBidi" w:cstheme="majorBidi"/>
                <w:sz w:val="20"/>
                <w:szCs w:val="20"/>
              </w:rPr>
            </w:pPr>
            <w:proofErr w:type="spellStart"/>
            <w:r w:rsidRPr="004A4B7C">
              <w:rPr>
                <w:rFonts w:asciiTheme="majorBidi" w:eastAsiaTheme="minorHAnsi" w:hAnsiTheme="majorBidi" w:cstheme="majorBidi"/>
                <w:i/>
                <w:iCs/>
                <w:sz w:val="20"/>
                <w:szCs w:val="20"/>
                <w:lang w:eastAsia="en-US"/>
              </w:rPr>
              <w:t>Enterobacterales</w:t>
            </w:r>
            <w:proofErr w:type="spellEnd"/>
          </w:p>
        </w:tc>
        <w:tc>
          <w:tcPr>
            <w:tcW w:w="0" w:type="auto"/>
          </w:tcPr>
          <w:p w14:paraId="27F2E91C"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OXA-48</w:t>
            </w:r>
          </w:p>
        </w:tc>
        <w:tc>
          <w:tcPr>
            <w:tcW w:w="4942" w:type="dxa"/>
          </w:tcPr>
          <w:p w14:paraId="2CE5A805" w14:textId="77777777" w:rsidR="00A4788F" w:rsidRPr="004A4B7C" w:rsidRDefault="00A4788F" w:rsidP="004A4B7C">
            <w:pPr>
              <w:rPr>
                <w:rFonts w:asciiTheme="majorBidi" w:hAnsiTheme="majorBidi" w:cstheme="majorBidi"/>
                <w:sz w:val="20"/>
                <w:szCs w:val="20"/>
              </w:rPr>
            </w:pPr>
            <w:r w:rsidRPr="004A4B7C">
              <w:rPr>
                <w:rFonts w:asciiTheme="majorBidi" w:eastAsiaTheme="minorHAnsi" w:hAnsiTheme="majorBidi" w:cstheme="majorBidi"/>
                <w:sz w:val="20"/>
                <w:szCs w:val="20"/>
                <w:lang w:eastAsia="en-US"/>
              </w:rPr>
              <w:t>Microbiology-directed</w:t>
            </w:r>
          </w:p>
        </w:tc>
      </w:tr>
    </w:tbl>
    <w:p w14:paraId="033A3F12" w14:textId="61005CCE" w:rsidR="00EC4BFF" w:rsidRDefault="00EC4BFF" w:rsidP="00EC4BFF">
      <w:pPr>
        <w:pStyle w:val="EEPRUtextundertables"/>
      </w:pP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 OXA, </w:t>
      </w:r>
      <w:proofErr w:type="spellStart"/>
      <w:r>
        <w:t>oxicillin</w:t>
      </w:r>
      <w:r w:rsidR="00774411">
        <w:t>ase</w:t>
      </w:r>
      <w:proofErr w:type="spellEnd"/>
    </w:p>
    <w:p w14:paraId="52DBEA6D" w14:textId="77777777" w:rsidR="00A4788F" w:rsidRDefault="00A4788F" w:rsidP="00A4788F"/>
    <w:p w14:paraId="59BD4464" w14:textId="3CA31C5F" w:rsidR="00A4788F" w:rsidRPr="00F1720A" w:rsidRDefault="00F1720A" w:rsidP="00211C53">
      <w:pPr>
        <w:pStyle w:val="EEPRUnumberedlevel4"/>
        <w:ind w:hanging="142"/>
      </w:pPr>
      <w:bookmarkStart w:id="347" w:name="_Toc87463032"/>
      <w:proofErr w:type="gramStart"/>
      <w:r>
        <w:t>7.2.1.2</w:t>
      </w:r>
      <w:r w:rsidR="009E265F">
        <w:t xml:space="preserve">  </w:t>
      </w:r>
      <w:r w:rsidR="00A4788F" w:rsidRPr="00F1720A">
        <w:t>Intervention</w:t>
      </w:r>
      <w:bookmarkEnd w:id="347"/>
      <w:proofErr w:type="gramEnd"/>
      <w:r w:rsidR="00A4788F" w:rsidRPr="00F1720A">
        <w:t xml:space="preserve"> </w:t>
      </w:r>
    </w:p>
    <w:p w14:paraId="4CF5A6A4" w14:textId="29341D4D" w:rsidR="00A4788F" w:rsidRPr="00E9526C" w:rsidRDefault="00FE2007" w:rsidP="006E78D8">
      <w:pPr>
        <w:spacing w:line="360" w:lineRule="auto"/>
        <w:jc w:val="both"/>
        <w:rPr>
          <w:rFonts w:asciiTheme="majorBidi" w:hAnsiTheme="majorBidi" w:cstheme="majorBidi"/>
        </w:rPr>
      </w:pPr>
      <w:r>
        <w:rPr>
          <w:rFonts w:asciiTheme="majorBidi" w:hAnsiTheme="majorBidi" w:cstheme="majorBidi"/>
        </w:rPr>
        <w:t>CAZ-AVI</w:t>
      </w:r>
      <w:r w:rsidR="00A4788F" w:rsidRPr="00E9526C">
        <w:rPr>
          <w:rFonts w:asciiTheme="majorBidi" w:hAnsiTheme="majorBidi" w:cstheme="majorBidi"/>
        </w:rPr>
        <w:t xml:space="preserve"> is considered as monotherapy only due to a lack of </w:t>
      </w:r>
      <w:r w:rsidR="00A4788F" w:rsidRPr="00E9526C">
        <w:rPr>
          <w:rFonts w:asciiTheme="majorBidi" w:hAnsiTheme="majorBidi" w:cstheme="majorBidi"/>
          <w:i/>
        </w:rPr>
        <w:t>in vivo</w:t>
      </w:r>
      <w:r w:rsidR="00A4788F" w:rsidRPr="00E9526C">
        <w:rPr>
          <w:rFonts w:asciiTheme="majorBidi" w:hAnsiTheme="majorBidi" w:cstheme="majorBidi"/>
        </w:rPr>
        <w:t xml:space="preserve"> or </w:t>
      </w:r>
      <w:r w:rsidR="00A4788F" w:rsidRPr="00E9526C">
        <w:rPr>
          <w:rFonts w:asciiTheme="majorBidi" w:hAnsiTheme="majorBidi" w:cstheme="majorBidi"/>
          <w:i/>
        </w:rPr>
        <w:t>in vitro</w:t>
      </w:r>
      <w:r w:rsidR="00A4788F" w:rsidRPr="00E9526C">
        <w:rPr>
          <w:rFonts w:asciiTheme="majorBidi" w:hAnsiTheme="majorBidi" w:cstheme="majorBidi"/>
        </w:rPr>
        <w:t xml:space="preserve"> evidence about how it performs in combination with other agents. The clinical advisors confirmed that monotherapy was more</w:t>
      </w:r>
      <w:r w:rsidR="006E78D8" w:rsidRPr="00E9526C">
        <w:rPr>
          <w:rFonts w:asciiTheme="majorBidi" w:hAnsiTheme="majorBidi" w:cstheme="majorBidi"/>
        </w:rPr>
        <w:t xml:space="preserve"> likely to be used in practice.</w:t>
      </w:r>
    </w:p>
    <w:p w14:paraId="0706B427" w14:textId="77777777" w:rsidR="00A4788F" w:rsidRPr="000556C8" w:rsidRDefault="00A4788F" w:rsidP="00A4788F"/>
    <w:p w14:paraId="2739F617" w14:textId="65751285" w:rsidR="00A4788F" w:rsidRPr="00F1720A" w:rsidRDefault="00F1720A" w:rsidP="00211C53">
      <w:pPr>
        <w:pStyle w:val="EEPRUnumberedlevel4"/>
        <w:ind w:hanging="142"/>
      </w:pPr>
      <w:bookmarkStart w:id="348" w:name="_Toc87463033"/>
      <w:r w:rsidRPr="00F1720A">
        <w:lastRenderedPageBreak/>
        <w:t>7.2.1.3</w:t>
      </w:r>
      <w:r w:rsidR="009E265F">
        <w:t xml:space="preserve"> </w:t>
      </w:r>
      <w:r w:rsidR="00A4788F" w:rsidRPr="00F1720A">
        <w:t>Comparators</w:t>
      </w:r>
      <w:bookmarkEnd w:id="348"/>
    </w:p>
    <w:p w14:paraId="75A2937D" w14:textId="051689C4" w:rsidR="00A4788F" w:rsidRDefault="00A4788F" w:rsidP="00A4788F">
      <w:pPr>
        <w:spacing w:line="360" w:lineRule="auto"/>
        <w:jc w:val="both"/>
        <w:rPr>
          <w:rFonts w:asciiTheme="majorBidi" w:hAnsiTheme="majorBidi" w:cstheme="majorBidi"/>
        </w:rPr>
      </w:pPr>
      <w:bookmarkStart w:id="349" w:name="_Toc77944771"/>
      <w:bookmarkStart w:id="350" w:name="_Toc77950653"/>
      <w:r w:rsidRPr="00E9526C">
        <w:rPr>
          <w:rFonts w:asciiTheme="majorBidi" w:hAnsiTheme="majorBidi" w:cstheme="majorBidi"/>
        </w:rPr>
        <w:t xml:space="preserve">A wide range of drugs </w:t>
      </w:r>
      <w:r w:rsidR="00533EB8">
        <w:rPr>
          <w:rFonts w:asciiTheme="majorBidi" w:hAnsiTheme="majorBidi" w:cstheme="majorBidi"/>
        </w:rPr>
        <w:t>is</w:t>
      </w:r>
      <w:r w:rsidRPr="00E9526C">
        <w:rPr>
          <w:rFonts w:asciiTheme="majorBidi" w:hAnsiTheme="majorBidi" w:cstheme="majorBidi"/>
        </w:rPr>
        <w:t xml:space="preserve"> considered relevant in the HVCS, and different drugs were considered relevant depending on the site, pathogen, </w:t>
      </w:r>
      <w:proofErr w:type="gramStart"/>
      <w:r w:rsidRPr="00E9526C">
        <w:rPr>
          <w:rFonts w:asciiTheme="majorBidi" w:hAnsiTheme="majorBidi" w:cstheme="majorBidi"/>
        </w:rPr>
        <w:t>mechanism</w:t>
      </w:r>
      <w:proofErr w:type="gramEnd"/>
      <w:r w:rsidRPr="00E9526C">
        <w:rPr>
          <w:rFonts w:asciiTheme="majorBidi" w:hAnsiTheme="majorBidi" w:cstheme="majorBidi"/>
        </w:rPr>
        <w:t xml:space="preserve"> and setting. The full list of comparators is provided in Section 3. Due to the paucity of data available to inform the comparative effectiveness assessment (</w:t>
      </w:r>
      <w:r w:rsidRPr="003B4513">
        <w:rPr>
          <w:rFonts w:asciiTheme="majorBidi" w:hAnsiTheme="majorBidi" w:cstheme="majorBidi"/>
        </w:rPr>
        <w:t xml:space="preserve">see </w:t>
      </w:r>
      <w:r w:rsidR="00B50038" w:rsidRPr="003B4513">
        <w:rPr>
          <w:rFonts w:asciiTheme="majorBidi" w:hAnsiTheme="majorBidi" w:cstheme="majorBidi"/>
        </w:rPr>
        <w:t>Chapter 4</w:t>
      </w:r>
      <w:r w:rsidRPr="00E9526C">
        <w:rPr>
          <w:rFonts w:asciiTheme="majorBidi" w:hAnsiTheme="majorBidi" w:cstheme="majorBidi"/>
        </w:rPr>
        <w:t xml:space="preserve">), and our reliance on </w:t>
      </w:r>
      <w:r w:rsidRPr="00E9526C">
        <w:rPr>
          <w:rFonts w:asciiTheme="majorBidi" w:hAnsiTheme="majorBidi" w:cstheme="majorBidi"/>
          <w:i/>
        </w:rPr>
        <w:t xml:space="preserve">in vitro </w:t>
      </w:r>
      <w:r w:rsidRPr="00E9526C">
        <w:rPr>
          <w:rFonts w:asciiTheme="majorBidi" w:hAnsiTheme="majorBidi" w:cstheme="majorBidi"/>
        </w:rPr>
        <w:t xml:space="preserve">susceptibility data to inform comparative effectiveness, it was possible to take a simplified approach to modelling these comparators rather than conducting a fully incremental analysis of all available AM options as is typically recommended in economic evaluation. The approach taken is documented in the following section. </w:t>
      </w:r>
    </w:p>
    <w:p w14:paraId="4CAFD38F" w14:textId="77777777" w:rsidR="00533EB8" w:rsidRPr="00E9526C" w:rsidRDefault="00533EB8" w:rsidP="00A4788F">
      <w:pPr>
        <w:spacing w:line="360" w:lineRule="auto"/>
        <w:jc w:val="both"/>
        <w:rPr>
          <w:rFonts w:asciiTheme="majorBidi" w:hAnsiTheme="majorBidi" w:cstheme="majorBidi"/>
        </w:rPr>
      </w:pPr>
    </w:p>
    <w:p w14:paraId="79011905" w14:textId="3F35CB0E" w:rsidR="00A4788F" w:rsidRPr="009E265F" w:rsidRDefault="00F1720A" w:rsidP="006E4E83">
      <w:pPr>
        <w:pStyle w:val="EEPRUnumberedLevel3Headingnew"/>
      </w:pPr>
      <w:bookmarkStart w:id="351" w:name="_Toc87463034"/>
      <w:bookmarkEnd w:id="349"/>
      <w:bookmarkEnd w:id="350"/>
      <w:r w:rsidRPr="009E265F">
        <w:t>7.2.2 Model structure</w:t>
      </w:r>
      <w:bookmarkEnd w:id="351"/>
    </w:p>
    <w:p w14:paraId="3A29C356" w14:textId="7777777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The model structure differs according to the setting (MDS or ES) but not the site, </w:t>
      </w:r>
      <w:proofErr w:type="gramStart"/>
      <w:r w:rsidRPr="00E9526C">
        <w:rPr>
          <w:rFonts w:asciiTheme="majorBidi" w:hAnsiTheme="majorBidi" w:cstheme="majorBidi"/>
        </w:rPr>
        <w:t>pathogen</w:t>
      </w:r>
      <w:proofErr w:type="gramEnd"/>
      <w:r w:rsidRPr="00E9526C">
        <w:rPr>
          <w:rFonts w:asciiTheme="majorBidi" w:hAnsiTheme="majorBidi" w:cstheme="majorBidi"/>
        </w:rPr>
        <w:t xml:space="preserve"> or mechanism of resistance. We describe the structure for the MDS first as it is more straightforward and forms part of the ES model structure. </w:t>
      </w:r>
    </w:p>
    <w:p w14:paraId="6F379115" w14:textId="72CDF04C"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Due to the paucity of </w:t>
      </w:r>
      <w:r w:rsidRPr="00E9526C">
        <w:rPr>
          <w:rFonts w:asciiTheme="majorBidi" w:hAnsiTheme="majorBidi" w:cstheme="majorBidi"/>
          <w:i/>
        </w:rPr>
        <w:t>in vivo</w:t>
      </w:r>
      <w:r w:rsidRPr="00E9526C">
        <w:rPr>
          <w:rFonts w:asciiTheme="majorBidi" w:hAnsiTheme="majorBidi" w:cstheme="majorBidi"/>
        </w:rPr>
        <w:t xml:space="preserve"> data relevant to the modelled </w:t>
      </w:r>
      <w:r w:rsidRPr="00647D29">
        <w:rPr>
          <w:rFonts w:asciiTheme="majorBidi" w:hAnsiTheme="majorBidi" w:cstheme="majorBidi"/>
        </w:rPr>
        <w:t xml:space="preserve">HVCS (see Section </w:t>
      </w:r>
      <w:r w:rsidR="00B50038" w:rsidRPr="00647D29">
        <w:rPr>
          <w:rFonts w:asciiTheme="majorBidi" w:hAnsiTheme="majorBidi" w:cstheme="majorBidi"/>
        </w:rPr>
        <w:t>4.4.</w:t>
      </w:r>
      <w:r w:rsidR="002B12D8">
        <w:rPr>
          <w:rFonts w:asciiTheme="majorBidi" w:hAnsiTheme="majorBidi" w:cstheme="majorBidi"/>
        </w:rPr>
        <w:t>2</w:t>
      </w:r>
      <w:r w:rsidRPr="00647D29">
        <w:rPr>
          <w:rFonts w:asciiTheme="majorBidi" w:hAnsiTheme="majorBidi" w:cstheme="majorBidi"/>
        </w:rPr>
        <w:t xml:space="preserve">), </w:t>
      </w:r>
      <w:r w:rsidRPr="00E9526C">
        <w:rPr>
          <w:rFonts w:asciiTheme="majorBidi" w:hAnsiTheme="majorBidi" w:cstheme="majorBidi"/>
        </w:rPr>
        <w:t xml:space="preserve">we have assumed that differences across treatments in </w:t>
      </w:r>
      <w:r w:rsidRPr="00E9526C">
        <w:rPr>
          <w:rFonts w:asciiTheme="majorBidi" w:hAnsiTheme="majorBidi" w:cstheme="majorBidi"/>
          <w:i/>
        </w:rPr>
        <w:t>in vitro</w:t>
      </w:r>
      <w:r w:rsidRPr="00E9526C">
        <w:rPr>
          <w:rFonts w:asciiTheme="majorBidi" w:hAnsiTheme="majorBidi" w:cstheme="majorBidi"/>
        </w:rPr>
        <w:t xml:space="preserve"> susceptibility are predictive of </w:t>
      </w:r>
      <w:r w:rsidRPr="00E9526C">
        <w:rPr>
          <w:rFonts w:asciiTheme="majorBidi" w:hAnsiTheme="majorBidi" w:cstheme="majorBidi"/>
          <w:i/>
        </w:rPr>
        <w:t>in vivo</w:t>
      </w:r>
      <w:r w:rsidRPr="00E9526C">
        <w:rPr>
          <w:rFonts w:asciiTheme="majorBidi" w:hAnsiTheme="majorBidi" w:cstheme="majorBidi"/>
        </w:rPr>
        <w:t xml:space="preserve"> clinical outcomes. This was considered reasonable by the clinical advisors to this project, and evidence relating to treatment susceptibility as a surrogate for clinical outcomes is reviewed in </w:t>
      </w:r>
      <w:r w:rsidRPr="00180FA6">
        <w:rPr>
          <w:rFonts w:asciiTheme="majorBidi" w:hAnsiTheme="majorBidi" w:cstheme="majorBidi"/>
        </w:rPr>
        <w:t>Section</w:t>
      </w:r>
      <w:r w:rsidR="00AC40FF" w:rsidRPr="00180FA6">
        <w:rPr>
          <w:rFonts w:asciiTheme="majorBidi" w:hAnsiTheme="majorBidi" w:cstheme="majorBidi"/>
        </w:rPr>
        <w:t xml:space="preserve"> </w:t>
      </w:r>
      <w:r w:rsidR="00180FA6" w:rsidRPr="00180FA6">
        <w:rPr>
          <w:rFonts w:asciiTheme="majorBidi" w:hAnsiTheme="majorBidi" w:cstheme="majorBidi"/>
        </w:rPr>
        <w:t>4.6.2</w:t>
      </w:r>
      <w:r w:rsidRPr="00E9526C">
        <w:rPr>
          <w:rFonts w:asciiTheme="majorBidi" w:hAnsiTheme="majorBidi" w:cstheme="majorBidi"/>
        </w:rPr>
        <w:t xml:space="preserve">. We link susceptibility to time in hospital and mortality. We do not model the development of infection </w:t>
      </w:r>
      <w:bookmarkStart w:id="352" w:name="_Hlk78547197"/>
      <w:r w:rsidRPr="00E9526C">
        <w:rPr>
          <w:rFonts w:asciiTheme="majorBidi" w:hAnsiTheme="majorBidi" w:cstheme="majorBidi"/>
        </w:rPr>
        <w:t>sequalae</w:t>
      </w:r>
      <w:bookmarkEnd w:id="352"/>
      <w:r w:rsidRPr="00E9526C">
        <w:rPr>
          <w:rFonts w:asciiTheme="majorBidi" w:hAnsiTheme="majorBidi" w:cstheme="majorBidi"/>
        </w:rPr>
        <w:t xml:space="preserve"> such as sepsis. This would have required a range of additional evidence including the rate of development of sepsis, how this relates to susceptibility to the treatment administered, and mortality and hospitalisation outcomes conditional upon whether a patient developed sepsis. Given the sparsity of evidence available, including these additional parameters was not considered appropriate. We would, however, expect 30-day mortality and hospitalisation outcomes to implicitly reflect the possibility that patients will develop additional complications including sepsis. Repeat infection following discharge was also not explicitly modelled (though will be implicitly reflected in the mortality data) as these were considered unlikely to be a significant driver of population INHEs in the HVCS. </w:t>
      </w:r>
    </w:p>
    <w:p w14:paraId="41C5C079" w14:textId="41F5703F"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As well as differences in effectiveness, we model differences in treatment safety. We focus on nephrotoxicity and</w:t>
      </w:r>
      <w:proofErr w:type="gramStart"/>
      <w:r w:rsidRPr="00E9526C">
        <w:rPr>
          <w:rFonts w:asciiTheme="majorBidi" w:hAnsiTheme="majorBidi" w:cstheme="majorBidi"/>
        </w:rPr>
        <w:t>, in particular, the</w:t>
      </w:r>
      <w:proofErr w:type="gramEnd"/>
      <w:r w:rsidRPr="00E9526C">
        <w:rPr>
          <w:rFonts w:asciiTheme="majorBidi" w:hAnsiTheme="majorBidi" w:cstheme="majorBidi"/>
        </w:rPr>
        <w:t xml:space="preserve"> occurrence of AKI</w:t>
      </w:r>
      <w:r w:rsidR="004B23E2">
        <w:rPr>
          <w:rFonts w:asciiTheme="majorBidi" w:hAnsiTheme="majorBidi" w:cstheme="majorBidi"/>
        </w:rPr>
        <w:t>. T</w:t>
      </w:r>
      <w:r w:rsidRPr="00E9526C">
        <w:rPr>
          <w:rFonts w:asciiTheme="majorBidi" w:hAnsiTheme="majorBidi" w:cstheme="majorBidi"/>
        </w:rPr>
        <w:t xml:space="preserve">his was considered to have the most significant implications for the modelling in terms of driving treatment choices (with </w:t>
      </w:r>
      <w:proofErr w:type="gramStart"/>
      <w:r w:rsidRPr="00E9526C">
        <w:rPr>
          <w:rFonts w:asciiTheme="majorBidi" w:hAnsiTheme="majorBidi" w:cstheme="majorBidi"/>
        </w:rPr>
        <w:t>clinicians</w:t>
      </w:r>
      <w:proofErr w:type="gramEnd"/>
      <w:r w:rsidRPr="00E9526C">
        <w:rPr>
          <w:rFonts w:asciiTheme="majorBidi" w:hAnsiTheme="majorBidi" w:cstheme="majorBidi"/>
        </w:rPr>
        <w:t xml:space="preserve"> keen to avoid highly nephrotoxic comparator drugs)</w:t>
      </w:r>
      <w:r w:rsidR="004B23E2">
        <w:rPr>
          <w:rFonts w:asciiTheme="majorBidi" w:hAnsiTheme="majorBidi" w:cstheme="majorBidi"/>
        </w:rPr>
        <w:t>,</w:t>
      </w:r>
      <w:r w:rsidRPr="00E9526C">
        <w:rPr>
          <w:rFonts w:asciiTheme="majorBidi" w:hAnsiTheme="majorBidi" w:cstheme="majorBidi"/>
        </w:rPr>
        <w:t xml:space="preserve"> and influencing INHEs as </w:t>
      </w:r>
      <w:r w:rsidR="00FE2007">
        <w:rPr>
          <w:rFonts w:asciiTheme="majorBidi" w:hAnsiTheme="majorBidi" w:cstheme="majorBidi"/>
        </w:rPr>
        <w:t>CAZ-AVI</w:t>
      </w:r>
      <w:r w:rsidRPr="00E9526C">
        <w:rPr>
          <w:rFonts w:asciiTheme="majorBidi" w:hAnsiTheme="majorBidi" w:cstheme="majorBidi"/>
        </w:rPr>
        <w:t xml:space="preserve"> is expected to be associated with lower rates of nephrotoxicity than some comparators.  </w:t>
      </w:r>
    </w:p>
    <w:p w14:paraId="5A75C6E2" w14:textId="66DCAF15" w:rsidR="00A4788F" w:rsidRPr="00647D29" w:rsidRDefault="00A4788F" w:rsidP="00A83123">
      <w:pPr>
        <w:spacing w:line="360" w:lineRule="auto"/>
        <w:jc w:val="both"/>
        <w:rPr>
          <w:rFonts w:asciiTheme="majorBidi" w:hAnsiTheme="majorBidi" w:cstheme="majorBidi"/>
        </w:rPr>
      </w:pPr>
      <w:r w:rsidRPr="00E9526C">
        <w:rPr>
          <w:rFonts w:asciiTheme="majorBidi" w:hAnsiTheme="majorBidi" w:cstheme="majorBidi"/>
        </w:rPr>
        <w:t xml:space="preserve">Ototoxicity was raised by our clinical advisors as a safety concern associated with use of </w:t>
      </w:r>
      <w:r w:rsidRPr="00647D29">
        <w:rPr>
          <w:rFonts w:asciiTheme="majorBidi" w:hAnsiTheme="majorBidi" w:cstheme="majorBidi"/>
        </w:rPr>
        <w:t xml:space="preserve">aminoglycosides. This was not modelled as it was expected that significant hearing impairment </w:t>
      </w:r>
      <w:r w:rsidRPr="00647D29">
        <w:rPr>
          <w:rFonts w:asciiTheme="majorBidi" w:hAnsiTheme="majorBidi" w:cstheme="majorBidi"/>
        </w:rPr>
        <w:lastRenderedPageBreak/>
        <w:t>associated with aminoglycosides would be rare in this patient group.</w:t>
      </w:r>
      <w:r w:rsidR="00A83123" w:rsidRPr="00A83123">
        <w:rPr>
          <w:rFonts w:asciiTheme="majorBidi" w:hAnsiTheme="majorBidi" w:cstheme="majorBidi"/>
          <w:noProof/>
          <w:vertAlign w:val="superscript"/>
        </w:rPr>
        <w:t>118</w:t>
      </w:r>
      <w:r w:rsidRPr="00647D29">
        <w:rPr>
          <w:rFonts w:asciiTheme="majorBidi" w:hAnsiTheme="majorBidi" w:cstheme="majorBidi"/>
        </w:rPr>
        <w:t xml:space="preserve"> Reduced rates of clostridium difficile infection were highlighted by </w:t>
      </w:r>
      <w:proofErr w:type="gramStart"/>
      <w:r w:rsidRPr="00647D29">
        <w:rPr>
          <w:rFonts w:asciiTheme="majorBidi" w:hAnsiTheme="majorBidi" w:cstheme="majorBidi"/>
        </w:rPr>
        <w:t>a number of</w:t>
      </w:r>
      <w:proofErr w:type="gramEnd"/>
      <w:r w:rsidRPr="00647D29">
        <w:rPr>
          <w:rFonts w:asciiTheme="majorBidi" w:hAnsiTheme="majorBidi" w:cstheme="majorBidi"/>
        </w:rPr>
        <w:t xml:space="preserve"> stakeholders as a potential benefit of the new drugs. This was not included in the modelling as rates of clostridium difficile</w:t>
      </w:r>
      <w:r w:rsidRPr="00647D29">
        <w:rPr>
          <w:rStyle w:val="CommentReference"/>
          <w:rFonts w:asciiTheme="majorBidi" w:hAnsiTheme="majorBidi" w:cstheme="majorBidi"/>
        </w:rPr>
        <w:t xml:space="preserve"> </w:t>
      </w:r>
      <w:r w:rsidRPr="00647D29">
        <w:rPr>
          <w:rFonts w:asciiTheme="majorBidi" w:hAnsiTheme="majorBidi" w:cstheme="majorBidi"/>
        </w:rPr>
        <w:t>are very low</w:t>
      </w:r>
      <w:r w:rsidR="004B23E2">
        <w:rPr>
          <w:rFonts w:asciiTheme="majorBidi" w:hAnsiTheme="majorBidi" w:cstheme="majorBidi"/>
        </w:rPr>
        <w:t>,</w:t>
      </w:r>
      <w:r w:rsidR="00A83123" w:rsidRPr="00A83123">
        <w:rPr>
          <w:rFonts w:asciiTheme="majorBidi" w:hAnsiTheme="majorBidi" w:cstheme="majorBidi"/>
          <w:noProof/>
          <w:vertAlign w:val="superscript"/>
        </w:rPr>
        <w:t>119</w:t>
      </w:r>
      <w:r w:rsidRPr="00647D29">
        <w:rPr>
          <w:rFonts w:asciiTheme="majorBidi" w:hAnsiTheme="majorBidi" w:cstheme="majorBidi"/>
        </w:rPr>
        <w:t xml:space="preserve"> </w:t>
      </w:r>
      <w:r w:rsidR="004B23E2">
        <w:rPr>
          <w:rFonts w:asciiTheme="majorBidi" w:hAnsiTheme="majorBidi" w:cstheme="majorBidi"/>
        </w:rPr>
        <w:t>(</w:t>
      </w:r>
      <w:r w:rsidRPr="00647D29">
        <w:rPr>
          <w:rFonts w:asciiTheme="majorBidi" w:hAnsiTheme="majorBidi" w:cstheme="majorBidi"/>
        </w:rPr>
        <w:t xml:space="preserve">Section </w:t>
      </w:r>
      <w:r w:rsidR="00B50038" w:rsidRPr="00647D29">
        <w:rPr>
          <w:rFonts w:asciiTheme="majorBidi" w:hAnsiTheme="majorBidi" w:cstheme="majorBidi"/>
        </w:rPr>
        <w:t>4.6.4</w:t>
      </w:r>
      <w:r w:rsidRPr="00647D29">
        <w:rPr>
          <w:rFonts w:asciiTheme="majorBidi" w:hAnsiTheme="majorBidi" w:cstheme="majorBidi"/>
        </w:rPr>
        <w:t>).</w:t>
      </w:r>
    </w:p>
    <w:p w14:paraId="5673A4AB" w14:textId="59FA4D87" w:rsidR="00A4788F" w:rsidRPr="00F1720A" w:rsidRDefault="00F1720A" w:rsidP="00211C53">
      <w:pPr>
        <w:pStyle w:val="EEPRUnumberedlevel4"/>
        <w:ind w:hanging="283"/>
      </w:pPr>
      <w:bookmarkStart w:id="353" w:name="_Toc87463035"/>
      <w:r w:rsidRPr="00F1720A">
        <w:t>7.2.2.1</w:t>
      </w:r>
      <w:r w:rsidR="009E265F">
        <w:t xml:space="preserve"> </w:t>
      </w:r>
      <w:r w:rsidR="00A4788F" w:rsidRPr="00F1720A">
        <w:t>Model structure for microbiology directed setting</w:t>
      </w:r>
      <w:bookmarkEnd w:id="353"/>
    </w:p>
    <w:p w14:paraId="2D8116BA" w14:textId="1B5A13B1"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In the MDS, each patient’s susceptibility to available treatment options is known, and treatment can be tailored accordingly. Based on feedback from our clinical advisors, the two main reasons for initiating treatment with </w:t>
      </w:r>
      <w:r w:rsidR="00FE2007">
        <w:rPr>
          <w:rFonts w:asciiTheme="majorBidi" w:hAnsiTheme="majorBidi" w:cstheme="majorBidi"/>
        </w:rPr>
        <w:t>CAZ-AVI</w:t>
      </w:r>
      <w:r w:rsidRPr="00E9526C">
        <w:rPr>
          <w:rFonts w:asciiTheme="majorBidi" w:hAnsiTheme="majorBidi" w:cstheme="majorBidi"/>
        </w:rPr>
        <w:t xml:space="preserve"> (provided patients are susceptible to it) within the MDS HVCS would be that patients are either: (</w:t>
      </w:r>
      <w:proofErr w:type="spellStart"/>
      <w:r w:rsidRPr="00E9526C">
        <w:rPr>
          <w:rFonts w:asciiTheme="majorBidi" w:hAnsiTheme="majorBidi" w:cstheme="majorBidi"/>
        </w:rPr>
        <w:t>i</w:t>
      </w:r>
      <w:proofErr w:type="spellEnd"/>
      <w:r w:rsidRPr="00E9526C">
        <w:rPr>
          <w:rFonts w:asciiTheme="majorBidi" w:hAnsiTheme="majorBidi" w:cstheme="majorBidi"/>
        </w:rPr>
        <w:t xml:space="preserve">) not susceptible to any other available treatment options (i.e., patients are completely </w:t>
      </w:r>
      <w:r w:rsidR="009578AF">
        <w:rPr>
          <w:rFonts w:asciiTheme="majorBidi" w:hAnsiTheme="majorBidi" w:cstheme="majorBidi"/>
        </w:rPr>
        <w:t>MDR</w:t>
      </w:r>
      <w:r w:rsidRPr="00E9526C">
        <w:rPr>
          <w:rFonts w:asciiTheme="majorBidi" w:hAnsiTheme="majorBidi" w:cstheme="majorBidi"/>
        </w:rPr>
        <w:t xml:space="preserve"> to relevant existing treatment options); or (ii) that the only other treatments to which they are susceptible carry an elevated risk of nephrotoxicity. </w:t>
      </w:r>
      <w:bookmarkStart w:id="354" w:name="_Hlk83982142"/>
      <w:r w:rsidRPr="00E9526C">
        <w:rPr>
          <w:rFonts w:asciiTheme="majorBidi" w:hAnsiTheme="majorBidi" w:cstheme="majorBidi"/>
        </w:rPr>
        <w:t>We include colistin and aminoglycosides within the category of nephrotoxic drugs as our clinical advisors indicated that they are likely to be associated with elevated levels of nephrotoxicity.</w:t>
      </w:r>
      <w:bookmarkEnd w:id="354"/>
      <w:r w:rsidRPr="00E9526C">
        <w:rPr>
          <w:rFonts w:asciiTheme="majorBidi" w:hAnsiTheme="majorBidi" w:cstheme="majorBidi"/>
        </w:rPr>
        <w:t xml:space="preserve"> To reflect these considerations, patients within the MDS are divided into three categories based on their susceptibility to existing therapies and, within each category, further subdivided according to their susceptibility to </w:t>
      </w:r>
      <w:r w:rsidR="00FE2007">
        <w:rPr>
          <w:rFonts w:asciiTheme="majorBidi" w:hAnsiTheme="majorBidi" w:cstheme="majorBidi"/>
        </w:rPr>
        <w:t>CAZ-AVI</w:t>
      </w:r>
      <w:r w:rsidRPr="00E9526C">
        <w:rPr>
          <w:rFonts w:asciiTheme="majorBidi" w:hAnsiTheme="majorBidi" w:cstheme="majorBidi"/>
        </w:rPr>
        <w:t xml:space="preserve">. </w:t>
      </w:r>
      <w:r w:rsidR="00417DEE" w:rsidRPr="00417DEE">
        <w:rPr>
          <w:rFonts w:asciiTheme="majorBidi" w:hAnsiTheme="majorBidi" w:cstheme="majorBidi"/>
        </w:rPr>
        <w:t xml:space="preserve">Table </w:t>
      </w:r>
      <w:r w:rsidR="00417DEE" w:rsidRPr="00417DEE">
        <w:rPr>
          <w:rFonts w:asciiTheme="majorBidi" w:hAnsiTheme="majorBidi" w:cstheme="majorBidi"/>
          <w:iCs/>
        </w:rPr>
        <w:t>20</w:t>
      </w:r>
      <w:r w:rsidRPr="00E9526C">
        <w:rPr>
          <w:rFonts w:asciiTheme="majorBidi" w:hAnsiTheme="majorBidi" w:cstheme="majorBidi"/>
        </w:rPr>
        <w:t xml:space="preserve"> shows these subgroups, how they determine treatment choice under existing care, and how that would change if </w:t>
      </w:r>
      <w:r w:rsidR="00FE2007">
        <w:rPr>
          <w:rFonts w:asciiTheme="majorBidi" w:hAnsiTheme="majorBidi" w:cstheme="majorBidi"/>
        </w:rPr>
        <w:t>CAZ-AVI</w:t>
      </w:r>
      <w:r w:rsidRPr="00E9526C">
        <w:rPr>
          <w:rFonts w:asciiTheme="majorBidi" w:hAnsiTheme="majorBidi" w:cstheme="majorBidi"/>
        </w:rPr>
        <w:t xml:space="preserve"> was to become available to this patient group. The groups for which a switch to </w:t>
      </w:r>
      <w:r w:rsidR="00FE2007">
        <w:rPr>
          <w:rFonts w:asciiTheme="majorBidi" w:hAnsiTheme="majorBidi" w:cstheme="majorBidi"/>
        </w:rPr>
        <w:t>CAZ-AVI</w:t>
      </w:r>
      <w:r w:rsidRPr="00E9526C">
        <w:rPr>
          <w:rFonts w:asciiTheme="majorBidi" w:hAnsiTheme="majorBidi" w:cstheme="majorBidi"/>
        </w:rPr>
        <w:t xml:space="preserve"> is expected are highlighted in bold. </w:t>
      </w:r>
    </w:p>
    <w:p w14:paraId="4C51B8E8" w14:textId="033DB493"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In the group of patients who are susceptible only to colistin or an aminoglycoside, and susceptible to </w:t>
      </w:r>
      <w:r w:rsidR="00FE2007">
        <w:rPr>
          <w:rFonts w:asciiTheme="majorBidi" w:hAnsiTheme="majorBidi" w:cstheme="majorBidi"/>
        </w:rPr>
        <w:t>CAZ-AVI</w:t>
      </w:r>
      <w:r w:rsidRPr="00E9526C">
        <w:rPr>
          <w:rFonts w:asciiTheme="majorBidi" w:hAnsiTheme="majorBidi" w:cstheme="majorBidi"/>
        </w:rPr>
        <w:t xml:space="preserve">, </w:t>
      </w:r>
      <w:r w:rsidR="00FE2007">
        <w:rPr>
          <w:rFonts w:asciiTheme="majorBidi" w:hAnsiTheme="majorBidi" w:cstheme="majorBidi"/>
        </w:rPr>
        <w:t>CAZ-AVI</w:t>
      </w:r>
      <w:r w:rsidRPr="00E9526C">
        <w:rPr>
          <w:rFonts w:asciiTheme="majorBidi" w:hAnsiTheme="majorBidi" w:cstheme="majorBidi"/>
        </w:rPr>
        <w:t xml:space="preserve"> offers a safety advantage. In the group of patients who are not susceptible to any available treatment options and, in the absence of the new treatments under evaluation, would receive multi-drug salvage therapy, </w:t>
      </w:r>
      <w:r w:rsidR="00FE2007">
        <w:rPr>
          <w:rFonts w:asciiTheme="majorBidi" w:hAnsiTheme="majorBidi" w:cstheme="majorBidi"/>
        </w:rPr>
        <w:t>CAZ-AVI</w:t>
      </w:r>
      <w:r w:rsidRPr="00E9526C">
        <w:rPr>
          <w:rFonts w:asciiTheme="majorBidi" w:hAnsiTheme="majorBidi" w:cstheme="majorBidi"/>
        </w:rPr>
        <w:t xml:space="preserve"> offers a safety and efficacy advantage.  This is because, for many patients, multi-drug salvage therapy would be expected to include a colistin or aminoglycoside component. Throughout the modelling, isolates classed as intermediate resistant are grouped with those which are resistant as patients infected with intermediate resistant and resistant pathogens are expected to experience similar outcomes in the HVCS based on feedback from EEPRU’s clinical advisors, and much of the data relating mortality and hospitalisation to susceptibility follows this grouping. Our clinical advisors noted that it may be possible to overcome intermediate resistance via higher dosing, but also considered that it would be difficult to evidence this within the model. Given the diverse range of data sources informing susceptibility and the link between susceptibility and outcomes, and the level of reporting within these studies, it was not feasible to explore the implications of differential outcomes between intermediate resistant and resistant patients. </w:t>
      </w:r>
    </w:p>
    <w:p w14:paraId="762F863A" w14:textId="0E83AB04"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In the MDS the model is, therefore, driven by the proportion of individuals within each category of “susceptibility to existing drugs” and the proportion of individuals susceptible to </w:t>
      </w:r>
      <w:r w:rsidR="00FE2007">
        <w:rPr>
          <w:rFonts w:asciiTheme="majorBidi" w:hAnsiTheme="majorBidi" w:cstheme="majorBidi"/>
        </w:rPr>
        <w:t>CAZ-AVI</w:t>
      </w:r>
      <w:r w:rsidRPr="00E9526C">
        <w:rPr>
          <w:rFonts w:asciiTheme="majorBidi" w:hAnsiTheme="majorBidi" w:cstheme="majorBidi"/>
        </w:rPr>
        <w:t xml:space="preserve">. This is based on susceptibility data as </w:t>
      </w:r>
      <w:r w:rsidRPr="00647D29">
        <w:rPr>
          <w:rFonts w:asciiTheme="majorBidi" w:hAnsiTheme="majorBidi" w:cstheme="majorBidi"/>
        </w:rPr>
        <w:t>documented in Section</w:t>
      </w:r>
      <w:r w:rsidR="00B50038" w:rsidRPr="00647D29">
        <w:rPr>
          <w:rFonts w:asciiTheme="majorBidi" w:hAnsiTheme="majorBidi" w:cstheme="majorBidi"/>
        </w:rPr>
        <w:t>s</w:t>
      </w:r>
      <w:r w:rsidRPr="00647D29">
        <w:rPr>
          <w:rFonts w:asciiTheme="majorBidi" w:hAnsiTheme="majorBidi" w:cstheme="majorBidi"/>
        </w:rPr>
        <w:t xml:space="preserve"> </w:t>
      </w:r>
      <w:r w:rsidR="00B50038" w:rsidRPr="00647D29">
        <w:rPr>
          <w:rFonts w:asciiTheme="majorBidi" w:hAnsiTheme="majorBidi" w:cstheme="majorBidi"/>
        </w:rPr>
        <w:t>4.4.2 to 4.5.4</w:t>
      </w:r>
      <w:r w:rsidRPr="00647D29">
        <w:rPr>
          <w:rFonts w:asciiTheme="majorBidi" w:hAnsiTheme="majorBidi" w:cstheme="majorBidi"/>
        </w:rPr>
        <w:t xml:space="preserve">. The </w:t>
      </w:r>
      <w:r w:rsidRPr="00E9526C">
        <w:rPr>
          <w:rFonts w:asciiTheme="majorBidi" w:hAnsiTheme="majorBidi" w:cstheme="majorBidi"/>
        </w:rPr>
        <w:t xml:space="preserve">comparison made within the </w:t>
      </w:r>
      <w:r w:rsidRPr="00E9526C">
        <w:rPr>
          <w:rFonts w:asciiTheme="majorBidi" w:hAnsiTheme="majorBidi" w:cstheme="majorBidi"/>
        </w:rPr>
        <w:lastRenderedPageBreak/>
        <w:t xml:space="preserve">model is between the overall MDS cohort who receive tailored therapy with the new drug available (column four of </w:t>
      </w:r>
      <w:r w:rsidR="00647D29" w:rsidRPr="00647D29">
        <w:rPr>
          <w:rFonts w:asciiTheme="majorBidi" w:hAnsiTheme="majorBidi" w:cstheme="majorBidi"/>
          <w:iCs/>
        </w:rPr>
        <w:t xml:space="preserve">Table </w:t>
      </w:r>
      <w:r w:rsidR="00647D29" w:rsidRPr="00647D29">
        <w:rPr>
          <w:rFonts w:asciiTheme="majorBidi" w:hAnsiTheme="majorBidi" w:cstheme="majorBidi"/>
          <w:iCs/>
          <w:noProof/>
        </w:rPr>
        <w:t>20</w:t>
      </w:r>
      <w:r w:rsidRPr="00E9526C">
        <w:rPr>
          <w:rFonts w:asciiTheme="majorBidi" w:hAnsiTheme="majorBidi" w:cstheme="majorBidi"/>
        </w:rPr>
        <w:t xml:space="preserve">) and the overall MDS cohort who receive tailored therapy under existing treatment options only (column 3 of </w:t>
      </w:r>
      <w:r w:rsidR="00647D29" w:rsidRPr="00647D29">
        <w:rPr>
          <w:rFonts w:asciiTheme="majorBidi" w:hAnsiTheme="majorBidi" w:cstheme="majorBidi"/>
          <w:iCs/>
        </w:rPr>
        <w:t xml:space="preserve">Table </w:t>
      </w:r>
      <w:r w:rsidR="00647D29" w:rsidRPr="00647D29">
        <w:rPr>
          <w:rFonts w:asciiTheme="majorBidi" w:hAnsiTheme="majorBidi" w:cstheme="majorBidi"/>
          <w:iCs/>
          <w:noProof/>
        </w:rPr>
        <w:t>20</w:t>
      </w:r>
      <w:r w:rsidRPr="00E9526C">
        <w:rPr>
          <w:rFonts w:asciiTheme="majorBidi" w:hAnsiTheme="majorBidi" w:cstheme="majorBidi"/>
        </w:rPr>
        <w:t>).</w:t>
      </w:r>
    </w:p>
    <w:p w14:paraId="5F2EABE2" w14:textId="77777777" w:rsidR="009E265F" w:rsidRDefault="009E265F" w:rsidP="009E265F">
      <w:pPr>
        <w:pStyle w:val="table"/>
      </w:pPr>
      <w:bookmarkStart w:id="355" w:name="_Ref77580003"/>
      <w:bookmarkStart w:id="356" w:name="_Toc83589975"/>
    </w:p>
    <w:p w14:paraId="183D5922" w14:textId="262E2804" w:rsidR="00A4788F" w:rsidRPr="00A84A11" w:rsidRDefault="00A4788F" w:rsidP="009E265F">
      <w:pPr>
        <w:pStyle w:val="table"/>
        <w:rPr>
          <w:i/>
          <w:iCs/>
          <w:sz w:val="22"/>
          <w:szCs w:val="22"/>
        </w:rPr>
      </w:pPr>
      <w:bookmarkStart w:id="357" w:name="_Toc86418997"/>
      <w:r w:rsidRPr="007E0A82">
        <w:t xml:space="preserve">Table </w:t>
      </w:r>
      <w:r w:rsidR="00F10F0A">
        <w:rPr>
          <w:noProof/>
          <w:sz w:val="22"/>
          <w:szCs w:val="22"/>
        </w:rPr>
        <w:t>20</w:t>
      </w:r>
      <w:bookmarkEnd w:id="355"/>
      <w:r w:rsidRPr="007E0A82">
        <w:t>: Subgroups within the MDS and their treatment choices</w:t>
      </w:r>
      <w:bookmarkEnd w:id="356"/>
      <w:bookmarkEnd w:id="357"/>
    </w:p>
    <w:tbl>
      <w:tblPr>
        <w:tblW w:w="9913" w:type="dxa"/>
        <w:tblCellMar>
          <w:top w:w="15" w:type="dxa"/>
          <w:left w:w="15" w:type="dxa"/>
          <w:bottom w:w="15" w:type="dxa"/>
          <w:right w:w="15" w:type="dxa"/>
        </w:tblCellMar>
        <w:tblLook w:val="04A0" w:firstRow="1" w:lastRow="0" w:firstColumn="1" w:lastColumn="0" w:noHBand="0" w:noVBand="1"/>
      </w:tblPr>
      <w:tblGrid>
        <w:gridCol w:w="3232"/>
        <w:gridCol w:w="1827"/>
        <w:gridCol w:w="2289"/>
        <w:gridCol w:w="2565"/>
      </w:tblGrid>
      <w:tr w:rsidR="00A4788F" w:rsidRPr="00A77EF9" w14:paraId="0A5EAC11" w14:textId="77777777" w:rsidTr="00A4788F">
        <w:trPr>
          <w:trHeight w:val="2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4E09FDAC" w14:textId="77777777" w:rsidR="00A4788F" w:rsidRPr="007E0A82" w:rsidRDefault="00A4788F" w:rsidP="00A4788F">
            <w:pPr>
              <w:pStyle w:val="NoSpacing"/>
              <w:rPr>
                <w:rFonts w:ascii="Times New Roman" w:hAnsi="Times New Roman"/>
                <w:b/>
              </w:rPr>
            </w:pPr>
            <w:r w:rsidRPr="007E0A82">
              <w:rPr>
                <w:rFonts w:ascii="Times New Roman" w:hAnsi="Times New Roman"/>
                <w:b/>
              </w:rPr>
              <w:t>Susceptibility to existing drugs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055813B" w14:textId="0EEBDE64" w:rsidR="00A4788F" w:rsidRPr="007E0A82" w:rsidRDefault="00A4788F" w:rsidP="00A4788F">
            <w:pPr>
              <w:pStyle w:val="NoSpacing"/>
              <w:rPr>
                <w:rFonts w:ascii="Times New Roman" w:hAnsi="Times New Roman"/>
                <w:b/>
              </w:rPr>
            </w:pPr>
            <w:r w:rsidRPr="007E0A82">
              <w:rPr>
                <w:rFonts w:ascii="Times New Roman" w:hAnsi="Times New Roman"/>
                <w:b/>
              </w:rPr>
              <w:t xml:space="preserve">Susceptibility to </w:t>
            </w:r>
            <w:r w:rsidR="00FE2007">
              <w:rPr>
                <w:rFonts w:ascii="Times New Roman" w:hAnsi="Times New Roman"/>
                <w:b/>
              </w:rPr>
              <w:t>CAZ-AVI</w:t>
            </w:r>
            <w:r w:rsidRPr="007E0A82">
              <w:rPr>
                <w:rFonts w:ascii="Times New Roman" w:hAnsi="Times New Roman"/>
                <w:b/>
              </w:rPr>
              <w:t xml:space="preserve"> </w:t>
            </w:r>
          </w:p>
        </w:tc>
        <w:tc>
          <w:tcPr>
            <w:tcW w:w="2289"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1B4B94CB" w14:textId="77777777" w:rsidR="00A4788F" w:rsidRPr="007E0A82" w:rsidRDefault="00A4788F" w:rsidP="00A4788F">
            <w:pPr>
              <w:pStyle w:val="NoSpacing"/>
              <w:rPr>
                <w:rFonts w:ascii="Times New Roman" w:hAnsi="Times New Roman"/>
                <w:b/>
              </w:rPr>
            </w:pPr>
            <w:r w:rsidRPr="007E0A82">
              <w:rPr>
                <w:rFonts w:ascii="Times New Roman" w:hAnsi="Times New Roman"/>
                <w:b/>
              </w:rPr>
              <w:t>Therapy under existing care</w:t>
            </w:r>
          </w:p>
        </w:tc>
        <w:tc>
          <w:tcPr>
            <w:tcW w:w="256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D97FA00" w14:textId="77777777" w:rsidR="00A4788F" w:rsidRPr="007E0A82" w:rsidRDefault="00A4788F" w:rsidP="00A4788F">
            <w:pPr>
              <w:pStyle w:val="NoSpacing"/>
              <w:rPr>
                <w:rFonts w:ascii="Times New Roman" w:hAnsi="Times New Roman"/>
                <w:b/>
              </w:rPr>
            </w:pPr>
            <w:r w:rsidRPr="007E0A82">
              <w:rPr>
                <w:rFonts w:ascii="Times New Roman" w:hAnsi="Times New Roman"/>
                <w:b/>
              </w:rPr>
              <w:t>Therapy with new drug available</w:t>
            </w:r>
          </w:p>
        </w:tc>
      </w:tr>
      <w:tr w:rsidR="00A4788F" w:rsidRPr="00A77EF9" w14:paraId="3987B7C5" w14:textId="77777777" w:rsidTr="00A4788F">
        <w:trPr>
          <w:trHeight w:val="20"/>
        </w:trPr>
        <w:tc>
          <w:tcPr>
            <w:tcW w:w="0" w:type="auto"/>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CFBC863" w14:textId="77777777" w:rsidR="00A4788F" w:rsidRPr="007E0A82" w:rsidRDefault="00A4788F" w:rsidP="00A4788F">
            <w:pPr>
              <w:pStyle w:val="NoSpacing"/>
              <w:rPr>
                <w:rFonts w:ascii="Times New Roman" w:hAnsi="Times New Roman"/>
              </w:rPr>
            </w:pPr>
            <w:r w:rsidRPr="007E0A82">
              <w:rPr>
                <w:rFonts w:ascii="Times New Roman" w:hAnsi="Times New Roman"/>
              </w:rPr>
              <w:t>Susceptible to one or more non-colistin/aminoglycosides option</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1243715C" w14:textId="77777777" w:rsidR="00A4788F" w:rsidRPr="007E0A82" w:rsidRDefault="00A4788F" w:rsidP="00A4788F">
            <w:pPr>
              <w:pStyle w:val="NoSpacing"/>
              <w:rPr>
                <w:rFonts w:ascii="Times New Roman" w:hAnsi="Times New Roman"/>
              </w:rPr>
            </w:pPr>
            <w:r w:rsidRPr="007E0A82">
              <w:rPr>
                <w:rFonts w:ascii="Times New Roman" w:hAnsi="Times New Roman"/>
              </w:rPr>
              <w:t>Susceptible</w:t>
            </w:r>
          </w:p>
        </w:tc>
        <w:tc>
          <w:tcPr>
            <w:tcW w:w="2289" w:type="dxa"/>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40607F68" w14:textId="77777777" w:rsidR="00A4788F" w:rsidRPr="007E0A82" w:rsidRDefault="00A4788F" w:rsidP="00A4788F">
            <w:pPr>
              <w:pStyle w:val="NoSpacing"/>
              <w:rPr>
                <w:rFonts w:ascii="Times New Roman" w:hAnsi="Times New Roman"/>
              </w:rPr>
            </w:pPr>
            <w:r w:rsidRPr="007E0A82">
              <w:rPr>
                <w:rFonts w:ascii="Times New Roman" w:hAnsi="Times New Roman"/>
              </w:rPr>
              <w:t>Non-colistin/amino</w:t>
            </w:r>
          </w:p>
        </w:tc>
        <w:tc>
          <w:tcPr>
            <w:tcW w:w="2565" w:type="dxa"/>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5104A055" w14:textId="77777777" w:rsidR="00A4788F" w:rsidRPr="007E0A82" w:rsidRDefault="00A4788F" w:rsidP="00A4788F">
            <w:pPr>
              <w:pStyle w:val="NoSpacing"/>
              <w:rPr>
                <w:rFonts w:ascii="Times New Roman" w:hAnsi="Times New Roman"/>
              </w:rPr>
            </w:pPr>
            <w:r w:rsidRPr="007E0A82">
              <w:rPr>
                <w:rFonts w:ascii="Times New Roman" w:hAnsi="Times New Roman"/>
              </w:rPr>
              <w:t>Non-colistin/amino</w:t>
            </w:r>
          </w:p>
        </w:tc>
      </w:tr>
      <w:tr w:rsidR="00A4788F" w:rsidRPr="00A77EF9" w14:paraId="28D6E60A" w14:textId="77777777" w:rsidTr="00A4788F">
        <w:trPr>
          <w:trHeight w:val="2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26A1C0B5" w14:textId="77777777" w:rsidR="00A4788F" w:rsidRPr="007E0A82" w:rsidRDefault="00A4788F" w:rsidP="00A4788F">
            <w:pPr>
              <w:pStyle w:val="NoSpacing"/>
              <w:rPr>
                <w:rFonts w:ascii="Times New Roman" w:hAnsi="Times New Roman"/>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66AA5D0" w14:textId="77777777" w:rsidR="00A4788F" w:rsidRPr="007E0A82" w:rsidRDefault="00A4788F" w:rsidP="00A4788F">
            <w:pPr>
              <w:pStyle w:val="NoSpacing"/>
              <w:rPr>
                <w:rFonts w:ascii="Times New Roman" w:hAnsi="Times New Roman"/>
              </w:rPr>
            </w:pPr>
            <w:r w:rsidRPr="007E0A82">
              <w:rPr>
                <w:rFonts w:ascii="Times New Roman" w:hAnsi="Times New Roman"/>
              </w:rPr>
              <w:t>Resistant</w:t>
            </w:r>
          </w:p>
        </w:tc>
        <w:tc>
          <w:tcPr>
            <w:tcW w:w="2289" w:type="dxa"/>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6467F008" w14:textId="77777777" w:rsidR="00A4788F" w:rsidRPr="007E0A82" w:rsidRDefault="00A4788F" w:rsidP="00A4788F">
            <w:pPr>
              <w:pStyle w:val="NoSpacing"/>
              <w:rPr>
                <w:rFonts w:ascii="Times New Roman" w:hAnsi="Times New Roman"/>
              </w:rPr>
            </w:pPr>
            <w:r w:rsidRPr="007E0A82">
              <w:rPr>
                <w:rFonts w:ascii="Times New Roman" w:hAnsi="Times New Roman"/>
              </w:rPr>
              <w:t>Non-colistin/amino</w:t>
            </w:r>
          </w:p>
        </w:tc>
        <w:tc>
          <w:tcPr>
            <w:tcW w:w="2565" w:type="dxa"/>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02704A16" w14:textId="77777777" w:rsidR="00A4788F" w:rsidRPr="007E0A82" w:rsidRDefault="00A4788F" w:rsidP="00A4788F">
            <w:pPr>
              <w:pStyle w:val="NoSpacing"/>
              <w:rPr>
                <w:rFonts w:ascii="Times New Roman" w:hAnsi="Times New Roman"/>
              </w:rPr>
            </w:pPr>
            <w:r w:rsidRPr="007E0A82">
              <w:rPr>
                <w:rFonts w:ascii="Times New Roman" w:hAnsi="Times New Roman"/>
              </w:rPr>
              <w:t>Non-colistin/amino</w:t>
            </w:r>
          </w:p>
        </w:tc>
      </w:tr>
      <w:tr w:rsidR="00A4788F" w:rsidRPr="00A77EF9" w14:paraId="6650F0A3" w14:textId="77777777" w:rsidTr="00A4788F">
        <w:trPr>
          <w:trHeight w:val="20"/>
        </w:trPr>
        <w:tc>
          <w:tcPr>
            <w:tcW w:w="0" w:type="auto"/>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5743E261" w14:textId="77777777" w:rsidR="00A4788F" w:rsidRPr="007E0A82" w:rsidRDefault="00A4788F" w:rsidP="00A4788F">
            <w:pPr>
              <w:pStyle w:val="NoSpacing"/>
              <w:rPr>
                <w:rFonts w:ascii="Times New Roman" w:hAnsi="Times New Roman"/>
              </w:rPr>
            </w:pPr>
            <w:r w:rsidRPr="007E0A82">
              <w:rPr>
                <w:rFonts w:ascii="Times New Roman" w:hAnsi="Times New Roman"/>
              </w:rPr>
              <w:t>Susceptible only to colistin or aminoglycosides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2507E6D" w14:textId="77777777" w:rsidR="00A4788F" w:rsidRPr="007E0A82" w:rsidRDefault="00A4788F" w:rsidP="00A4788F">
            <w:pPr>
              <w:pStyle w:val="NoSpacing"/>
              <w:rPr>
                <w:rFonts w:ascii="Times New Roman" w:hAnsi="Times New Roman"/>
              </w:rPr>
            </w:pPr>
            <w:r w:rsidRPr="007E0A82">
              <w:rPr>
                <w:rFonts w:ascii="Times New Roman" w:hAnsi="Times New Roman"/>
              </w:rPr>
              <w:t>Susceptible</w:t>
            </w:r>
          </w:p>
        </w:tc>
        <w:tc>
          <w:tcPr>
            <w:tcW w:w="2289" w:type="dxa"/>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450EF79C" w14:textId="77777777" w:rsidR="00A4788F" w:rsidRPr="007E0A82" w:rsidRDefault="00A4788F" w:rsidP="00A4788F">
            <w:pPr>
              <w:pStyle w:val="NoSpacing"/>
              <w:rPr>
                <w:rFonts w:ascii="Times New Roman" w:hAnsi="Times New Roman"/>
                <w:b/>
              </w:rPr>
            </w:pPr>
            <w:r w:rsidRPr="007E0A82">
              <w:rPr>
                <w:rFonts w:ascii="Times New Roman" w:hAnsi="Times New Roman"/>
                <w:b/>
              </w:rPr>
              <w:t>Colistin/</w:t>
            </w:r>
            <w:proofErr w:type="gramStart"/>
            <w:r w:rsidRPr="007E0A82">
              <w:rPr>
                <w:rFonts w:ascii="Times New Roman" w:hAnsi="Times New Roman"/>
                <w:b/>
              </w:rPr>
              <w:t>amino-based</w:t>
            </w:r>
            <w:proofErr w:type="gramEnd"/>
          </w:p>
        </w:tc>
        <w:tc>
          <w:tcPr>
            <w:tcW w:w="2565" w:type="dxa"/>
            <w:tcBorders>
              <w:top w:val="single" w:sz="8" w:space="0" w:color="9E9E9E"/>
              <w:left w:val="single" w:sz="8" w:space="0" w:color="9E9E9E"/>
              <w:bottom w:val="single" w:sz="8" w:space="0" w:color="9E9E9E"/>
              <w:right w:val="single" w:sz="8" w:space="0" w:color="00FF00"/>
            </w:tcBorders>
            <w:shd w:val="clear" w:color="auto" w:fill="70AD47"/>
            <w:tcMar>
              <w:top w:w="140" w:type="dxa"/>
              <w:left w:w="140" w:type="dxa"/>
              <w:bottom w:w="140" w:type="dxa"/>
              <w:right w:w="140" w:type="dxa"/>
            </w:tcMar>
            <w:hideMark/>
          </w:tcPr>
          <w:p w14:paraId="6A3DF79B" w14:textId="0B5A1C60" w:rsidR="00A4788F" w:rsidRPr="007E0A82" w:rsidRDefault="00FE2007" w:rsidP="00A4788F">
            <w:pPr>
              <w:pStyle w:val="NoSpacing"/>
              <w:rPr>
                <w:rFonts w:ascii="Times New Roman" w:hAnsi="Times New Roman"/>
                <w:b/>
              </w:rPr>
            </w:pPr>
            <w:r>
              <w:rPr>
                <w:rFonts w:ascii="Times New Roman" w:hAnsi="Times New Roman"/>
                <w:b/>
              </w:rPr>
              <w:t>CAZ-AVI</w:t>
            </w:r>
          </w:p>
        </w:tc>
      </w:tr>
      <w:tr w:rsidR="00A4788F" w:rsidRPr="00A77EF9" w14:paraId="4AAE765D" w14:textId="77777777" w:rsidTr="00A4788F">
        <w:trPr>
          <w:trHeight w:val="2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4A2C9CAB" w14:textId="77777777" w:rsidR="00A4788F" w:rsidRPr="007E0A82" w:rsidRDefault="00A4788F" w:rsidP="00A4788F">
            <w:pPr>
              <w:pStyle w:val="NoSpacing"/>
              <w:rPr>
                <w:rFonts w:ascii="Times New Roman" w:hAnsi="Times New Roman"/>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C8324D6" w14:textId="77777777" w:rsidR="00A4788F" w:rsidRPr="007E0A82" w:rsidRDefault="00A4788F" w:rsidP="00A4788F">
            <w:pPr>
              <w:pStyle w:val="NoSpacing"/>
              <w:rPr>
                <w:rFonts w:ascii="Times New Roman" w:hAnsi="Times New Roman"/>
              </w:rPr>
            </w:pPr>
            <w:r w:rsidRPr="007E0A82">
              <w:rPr>
                <w:rFonts w:ascii="Times New Roman" w:hAnsi="Times New Roman"/>
              </w:rPr>
              <w:t>Resistant</w:t>
            </w:r>
          </w:p>
        </w:tc>
        <w:tc>
          <w:tcPr>
            <w:tcW w:w="2289" w:type="dxa"/>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3E2901FB" w14:textId="77777777" w:rsidR="00A4788F" w:rsidRPr="007E0A82" w:rsidRDefault="00A4788F" w:rsidP="00A4788F">
            <w:pPr>
              <w:pStyle w:val="NoSpacing"/>
              <w:rPr>
                <w:rFonts w:ascii="Times New Roman" w:hAnsi="Times New Roman"/>
              </w:rPr>
            </w:pPr>
            <w:r w:rsidRPr="007E0A82">
              <w:rPr>
                <w:rFonts w:ascii="Times New Roman" w:hAnsi="Times New Roman"/>
              </w:rPr>
              <w:t>Colistin/</w:t>
            </w:r>
            <w:proofErr w:type="gramStart"/>
            <w:r w:rsidRPr="007E0A82">
              <w:rPr>
                <w:rFonts w:ascii="Times New Roman" w:hAnsi="Times New Roman"/>
              </w:rPr>
              <w:t>amino-based</w:t>
            </w:r>
            <w:proofErr w:type="gramEnd"/>
          </w:p>
        </w:tc>
        <w:tc>
          <w:tcPr>
            <w:tcW w:w="2565" w:type="dxa"/>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463DC4AA" w14:textId="77777777" w:rsidR="00A4788F" w:rsidRPr="007E0A82" w:rsidRDefault="00A4788F" w:rsidP="00A4788F">
            <w:pPr>
              <w:pStyle w:val="NoSpacing"/>
              <w:rPr>
                <w:rFonts w:ascii="Times New Roman" w:hAnsi="Times New Roman"/>
              </w:rPr>
            </w:pPr>
            <w:r w:rsidRPr="007E0A82">
              <w:rPr>
                <w:rFonts w:ascii="Times New Roman" w:hAnsi="Times New Roman"/>
              </w:rPr>
              <w:t>Colistin/</w:t>
            </w:r>
            <w:proofErr w:type="gramStart"/>
            <w:r w:rsidRPr="007E0A82">
              <w:rPr>
                <w:rFonts w:ascii="Times New Roman" w:hAnsi="Times New Roman"/>
              </w:rPr>
              <w:t>amino-based</w:t>
            </w:r>
            <w:proofErr w:type="gramEnd"/>
          </w:p>
        </w:tc>
      </w:tr>
      <w:tr w:rsidR="00A4788F" w:rsidRPr="00A77EF9" w14:paraId="23A1BD2B" w14:textId="77777777" w:rsidTr="00A4788F">
        <w:trPr>
          <w:trHeight w:val="20"/>
        </w:trPr>
        <w:tc>
          <w:tcPr>
            <w:tcW w:w="0" w:type="auto"/>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1FFA800" w14:textId="77777777" w:rsidR="00A4788F" w:rsidRPr="007E0A82" w:rsidRDefault="00A4788F" w:rsidP="00A4788F">
            <w:pPr>
              <w:pStyle w:val="NoSpacing"/>
              <w:rPr>
                <w:rFonts w:ascii="Times New Roman" w:hAnsi="Times New Roman"/>
              </w:rPr>
            </w:pPr>
            <w:r w:rsidRPr="007E0A82">
              <w:rPr>
                <w:rFonts w:ascii="Times New Roman" w:hAnsi="Times New Roman"/>
              </w:rPr>
              <w:t>Not susceptible to any available treatment options </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7DCD626" w14:textId="77777777" w:rsidR="00A4788F" w:rsidRPr="007E0A82" w:rsidRDefault="00A4788F" w:rsidP="00A4788F">
            <w:pPr>
              <w:pStyle w:val="NoSpacing"/>
              <w:rPr>
                <w:rFonts w:ascii="Times New Roman" w:hAnsi="Times New Roman"/>
              </w:rPr>
            </w:pPr>
            <w:r w:rsidRPr="007E0A82">
              <w:rPr>
                <w:rFonts w:ascii="Times New Roman" w:hAnsi="Times New Roman"/>
              </w:rPr>
              <w:t>Susceptible</w:t>
            </w:r>
          </w:p>
        </w:tc>
        <w:tc>
          <w:tcPr>
            <w:tcW w:w="2289" w:type="dxa"/>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1E105AF4" w14:textId="77777777" w:rsidR="00A4788F" w:rsidRPr="007E0A82" w:rsidRDefault="00A4788F" w:rsidP="00A4788F">
            <w:pPr>
              <w:pStyle w:val="NoSpacing"/>
              <w:rPr>
                <w:rFonts w:ascii="Times New Roman" w:hAnsi="Times New Roman"/>
                <w:b/>
              </w:rPr>
            </w:pPr>
            <w:r w:rsidRPr="007E0A82">
              <w:rPr>
                <w:rFonts w:ascii="Times New Roman" w:hAnsi="Times New Roman"/>
                <w:b/>
              </w:rPr>
              <w:t>Multi-drug salvage</w:t>
            </w:r>
          </w:p>
        </w:tc>
        <w:tc>
          <w:tcPr>
            <w:tcW w:w="2565" w:type="dxa"/>
            <w:tcBorders>
              <w:top w:val="single" w:sz="8" w:space="0" w:color="9E9E9E"/>
              <w:left w:val="single" w:sz="8" w:space="0" w:color="9E9E9E"/>
              <w:bottom w:val="single" w:sz="8" w:space="0" w:color="9E9E9E"/>
              <w:right w:val="single" w:sz="8" w:space="0" w:color="00FF00"/>
            </w:tcBorders>
            <w:shd w:val="clear" w:color="auto" w:fill="70AD47"/>
            <w:tcMar>
              <w:top w:w="140" w:type="dxa"/>
              <w:left w:w="140" w:type="dxa"/>
              <w:bottom w:w="140" w:type="dxa"/>
              <w:right w:w="140" w:type="dxa"/>
            </w:tcMar>
            <w:hideMark/>
          </w:tcPr>
          <w:p w14:paraId="747E12BC" w14:textId="4DB28797" w:rsidR="00A4788F" w:rsidRPr="007E0A82" w:rsidRDefault="00FE2007" w:rsidP="00A4788F">
            <w:pPr>
              <w:pStyle w:val="NoSpacing"/>
              <w:rPr>
                <w:rFonts w:ascii="Times New Roman" w:hAnsi="Times New Roman"/>
                <w:b/>
              </w:rPr>
            </w:pPr>
            <w:r>
              <w:rPr>
                <w:rFonts w:ascii="Times New Roman" w:hAnsi="Times New Roman"/>
                <w:b/>
              </w:rPr>
              <w:t>CAZ-AVI</w:t>
            </w:r>
          </w:p>
        </w:tc>
      </w:tr>
      <w:tr w:rsidR="00A4788F" w:rsidRPr="00A77EF9" w14:paraId="52A52C2D" w14:textId="77777777" w:rsidTr="00A4788F">
        <w:trPr>
          <w:trHeight w:val="20"/>
        </w:trPr>
        <w:tc>
          <w:tcPr>
            <w:tcW w:w="0" w:type="auto"/>
            <w:vMerge/>
            <w:tcBorders>
              <w:top w:val="single" w:sz="8" w:space="0" w:color="9E9E9E"/>
              <w:left w:val="single" w:sz="8" w:space="0" w:color="9E9E9E"/>
              <w:bottom w:val="single" w:sz="8" w:space="0" w:color="9E9E9E"/>
              <w:right w:val="single" w:sz="8" w:space="0" w:color="9E9E9E"/>
            </w:tcBorders>
            <w:vAlign w:val="center"/>
            <w:hideMark/>
          </w:tcPr>
          <w:p w14:paraId="0EE2F2AA" w14:textId="77777777" w:rsidR="00A4788F" w:rsidRPr="007E0A82" w:rsidRDefault="00A4788F" w:rsidP="00A4788F">
            <w:pPr>
              <w:pStyle w:val="NoSpacing"/>
              <w:rPr>
                <w:rFonts w:ascii="Times New Roman" w:hAnsi="Times New Roman"/>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38427A5" w14:textId="77777777" w:rsidR="00A4788F" w:rsidRPr="007E0A82" w:rsidRDefault="00A4788F" w:rsidP="00A4788F">
            <w:pPr>
              <w:pStyle w:val="NoSpacing"/>
              <w:rPr>
                <w:rFonts w:ascii="Times New Roman" w:hAnsi="Times New Roman"/>
              </w:rPr>
            </w:pPr>
            <w:r w:rsidRPr="007E0A82">
              <w:rPr>
                <w:rFonts w:ascii="Times New Roman" w:hAnsi="Times New Roman"/>
              </w:rPr>
              <w:t>Resistant</w:t>
            </w:r>
          </w:p>
        </w:tc>
        <w:tc>
          <w:tcPr>
            <w:tcW w:w="2289" w:type="dxa"/>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6FF1AE25" w14:textId="77777777" w:rsidR="00A4788F" w:rsidRPr="007E0A82" w:rsidRDefault="00A4788F" w:rsidP="00A4788F">
            <w:pPr>
              <w:pStyle w:val="NoSpacing"/>
              <w:rPr>
                <w:rFonts w:ascii="Times New Roman" w:hAnsi="Times New Roman"/>
              </w:rPr>
            </w:pPr>
            <w:r w:rsidRPr="007E0A82">
              <w:rPr>
                <w:rFonts w:ascii="Times New Roman" w:hAnsi="Times New Roman"/>
              </w:rPr>
              <w:t>Multi-drug salvage</w:t>
            </w:r>
          </w:p>
        </w:tc>
        <w:tc>
          <w:tcPr>
            <w:tcW w:w="2565" w:type="dxa"/>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25B2AD0A" w14:textId="77777777" w:rsidR="00A4788F" w:rsidRPr="007E0A82" w:rsidRDefault="00A4788F" w:rsidP="00A4788F">
            <w:pPr>
              <w:pStyle w:val="NoSpacing"/>
              <w:rPr>
                <w:rFonts w:ascii="Times New Roman" w:hAnsi="Times New Roman"/>
              </w:rPr>
            </w:pPr>
            <w:r w:rsidRPr="007E0A82">
              <w:rPr>
                <w:rFonts w:ascii="Times New Roman" w:hAnsi="Times New Roman"/>
              </w:rPr>
              <w:t>Multi-drug salvage</w:t>
            </w:r>
          </w:p>
        </w:tc>
      </w:tr>
    </w:tbl>
    <w:p w14:paraId="259CA87F" w14:textId="44F7B893" w:rsidR="00A4788F" w:rsidRPr="007D14CC" w:rsidRDefault="00A4788F" w:rsidP="00A4788F">
      <w:pPr>
        <w:spacing w:after="0"/>
        <w:rPr>
          <w:rFonts w:ascii="Times New Roman" w:hAnsi="Times New Roman" w:cs="Times New Roman"/>
          <w:sz w:val="18"/>
        </w:rPr>
      </w:pPr>
      <w:r w:rsidRPr="007D14CC">
        <w:rPr>
          <w:rFonts w:ascii="Times New Roman" w:hAnsi="Times New Roman" w:cs="Times New Roman"/>
          <w:sz w:val="18"/>
        </w:rPr>
        <w:t xml:space="preserve">Notes: orange indicates that clinician initiates treatment with drug with poor safety, red indicates that clinician initiates treatment with drug with poor efficacy (and possibly safety). Bold indicates patient groups for whom susceptibility evidence would initiate a </w:t>
      </w:r>
      <w:r w:rsidR="00593E66" w:rsidRPr="007D14CC">
        <w:rPr>
          <w:rFonts w:ascii="Times New Roman" w:hAnsi="Times New Roman" w:cs="Times New Roman"/>
          <w:sz w:val="18"/>
        </w:rPr>
        <w:t>switch</w:t>
      </w:r>
      <w:r w:rsidRPr="007D14CC">
        <w:rPr>
          <w:rFonts w:ascii="Times New Roman" w:hAnsi="Times New Roman" w:cs="Times New Roman"/>
          <w:sz w:val="18"/>
        </w:rPr>
        <w:t xml:space="preserve"> to </w:t>
      </w:r>
      <w:r w:rsidR="00FE2007" w:rsidRPr="007D14CC">
        <w:rPr>
          <w:rFonts w:ascii="Times New Roman" w:hAnsi="Times New Roman" w:cs="Times New Roman"/>
          <w:sz w:val="18"/>
        </w:rPr>
        <w:t>CAZ-AVI</w:t>
      </w:r>
      <w:r w:rsidRPr="007D14CC">
        <w:rPr>
          <w:rFonts w:ascii="Times New Roman" w:hAnsi="Times New Roman" w:cs="Times New Roman"/>
          <w:sz w:val="18"/>
        </w:rPr>
        <w:t xml:space="preserve">. </w:t>
      </w:r>
    </w:p>
    <w:p w14:paraId="6180ED0B" w14:textId="77777777" w:rsidR="00211C53" w:rsidRDefault="00211C53" w:rsidP="00A4788F">
      <w:pPr>
        <w:spacing w:line="360" w:lineRule="auto"/>
        <w:jc w:val="both"/>
        <w:rPr>
          <w:rFonts w:asciiTheme="majorBidi" w:hAnsiTheme="majorBidi" w:cstheme="majorBidi"/>
        </w:rPr>
      </w:pPr>
    </w:p>
    <w:p w14:paraId="33866EEF" w14:textId="3113D93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Importantly, the fact that the susceptibility profile is known prior to initiation of treatment in the MDS, alongside the assumption that susceptibility is the sole predictor of treatment effectiveness, means that we do not need to model each individual treatment option within the MDS.  For example, it is not relevant (to clinical outcomes) whether a patient is susceptible to </w:t>
      </w:r>
      <w:proofErr w:type="spellStart"/>
      <w:r w:rsidRPr="00E9526C">
        <w:rPr>
          <w:rFonts w:asciiTheme="majorBidi" w:hAnsiTheme="majorBidi" w:cstheme="majorBidi"/>
        </w:rPr>
        <w:t>fosfomycin</w:t>
      </w:r>
      <w:proofErr w:type="spellEnd"/>
      <w:r w:rsidRPr="00E9526C">
        <w:rPr>
          <w:rFonts w:asciiTheme="majorBidi" w:hAnsiTheme="majorBidi" w:cstheme="majorBidi"/>
        </w:rPr>
        <w:t xml:space="preserve"> or aztreonam</w:t>
      </w:r>
      <w:r w:rsidR="00417DEE">
        <w:rPr>
          <w:rFonts w:asciiTheme="majorBidi" w:hAnsiTheme="majorBidi" w:cstheme="majorBidi"/>
        </w:rPr>
        <w:t>,</w:t>
      </w:r>
      <w:r w:rsidRPr="00E9526C">
        <w:rPr>
          <w:rFonts w:asciiTheme="majorBidi" w:hAnsiTheme="majorBidi" w:cstheme="majorBidi"/>
        </w:rPr>
        <w:t xml:space="preserve"> as susceptibility to these treatments would be assumed to result in the same outcomes. Although there are differences in the costs of therapies, these are modest in relation to other costs such as that of hospitalisations which may include periods in the ICU/HDU. In practice, patients may receive a combination of agents, but this is not modelled explicitly due to a lack of evidence. The clinical advisors considered it reasonable to assume that</w:t>
      </w:r>
      <w:r w:rsidR="00417DEE">
        <w:rPr>
          <w:rFonts w:asciiTheme="majorBidi" w:hAnsiTheme="majorBidi" w:cstheme="majorBidi"/>
        </w:rPr>
        <w:t>,</w:t>
      </w:r>
      <w:r w:rsidRPr="00E9526C">
        <w:rPr>
          <w:rFonts w:asciiTheme="majorBidi" w:hAnsiTheme="majorBidi" w:cstheme="majorBidi"/>
        </w:rPr>
        <w:t xml:space="preserve"> in the </w:t>
      </w:r>
      <w:proofErr w:type="gramStart"/>
      <w:r w:rsidRPr="00E9526C">
        <w:rPr>
          <w:rFonts w:asciiTheme="majorBidi" w:hAnsiTheme="majorBidi" w:cstheme="majorBidi"/>
        </w:rPr>
        <w:t>MDS</w:t>
      </w:r>
      <w:r w:rsidR="00417DEE">
        <w:rPr>
          <w:rFonts w:asciiTheme="majorBidi" w:hAnsiTheme="majorBidi" w:cstheme="majorBidi"/>
        </w:rPr>
        <w:t xml:space="preserve">, </w:t>
      </w:r>
      <w:r w:rsidRPr="00E9526C">
        <w:rPr>
          <w:rFonts w:asciiTheme="majorBidi" w:hAnsiTheme="majorBidi" w:cstheme="majorBidi"/>
        </w:rPr>
        <w:t xml:space="preserve"> patients</w:t>
      </w:r>
      <w:proofErr w:type="gramEnd"/>
      <w:r w:rsidRPr="00E9526C">
        <w:rPr>
          <w:rFonts w:asciiTheme="majorBidi" w:hAnsiTheme="majorBidi" w:cstheme="majorBidi"/>
        </w:rPr>
        <w:t xml:space="preserve"> susceptible to a single AM within a multi-agent regimen perform as well as those susceptible to all components of that regimen (i.e. it </w:t>
      </w:r>
      <w:r w:rsidR="00593E66" w:rsidRPr="00E9526C">
        <w:rPr>
          <w:rFonts w:asciiTheme="majorBidi" w:hAnsiTheme="majorBidi" w:cstheme="majorBidi"/>
        </w:rPr>
        <w:t>does</w:t>
      </w:r>
      <w:r w:rsidR="00417DEE">
        <w:rPr>
          <w:rFonts w:asciiTheme="majorBidi" w:hAnsiTheme="majorBidi" w:cstheme="majorBidi"/>
        </w:rPr>
        <w:t xml:space="preserve"> not </w:t>
      </w:r>
      <w:r w:rsidRPr="00E9526C">
        <w:rPr>
          <w:rFonts w:asciiTheme="majorBidi" w:hAnsiTheme="majorBidi" w:cstheme="majorBidi"/>
        </w:rPr>
        <w:t xml:space="preserve">matter if you are susceptible to drug A, drug B or drug A and B as long as you are susceptible to one of the agents received). </w:t>
      </w:r>
    </w:p>
    <w:p w14:paraId="475A877D" w14:textId="6CC12762" w:rsidR="00A4788F" w:rsidRPr="00E9526C" w:rsidRDefault="00A4788F" w:rsidP="005452F3">
      <w:pPr>
        <w:spacing w:line="360" w:lineRule="auto"/>
        <w:jc w:val="both"/>
        <w:rPr>
          <w:rFonts w:asciiTheme="majorBidi" w:hAnsiTheme="majorBidi" w:cstheme="majorBidi"/>
        </w:rPr>
      </w:pPr>
      <w:r w:rsidRPr="00E9526C">
        <w:rPr>
          <w:rFonts w:asciiTheme="majorBidi" w:hAnsiTheme="majorBidi" w:cstheme="majorBidi"/>
        </w:rPr>
        <w:t>Following receipt of treatment in the MDS, patients are modelled to experience one of four alternative 30-day outcomes which determine their long-term outcomes (</w:t>
      </w:r>
      <w:r w:rsidR="00794B8A">
        <w:rPr>
          <w:rFonts w:asciiTheme="majorBidi" w:hAnsiTheme="majorBidi" w:cstheme="majorBidi"/>
        </w:rPr>
        <w:t>Figure 14</w:t>
      </w:r>
      <w:r w:rsidRPr="00E9526C">
        <w:rPr>
          <w:rFonts w:asciiTheme="majorBidi" w:hAnsiTheme="majorBidi" w:cstheme="majorBidi"/>
        </w:rPr>
        <w:t>). A decision tree is used to determine the distribution of patients across these categories at 30 days. This is as shown in</w:t>
      </w:r>
      <w:r w:rsidR="00794B8A">
        <w:rPr>
          <w:rFonts w:asciiTheme="majorBidi" w:hAnsiTheme="majorBidi" w:cstheme="majorBidi"/>
        </w:rPr>
        <w:t xml:space="preserve"> (Figure 15). </w:t>
      </w:r>
      <w:r w:rsidRPr="00E9526C">
        <w:rPr>
          <w:rFonts w:asciiTheme="majorBidi" w:hAnsiTheme="majorBidi" w:cstheme="majorBidi"/>
        </w:rPr>
        <w:t xml:space="preserve">Probabilities highlighted in bold differ by treatment in this figure. In the MDS we only model one line </w:t>
      </w:r>
      <w:r w:rsidRPr="00E9526C">
        <w:rPr>
          <w:rFonts w:asciiTheme="majorBidi" w:hAnsiTheme="majorBidi" w:cstheme="majorBidi"/>
        </w:rPr>
        <w:lastRenderedPageBreak/>
        <w:t xml:space="preserve">of treatment explicitly, though hospitalisation and mortality evidence will reflect the fact that some patients entering the MDS receive multiple lines of therapy. </w:t>
      </w:r>
    </w:p>
    <w:p w14:paraId="770C96E1" w14:textId="18862188"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All patients face a risk of death due to their infection and comorbidities (p_bgrdD30d_MDS). The risk differs according to whether patients have received a treatment to which they are susceptible or not. In the MDS, given that treatments are tailored according to patients’ known susceptibility profiles, only patients infected with a fully </w:t>
      </w:r>
      <w:r w:rsidR="009578AF">
        <w:rPr>
          <w:rFonts w:asciiTheme="majorBidi" w:hAnsiTheme="majorBidi" w:cstheme="majorBidi"/>
        </w:rPr>
        <w:t>MDR</w:t>
      </w:r>
      <w:r w:rsidRPr="00E9526C">
        <w:rPr>
          <w:rFonts w:asciiTheme="majorBidi" w:hAnsiTheme="majorBidi" w:cstheme="majorBidi"/>
        </w:rPr>
        <w:t xml:space="preserve"> infection (who receive multi-drug salvage treatment) are expected to face the elevated risk of death of those non-susceptible to treatment. The efficacy advantage of </w:t>
      </w:r>
      <w:r w:rsidR="00FE2007">
        <w:rPr>
          <w:rFonts w:asciiTheme="majorBidi" w:hAnsiTheme="majorBidi" w:cstheme="majorBidi"/>
        </w:rPr>
        <w:t>CAZ-AVI</w:t>
      </w:r>
      <w:r w:rsidRPr="00E9526C">
        <w:rPr>
          <w:rFonts w:asciiTheme="majorBidi" w:hAnsiTheme="majorBidi" w:cstheme="majorBidi"/>
        </w:rPr>
        <w:t xml:space="preserve"> is</w:t>
      </w:r>
      <w:r w:rsidR="00417DEE">
        <w:rPr>
          <w:rFonts w:asciiTheme="majorBidi" w:hAnsiTheme="majorBidi" w:cstheme="majorBidi"/>
        </w:rPr>
        <w:t>,</w:t>
      </w:r>
      <w:r w:rsidRPr="00E9526C">
        <w:rPr>
          <w:rFonts w:asciiTheme="majorBidi" w:hAnsiTheme="majorBidi" w:cstheme="majorBidi"/>
        </w:rPr>
        <w:t xml:space="preserve"> therefore</w:t>
      </w:r>
      <w:r w:rsidR="00417DEE">
        <w:rPr>
          <w:rFonts w:asciiTheme="majorBidi" w:hAnsiTheme="majorBidi" w:cstheme="majorBidi"/>
        </w:rPr>
        <w:t>,</w:t>
      </w:r>
      <w:r w:rsidRPr="00E9526C">
        <w:rPr>
          <w:rFonts w:asciiTheme="majorBidi" w:hAnsiTheme="majorBidi" w:cstheme="majorBidi"/>
        </w:rPr>
        <w:t xml:space="preserve"> driven by the </w:t>
      </w:r>
      <w:r w:rsidR="00593E66" w:rsidRPr="00E9526C">
        <w:rPr>
          <w:rFonts w:asciiTheme="majorBidi" w:hAnsiTheme="majorBidi" w:cstheme="majorBidi"/>
        </w:rPr>
        <w:t>proportion of people who switch from “mu</w:t>
      </w:r>
      <w:r w:rsidRPr="00E9526C">
        <w:rPr>
          <w:rFonts w:asciiTheme="majorBidi" w:hAnsiTheme="majorBidi" w:cstheme="majorBidi"/>
        </w:rPr>
        <w:t xml:space="preserve">lti-drug salvage” to </w:t>
      </w:r>
      <w:r w:rsidR="00FE2007">
        <w:rPr>
          <w:rFonts w:asciiTheme="majorBidi" w:hAnsiTheme="majorBidi" w:cstheme="majorBidi"/>
        </w:rPr>
        <w:t>CAZ-AVI</w:t>
      </w:r>
      <w:r w:rsidRPr="00E9526C">
        <w:rPr>
          <w:rFonts w:asciiTheme="majorBidi" w:hAnsiTheme="majorBidi" w:cstheme="majorBidi"/>
        </w:rPr>
        <w:t xml:space="preserve"> in </w:t>
      </w:r>
      <w:r w:rsidR="00417DEE" w:rsidRPr="00417DEE">
        <w:rPr>
          <w:rFonts w:asciiTheme="majorBidi" w:hAnsiTheme="majorBidi" w:cstheme="majorBidi"/>
        </w:rPr>
        <w:t xml:space="preserve">Table </w:t>
      </w:r>
      <w:r w:rsidR="00417DEE" w:rsidRPr="00417DEE">
        <w:rPr>
          <w:rFonts w:asciiTheme="majorBidi" w:hAnsiTheme="majorBidi" w:cstheme="majorBidi"/>
          <w:noProof/>
        </w:rPr>
        <w:t>20</w:t>
      </w:r>
      <w:r w:rsidRPr="00E9526C">
        <w:rPr>
          <w:rFonts w:asciiTheme="majorBidi" w:hAnsiTheme="majorBidi" w:cstheme="majorBidi"/>
        </w:rPr>
        <w:t xml:space="preserve"> as these patients switch from experiencing the mortality of non-susceptible patients to experiencing the mortality of susceptible patients. </w:t>
      </w:r>
    </w:p>
    <w:p w14:paraId="700419D3" w14:textId="7A7D9334" w:rsidR="005452F3" w:rsidRDefault="00A4788F" w:rsidP="00F1720A">
      <w:pPr>
        <w:spacing w:line="360" w:lineRule="auto"/>
        <w:jc w:val="both"/>
        <w:rPr>
          <w:rFonts w:asciiTheme="majorBidi" w:hAnsiTheme="majorBidi" w:cstheme="majorBidi"/>
        </w:rPr>
      </w:pPr>
      <w:r w:rsidRPr="00E9526C">
        <w:rPr>
          <w:rFonts w:asciiTheme="majorBidi" w:hAnsiTheme="majorBidi" w:cstheme="majorBidi"/>
        </w:rPr>
        <w:t xml:space="preserve">In addition, patients face differing drug-related risks of experiencing an AKI. Patients who experience an AKI face an elevated risk of death compared to those who do not. When modelling the effect of AKI on mortality, we account for the fact that the available mortality data already reflect both the underlying risk of AKI associated with currently available non-colistin/aminoglycoside AMs and the background risk of AKI associated with patients underlying comorbidities and infection (see </w:t>
      </w:r>
      <w:r w:rsidR="00180FA6" w:rsidRPr="00180FA6">
        <w:rPr>
          <w:rFonts w:asciiTheme="majorBidi" w:hAnsiTheme="majorBidi" w:cstheme="majorBidi"/>
        </w:rPr>
        <w:t>Figure 15</w:t>
      </w:r>
      <w:r w:rsidR="00647D29" w:rsidRPr="00180FA6">
        <w:rPr>
          <w:rFonts w:asciiTheme="majorBidi" w:hAnsiTheme="majorBidi" w:cstheme="majorBidi"/>
        </w:rPr>
        <w:t>.</w:t>
      </w:r>
      <w:r w:rsidRPr="00E9526C">
        <w:rPr>
          <w:rFonts w:asciiTheme="majorBidi" w:hAnsiTheme="majorBidi" w:cstheme="majorBidi"/>
        </w:rPr>
        <w:t>).  Patients who experience an AKI and survive until 30 days face a risk of adverse long-term outcomes according to whether they have: (</w:t>
      </w:r>
      <w:proofErr w:type="spellStart"/>
      <w:r w:rsidRPr="00E9526C">
        <w:rPr>
          <w:rFonts w:asciiTheme="majorBidi" w:hAnsiTheme="majorBidi" w:cstheme="majorBidi"/>
        </w:rPr>
        <w:t>i</w:t>
      </w:r>
      <w:proofErr w:type="spellEnd"/>
      <w:r w:rsidRPr="00E9526C">
        <w:rPr>
          <w:rFonts w:asciiTheme="majorBidi" w:hAnsiTheme="majorBidi" w:cstheme="majorBidi"/>
        </w:rPr>
        <w:t xml:space="preserve">) recovered their renal function; or (ii) suffered irreversible renal failure i.e., developed </w:t>
      </w:r>
      <w:r w:rsidR="00186460">
        <w:rPr>
          <w:rFonts w:asciiTheme="majorBidi" w:hAnsiTheme="majorBidi" w:cstheme="majorBidi"/>
        </w:rPr>
        <w:t>chronic kidney disease (</w:t>
      </w:r>
      <w:r w:rsidR="00186460" w:rsidRPr="00E9526C">
        <w:rPr>
          <w:rFonts w:asciiTheme="majorBidi" w:hAnsiTheme="majorBidi" w:cstheme="majorBidi"/>
        </w:rPr>
        <w:t>CKD</w:t>
      </w:r>
      <w:r w:rsidR="00186460">
        <w:rPr>
          <w:rFonts w:asciiTheme="majorBidi" w:hAnsiTheme="majorBidi" w:cstheme="majorBidi"/>
        </w:rPr>
        <w:t>)</w:t>
      </w:r>
      <w:r w:rsidRPr="00E9526C">
        <w:rPr>
          <w:rFonts w:asciiTheme="majorBidi" w:hAnsiTheme="majorBidi" w:cstheme="majorBidi"/>
        </w:rPr>
        <w:t xml:space="preserve">. </w:t>
      </w:r>
    </w:p>
    <w:p w14:paraId="13D6305A" w14:textId="315FBE50" w:rsidR="00E9526C" w:rsidRPr="00E9526C" w:rsidRDefault="00E9526C" w:rsidP="005452F3">
      <w:pPr>
        <w:pStyle w:val="Caption"/>
        <w:rPr>
          <w:rFonts w:asciiTheme="majorBidi" w:hAnsiTheme="majorBidi" w:cstheme="majorBidi"/>
          <w:b/>
          <w:bCs/>
          <w:sz w:val="20"/>
          <w:szCs w:val="20"/>
        </w:rPr>
      </w:pPr>
    </w:p>
    <w:p w14:paraId="7F1E135F" w14:textId="145445C0" w:rsidR="00A4788F" w:rsidRPr="00794B8A" w:rsidRDefault="00A4788F" w:rsidP="00794B8A">
      <w:pPr>
        <w:spacing w:line="240" w:lineRule="auto"/>
        <w:rPr>
          <w:rFonts w:ascii="Times New Roman" w:hAnsi="Times New Roman" w:cs="Times New Roman"/>
          <w:b/>
          <w:bCs/>
          <w:sz w:val="20"/>
          <w:szCs w:val="20"/>
        </w:rPr>
      </w:pPr>
      <w:bookmarkStart w:id="358" w:name="_Toc86419059"/>
      <w:r w:rsidRPr="00794B8A">
        <w:rPr>
          <w:rFonts w:ascii="Times New Roman" w:hAnsi="Times New Roman" w:cs="Times New Roman"/>
          <w:noProof/>
          <w:sz w:val="20"/>
          <w:szCs w:val="20"/>
          <w:lang w:eastAsia="en-GB"/>
        </w:rPr>
        <mc:AlternateContent>
          <mc:Choice Requires="wpg">
            <w:drawing>
              <wp:anchor distT="0" distB="0" distL="114300" distR="114300" simplePos="0" relativeHeight="251671552" behindDoc="0" locked="0" layoutInCell="1" allowOverlap="1" wp14:anchorId="29C85559" wp14:editId="00048835">
                <wp:simplePos x="0" y="0"/>
                <wp:positionH relativeFrom="column">
                  <wp:posOffset>4804</wp:posOffset>
                </wp:positionH>
                <wp:positionV relativeFrom="paragraph">
                  <wp:posOffset>238069</wp:posOffset>
                </wp:positionV>
                <wp:extent cx="5295900" cy="1600835"/>
                <wp:effectExtent l="0" t="0" r="19050" b="18415"/>
                <wp:wrapSquare wrapText="bothSides"/>
                <wp:docPr id="117" name="Group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95900" cy="1600835"/>
                          <a:chOff x="0" y="0"/>
                          <a:chExt cx="5295900" cy="1600862"/>
                        </a:xfrm>
                      </wpg:grpSpPr>
                      <wps:wsp>
                        <wps:cNvPr id="118" name="Text Box 2"/>
                        <wps:cNvSpPr txBox="1">
                          <a:spLocks noChangeArrowheads="1"/>
                        </wps:cNvSpPr>
                        <wps:spPr bwMode="auto">
                          <a:xfrm>
                            <a:off x="0" y="0"/>
                            <a:ext cx="5276850" cy="352425"/>
                          </a:xfrm>
                          <a:prstGeom prst="rect">
                            <a:avLst/>
                          </a:prstGeom>
                          <a:solidFill>
                            <a:srgbClr val="FFFFFF"/>
                          </a:solidFill>
                          <a:ln w="9525">
                            <a:solidFill>
                              <a:srgbClr val="000000"/>
                            </a:solidFill>
                            <a:miter lim="800000"/>
                            <a:headEnd/>
                            <a:tailEnd/>
                          </a:ln>
                        </wps:spPr>
                        <wps:txbx>
                          <w:txbxContent>
                            <w:p w14:paraId="2AA5F369" w14:textId="77777777" w:rsidR="008E01D0" w:rsidRPr="00132810" w:rsidRDefault="008E01D0" w:rsidP="00A4788F">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3B77D138" w14:textId="77777777" w:rsidR="008E01D0" w:rsidRDefault="008E01D0" w:rsidP="00A4788F"/>
                          </w:txbxContent>
                        </wps:txbx>
                        <wps:bodyPr rot="0" vert="horz" wrap="square" lIns="91440" tIns="45720" rIns="91440" bIns="45720" anchor="t" anchorCtr="0">
                          <a:noAutofit/>
                        </wps:bodyPr>
                      </wps:wsp>
                      <wps:wsp>
                        <wps:cNvPr id="119" name="Text Box 2"/>
                        <wps:cNvSpPr txBox="1">
                          <a:spLocks noChangeArrowheads="1"/>
                        </wps:cNvSpPr>
                        <wps:spPr bwMode="auto">
                          <a:xfrm>
                            <a:off x="0" y="850789"/>
                            <a:ext cx="5276850" cy="352425"/>
                          </a:xfrm>
                          <a:prstGeom prst="rect">
                            <a:avLst/>
                          </a:prstGeom>
                          <a:solidFill>
                            <a:srgbClr val="FFFFFF"/>
                          </a:solidFill>
                          <a:ln w="9525">
                            <a:solidFill>
                              <a:srgbClr val="000000"/>
                            </a:solidFill>
                            <a:miter lim="800000"/>
                            <a:headEnd/>
                            <a:tailEnd/>
                          </a:ln>
                        </wps:spPr>
                        <wps:txbx>
                          <w:txbxContent>
                            <w:p w14:paraId="2FEC29E7"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12103CB1"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s:wsp>
                        <wps:cNvPr id="120" name="Text Box 2"/>
                        <wps:cNvSpPr txBox="1">
                          <a:spLocks noChangeArrowheads="1"/>
                        </wps:cNvSpPr>
                        <wps:spPr bwMode="auto">
                          <a:xfrm>
                            <a:off x="0" y="1296062"/>
                            <a:ext cx="5295900" cy="304800"/>
                          </a:xfrm>
                          <a:prstGeom prst="rect">
                            <a:avLst/>
                          </a:prstGeom>
                          <a:solidFill>
                            <a:srgbClr val="FFFFFF"/>
                          </a:solidFill>
                          <a:ln w="9525">
                            <a:solidFill>
                              <a:srgbClr val="000000"/>
                            </a:solidFill>
                            <a:miter lim="800000"/>
                            <a:headEnd/>
                            <a:tailEnd/>
                          </a:ln>
                        </wps:spPr>
                        <wps:txbx>
                          <w:txbxContent>
                            <w:p w14:paraId="3A2D91FE"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0146849C"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s:wsp>
                        <wps:cNvPr id="121" name="Text Box 2"/>
                        <wps:cNvSpPr txBox="1">
                          <a:spLocks noChangeArrowheads="1"/>
                        </wps:cNvSpPr>
                        <wps:spPr bwMode="auto">
                          <a:xfrm>
                            <a:off x="0" y="445273"/>
                            <a:ext cx="5276850" cy="352425"/>
                          </a:xfrm>
                          <a:prstGeom prst="rect">
                            <a:avLst/>
                          </a:prstGeom>
                          <a:solidFill>
                            <a:srgbClr val="FFFFFF"/>
                          </a:solidFill>
                          <a:ln w="9525">
                            <a:solidFill>
                              <a:srgbClr val="000000"/>
                            </a:solidFill>
                            <a:miter lim="800000"/>
                            <a:headEnd/>
                            <a:tailEnd/>
                          </a:ln>
                        </wps:spPr>
                        <wps:txbx>
                          <w:txbxContent>
                            <w:p w14:paraId="5D8470A6"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2- Alive no AKI </w:t>
                              </w:r>
                            </w:p>
                            <w:p w14:paraId="3CE28096"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29C85559" id="Group 117" o:spid="_x0000_s1055" alt="&quot;&quot;" style="position:absolute;margin-left:.4pt;margin-top:18.75pt;width:417pt;height:126.05pt;z-index:251671552;mso-position-horizontal-relative:text;mso-position-vertical-relative:text" coordsize="52959,1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">
                <v:shape id="Text Box 2" o:spid="_x0000_s1056" type="#_x0000_t202" style="position:absolute;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2AA5F369" w14:textId="77777777" w:rsidR="008E01D0" w:rsidRPr="00132810" w:rsidRDefault="008E01D0" w:rsidP="00A4788F">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3B77D138" w14:textId="77777777" w:rsidR="008E01D0" w:rsidRDefault="008E01D0" w:rsidP="00A4788F"/>
                    </w:txbxContent>
                  </v:textbox>
                </v:shape>
                <v:shape id="Text Box 2" o:spid="_x0000_s1057" type="#_x0000_t202" style="position:absolute;top:8507;width:527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FEC29E7"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12103CB1" w14:textId="77777777" w:rsidR="008E01D0" w:rsidRPr="00246061" w:rsidRDefault="008E01D0" w:rsidP="00A4788F">
                        <w:pPr>
                          <w:rPr>
                            <w:sz w:val="20"/>
                            <w:szCs w:val="20"/>
                          </w:rPr>
                        </w:pPr>
                        <w:r>
                          <w:rPr>
                            <w:sz w:val="20"/>
                            <w:szCs w:val="20"/>
                          </w:rPr>
                          <w:t>‘</w:t>
                        </w:r>
                      </w:p>
                    </w:txbxContent>
                  </v:textbox>
                </v:shape>
                <v:shape id="Text Box 2" o:spid="_x0000_s1058" type="#_x0000_t202" style="position:absolute;top:12960;width:529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3A2D91FE"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0146849C" w14:textId="77777777" w:rsidR="008E01D0" w:rsidRPr="00246061" w:rsidRDefault="008E01D0" w:rsidP="00A4788F">
                        <w:pPr>
                          <w:rPr>
                            <w:sz w:val="20"/>
                            <w:szCs w:val="20"/>
                          </w:rPr>
                        </w:pPr>
                        <w:r>
                          <w:rPr>
                            <w:sz w:val="20"/>
                            <w:szCs w:val="20"/>
                          </w:rPr>
                          <w:t>‘</w:t>
                        </w:r>
                      </w:p>
                    </w:txbxContent>
                  </v:textbox>
                </v:shape>
                <v:shape id="Text Box 2" o:spid="_x0000_s1059" type="#_x0000_t202" style="position:absolute;top:4452;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5D8470A6"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2- Alive no AKI </w:t>
                        </w:r>
                      </w:p>
                      <w:p w14:paraId="3CE28096" w14:textId="77777777" w:rsidR="008E01D0" w:rsidRPr="00246061" w:rsidRDefault="008E01D0" w:rsidP="00A4788F">
                        <w:pPr>
                          <w:rPr>
                            <w:sz w:val="20"/>
                            <w:szCs w:val="20"/>
                          </w:rPr>
                        </w:pPr>
                        <w:r>
                          <w:rPr>
                            <w:sz w:val="20"/>
                            <w:szCs w:val="20"/>
                          </w:rPr>
                          <w:t>‘</w:t>
                        </w:r>
                      </w:p>
                    </w:txbxContent>
                  </v:textbox>
                </v:shape>
                <w10:wrap type="square"/>
              </v:group>
            </w:pict>
          </mc:Fallback>
        </mc:AlternateContent>
      </w:r>
      <w:r w:rsidRPr="00794B8A">
        <w:rPr>
          <w:rFonts w:ascii="Times New Roman" w:hAnsi="Times New Roman" w:cs="Times New Roman"/>
          <w:noProof/>
          <w:sz w:val="20"/>
          <w:szCs w:val="20"/>
          <w:lang w:eastAsia="en-GB"/>
        </w:rPr>
        <mc:AlternateContent>
          <mc:Choice Requires="wpg">
            <w:drawing>
              <wp:anchor distT="0" distB="0" distL="114300" distR="114300" simplePos="0" relativeHeight="251670528" behindDoc="0" locked="0" layoutInCell="1" allowOverlap="1" wp14:anchorId="7397FB20" wp14:editId="2DF26692">
                <wp:simplePos x="0" y="0"/>
                <wp:positionH relativeFrom="column">
                  <wp:posOffset>4804</wp:posOffset>
                </wp:positionH>
                <wp:positionV relativeFrom="paragraph">
                  <wp:posOffset>238069</wp:posOffset>
                </wp:positionV>
                <wp:extent cx="5295900" cy="1600835"/>
                <wp:effectExtent l="0" t="0" r="19050" b="18415"/>
                <wp:wrapSquare wrapText="bothSides"/>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95900" cy="1600835"/>
                          <a:chOff x="0" y="0"/>
                          <a:chExt cx="5295900" cy="1600862"/>
                        </a:xfrm>
                      </wpg:grpSpPr>
                      <wps:wsp>
                        <wps:cNvPr id="20" name="Text Box 2"/>
                        <wps:cNvSpPr txBox="1">
                          <a:spLocks noChangeArrowheads="1"/>
                        </wps:cNvSpPr>
                        <wps:spPr bwMode="auto">
                          <a:xfrm>
                            <a:off x="0" y="0"/>
                            <a:ext cx="5276850" cy="352425"/>
                          </a:xfrm>
                          <a:prstGeom prst="rect">
                            <a:avLst/>
                          </a:prstGeom>
                          <a:solidFill>
                            <a:srgbClr val="FFFFFF"/>
                          </a:solidFill>
                          <a:ln w="9525">
                            <a:solidFill>
                              <a:srgbClr val="000000"/>
                            </a:solidFill>
                            <a:miter lim="800000"/>
                            <a:headEnd/>
                            <a:tailEnd/>
                          </a:ln>
                        </wps:spPr>
                        <wps:txbx>
                          <w:txbxContent>
                            <w:p w14:paraId="39F4871D" w14:textId="77777777" w:rsidR="008E01D0" w:rsidRPr="00132810" w:rsidRDefault="008E01D0" w:rsidP="00A4788F">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74F03FFE" w14:textId="77777777" w:rsidR="008E01D0" w:rsidRDefault="008E01D0" w:rsidP="00A4788F"/>
                          </w:txbxContent>
                        </wps:txbx>
                        <wps:bodyPr rot="0" vert="horz" wrap="square" lIns="91440" tIns="45720" rIns="91440" bIns="45720" anchor="t" anchorCtr="0">
                          <a:noAutofit/>
                        </wps:bodyPr>
                      </wps:wsp>
                      <wps:wsp>
                        <wps:cNvPr id="21" name="Text Box 2"/>
                        <wps:cNvSpPr txBox="1">
                          <a:spLocks noChangeArrowheads="1"/>
                        </wps:cNvSpPr>
                        <wps:spPr bwMode="auto">
                          <a:xfrm>
                            <a:off x="0" y="850789"/>
                            <a:ext cx="5276850" cy="352425"/>
                          </a:xfrm>
                          <a:prstGeom prst="rect">
                            <a:avLst/>
                          </a:prstGeom>
                          <a:solidFill>
                            <a:srgbClr val="FFFFFF"/>
                          </a:solidFill>
                          <a:ln w="9525">
                            <a:solidFill>
                              <a:srgbClr val="000000"/>
                            </a:solidFill>
                            <a:miter lim="800000"/>
                            <a:headEnd/>
                            <a:tailEnd/>
                          </a:ln>
                        </wps:spPr>
                        <wps:txbx>
                          <w:txbxContent>
                            <w:p w14:paraId="4205177F"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58634571"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s:wsp>
                        <wps:cNvPr id="23" name="Text Box 2"/>
                        <wps:cNvSpPr txBox="1">
                          <a:spLocks noChangeArrowheads="1"/>
                        </wps:cNvSpPr>
                        <wps:spPr bwMode="auto">
                          <a:xfrm>
                            <a:off x="0" y="1296062"/>
                            <a:ext cx="5295900" cy="304800"/>
                          </a:xfrm>
                          <a:prstGeom prst="rect">
                            <a:avLst/>
                          </a:prstGeom>
                          <a:solidFill>
                            <a:srgbClr val="FFFFFF"/>
                          </a:solidFill>
                          <a:ln w="9525">
                            <a:solidFill>
                              <a:srgbClr val="000000"/>
                            </a:solidFill>
                            <a:miter lim="800000"/>
                            <a:headEnd/>
                            <a:tailEnd/>
                          </a:ln>
                        </wps:spPr>
                        <wps:txbx>
                          <w:txbxContent>
                            <w:p w14:paraId="0D5EBCD0"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067E238D"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445273"/>
                            <a:ext cx="5276850" cy="352425"/>
                          </a:xfrm>
                          <a:prstGeom prst="rect">
                            <a:avLst/>
                          </a:prstGeom>
                          <a:solidFill>
                            <a:srgbClr val="FFFFFF"/>
                          </a:solidFill>
                          <a:ln w="9525">
                            <a:solidFill>
                              <a:srgbClr val="000000"/>
                            </a:solidFill>
                            <a:miter lim="800000"/>
                            <a:headEnd/>
                            <a:tailEnd/>
                          </a:ln>
                        </wps:spPr>
                        <wps:txbx>
                          <w:txbxContent>
                            <w:p w14:paraId="4F9F5CA9"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2- Alive no AKI </w:t>
                              </w:r>
                            </w:p>
                            <w:p w14:paraId="2FB28E85" w14:textId="77777777" w:rsidR="008E01D0" w:rsidRPr="00246061" w:rsidRDefault="008E01D0" w:rsidP="00A4788F">
                              <w:pPr>
                                <w:rPr>
                                  <w:sz w:val="20"/>
                                  <w:szCs w:val="20"/>
                                </w:rPr>
                              </w:pPr>
                              <w:r>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7397FB20" id="Group 19" o:spid="_x0000_s1060" alt="&quot;&quot;" style="position:absolute;margin-left:.4pt;margin-top:18.75pt;width:417pt;height:126.05pt;z-index:251670528;mso-position-horizontal-relative:text;mso-position-vertical-relative:text" coordsize="52959,1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">
                <v:shape id="Text Box 2" o:spid="_x0000_s1061" type="#_x0000_t202" style="position:absolute;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9F4871D" w14:textId="77777777" w:rsidR="008E01D0" w:rsidRPr="00132810" w:rsidRDefault="008E01D0" w:rsidP="00A4788F">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74F03FFE" w14:textId="77777777" w:rsidR="008E01D0" w:rsidRDefault="008E01D0" w:rsidP="00A4788F"/>
                    </w:txbxContent>
                  </v:textbox>
                </v:shape>
                <v:shape id="Text Box 2" o:spid="_x0000_s1062" type="#_x0000_t202" style="position:absolute;top:8507;width:527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205177F"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58634571" w14:textId="77777777" w:rsidR="008E01D0" w:rsidRPr="00246061" w:rsidRDefault="008E01D0" w:rsidP="00A4788F">
                        <w:pPr>
                          <w:rPr>
                            <w:sz w:val="20"/>
                            <w:szCs w:val="20"/>
                          </w:rPr>
                        </w:pPr>
                        <w:r>
                          <w:rPr>
                            <w:sz w:val="20"/>
                            <w:szCs w:val="20"/>
                          </w:rPr>
                          <w:t>‘</w:t>
                        </w:r>
                      </w:p>
                    </w:txbxContent>
                  </v:textbox>
                </v:shape>
                <v:shape id="Text Box 2" o:spid="_x0000_s1063" type="#_x0000_t202" style="position:absolute;top:12960;width:529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0D5EBCD0"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067E238D" w14:textId="77777777" w:rsidR="008E01D0" w:rsidRPr="00246061" w:rsidRDefault="008E01D0" w:rsidP="00A4788F">
                        <w:pPr>
                          <w:rPr>
                            <w:sz w:val="20"/>
                            <w:szCs w:val="20"/>
                          </w:rPr>
                        </w:pPr>
                        <w:r>
                          <w:rPr>
                            <w:sz w:val="20"/>
                            <w:szCs w:val="20"/>
                          </w:rPr>
                          <w:t>‘</w:t>
                        </w:r>
                      </w:p>
                    </w:txbxContent>
                  </v:textbox>
                </v:shape>
                <v:shape id="Text Box 2" o:spid="_x0000_s1064" type="#_x0000_t202" style="position:absolute;top:4452;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F9F5CA9" w14:textId="77777777" w:rsidR="008E01D0" w:rsidRDefault="008E01D0" w:rsidP="00A4788F">
                        <w:pPr>
                          <w:rPr>
                            <w:rFonts w:ascii="Arial" w:hAnsi="Arial" w:cs="Arial"/>
                            <w:b/>
                            <w:bCs/>
                            <w:sz w:val="20"/>
                            <w:szCs w:val="20"/>
                          </w:rPr>
                        </w:pPr>
                        <w:r>
                          <w:rPr>
                            <w:rFonts w:ascii="Arial" w:hAnsi="Arial" w:cs="Arial"/>
                            <w:color w:val="000000" w:themeColor="text1"/>
                            <w:kern w:val="24"/>
                            <w:sz w:val="20"/>
                            <w:szCs w:val="20"/>
                          </w:rPr>
                          <w:t xml:space="preserve">2- Alive no AKI </w:t>
                        </w:r>
                      </w:p>
                      <w:p w14:paraId="2FB28E85" w14:textId="77777777" w:rsidR="008E01D0" w:rsidRPr="00246061" w:rsidRDefault="008E01D0" w:rsidP="00A4788F">
                        <w:pPr>
                          <w:rPr>
                            <w:sz w:val="20"/>
                            <w:szCs w:val="20"/>
                          </w:rPr>
                        </w:pPr>
                        <w:r>
                          <w:rPr>
                            <w:sz w:val="20"/>
                            <w:szCs w:val="20"/>
                          </w:rPr>
                          <w:t>‘</w:t>
                        </w:r>
                      </w:p>
                    </w:txbxContent>
                  </v:textbox>
                </v:shape>
                <w10:wrap type="square"/>
              </v:group>
            </w:pict>
          </mc:Fallback>
        </mc:AlternateContent>
      </w:r>
      <w:bookmarkStart w:id="359" w:name="_Ref85650038"/>
      <w:bookmarkStart w:id="360" w:name="_Ref77947737"/>
      <w:bookmarkStart w:id="361" w:name="_Toc83590010"/>
      <w:bookmarkStart w:id="362" w:name="_Ref77584731"/>
      <w:r w:rsidR="00794B8A" w:rsidRPr="00794B8A">
        <w:rPr>
          <w:rFonts w:ascii="Times New Roman" w:hAnsi="Times New Roman" w:cs="Times New Roman"/>
          <w:sz w:val="20"/>
          <w:szCs w:val="20"/>
        </w:rPr>
        <w:t xml:space="preserve"> </w:t>
      </w:r>
      <w:r w:rsidR="00794B8A" w:rsidRPr="00794B8A">
        <w:rPr>
          <w:rFonts w:ascii="Times New Roman" w:hAnsi="Times New Roman" w:cs="Times New Roman"/>
          <w:b/>
          <w:bCs/>
          <w:sz w:val="20"/>
          <w:szCs w:val="20"/>
        </w:rPr>
        <w:t xml:space="preserve">Figure </w:t>
      </w:r>
      <w:r w:rsidR="0021430F">
        <w:rPr>
          <w:rFonts w:ascii="Times New Roman" w:hAnsi="Times New Roman" w:cs="Times New Roman"/>
          <w:b/>
          <w:bCs/>
          <w:noProof/>
          <w:sz w:val="20"/>
          <w:szCs w:val="20"/>
        </w:rPr>
        <w:t>14</w:t>
      </w:r>
      <w:bookmarkEnd w:id="359"/>
      <w:r w:rsidR="00794B8A" w:rsidRPr="00794B8A">
        <w:rPr>
          <w:rFonts w:ascii="Times New Roman" w:hAnsi="Times New Roman" w:cs="Times New Roman"/>
          <w:b/>
          <w:bCs/>
          <w:sz w:val="20"/>
          <w:szCs w:val="20"/>
        </w:rPr>
        <w:t>: 30-day outcomes in the MDS</w:t>
      </w:r>
      <w:bookmarkEnd w:id="358"/>
      <w:r w:rsidR="002C3F8A">
        <w:rPr>
          <w:rFonts w:ascii="Times New Roman" w:hAnsi="Times New Roman" w:cs="Times New Roman"/>
          <w:b/>
          <w:bCs/>
          <w:sz w:val="20"/>
          <w:szCs w:val="20"/>
        </w:rPr>
        <w:t xml:space="preserve"> </w:t>
      </w:r>
    </w:p>
    <w:p w14:paraId="3FDA23B7" w14:textId="77777777" w:rsidR="00A4788F" w:rsidRDefault="00A4788F" w:rsidP="00A4788F">
      <w:pPr>
        <w:pStyle w:val="Caption"/>
      </w:pPr>
    </w:p>
    <w:p w14:paraId="2E98F53B" w14:textId="77777777" w:rsidR="00A4788F" w:rsidRDefault="00A4788F" w:rsidP="00A4788F">
      <w:pPr>
        <w:pStyle w:val="Caption"/>
      </w:pPr>
    </w:p>
    <w:p w14:paraId="3D04926E" w14:textId="77777777" w:rsidR="00A4788F" w:rsidRDefault="00A4788F" w:rsidP="00A4788F">
      <w:pPr>
        <w:pStyle w:val="Caption"/>
      </w:pPr>
    </w:p>
    <w:p w14:paraId="73725010" w14:textId="77777777" w:rsidR="00A4788F" w:rsidRDefault="00A4788F" w:rsidP="00A4788F">
      <w:pPr>
        <w:pStyle w:val="Caption"/>
      </w:pPr>
    </w:p>
    <w:p w14:paraId="0376684F" w14:textId="5309CBEC" w:rsidR="00A4788F" w:rsidRDefault="00A4788F" w:rsidP="009E265F">
      <w:pPr>
        <w:pStyle w:val="TableofFigures"/>
      </w:pPr>
    </w:p>
    <w:p w14:paraId="39E0EDE2" w14:textId="0512C614" w:rsidR="00E9526C" w:rsidRPr="00E9526C" w:rsidRDefault="00E9526C" w:rsidP="00E9526C"/>
    <w:p w14:paraId="2E66AA53" w14:textId="77777777" w:rsidR="00DC3933" w:rsidRDefault="00DC3933" w:rsidP="005452F3">
      <w:pPr>
        <w:pStyle w:val="Caption"/>
        <w:rPr>
          <w:rFonts w:ascii="Times New Roman" w:hAnsi="Times New Roman" w:cs="Times New Roman"/>
          <w:b/>
          <w:bCs/>
          <w:i w:val="0"/>
          <w:iCs w:val="0"/>
          <w:color w:val="auto"/>
          <w:sz w:val="20"/>
          <w:szCs w:val="20"/>
        </w:rPr>
        <w:sectPr w:rsidR="00DC3933" w:rsidSect="00A4788F">
          <w:headerReference w:type="default" r:id="rId28"/>
          <w:pgSz w:w="11906" w:h="16838"/>
          <w:pgMar w:top="1440" w:right="1440" w:bottom="1440" w:left="1440" w:header="709" w:footer="709" w:gutter="0"/>
          <w:cols w:space="708"/>
          <w:docGrid w:linePitch="360"/>
        </w:sectPr>
      </w:pPr>
      <w:bookmarkStart w:id="363" w:name="_Ref85650042"/>
      <w:bookmarkStart w:id="364" w:name="_Toc83590011"/>
    </w:p>
    <w:p w14:paraId="2094BE54" w14:textId="35849913" w:rsidR="00E9526C" w:rsidRPr="00794B8A" w:rsidRDefault="005452F3" w:rsidP="005452F3">
      <w:pPr>
        <w:pStyle w:val="Caption"/>
        <w:rPr>
          <w:rFonts w:ascii="Times New Roman" w:hAnsi="Times New Roman" w:cs="Times New Roman"/>
          <w:b/>
          <w:bCs/>
          <w:i w:val="0"/>
          <w:iCs w:val="0"/>
          <w:sz w:val="20"/>
          <w:szCs w:val="20"/>
        </w:rPr>
      </w:pPr>
      <w:bookmarkStart w:id="365" w:name="_Ref86314767"/>
      <w:bookmarkStart w:id="366" w:name="_Toc86419060"/>
      <w:r w:rsidRPr="00794B8A">
        <w:rPr>
          <w:rFonts w:ascii="Times New Roman" w:hAnsi="Times New Roman" w:cs="Times New Roman"/>
          <w:b/>
          <w:bCs/>
          <w:i w:val="0"/>
          <w:iCs w:val="0"/>
          <w:color w:val="auto"/>
          <w:sz w:val="20"/>
          <w:szCs w:val="20"/>
        </w:rPr>
        <w:lastRenderedPageBreak/>
        <w:t xml:space="preserve">Figure </w:t>
      </w:r>
      <w:r w:rsidR="0021430F">
        <w:rPr>
          <w:rFonts w:ascii="Times New Roman" w:hAnsi="Times New Roman" w:cs="Times New Roman"/>
          <w:b/>
          <w:bCs/>
          <w:i w:val="0"/>
          <w:iCs w:val="0"/>
          <w:noProof/>
          <w:color w:val="auto"/>
          <w:sz w:val="20"/>
          <w:szCs w:val="20"/>
        </w:rPr>
        <w:t>15</w:t>
      </w:r>
      <w:bookmarkEnd w:id="363"/>
      <w:bookmarkEnd w:id="365"/>
      <w:r w:rsidR="00E9526C" w:rsidRPr="00794B8A">
        <w:rPr>
          <w:rFonts w:ascii="Times New Roman" w:hAnsi="Times New Roman" w:cs="Times New Roman"/>
          <w:b/>
          <w:bCs/>
          <w:i w:val="0"/>
          <w:iCs w:val="0"/>
          <w:color w:val="auto"/>
          <w:sz w:val="20"/>
          <w:szCs w:val="20"/>
        </w:rPr>
        <w:t>: Decision tree used to calculate impact of AKIs on 30-day outcomes in MDS</w:t>
      </w:r>
      <w:bookmarkEnd w:id="364"/>
      <w:bookmarkEnd w:id="366"/>
    </w:p>
    <w:bookmarkEnd w:id="360"/>
    <w:bookmarkEnd w:id="361"/>
    <w:bookmarkEnd w:id="362"/>
    <w:p w14:paraId="0D6F54BA" w14:textId="77777777" w:rsidR="00A4788F" w:rsidRDefault="00A4788F" w:rsidP="00A4788F">
      <w:pPr>
        <w:spacing w:after="0"/>
      </w:pPr>
      <w:r w:rsidRPr="00F442E2">
        <w:rPr>
          <w:noProof/>
          <w:lang w:eastAsia="en-GB"/>
        </w:rPr>
        <w:drawing>
          <wp:inline distT="0" distB="0" distL="0" distR="0" wp14:anchorId="4C46985B" wp14:editId="3874CB1B">
            <wp:extent cx="8613538" cy="3165894"/>
            <wp:effectExtent l="0" t="0" r="0" b="0"/>
            <wp:docPr id="25" name="Picture 25" descr="Decision tree. The absolute increase in risk of mortality associated with an AKI is estimated by applying OR_AKI_death to p_bgrdD30d_MDS and then subtracting p_bgrdD30d_MDS. This element of the microbiology directed setting model is described in the text i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cision tree. The absolute increase in risk of mortality associated with an AKI is estimated by applying OR_AKI_death to p_bgrdD30d_MDS and then subtracting p_bgrdD30d_MDS. This element of the microbiology directed setting model is described in the text in 7.2.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43" b="34178"/>
                    <a:stretch/>
                  </pic:blipFill>
                  <pic:spPr bwMode="auto">
                    <a:xfrm>
                      <a:off x="0" y="0"/>
                      <a:ext cx="8638583" cy="3175099"/>
                    </a:xfrm>
                    <a:prstGeom prst="rect">
                      <a:avLst/>
                    </a:prstGeom>
                    <a:noFill/>
                    <a:ln>
                      <a:noFill/>
                    </a:ln>
                    <a:extLst>
                      <a:ext uri="{53640926-AAD7-44D8-BBD7-CCE9431645EC}">
                        <a14:shadowObscured xmlns:a14="http://schemas.microsoft.com/office/drawing/2010/main"/>
                      </a:ext>
                    </a:extLst>
                  </pic:spPr>
                </pic:pic>
              </a:graphicData>
            </a:graphic>
          </wp:inline>
        </w:drawing>
      </w:r>
    </w:p>
    <w:p w14:paraId="03120F2F" w14:textId="48EF0FEA" w:rsidR="00A4788F" w:rsidRPr="007E0A82" w:rsidRDefault="00A4788F" w:rsidP="009E265F">
      <w:pPr>
        <w:pStyle w:val="TableofFigures"/>
      </w:pPr>
    </w:p>
    <w:p w14:paraId="44EE3A17" w14:textId="77777777" w:rsidR="00DC3933" w:rsidRDefault="00DC3933" w:rsidP="00A4788F">
      <w:pPr>
        <w:spacing w:line="360" w:lineRule="auto"/>
        <w:jc w:val="both"/>
        <w:rPr>
          <w:rFonts w:asciiTheme="majorBidi" w:hAnsiTheme="majorBidi" w:cstheme="majorBidi"/>
        </w:rPr>
        <w:sectPr w:rsidR="00DC3933" w:rsidSect="00DC3933">
          <w:pgSz w:w="16838" w:h="11906" w:orient="landscape"/>
          <w:pgMar w:top="1440" w:right="1440" w:bottom="1440" w:left="1440" w:header="709" w:footer="709" w:gutter="0"/>
          <w:cols w:space="708"/>
          <w:docGrid w:linePitch="360"/>
        </w:sectPr>
      </w:pPr>
    </w:p>
    <w:p w14:paraId="4D1F12C7" w14:textId="33A10FF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lastRenderedPageBreak/>
        <w:t xml:space="preserve">At 30 days, patients who are discharged alive without renal dysfunction are assigned a comorbidity-adjusted QALY outcome estimated using an alive-dead area-under-the-curve approach. This is independent of the assigned treatment, as patients alive at 30 days without a history of AKI are assumed to experience similar outcomes regardless of the treatment they received for their infection. </w:t>
      </w:r>
    </w:p>
    <w:p w14:paraId="3C20408C" w14:textId="0105F5C4" w:rsidR="00A4788F"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Patients discharged with recovered renal function face the same </w:t>
      </w:r>
      <w:proofErr w:type="spellStart"/>
      <w:r w:rsidRPr="00E9526C">
        <w:rPr>
          <w:rFonts w:asciiTheme="majorBidi" w:hAnsiTheme="majorBidi" w:cstheme="majorBidi"/>
        </w:rPr>
        <w:t>HRQoL</w:t>
      </w:r>
      <w:proofErr w:type="spellEnd"/>
      <w:r w:rsidRPr="00E9526C">
        <w:rPr>
          <w:rFonts w:asciiTheme="majorBidi" w:hAnsiTheme="majorBidi" w:cstheme="majorBidi"/>
        </w:rPr>
        <w:t xml:space="preserve"> outcomes, but they face an additional risk of progressing to</w:t>
      </w:r>
      <w:r w:rsidR="00186460">
        <w:rPr>
          <w:rFonts w:asciiTheme="majorBidi" w:hAnsiTheme="majorBidi" w:cstheme="majorBidi"/>
        </w:rPr>
        <w:t xml:space="preserve"> CKD</w:t>
      </w:r>
      <w:r w:rsidRPr="00E9526C">
        <w:rPr>
          <w:rFonts w:asciiTheme="majorBidi" w:hAnsiTheme="majorBidi" w:cstheme="majorBidi"/>
        </w:rPr>
        <w:t xml:space="preserve"> and elevated mortality. Patients discharged with CKD or who develop CKD face further elevated mortality, reduced </w:t>
      </w:r>
      <w:proofErr w:type="spellStart"/>
      <w:r w:rsidRPr="00E9526C">
        <w:rPr>
          <w:rFonts w:asciiTheme="majorBidi" w:hAnsiTheme="majorBidi" w:cstheme="majorBidi"/>
        </w:rPr>
        <w:t>HRQoL</w:t>
      </w:r>
      <w:proofErr w:type="spellEnd"/>
      <w:r w:rsidRPr="00E9526C">
        <w:rPr>
          <w:rFonts w:asciiTheme="majorBidi" w:hAnsiTheme="majorBidi" w:cstheme="majorBidi"/>
        </w:rPr>
        <w:t xml:space="preserve"> and additional health care costs. The experience of the two groups of patients with a history of AKI is modelled as a semi-Markov process (with transition probabilities dependent on time in model) for all transitions as shown in </w:t>
      </w:r>
      <w:r w:rsidR="00794B8A" w:rsidRPr="00794B8A">
        <w:rPr>
          <w:rFonts w:asciiTheme="majorBidi" w:hAnsiTheme="majorBidi" w:cstheme="majorBidi"/>
        </w:rPr>
        <w:t xml:space="preserve">Figure </w:t>
      </w:r>
      <w:r w:rsidR="00794B8A" w:rsidRPr="00794B8A">
        <w:rPr>
          <w:rFonts w:asciiTheme="majorBidi" w:hAnsiTheme="majorBidi" w:cstheme="majorBidi"/>
          <w:iCs/>
        </w:rPr>
        <w:t>16</w:t>
      </w:r>
      <w:r w:rsidRPr="00E9526C">
        <w:rPr>
          <w:rFonts w:asciiTheme="majorBidi" w:hAnsiTheme="majorBidi" w:cstheme="majorBidi"/>
        </w:rPr>
        <w:t xml:space="preserve">. </w:t>
      </w:r>
    </w:p>
    <w:p w14:paraId="3BF99951" w14:textId="77777777" w:rsidR="00794B8A" w:rsidRDefault="00794B8A" w:rsidP="00A4788F">
      <w:pPr>
        <w:spacing w:line="360" w:lineRule="auto"/>
        <w:jc w:val="both"/>
        <w:rPr>
          <w:rFonts w:asciiTheme="majorBidi" w:hAnsiTheme="majorBidi" w:cstheme="majorBidi"/>
        </w:rPr>
      </w:pPr>
    </w:p>
    <w:p w14:paraId="58D0DB7E" w14:textId="1FB620C6" w:rsidR="00E9526C" w:rsidRPr="00E9526C" w:rsidRDefault="00E9526C" w:rsidP="009E265F">
      <w:pPr>
        <w:pStyle w:val="TableofFigures"/>
        <w:rPr>
          <w:i/>
        </w:rPr>
      </w:pPr>
      <w:bookmarkStart w:id="367" w:name="_Ref77589844"/>
      <w:bookmarkStart w:id="368" w:name="_Toc83590012"/>
      <w:bookmarkStart w:id="369" w:name="_Toc86419061"/>
      <w:r w:rsidRPr="00E9526C">
        <w:t xml:space="preserve">Figure </w:t>
      </w:r>
      <w:r w:rsidR="0021430F">
        <w:rPr>
          <w:noProof/>
        </w:rPr>
        <w:t>16</w:t>
      </w:r>
      <w:bookmarkEnd w:id="367"/>
      <w:r w:rsidRPr="00E9526C">
        <w:t>: Markov model used to calculate post-30-day outcomes in patients with recovered renal function and irreversible renal failure</w:t>
      </w:r>
      <w:bookmarkEnd w:id="368"/>
      <w:bookmarkEnd w:id="369"/>
    </w:p>
    <w:p w14:paraId="7E4FDCA7" w14:textId="77777777" w:rsidR="00E9526C" w:rsidRPr="00E9526C" w:rsidRDefault="00E9526C" w:rsidP="00A4788F">
      <w:pPr>
        <w:spacing w:line="360" w:lineRule="auto"/>
        <w:jc w:val="both"/>
        <w:rPr>
          <w:rFonts w:asciiTheme="majorBidi" w:hAnsiTheme="majorBidi" w:cstheme="majorBidi"/>
        </w:rPr>
      </w:pPr>
    </w:p>
    <w:p w14:paraId="40AFA65F" w14:textId="77777777" w:rsidR="00A4788F" w:rsidRDefault="00A4788F" w:rsidP="00A4788F">
      <w:r w:rsidRPr="000A0447">
        <w:rPr>
          <w:noProof/>
          <w:lang w:eastAsia="en-GB"/>
        </w:rPr>
        <w:drawing>
          <wp:inline distT="0" distB="0" distL="0" distR="0" wp14:anchorId="4A23E103" wp14:editId="5C0BF50D">
            <wp:extent cx="5731510" cy="1522522"/>
            <wp:effectExtent l="0" t="0" r="2540" b="1905"/>
            <wp:docPr id="30" name="Picture 30" descr="This element of the microbiology directed setting model is described in the text i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element of the microbiology directed setting model is described in the text in 7.2.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522522"/>
                    </a:xfrm>
                    <a:prstGeom prst="rect">
                      <a:avLst/>
                    </a:prstGeom>
                    <a:noFill/>
                    <a:ln>
                      <a:noFill/>
                    </a:ln>
                  </pic:spPr>
                </pic:pic>
              </a:graphicData>
            </a:graphic>
          </wp:inline>
        </w:drawing>
      </w:r>
    </w:p>
    <w:p w14:paraId="2D8E6673" w14:textId="77777777" w:rsidR="00A4788F" w:rsidRDefault="00A4788F" w:rsidP="00A4788F">
      <w:pPr>
        <w:jc w:val="both"/>
      </w:pPr>
    </w:p>
    <w:p w14:paraId="6B915E79" w14:textId="77777777" w:rsidR="00A4788F" w:rsidRPr="001A5FBF" w:rsidRDefault="00A4788F" w:rsidP="00A4788F"/>
    <w:p w14:paraId="42E24709" w14:textId="455B2E05" w:rsidR="00A4788F" w:rsidRPr="00F1720A" w:rsidRDefault="00F1720A" w:rsidP="00685394">
      <w:pPr>
        <w:pStyle w:val="EEPRUnumberedlevel4"/>
        <w:ind w:left="720" w:firstLine="0"/>
      </w:pPr>
      <w:bookmarkStart w:id="370" w:name="_Toc87463036"/>
      <w:r>
        <w:t>7.2.2.2</w:t>
      </w:r>
      <w:r w:rsidR="00C67B00">
        <w:t xml:space="preserve"> </w:t>
      </w:r>
      <w:r w:rsidR="00A4788F" w:rsidRPr="00F1720A">
        <w:t>Model structure for the risk-based empiric setting (ES)</w:t>
      </w:r>
      <w:bookmarkEnd w:id="370"/>
      <w:r w:rsidR="00A4788F" w:rsidRPr="00F1720A">
        <w:t xml:space="preserve"> </w:t>
      </w:r>
    </w:p>
    <w:p w14:paraId="7DCC0081" w14:textId="7777777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The approach taken in the ES is </w:t>
      </w:r>
      <w:proofErr w:type="gramStart"/>
      <w:r w:rsidRPr="00E9526C">
        <w:rPr>
          <w:rFonts w:asciiTheme="majorBidi" w:hAnsiTheme="majorBidi" w:cstheme="majorBidi"/>
        </w:rPr>
        <w:t>similar to</w:t>
      </w:r>
      <w:proofErr w:type="gramEnd"/>
      <w:r w:rsidRPr="00E9526C">
        <w:rPr>
          <w:rFonts w:asciiTheme="majorBidi" w:hAnsiTheme="majorBidi" w:cstheme="majorBidi"/>
        </w:rPr>
        <w:t xml:space="preserve"> that taken in the MDS in terms of the possible 30-day outcomes patients can experience and the long-term implications of these outcomes. However, the decision tree describing differences across comparators in the first 30-days is more complex for two reasons. Firstly, there is a need to model outcomes both in those correctly identified as having the pathogen-mechanism combination suspected, as well as those who were labelled as high-risk but in fact have a different causative pathogen or mechanism. Secondly, there is a need to model both the ES phase of treatment, and progression of some patients to the MDS for further treatment. </w:t>
      </w:r>
    </w:p>
    <w:p w14:paraId="163C45B5" w14:textId="58C4DE1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Unlike in the MDS, in the ES the susceptibility of patients to treatments provided is unknown at the time of initiating empiric treatment.  It is, therefore, necessary to model the probability of susceptibility to individual treatment combinations as this determines clinical outcomes and</w:t>
      </w:r>
      <w:proofErr w:type="gramStart"/>
      <w:r w:rsidR="00794B8A">
        <w:rPr>
          <w:rFonts w:asciiTheme="majorBidi" w:hAnsiTheme="majorBidi" w:cstheme="majorBidi"/>
        </w:rPr>
        <w:t>,</w:t>
      </w:r>
      <w:r w:rsidRPr="00E9526C">
        <w:rPr>
          <w:rFonts w:asciiTheme="majorBidi" w:hAnsiTheme="majorBidi" w:cstheme="majorBidi"/>
        </w:rPr>
        <w:t xml:space="preserve"> in particular, the</w:t>
      </w:r>
      <w:proofErr w:type="gramEnd"/>
      <w:r w:rsidRPr="00E9526C">
        <w:rPr>
          <w:rFonts w:asciiTheme="majorBidi" w:hAnsiTheme="majorBidi" w:cstheme="majorBidi"/>
        </w:rPr>
        <w:t xml:space="preserve"> need </w:t>
      </w:r>
      <w:r w:rsidRPr="00E9526C">
        <w:rPr>
          <w:rFonts w:asciiTheme="majorBidi" w:hAnsiTheme="majorBidi" w:cstheme="majorBidi"/>
        </w:rPr>
        <w:lastRenderedPageBreak/>
        <w:t xml:space="preserve">for further treatment. Since, as documented in </w:t>
      </w:r>
      <w:r w:rsidRPr="00180FA6">
        <w:rPr>
          <w:rFonts w:asciiTheme="majorBidi" w:hAnsiTheme="majorBidi" w:cstheme="majorBidi"/>
        </w:rPr>
        <w:t xml:space="preserve">Section </w:t>
      </w:r>
      <w:r w:rsidR="00180FA6" w:rsidRPr="00180FA6">
        <w:rPr>
          <w:rFonts w:asciiTheme="majorBidi" w:hAnsiTheme="majorBidi" w:cstheme="majorBidi"/>
        </w:rPr>
        <w:t>3.2.3.1</w:t>
      </w:r>
      <w:r w:rsidRPr="00E9526C">
        <w:rPr>
          <w:rFonts w:asciiTheme="majorBidi" w:hAnsiTheme="majorBidi" w:cstheme="majorBidi"/>
        </w:rPr>
        <w:t xml:space="preserve">, there are </w:t>
      </w:r>
      <w:proofErr w:type="gramStart"/>
      <w:r w:rsidRPr="00E9526C">
        <w:rPr>
          <w:rFonts w:asciiTheme="majorBidi" w:hAnsiTheme="majorBidi" w:cstheme="majorBidi"/>
        </w:rPr>
        <w:t>a number of</w:t>
      </w:r>
      <w:proofErr w:type="gramEnd"/>
      <w:r w:rsidRPr="00E9526C">
        <w:rPr>
          <w:rFonts w:asciiTheme="majorBidi" w:hAnsiTheme="majorBidi" w:cstheme="majorBidi"/>
        </w:rPr>
        <w:t xml:space="preserve"> feasible treatment combinations for these patients, to simplify the modelling we compare empiric use of </w:t>
      </w:r>
      <w:r w:rsidR="00FE2007">
        <w:rPr>
          <w:rFonts w:asciiTheme="majorBidi" w:hAnsiTheme="majorBidi" w:cstheme="majorBidi"/>
        </w:rPr>
        <w:t>CAZ-AVI</w:t>
      </w:r>
      <w:r w:rsidRPr="00E9526C">
        <w:rPr>
          <w:rFonts w:asciiTheme="majorBidi" w:hAnsiTheme="majorBidi" w:cstheme="majorBidi"/>
        </w:rPr>
        <w:t xml:space="preserve"> in the ES to two alternative treatment options: </w:t>
      </w:r>
    </w:p>
    <w:p w14:paraId="214AF983" w14:textId="77777777" w:rsidR="00A4788F" w:rsidRPr="00E9526C" w:rsidRDefault="00A4788F" w:rsidP="005A3BE6">
      <w:pPr>
        <w:numPr>
          <w:ilvl w:val="0"/>
          <w:numId w:val="34"/>
        </w:numPr>
        <w:spacing w:after="120" w:line="360" w:lineRule="auto"/>
        <w:jc w:val="both"/>
        <w:rPr>
          <w:rFonts w:asciiTheme="majorBidi" w:hAnsiTheme="majorBidi" w:cstheme="majorBidi"/>
        </w:rPr>
      </w:pPr>
      <w:r w:rsidRPr="00E9526C">
        <w:rPr>
          <w:rFonts w:asciiTheme="majorBidi" w:hAnsiTheme="majorBidi" w:cstheme="majorBidi"/>
        </w:rPr>
        <w:t>The non-colistin or aminoglycoside-based treatment combination with the current highest estimated susceptibility in the UK population.</w:t>
      </w:r>
    </w:p>
    <w:p w14:paraId="5452D860" w14:textId="77777777" w:rsidR="00A4788F" w:rsidRPr="00E9526C" w:rsidRDefault="00A4788F" w:rsidP="005A3BE6">
      <w:pPr>
        <w:numPr>
          <w:ilvl w:val="0"/>
          <w:numId w:val="34"/>
        </w:numPr>
        <w:spacing w:after="120" w:line="360" w:lineRule="auto"/>
        <w:jc w:val="both"/>
        <w:rPr>
          <w:rFonts w:asciiTheme="majorBidi" w:hAnsiTheme="majorBidi" w:cstheme="majorBidi"/>
        </w:rPr>
      </w:pPr>
      <w:r w:rsidRPr="00E9526C">
        <w:rPr>
          <w:rFonts w:asciiTheme="majorBidi" w:hAnsiTheme="majorBidi" w:cstheme="majorBidi"/>
        </w:rPr>
        <w:t>The colistin or aminoglycoside-based treatment combination with the current highest estimated susceptibility in the UK population.</w:t>
      </w:r>
    </w:p>
    <w:p w14:paraId="0943C726" w14:textId="7777777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When considering possible treatment pathways in the ES, three possible pathways are relevant:</w:t>
      </w:r>
    </w:p>
    <w:p w14:paraId="083BC258" w14:textId="168CB7A2"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ES1: empiric use of </w:t>
      </w:r>
      <w:r w:rsidR="00FE2007">
        <w:rPr>
          <w:rFonts w:asciiTheme="majorBidi" w:hAnsiTheme="majorBidi" w:cstheme="majorBidi"/>
        </w:rPr>
        <w:t>CAZ-AVI</w:t>
      </w:r>
      <w:r w:rsidRPr="00E9526C">
        <w:rPr>
          <w:rFonts w:asciiTheme="majorBidi" w:hAnsiTheme="majorBidi" w:cstheme="majorBidi"/>
        </w:rPr>
        <w:t xml:space="preserve"> followed by existing treatments in the MDS.</w:t>
      </w:r>
    </w:p>
    <w:p w14:paraId="779B4CA8" w14:textId="1873E413"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 xml:space="preserve">ES2: empiric treatment using existing therapies followed by </w:t>
      </w:r>
      <w:r w:rsidR="00FE2007">
        <w:rPr>
          <w:rFonts w:asciiTheme="majorBidi" w:hAnsiTheme="majorBidi" w:cstheme="majorBidi"/>
        </w:rPr>
        <w:t>CAZ-AVI</w:t>
      </w:r>
      <w:r w:rsidRPr="00E9526C">
        <w:rPr>
          <w:rFonts w:asciiTheme="majorBidi" w:hAnsiTheme="majorBidi" w:cstheme="majorBidi"/>
        </w:rPr>
        <w:t xml:space="preserve"> in the MDS. </w:t>
      </w:r>
    </w:p>
    <w:p w14:paraId="1BD8CD0F" w14:textId="77777777" w:rsidR="00A4788F" w:rsidRPr="00E9526C" w:rsidRDefault="00A4788F" w:rsidP="00A4788F">
      <w:pPr>
        <w:spacing w:line="360" w:lineRule="auto"/>
        <w:jc w:val="both"/>
        <w:rPr>
          <w:rFonts w:asciiTheme="majorBidi" w:hAnsiTheme="majorBidi" w:cstheme="majorBidi"/>
        </w:rPr>
      </w:pPr>
      <w:r w:rsidRPr="00E9526C">
        <w:rPr>
          <w:rFonts w:asciiTheme="majorBidi" w:hAnsiTheme="majorBidi" w:cstheme="majorBidi"/>
        </w:rPr>
        <w:t>ES3: use of existing therapies in both the ES and MDS.</w:t>
      </w:r>
    </w:p>
    <w:p w14:paraId="673F6E05" w14:textId="6AB713B9" w:rsidR="00A4788F" w:rsidRPr="00E9526C" w:rsidRDefault="00A4788F" w:rsidP="00A4788F">
      <w:pPr>
        <w:spacing w:after="0" w:line="360" w:lineRule="auto"/>
        <w:jc w:val="both"/>
        <w:rPr>
          <w:rFonts w:asciiTheme="majorBidi" w:hAnsiTheme="majorBidi" w:cstheme="majorBidi"/>
        </w:rPr>
      </w:pPr>
      <w:r w:rsidRPr="00E9526C">
        <w:rPr>
          <w:rFonts w:asciiTheme="majorBidi" w:hAnsiTheme="majorBidi" w:cstheme="majorBidi"/>
        </w:rPr>
        <w:t xml:space="preserve">The full list of comparators in the ES is summarised in </w:t>
      </w:r>
      <w:r w:rsidR="00794B8A" w:rsidRPr="00794B8A">
        <w:rPr>
          <w:rFonts w:asciiTheme="majorBidi" w:hAnsiTheme="majorBidi" w:cstheme="majorBidi"/>
        </w:rPr>
        <w:t xml:space="preserve">Table </w:t>
      </w:r>
      <w:r w:rsidR="00794B8A" w:rsidRPr="00794B8A">
        <w:rPr>
          <w:rFonts w:asciiTheme="majorBidi" w:hAnsiTheme="majorBidi" w:cstheme="majorBidi"/>
          <w:iCs/>
          <w:noProof/>
        </w:rPr>
        <w:t>21</w:t>
      </w:r>
      <w:r w:rsidRPr="00E9526C">
        <w:rPr>
          <w:rFonts w:asciiTheme="majorBidi" w:hAnsiTheme="majorBidi" w:cstheme="majorBidi"/>
        </w:rPr>
        <w:t xml:space="preserve"> alongside their shorthand labels which are used in the results section.</w:t>
      </w:r>
    </w:p>
    <w:p w14:paraId="076CB127" w14:textId="77777777" w:rsidR="00A4788F" w:rsidRDefault="00A4788F" w:rsidP="00A4788F">
      <w:pPr>
        <w:spacing w:line="360" w:lineRule="auto"/>
        <w:jc w:val="both"/>
      </w:pPr>
      <w:r>
        <w:t xml:space="preserve"> </w:t>
      </w:r>
    </w:p>
    <w:p w14:paraId="6FD4D7E4" w14:textId="1695A3A8" w:rsidR="00A4788F" w:rsidRPr="00B67FA6" w:rsidRDefault="00A4788F" w:rsidP="009E265F">
      <w:pPr>
        <w:pStyle w:val="table"/>
        <w:rPr>
          <w:i/>
          <w:iCs/>
          <w:sz w:val="22"/>
          <w:szCs w:val="22"/>
        </w:rPr>
      </w:pPr>
      <w:bookmarkStart w:id="371" w:name="_Ref77591882"/>
      <w:bookmarkStart w:id="372" w:name="_Toc83589976"/>
      <w:bookmarkStart w:id="373" w:name="_Toc86418998"/>
      <w:r w:rsidRPr="007E0A82">
        <w:t xml:space="preserve">Table </w:t>
      </w:r>
      <w:r w:rsidR="00F10F0A">
        <w:rPr>
          <w:noProof/>
          <w:sz w:val="22"/>
          <w:szCs w:val="22"/>
        </w:rPr>
        <w:t>21</w:t>
      </w:r>
      <w:bookmarkEnd w:id="371"/>
      <w:r w:rsidRPr="007E0A82">
        <w:t>: Comparator treatment pathways in the ES</w:t>
      </w:r>
      <w:bookmarkEnd w:id="372"/>
      <w:bookmarkEnd w:id="373"/>
    </w:p>
    <w:tbl>
      <w:tblPr>
        <w:tblStyle w:val="TableGrid"/>
        <w:tblW w:w="0" w:type="auto"/>
        <w:tblLook w:val="04A0" w:firstRow="1" w:lastRow="0" w:firstColumn="1" w:lastColumn="0" w:noHBand="0" w:noVBand="1"/>
      </w:tblPr>
      <w:tblGrid>
        <w:gridCol w:w="3324"/>
        <w:gridCol w:w="2658"/>
        <w:gridCol w:w="2658"/>
      </w:tblGrid>
      <w:tr w:rsidR="00A4788F" w:rsidRPr="00E9526C" w14:paraId="05A914C6" w14:textId="77777777" w:rsidTr="00A4788F">
        <w:tc>
          <w:tcPr>
            <w:tcW w:w="3324" w:type="dxa"/>
          </w:tcPr>
          <w:p w14:paraId="553F5484" w14:textId="77777777" w:rsidR="00A4788F" w:rsidRPr="00E9526C" w:rsidRDefault="00A4788F" w:rsidP="00A4788F">
            <w:pPr>
              <w:rPr>
                <w:rFonts w:asciiTheme="majorBidi" w:hAnsiTheme="majorBidi" w:cstheme="majorBidi"/>
                <w:b/>
              </w:rPr>
            </w:pPr>
            <w:r w:rsidRPr="00E9526C">
              <w:rPr>
                <w:rFonts w:asciiTheme="majorBidi" w:hAnsiTheme="majorBidi" w:cstheme="majorBidi"/>
                <w:b/>
              </w:rPr>
              <w:t>Empiric treatment</w:t>
            </w:r>
          </w:p>
        </w:tc>
        <w:tc>
          <w:tcPr>
            <w:tcW w:w="2658" w:type="dxa"/>
          </w:tcPr>
          <w:p w14:paraId="799A3CCB" w14:textId="77777777" w:rsidR="00A4788F" w:rsidRPr="00E9526C" w:rsidRDefault="00A4788F" w:rsidP="00A4788F">
            <w:pPr>
              <w:rPr>
                <w:rFonts w:asciiTheme="majorBidi" w:hAnsiTheme="majorBidi" w:cstheme="majorBidi"/>
                <w:b/>
              </w:rPr>
            </w:pPr>
            <w:r w:rsidRPr="00E9526C">
              <w:rPr>
                <w:rFonts w:asciiTheme="majorBidi" w:hAnsiTheme="majorBidi" w:cstheme="majorBidi"/>
                <w:b/>
              </w:rPr>
              <w:t>MDS treatment</w:t>
            </w:r>
          </w:p>
        </w:tc>
        <w:tc>
          <w:tcPr>
            <w:tcW w:w="2658" w:type="dxa"/>
          </w:tcPr>
          <w:p w14:paraId="2D1B26B7" w14:textId="77777777" w:rsidR="00A4788F" w:rsidRPr="00E9526C" w:rsidRDefault="00A4788F" w:rsidP="00A4788F">
            <w:pPr>
              <w:rPr>
                <w:rFonts w:asciiTheme="majorBidi" w:hAnsiTheme="majorBidi" w:cstheme="majorBidi"/>
                <w:b/>
              </w:rPr>
            </w:pPr>
            <w:r w:rsidRPr="00E9526C">
              <w:rPr>
                <w:rFonts w:asciiTheme="majorBidi" w:hAnsiTheme="majorBidi" w:cstheme="majorBidi"/>
                <w:b/>
              </w:rPr>
              <w:t>Shorthand label</w:t>
            </w:r>
          </w:p>
        </w:tc>
      </w:tr>
      <w:tr w:rsidR="00A4788F" w:rsidRPr="00E9526C" w14:paraId="518FF002" w14:textId="77777777" w:rsidTr="00A4788F">
        <w:tc>
          <w:tcPr>
            <w:tcW w:w="3324" w:type="dxa"/>
          </w:tcPr>
          <w:p w14:paraId="428E9EAF" w14:textId="1DC41070" w:rsidR="00A4788F" w:rsidRPr="00E9526C" w:rsidRDefault="00FE2007" w:rsidP="00A4788F">
            <w:pPr>
              <w:rPr>
                <w:rFonts w:asciiTheme="majorBidi" w:eastAsiaTheme="minorHAnsi" w:hAnsiTheme="majorBidi" w:cstheme="majorBidi"/>
                <w:lang w:eastAsia="en-US"/>
              </w:rPr>
            </w:pPr>
            <w:r>
              <w:rPr>
                <w:rFonts w:asciiTheme="majorBidi" w:eastAsiaTheme="minorHAnsi" w:hAnsiTheme="majorBidi" w:cstheme="majorBidi"/>
                <w:lang w:eastAsia="en-US"/>
              </w:rPr>
              <w:t>CAZ-AVI</w:t>
            </w:r>
          </w:p>
        </w:tc>
        <w:tc>
          <w:tcPr>
            <w:tcW w:w="2658" w:type="dxa"/>
          </w:tcPr>
          <w:p w14:paraId="746A8699"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Existing therapies</w:t>
            </w:r>
          </w:p>
        </w:tc>
        <w:tc>
          <w:tcPr>
            <w:tcW w:w="2658" w:type="dxa"/>
            <w:vAlign w:val="bottom"/>
          </w:tcPr>
          <w:p w14:paraId="35BA926B"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E1</w:t>
            </w:r>
          </w:p>
        </w:tc>
      </w:tr>
      <w:tr w:rsidR="00A4788F" w:rsidRPr="00E9526C" w14:paraId="4476CD85" w14:textId="77777777" w:rsidTr="00A4788F">
        <w:tc>
          <w:tcPr>
            <w:tcW w:w="3324" w:type="dxa"/>
          </w:tcPr>
          <w:p w14:paraId="19F74E1A"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Non-colistin or aminoglycoside-based</w:t>
            </w:r>
          </w:p>
        </w:tc>
        <w:tc>
          <w:tcPr>
            <w:tcW w:w="2658" w:type="dxa"/>
          </w:tcPr>
          <w:p w14:paraId="3F7BF8F6"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Existing therapies</w:t>
            </w:r>
          </w:p>
        </w:tc>
        <w:tc>
          <w:tcPr>
            <w:tcW w:w="2658" w:type="dxa"/>
            <w:vAlign w:val="bottom"/>
          </w:tcPr>
          <w:p w14:paraId="120AD414"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E2nca</w:t>
            </w:r>
          </w:p>
        </w:tc>
      </w:tr>
      <w:tr w:rsidR="00A4788F" w:rsidRPr="00E9526C" w14:paraId="2E85B1FE" w14:textId="77777777" w:rsidTr="00A4788F">
        <w:tc>
          <w:tcPr>
            <w:tcW w:w="3324" w:type="dxa"/>
          </w:tcPr>
          <w:p w14:paraId="1CB74162"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Colistin or aminoglycoside-based</w:t>
            </w:r>
          </w:p>
        </w:tc>
        <w:tc>
          <w:tcPr>
            <w:tcW w:w="2658" w:type="dxa"/>
          </w:tcPr>
          <w:p w14:paraId="3D540CD1"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Existing therapies</w:t>
            </w:r>
          </w:p>
        </w:tc>
        <w:tc>
          <w:tcPr>
            <w:tcW w:w="2658" w:type="dxa"/>
            <w:vAlign w:val="bottom"/>
          </w:tcPr>
          <w:p w14:paraId="5C7C7AF3"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E2ca</w:t>
            </w:r>
          </w:p>
        </w:tc>
      </w:tr>
      <w:tr w:rsidR="00A4788F" w:rsidRPr="00E9526C" w14:paraId="1F42E475" w14:textId="77777777" w:rsidTr="00A4788F">
        <w:tc>
          <w:tcPr>
            <w:tcW w:w="3324" w:type="dxa"/>
          </w:tcPr>
          <w:p w14:paraId="5A0A1E76"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 xml:space="preserve">Non-colistin or aminoglycoside-based </w:t>
            </w:r>
          </w:p>
        </w:tc>
        <w:tc>
          <w:tcPr>
            <w:tcW w:w="2658" w:type="dxa"/>
          </w:tcPr>
          <w:p w14:paraId="513F6FC1" w14:textId="3E6A12B2" w:rsidR="00A4788F" w:rsidRPr="00E9526C" w:rsidRDefault="00FE2007" w:rsidP="00A4788F">
            <w:pPr>
              <w:rPr>
                <w:rFonts w:asciiTheme="majorBidi" w:eastAsiaTheme="minorHAnsi" w:hAnsiTheme="majorBidi" w:cstheme="majorBidi"/>
                <w:lang w:eastAsia="en-US"/>
              </w:rPr>
            </w:pPr>
            <w:r>
              <w:rPr>
                <w:rFonts w:asciiTheme="majorBidi" w:eastAsiaTheme="minorHAnsi" w:hAnsiTheme="majorBidi" w:cstheme="majorBidi"/>
                <w:lang w:eastAsia="en-US"/>
              </w:rPr>
              <w:t>CAZ-AVI</w:t>
            </w:r>
            <w:r w:rsidR="00A4788F" w:rsidRPr="00E9526C">
              <w:rPr>
                <w:rFonts w:asciiTheme="majorBidi" w:eastAsiaTheme="minorHAnsi" w:hAnsiTheme="majorBidi" w:cstheme="majorBidi"/>
                <w:lang w:eastAsia="en-US"/>
              </w:rPr>
              <w:t xml:space="preserve"> used if indicated in the MDS (see </w:t>
            </w:r>
            <w:r w:rsidR="00794B8A" w:rsidRPr="00794B8A">
              <w:rPr>
                <w:rFonts w:asciiTheme="majorBidi" w:eastAsiaTheme="minorHAnsi" w:hAnsiTheme="majorBidi" w:cstheme="majorBidi"/>
                <w:lang w:eastAsia="en-US"/>
              </w:rPr>
              <w:t>Table 20</w:t>
            </w:r>
            <w:r w:rsidR="00A4788F" w:rsidRPr="00E9526C">
              <w:rPr>
                <w:rFonts w:asciiTheme="majorBidi" w:eastAsiaTheme="minorHAnsi" w:hAnsiTheme="majorBidi" w:cstheme="majorBidi"/>
                <w:lang w:eastAsia="en-US"/>
              </w:rPr>
              <w:t>)</w:t>
            </w:r>
          </w:p>
        </w:tc>
        <w:tc>
          <w:tcPr>
            <w:tcW w:w="2658" w:type="dxa"/>
            <w:vAlign w:val="bottom"/>
          </w:tcPr>
          <w:p w14:paraId="09AF259E"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E3nca</w:t>
            </w:r>
          </w:p>
        </w:tc>
      </w:tr>
      <w:tr w:rsidR="00A4788F" w:rsidRPr="00E9526C" w14:paraId="20236A16" w14:textId="77777777" w:rsidTr="00A4788F">
        <w:tc>
          <w:tcPr>
            <w:tcW w:w="3324" w:type="dxa"/>
          </w:tcPr>
          <w:p w14:paraId="64432FF9"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Colistin or aminoglycoside-based</w:t>
            </w:r>
          </w:p>
        </w:tc>
        <w:tc>
          <w:tcPr>
            <w:tcW w:w="2658" w:type="dxa"/>
          </w:tcPr>
          <w:p w14:paraId="00944AA3" w14:textId="486B2C47" w:rsidR="00A4788F" w:rsidRPr="00E9526C" w:rsidRDefault="00FE2007" w:rsidP="00A4788F">
            <w:pPr>
              <w:rPr>
                <w:rFonts w:asciiTheme="majorBidi" w:eastAsiaTheme="minorHAnsi" w:hAnsiTheme="majorBidi" w:cstheme="majorBidi"/>
                <w:lang w:eastAsia="en-US"/>
              </w:rPr>
            </w:pPr>
            <w:r>
              <w:rPr>
                <w:rFonts w:asciiTheme="majorBidi" w:eastAsiaTheme="minorHAnsi" w:hAnsiTheme="majorBidi" w:cstheme="majorBidi"/>
                <w:lang w:eastAsia="en-US"/>
              </w:rPr>
              <w:t>CAZ-AVI</w:t>
            </w:r>
            <w:r w:rsidR="00A4788F" w:rsidRPr="00E9526C">
              <w:rPr>
                <w:rFonts w:asciiTheme="majorBidi" w:eastAsiaTheme="minorHAnsi" w:hAnsiTheme="majorBidi" w:cstheme="majorBidi"/>
                <w:lang w:eastAsia="en-US"/>
              </w:rPr>
              <w:t xml:space="preserve"> used if indicated in the MDS (see </w:t>
            </w:r>
            <w:r w:rsidR="00794B8A" w:rsidRPr="00794B8A">
              <w:rPr>
                <w:rFonts w:asciiTheme="majorBidi" w:eastAsiaTheme="minorHAnsi" w:hAnsiTheme="majorBidi" w:cstheme="majorBidi"/>
                <w:lang w:eastAsia="en-US"/>
              </w:rPr>
              <w:t>Table 20</w:t>
            </w:r>
            <w:r w:rsidR="00A4788F" w:rsidRPr="00E9526C">
              <w:rPr>
                <w:rFonts w:asciiTheme="majorBidi" w:eastAsiaTheme="minorHAnsi" w:hAnsiTheme="majorBidi" w:cstheme="majorBidi"/>
                <w:lang w:eastAsia="en-US"/>
              </w:rPr>
              <w:t>)</w:t>
            </w:r>
          </w:p>
        </w:tc>
        <w:tc>
          <w:tcPr>
            <w:tcW w:w="2658" w:type="dxa"/>
            <w:vAlign w:val="bottom"/>
          </w:tcPr>
          <w:p w14:paraId="54000743" w14:textId="77777777" w:rsidR="00A4788F" w:rsidRPr="00E9526C" w:rsidRDefault="00A4788F" w:rsidP="00A4788F">
            <w:pPr>
              <w:rPr>
                <w:rFonts w:asciiTheme="majorBidi" w:eastAsiaTheme="minorHAnsi" w:hAnsiTheme="majorBidi" w:cstheme="majorBidi"/>
                <w:lang w:eastAsia="en-US"/>
              </w:rPr>
            </w:pPr>
            <w:r w:rsidRPr="00E9526C">
              <w:rPr>
                <w:rFonts w:asciiTheme="majorBidi" w:eastAsiaTheme="minorHAnsi" w:hAnsiTheme="majorBidi" w:cstheme="majorBidi"/>
                <w:lang w:eastAsia="en-US"/>
              </w:rPr>
              <w:t>E3ca</w:t>
            </w:r>
          </w:p>
        </w:tc>
      </w:tr>
    </w:tbl>
    <w:p w14:paraId="2C47EA82" w14:textId="77777777" w:rsidR="00EC4BFF" w:rsidRPr="009B76B9" w:rsidRDefault="00EC4BFF" w:rsidP="00EC4BFF">
      <w:pPr>
        <w:pStyle w:val="EEPRUtextundertables"/>
      </w:pPr>
      <w:r w:rsidRPr="009B76B9">
        <w:t>ES, empiric setting; MDS, microbiology-directed</w:t>
      </w:r>
    </w:p>
    <w:p w14:paraId="09A99DA5" w14:textId="77777777" w:rsidR="00A4788F" w:rsidRDefault="00A4788F" w:rsidP="00A4788F"/>
    <w:p w14:paraId="4B1179A4" w14:textId="2B55BA4C" w:rsidR="00A4788F" w:rsidRPr="00E9526C" w:rsidRDefault="00A4788F" w:rsidP="00A4788F">
      <w:pPr>
        <w:spacing w:line="360" w:lineRule="auto"/>
        <w:rPr>
          <w:rFonts w:asciiTheme="majorBidi" w:hAnsiTheme="majorBidi" w:cstheme="majorBidi"/>
        </w:rPr>
      </w:pPr>
      <w:r w:rsidRPr="00E9526C">
        <w:rPr>
          <w:rFonts w:asciiTheme="majorBidi" w:hAnsiTheme="majorBidi" w:cstheme="majorBidi"/>
        </w:rPr>
        <w:t xml:space="preserve">Repeated usage of </w:t>
      </w:r>
      <w:r w:rsidR="00C543D6">
        <w:rPr>
          <w:rFonts w:asciiTheme="majorBidi" w:hAnsiTheme="majorBidi" w:cstheme="majorBidi"/>
        </w:rPr>
        <w:t>CAZ-AVI</w:t>
      </w:r>
      <w:r w:rsidRPr="00E9526C">
        <w:rPr>
          <w:rFonts w:asciiTheme="majorBidi" w:hAnsiTheme="majorBidi" w:cstheme="majorBidi"/>
        </w:rPr>
        <w:t xml:space="preserve"> in the MDS for patients who fail</w:t>
      </w:r>
      <w:r w:rsidR="00C543D6">
        <w:rPr>
          <w:rFonts w:asciiTheme="majorBidi" w:hAnsiTheme="majorBidi" w:cstheme="majorBidi"/>
        </w:rPr>
        <w:t xml:space="preserve"> CAZ-AVI</w:t>
      </w:r>
      <w:r w:rsidRPr="00E9526C">
        <w:rPr>
          <w:rFonts w:asciiTheme="majorBidi" w:hAnsiTheme="majorBidi" w:cstheme="majorBidi"/>
        </w:rPr>
        <w:t xml:space="preserve"> in the ES was not modelled as this was not considered to represent a priority use for </w:t>
      </w:r>
      <w:r w:rsidR="00FE2007">
        <w:rPr>
          <w:rFonts w:asciiTheme="majorBidi" w:hAnsiTheme="majorBidi" w:cstheme="majorBidi"/>
        </w:rPr>
        <w:t>CAZ-AVI</w:t>
      </w:r>
      <w:r w:rsidRPr="00E9526C">
        <w:rPr>
          <w:rFonts w:asciiTheme="majorBidi" w:hAnsiTheme="majorBidi" w:cstheme="majorBidi"/>
        </w:rPr>
        <w:t>.</w:t>
      </w:r>
    </w:p>
    <w:p w14:paraId="787452FB" w14:textId="77777777" w:rsidR="00A4788F" w:rsidRPr="00E9526C" w:rsidRDefault="00A4788F" w:rsidP="00A4788F">
      <w:pPr>
        <w:spacing w:line="360" w:lineRule="auto"/>
        <w:rPr>
          <w:rFonts w:asciiTheme="majorBidi" w:hAnsiTheme="majorBidi" w:cstheme="majorBidi"/>
        </w:rPr>
      </w:pPr>
      <w:r w:rsidRPr="00E9526C">
        <w:rPr>
          <w:rFonts w:asciiTheme="majorBidi" w:hAnsiTheme="majorBidi" w:cstheme="majorBidi"/>
        </w:rPr>
        <w:t xml:space="preserve">Thirty-day outcomes in the ES are determined by a decision tree which comprises three-subcomponents: </w:t>
      </w:r>
    </w:p>
    <w:p w14:paraId="21A04F30" w14:textId="50C319CB" w:rsidR="00A4788F" w:rsidRPr="00E9526C" w:rsidRDefault="00A4788F" w:rsidP="005A3BE6">
      <w:pPr>
        <w:pStyle w:val="ListParagraph"/>
        <w:numPr>
          <w:ilvl w:val="0"/>
          <w:numId w:val="35"/>
        </w:numPr>
        <w:spacing w:line="360" w:lineRule="auto"/>
        <w:rPr>
          <w:rFonts w:asciiTheme="majorBidi" w:hAnsiTheme="majorBidi" w:cstheme="majorBidi"/>
        </w:rPr>
      </w:pPr>
      <w:r w:rsidRPr="00E9526C">
        <w:rPr>
          <w:rFonts w:asciiTheme="majorBidi" w:hAnsiTheme="majorBidi" w:cstheme="majorBidi"/>
        </w:rPr>
        <w:t xml:space="preserve">the risk of carrying the </w:t>
      </w:r>
      <w:r w:rsidR="00AE639B">
        <w:rPr>
          <w:rFonts w:asciiTheme="majorBidi" w:hAnsiTheme="majorBidi" w:cstheme="majorBidi"/>
        </w:rPr>
        <w:t>pathogen-mechanism</w:t>
      </w:r>
      <w:r w:rsidRPr="00E9526C">
        <w:rPr>
          <w:rFonts w:asciiTheme="majorBidi" w:hAnsiTheme="majorBidi" w:cstheme="majorBidi"/>
        </w:rPr>
        <w:t xml:space="preserve"> of </w:t>
      </w:r>
      <w:proofErr w:type="gramStart"/>
      <w:r w:rsidRPr="00E9526C">
        <w:rPr>
          <w:rFonts w:asciiTheme="majorBidi" w:hAnsiTheme="majorBidi" w:cstheme="majorBidi"/>
        </w:rPr>
        <w:t>concern;</w:t>
      </w:r>
      <w:proofErr w:type="gramEnd"/>
      <w:r w:rsidRPr="00E9526C">
        <w:rPr>
          <w:rFonts w:asciiTheme="majorBidi" w:hAnsiTheme="majorBidi" w:cstheme="majorBidi"/>
        </w:rPr>
        <w:t xml:space="preserve"> </w:t>
      </w:r>
    </w:p>
    <w:p w14:paraId="1E0A9C69" w14:textId="77777777" w:rsidR="00A4788F" w:rsidRPr="00E9526C" w:rsidRDefault="00A4788F" w:rsidP="005A3BE6">
      <w:pPr>
        <w:pStyle w:val="ListParagraph"/>
        <w:numPr>
          <w:ilvl w:val="0"/>
          <w:numId w:val="35"/>
        </w:numPr>
        <w:spacing w:line="360" w:lineRule="auto"/>
        <w:rPr>
          <w:rFonts w:asciiTheme="majorBidi" w:hAnsiTheme="majorBidi" w:cstheme="majorBidi"/>
        </w:rPr>
      </w:pPr>
      <w:r w:rsidRPr="00E9526C">
        <w:rPr>
          <w:rFonts w:asciiTheme="majorBidi" w:hAnsiTheme="majorBidi" w:cstheme="majorBidi"/>
        </w:rPr>
        <w:t xml:space="preserve">outcomes at the point at which patients are assessed for MDS treatment, </w:t>
      </w:r>
      <w:proofErr w:type="gramStart"/>
      <w:r w:rsidRPr="00E9526C">
        <w:rPr>
          <w:rFonts w:asciiTheme="majorBidi" w:hAnsiTheme="majorBidi" w:cstheme="majorBidi"/>
        </w:rPr>
        <w:t>i.e.</w:t>
      </w:r>
      <w:proofErr w:type="gramEnd"/>
      <w:r w:rsidRPr="00E9526C">
        <w:rPr>
          <w:rFonts w:asciiTheme="majorBidi" w:hAnsiTheme="majorBidi" w:cstheme="majorBidi"/>
        </w:rPr>
        <w:t xml:space="preserve"> at around 3-5 days when susceptibility results report; and</w:t>
      </w:r>
    </w:p>
    <w:p w14:paraId="181F35EC" w14:textId="3B636BCD" w:rsidR="00A4788F" w:rsidRPr="00E9526C" w:rsidRDefault="00A4788F" w:rsidP="005A3BE6">
      <w:pPr>
        <w:pStyle w:val="ListParagraph"/>
        <w:numPr>
          <w:ilvl w:val="0"/>
          <w:numId w:val="35"/>
        </w:numPr>
        <w:spacing w:line="360" w:lineRule="auto"/>
        <w:rPr>
          <w:rFonts w:asciiTheme="majorBidi" w:hAnsiTheme="majorBidi" w:cstheme="majorBidi"/>
        </w:rPr>
      </w:pPr>
      <w:r w:rsidRPr="00E9526C">
        <w:rPr>
          <w:rFonts w:asciiTheme="majorBidi" w:hAnsiTheme="majorBidi" w:cstheme="majorBidi"/>
        </w:rPr>
        <w:t>30-day outcomes following MDS assessment</w:t>
      </w:r>
      <w:r w:rsidR="00794B8A">
        <w:rPr>
          <w:rFonts w:asciiTheme="majorBidi" w:hAnsiTheme="majorBidi" w:cstheme="majorBidi"/>
        </w:rPr>
        <w:t>.</w:t>
      </w:r>
    </w:p>
    <w:p w14:paraId="0064670B" w14:textId="77777777" w:rsidR="00A4788F" w:rsidRPr="00E9526C" w:rsidRDefault="00A4788F" w:rsidP="00A4788F">
      <w:pPr>
        <w:rPr>
          <w:rFonts w:asciiTheme="majorBidi" w:hAnsiTheme="majorBidi" w:cstheme="majorBidi"/>
        </w:rPr>
      </w:pPr>
    </w:p>
    <w:p w14:paraId="26D1CF57" w14:textId="77777777" w:rsidR="00A4788F" w:rsidRPr="00E9526C" w:rsidRDefault="00A4788F" w:rsidP="00A4788F">
      <w:pPr>
        <w:rPr>
          <w:rFonts w:asciiTheme="majorBidi" w:hAnsiTheme="majorBidi" w:cstheme="majorBidi"/>
        </w:rPr>
      </w:pPr>
      <w:r w:rsidRPr="00E9526C">
        <w:rPr>
          <w:rFonts w:asciiTheme="majorBidi" w:hAnsiTheme="majorBidi" w:cstheme="majorBidi"/>
        </w:rPr>
        <w:t>Each of these is considered in more detail below.</w:t>
      </w:r>
    </w:p>
    <w:p w14:paraId="5A0BF4E0" w14:textId="77777777" w:rsidR="00A4788F" w:rsidRDefault="00A4788F" w:rsidP="00A4788F"/>
    <w:p w14:paraId="17BE2D6A" w14:textId="009A5436" w:rsidR="00A4788F" w:rsidRPr="00E9526C" w:rsidRDefault="00A4788F" w:rsidP="005A3BE6">
      <w:pPr>
        <w:pStyle w:val="ListParagraph"/>
        <w:numPr>
          <w:ilvl w:val="0"/>
          <w:numId w:val="28"/>
        </w:numPr>
        <w:spacing w:line="360" w:lineRule="auto"/>
        <w:rPr>
          <w:rFonts w:asciiTheme="majorBidi" w:hAnsiTheme="majorBidi" w:cstheme="majorBidi"/>
        </w:rPr>
      </w:pPr>
      <w:r w:rsidRPr="00E9526C">
        <w:rPr>
          <w:rFonts w:asciiTheme="majorBidi" w:hAnsiTheme="majorBidi" w:cstheme="majorBidi"/>
        </w:rPr>
        <w:t xml:space="preserve">Risks of carrying the </w:t>
      </w:r>
      <w:r w:rsidR="00AE639B">
        <w:rPr>
          <w:rFonts w:asciiTheme="majorBidi" w:hAnsiTheme="majorBidi" w:cstheme="majorBidi"/>
        </w:rPr>
        <w:t>pathogen-mechanism</w:t>
      </w:r>
      <w:r w:rsidRPr="00E9526C">
        <w:rPr>
          <w:rFonts w:asciiTheme="majorBidi" w:hAnsiTheme="majorBidi" w:cstheme="majorBidi"/>
        </w:rPr>
        <w:t xml:space="preserve"> of concern </w:t>
      </w:r>
    </w:p>
    <w:p w14:paraId="75E0EE88" w14:textId="7EC55966" w:rsidR="00A4788F" w:rsidRDefault="00A4788F" w:rsidP="00A4788F">
      <w:pPr>
        <w:spacing w:line="360" w:lineRule="auto"/>
        <w:jc w:val="both"/>
        <w:rPr>
          <w:rFonts w:asciiTheme="majorBidi" w:hAnsiTheme="majorBidi" w:cstheme="majorBidi"/>
        </w:rPr>
      </w:pPr>
      <w:bookmarkStart w:id="374" w:name="_Ref77601910"/>
      <w:r w:rsidRPr="00E9526C">
        <w:rPr>
          <w:rFonts w:asciiTheme="majorBidi" w:hAnsiTheme="majorBidi" w:cstheme="majorBidi"/>
        </w:rPr>
        <w:t xml:space="preserve">Patients may or may not have the suspected </w:t>
      </w:r>
      <w:r w:rsidR="00AE639B">
        <w:rPr>
          <w:rFonts w:asciiTheme="majorBidi" w:hAnsiTheme="majorBidi" w:cstheme="majorBidi"/>
        </w:rPr>
        <w:t>pathogen-mechanism</w:t>
      </w:r>
      <w:r w:rsidRPr="00E9526C">
        <w:rPr>
          <w:rFonts w:asciiTheme="majorBidi" w:hAnsiTheme="majorBidi" w:cstheme="majorBidi"/>
        </w:rPr>
        <w:t xml:space="preserve"> of concern. We assume that patients who do not have the </w:t>
      </w:r>
      <w:r w:rsidR="00AE639B">
        <w:rPr>
          <w:rFonts w:asciiTheme="majorBidi" w:hAnsiTheme="majorBidi" w:cstheme="majorBidi"/>
        </w:rPr>
        <w:t>pathogen-mechanism</w:t>
      </w:r>
      <w:r w:rsidRPr="00E9526C">
        <w:rPr>
          <w:rFonts w:asciiTheme="majorBidi" w:hAnsiTheme="majorBidi" w:cstheme="majorBidi"/>
        </w:rPr>
        <w:t xml:space="preserve"> of interest experience the same effectiveness outcomes regardless of the choice of empiric treatment (though safety differs), as our clinical advisors confirmed that these patients represented a broadly susceptible population (rather than a population enriched with pathogens carrying other resistance mechanisms) and that for this reason effectiveness is likely to be similar across all empiric treatment options considered. </w:t>
      </w:r>
      <w:bookmarkStart w:id="375" w:name="_Hlk83981066"/>
      <w:r w:rsidRPr="00E9526C">
        <w:rPr>
          <w:rFonts w:asciiTheme="majorBidi" w:hAnsiTheme="majorBidi" w:cstheme="majorBidi"/>
        </w:rPr>
        <w:t xml:space="preserve">For simplicity we assume that patients who have a different </w:t>
      </w:r>
      <w:r w:rsidR="00AE639B">
        <w:rPr>
          <w:rFonts w:asciiTheme="majorBidi" w:hAnsiTheme="majorBidi" w:cstheme="majorBidi"/>
        </w:rPr>
        <w:t>pathogen-mechanism</w:t>
      </w:r>
      <w:r w:rsidRPr="00E9526C">
        <w:rPr>
          <w:rFonts w:asciiTheme="majorBidi" w:hAnsiTheme="majorBidi" w:cstheme="majorBidi"/>
        </w:rPr>
        <w:t xml:space="preserve"> experience the susceptibility associated with colistin/aminoglycoside-based therapy in people with the </w:t>
      </w:r>
      <w:r w:rsidR="00AE639B">
        <w:rPr>
          <w:rFonts w:asciiTheme="majorBidi" w:hAnsiTheme="majorBidi" w:cstheme="majorBidi"/>
        </w:rPr>
        <w:t>pathogen-mechanism</w:t>
      </w:r>
      <w:r w:rsidRPr="00E9526C">
        <w:rPr>
          <w:rFonts w:asciiTheme="majorBidi" w:hAnsiTheme="majorBidi" w:cstheme="majorBidi"/>
        </w:rPr>
        <w:t xml:space="preserve"> of interest regardless of the choice of treatment. </w:t>
      </w:r>
      <w:bookmarkEnd w:id="375"/>
      <w:r w:rsidRPr="00E9526C">
        <w:rPr>
          <w:rFonts w:asciiTheme="majorBidi" w:hAnsiTheme="majorBidi" w:cstheme="majorBidi"/>
        </w:rPr>
        <w:t xml:space="preserve">Colistin/aminoglycoside-based therapy was chosen as more representative of outcomes across susceptible patients as this treatment class showed robust and high susceptibility across subgroups and scenarios. The structure of this element of the ES model is presented as </w:t>
      </w:r>
      <w:r w:rsidR="00393DF4" w:rsidRPr="00393DF4">
        <w:rPr>
          <w:rFonts w:asciiTheme="majorBidi" w:hAnsiTheme="majorBidi" w:cstheme="majorBidi"/>
        </w:rPr>
        <w:t xml:space="preserve">Figure </w:t>
      </w:r>
      <w:r w:rsidR="00393DF4" w:rsidRPr="00393DF4">
        <w:rPr>
          <w:rFonts w:asciiTheme="majorBidi" w:hAnsiTheme="majorBidi" w:cstheme="majorBidi"/>
          <w:noProof/>
        </w:rPr>
        <w:t>17</w:t>
      </w:r>
      <w:r w:rsidRPr="00E9526C">
        <w:rPr>
          <w:rFonts w:asciiTheme="majorBidi" w:hAnsiTheme="majorBidi" w:cstheme="majorBidi"/>
        </w:rPr>
        <w:t xml:space="preserve">. </w:t>
      </w:r>
    </w:p>
    <w:p w14:paraId="37913850" w14:textId="77777777" w:rsidR="00794B4E" w:rsidRDefault="00794B4E" w:rsidP="00E9526C">
      <w:pPr>
        <w:rPr>
          <w:rFonts w:asciiTheme="majorBidi" w:hAnsiTheme="majorBidi" w:cstheme="majorBidi"/>
          <w:b/>
          <w:bCs/>
          <w:sz w:val="20"/>
          <w:szCs w:val="20"/>
        </w:rPr>
      </w:pPr>
      <w:bookmarkStart w:id="376" w:name="_Ref77948262"/>
      <w:bookmarkStart w:id="377" w:name="_Toc83590013"/>
    </w:p>
    <w:p w14:paraId="04A0A239" w14:textId="77777777" w:rsidR="00794B4E" w:rsidRDefault="00794B4E" w:rsidP="00E9526C">
      <w:pPr>
        <w:rPr>
          <w:rFonts w:asciiTheme="majorBidi" w:hAnsiTheme="majorBidi" w:cstheme="majorBidi"/>
          <w:b/>
          <w:bCs/>
          <w:sz w:val="20"/>
          <w:szCs w:val="20"/>
        </w:rPr>
      </w:pPr>
    </w:p>
    <w:p w14:paraId="4CE2C1DC" w14:textId="77777777" w:rsidR="00794B4E" w:rsidRDefault="00794B4E" w:rsidP="00E9526C">
      <w:pPr>
        <w:rPr>
          <w:rFonts w:asciiTheme="majorBidi" w:hAnsiTheme="majorBidi" w:cstheme="majorBidi"/>
          <w:b/>
          <w:bCs/>
          <w:sz w:val="20"/>
          <w:szCs w:val="20"/>
        </w:rPr>
      </w:pPr>
    </w:p>
    <w:p w14:paraId="09F19F3A" w14:textId="77777777" w:rsidR="00794B4E" w:rsidRDefault="00794B4E" w:rsidP="00E9526C">
      <w:pPr>
        <w:rPr>
          <w:rFonts w:asciiTheme="majorBidi" w:hAnsiTheme="majorBidi" w:cstheme="majorBidi"/>
          <w:b/>
          <w:bCs/>
          <w:sz w:val="20"/>
          <w:szCs w:val="20"/>
        </w:rPr>
      </w:pPr>
    </w:p>
    <w:p w14:paraId="15770CA1" w14:textId="77777777" w:rsidR="00794B4E" w:rsidRDefault="00794B4E" w:rsidP="00E9526C">
      <w:pPr>
        <w:rPr>
          <w:rFonts w:asciiTheme="majorBidi" w:hAnsiTheme="majorBidi" w:cstheme="majorBidi"/>
          <w:b/>
          <w:bCs/>
          <w:sz w:val="20"/>
          <w:szCs w:val="20"/>
        </w:rPr>
      </w:pPr>
    </w:p>
    <w:p w14:paraId="7CD6428C" w14:textId="77777777" w:rsidR="00794B4E" w:rsidRDefault="00794B4E" w:rsidP="00E9526C">
      <w:pPr>
        <w:rPr>
          <w:rFonts w:asciiTheme="majorBidi" w:hAnsiTheme="majorBidi" w:cstheme="majorBidi"/>
          <w:b/>
          <w:bCs/>
          <w:sz w:val="20"/>
          <w:szCs w:val="20"/>
        </w:rPr>
      </w:pPr>
    </w:p>
    <w:p w14:paraId="35642CCF" w14:textId="77777777" w:rsidR="00794B4E" w:rsidRDefault="00794B4E" w:rsidP="00E9526C">
      <w:pPr>
        <w:rPr>
          <w:rFonts w:asciiTheme="majorBidi" w:hAnsiTheme="majorBidi" w:cstheme="majorBidi"/>
          <w:b/>
          <w:bCs/>
          <w:sz w:val="20"/>
          <w:szCs w:val="20"/>
        </w:rPr>
      </w:pPr>
    </w:p>
    <w:p w14:paraId="07E20DDE" w14:textId="77777777" w:rsidR="00794B4E" w:rsidRDefault="00794B4E" w:rsidP="00E9526C">
      <w:pPr>
        <w:rPr>
          <w:rFonts w:asciiTheme="majorBidi" w:hAnsiTheme="majorBidi" w:cstheme="majorBidi"/>
          <w:b/>
          <w:bCs/>
          <w:sz w:val="20"/>
          <w:szCs w:val="20"/>
        </w:rPr>
      </w:pPr>
    </w:p>
    <w:p w14:paraId="3D0C0859" w14:textId="77777777" w:rsidR="00794B4E" w:rsidRDefault="00794B4E" w:rsidP="00E9526C">
      <w:pPr>
        <w:rPr>
          <w:rFonts w:asciiTheme="majorBidi" w:hAnsiTheme="majorBidi" w:cstheme="majorBidi"/>
          <w:b/>
          <w:bCs/>
          <w:sz w:val="20"/>
          <w:szCs w:val="20"/>
        </w:rPr>
      </w:pPr>
    </w:p>
    <w:p w14:paraId="45203990" w14:textId="77777777" w:rsidR="00794B4E" w:rsidRDefault="00794B4E" w:rsidP="00E9526C">
      <w:pPr>
        <w:rPr>
          <w:rFonts w:asciiTheme="majorBidi" w:hAnsiTheme="majorBidi" w:cstheme="majorBidi"/>
          <w:b/>
          <w:bCs/>
          <w:sz w:val="20"/>
          <w:szCs w:val="20"/>
        </w:rPr>
      </w:pPr>
    </w:p>
    <w:p w14:paraId="70729487" w14:textId="77777777" w:rsidR="00794B4E" w:rsidRDefault="00794B4E" w:rsidP="00E9526C">
      <w:pPr>
        <w:rPr>
          <w:rFonts w:asciiTheme="majorBidi" w:hAnsiTheme="majorBidi" w:cstheme="majorBidi"/>
          <w:b/>
          <w:bCs/>
          <w:sz w:val="20"/>
          <w:szCs w:val="20"/>
        </w:rPr>
      </w:pPr>
    </w:p>
    <w:p w14:paraId="4E7C09DB" w14:textId="77777777" w:rsidR="00794B4E" w:rsidRDefault="00794B4E" w:rsidP="00E9526C">
      <w:pPr>
        <w:rPr>
          <w:rFonts w:asciiTheme="majorBidi" w:hAnsiTheme="majorBidi" w:cstheme="majorBidi"/>
          <w:b/>
          <w:bCs/>
          <w:sz w:val="20"/>
          <w:szCs w:val="20"/>
        </w:rPr>
      </w:pPr>
    </w:p>
    <w:p w14:paraId="1E394AAA" w14:textId="77777777" w:rsidR="00794B4E" w:rsidRDefault="00794B4E" w:rsidP="00E9526C">
      <w:pPr>
        <w:rPr>
          <w:rFonts w:asciiTheme="majorBidi" w:hAnsiTheme="majorBidi" w:cstheme="majorBidi"/>
          <w:b/>
          <w:bCs/>
          <w:sz w:val="20"/>
          <w:szCs w:val="20"/>
        </w:rPr>
      </w:pPr>
    </w:p>
    <w:p w14:paraId="6F67673D" w14:textId="77777777" w:rsidR="00794B4E" w:rsidRDefault="00794B4E" w:rsidP="00E9526C">
      <w:pPr>
        <w:rPr>
          <w:rFonts w:asciiTheme="majorBidi" w:hAnsiTheme="majorBidi" w:cstheme="majorBidi"/>
          <w:b/>
          <w:bCs/>
          <w:sz w:val="20"/>
          <w:szCs w:val="20"/>
        </w:rPr>
      </w:pPr>
    </w:p>
    <w:p w14:paraId="192923AD" w14:textId="77777777" w:rsidR="00794B4E" w:rsidRDefault="00794B4E" w:rsidP="00E9526C">
      <w:pPr>
        <w:rPr>
          <w:rFonts w:asciiTheme="majorBidi" w:hAnsiTheme="majorBidi" w:cstheme="majorBidi"/>
          <w:b/>
          <w:bCs/>
          <w:sz w:val="20"/>
          <w:szCs w:val="20"/>
        </w:rPr>
      </w:pPr>
    </w:p>
    <w:p w14:paraId="0D7D3FD8" w14:textId="77777777" w:rsidR="00794B4E" w:rsidRDefault="00794B4E" w:rsidP="00E9526C">
      <w:pPr>
        <w:rPr>
          <w:rFonts w:asciiTheme="majorBidi" w:hAnsiTheme="majorBidi" w:cstheme="majorBidi"/>
          <w:b/>
          <w:bCs/>
          <w:sz w:val="20"/>
          <w:szCs w:val="20"/>
        </w:rPr>
      </w:pPr>
    </w:p>
    <w:p w14:paraId="408D350B" w14:textId="77777777" w:rsidR="00794B4E" w:rsidRDefault="00794B4E" w:rsidP="00E9526C">
      <w:pPr>
        <w:rPr>
          <w:rFonts w:asciiTheme="majorBidi" w:hAnsiTheme="majorBidi" w:cstheme="majorBidi"/>
          <w:b/>
          <w:bCs/>
          <w:sz w:val="20"/>
          <w:szCs w:val="20"/>
        </w:rPr>
      </w:pPr>
    </w:p>
    <w:p w14:paraId="478B270D" w14:textId="77777777" w:rsidR="00794B4E" w:rsidRDefault="00794B4E" w:rsidP="00E9526C">
      <w:pPr>
        <w:rPr>
          <w:rFonts w:asciiTheme="majorBidi" w:hAnsiTheme="majorBidi" w:cstheme="majorBidi"/>
          <w:b/>
          <w:bCs/>
          <w:sz w:val="20"/>
          <w:szCs w:val="20"/>
        </w:rPr>
      </w:pPr>
    </w:p>
    <w:p w14:paraId="5FEEF4F8" w14:textId="77777777" w:rsidR="00794B4E" w:rsidRDefault="00794B4E" w:rsidP="00E9526C">
      <w:pPr>
        <w:rPr>
          <w:rFonts w:asciiTheme="majorBidi" w:hAnsiTheme="majorBidi" w:cstheme="majorBidi"/>
          <w:b/>
          <w:bCs/>
          <w:sz w:val="20"/>
          <w:szCs w:val="20"/>
        </w:rPr>
      </w:pPr>
    </w:p>
    <w:p w14:paraId="4BF4CF46" w14:textId="1F930B48" w:rsidR="00E9526C" w:rsidRPr="00E9526C" w:rsidRDefault="00E9526C" w:rsidP="00E9526C">
      <w:pPr>
        <w:rPr>
          <w:rFonts w:asciiTheme="majorBidi" w:hAnsiTheme="majorBidi" w:cstheme="majorBidi"/>
          <w:b/>
          <w:bCs/>
          <w:sz w:val="20"/>
          <w:szCs w:val="20"/>
        </w:rPr>
      </w:pPr>
      <w:bookmarkStart w:id="378" w:name="_Toc86419062"/>
      <w:r w:rsidRPr="00B20E91">
        <w:rPr>
          <w:rFonts w:asciiTheme="majorBidi" w:hAnsiTheme="majorBidi" w:cstheme="majorBidi"/>
          <w:b/>
          <w:bCs/>
          <w:sz w:val="20"/>
          <w:szCs w:val="20"/>
        </w:rPr>
        <w:t xml:space="preserve">Figure </w:t>
      </w:r>
      <w:r w:rsidR="0021430F">
        <w:rPr>
          <w:rFonts w:asciiTheme="majorBidi" w:hAnsiTheme="majorBidi" w:cstheme="majorBidi"/>
          <w:b/>
          <w:bCs/>
          <w:noProof/>
          <w:sz w:val="20"/>
          <w:szCs w:val="20"/>
        </w:rPr>
        <w:t>17</w:t>
      </w:r>
      <w:bookmarkEnd w:id="376"/>
      <w:r w:rsidRPr="00B20E91">
        <w:rPr>
          <w:rFonts w:asciiTheme="majorBidi" w:hAnsiTheme="majorBidi" w:cstheme="majorBidi"/>
          <w:b/>
          <w:bCs/>
          <w:sz w:val="20"/>
          <w:szCs w:val="20"/>
        </w:rPr>
        <w:t>:</w:t>
      </w:r>
      <w:r w:rsidRPr="00E9526C">
        <w:rPr>
          <w:rFonts w:asciiTheme="majorBidi" w:hAnsiTheme="majorBidi" w:cstheme="majorBidi"/>
          <w:b/>
          <w:bCs/>
          <w:sz w:val="20"/>
          <w:szCs w:val="20"/>
        </w:rPr>
        <w:t xml:space="preserve"> First component of 30-day outcomes model for ES: risk of carrying </w:t>
      </w:r>
      <w:r w:rsidR="00AE639B">
        <w:rPr>
          <w:rFonts w:asciiTheme="majorBidi" w:hAnsiTheme="majorBidi" w:cstheme="majorBidi"/>
          <w:b/>
          <w:bCs/>
          <w:sz w:val="20"/>
          <w:szCs w:val="20"/>
        </w:rPr>
        <w:t>pathogen-mechanism</w:t>
      </w:r>
      <w:r w:rsidRPr="00E9526C">
        <w:rPr>
          <w:rFonts w:asciiTheme="majorBidi" w:hAnsiTheme="majorBidi" w:cstheme="majorBidi"/>
          <w:b/>
          <w:bCs/>
          <w:sz w:val="20"/>
          <w:szCs w:val="20"/>
        </w:rPr>
        <w:t xml:space="preserve"> of concern</w:t>
      </w:r>
      <w:bookmarkEnd w:id="377"/>
      <w:bookmarkEnd w:id="378"/>
    </w:p>
    <w:p w14:paraId="512BCBFE" w14:textId="77777777" w:rsidR="00A4788F" w:rsidRDefault="00A4788F" w:rsidP="00A4788F">
      <w:pPr>
        <w:rPr>
          <w:b/>
          <w:i/>
          <w:iCs/>
        </w:rPr>
      </w:pPr>
      <w:r w:rsidRPr="00EA11BB">
        <w:rPr>
          <w:noProof/>
          <w:lang w:eastAsia="en-GB"/>
        </w:rPr>
        <w:drawing>
          <wp:inline distT="0" distB="0" distL="0" distR="0" wp14:anchorId="7D058511" wp14:editId="0892C205">
            <wp:extent cx="5046453" cy="5228180"/>
            <wp:effectExtent l="0" t="0" r="1905" b="0"/>
            <wp:docPr id="35" name="Picture 35" descr="This element of the empiric setting model is described in the text i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element of the empiric setting model is described in the text in 7.2.2.2."/>
                    <pic:cNvPicPr>
                      <a:picLocks noChangeAspect="1" noChangeArrowheads="1"/>
                    </pic:cNvPicPr>
                  </pic:nvPicPr>
                  <pic:blipFill rotWithShape="1">
                    <a:blip r:embed="rId31">
                      <a:extLst>
                        <a:ext uri="{28A0092B-C50C-407E-A947-70E740481C1C}">
                          <a14:useLocalDpi xmlns:a14="http://schemas.microsoft.com/office/drawing/2010/main" val="0"/>
                        </a:ext>
                      </a:extLst>
                    </a:blip>
                    <a:srcRect r="45666" b="-390"/>
                    <a:stretch/>
                  </pic:blipFill>
                  <pic:spPr bwMode="auto">
                    <a:xfrm>
                      <a:off x="0" y="0"/>
                      <a:ext cx="5060878" cy="5243125"/>
                    </a:xfrm>
                    <a:prstGeom prst="rect">
                      <a:avLst/>
                    </a:prstGeom>
                    <a:noFill/>
                    <a:ln>
                      <a:noFill/>
                    </a:ln>
                    <a:extLst>
                      <a:ext uri="{53640926-AAD7-44D8-BBD7-CCE9431645EC}">
                        <a14:shadowObscured xmlns:a14="http://schemas.microsoft.com/office/drawing/2010/main"/>
                      </a:ext>
                    </a:extLst>
                  </pic:spPr>
                </pic:pic>
              </a:graphicData>
            </a:graphic>
          </wp:inline>
        </w:drawing>
      </w:r>
    </w:p>
    <w:bookmarkEnd w:id="374"/>
    <w:p w14:paraId="1430E54F" w14:textId="77777777" w:rsidR="00A4788F" w:rsidRPr="000F0E82" w:rsidRDefault="00A4788F" w:rsidP="00A4788F"/>
    <w:p w14:paraId="32D9C238" w14:textId="77777777" w:rsidR="00A4788F" w:rsidRPr="000F0E82" w:rsidRDefault="00A4788F" w:rsidP="005A3BE6">
      <w:pPr>
        <w:pStyle w:val="NormalWeb"/>
        <w:numPr>
          <w:ilvl w:val="0"/>
          <w:numId w:val="28"/>
        </w:numPr>
        <w:spacing w:before="0" w:beforeAutospacing="0" w:after="0" w:afterAutospacing="0"/>
        <w:rPr>
          <w:rFonts w:eastAsiaTheme="minorHAnsi"/>
          <w:sz w:val="22"/>
          <w:szCs w:val="22"/>
          <w:lang w:eastAsia="en-US"/>
        </w:rPr>
      </w:pPr>
      <w:r w:rsidRPr="000F0E82">
        <w:rPr>
          <w:rFonts w:eastAsiaTheme="minorHAnsi"/>
          <w:sz w:val="22"/>
          <w:szCs w:val="22"/>
          <w:lang w:eastAsia="en-US"/>
        </w:rPr>
        <w:t>Outcomes at the point at which patients are assessed for MD treatment</w:t>
      </w:r>
    </w:p>
    <w:p w14:paraId="66FCB2DC" w14:textId="0F58793B" w:rsidR="00A4788F" w:rsidRPr="00C511B7" w:rsidRDefault="00A4788F" w:rsidP="00A4788F">
      <w:pPr>
        <w:pStyle w:val="NormalWeb"/>
        <w:spacing w:after="0" w:line="360" w:lineRule="auto"/>
        <w:jc w:val="both"/>
        <w:rPr>
          <w:sz w:val="22"/>
          <w:szCs w:val="22"/>
        </w:rPr>
      </w:pPr>
      <w:bookmarkStart w:id="379" w:name="_Hlk83981301"/>
      <w:r w:rsidRPr="00C511B7">
        <w:rPr>
          <w:sz w:val="22"/>
          <w:szCs w:val="22"/>
        </w:rPr>
        <w:t xml:space="preserve">At </w:t>
      </w:r>
      <w:r>
        <w:rPr>
          <w:sz w:val="22"/>
          <w:szCs w:val="22"/>
        </w:rPr>
        <w:t xml:space="preserve">initiation </w:t>
      </w:r>
      <w:r w:rsidRPr="00C511B7">
        <w:rPr>
          <w:sz w:val="22"/>
          <w:szCs w:val="22"/>
        </w:rPr>
        <w:t xml:space="preserve">of empiric treatment patients are classified </w:t>
      </w:r>
      <w:r>
        <w:rPr>
          <w:sz w:val="22"/>
          <w:szCs w:val="22"/>
        </w:rPr>
        <w:t xml:space="preserve">by the model </w:t>
      </w:r>
      <w:r w:rsidRPr="00C511B7">
        <w:rPr>
          <w:sz w:val="22"/>
          <w:szCs w:val="22"/>
        </w:rPr>
        <w:t>as susceptible or non-susceptible to their empiric therapy</w:t>
      </w:r>
      <w:r w:rsidR="00393DF4">
        <w:rPr>
          <w:sz w:val="22"/>
          <w:szCs w:val="22"/>
        </w:rPr>
        <w:t xml:space="preserve"> (Figure 18)</w:t>
      </w:r>
      <w:r w:rsidRPr="00C511B7">
        <w:rPr>
          <w:sz w:val="22"/>
          <w:szCs w:val="22"/>
        </w:rPr>
        <w:t>.</w:t>
      </w:r>
      <w:bookmarkEnd w:id="379"/>
      <w:r w:rsidRPr="00C511B7">
        <w:rPr>
          <w:sz w:val="22"/>
          <w:szCs w:val="22"/>
        </w:rPr>
        <w:t xml:space="preserve"> As in the MDS, susceptibility is the driver of differences in effectiveness across treatments. Note that we </w:t>
      </w:r>
      <w:proofErr w:type="gramStart"/>
      <w:r w:rsidRPr="00C511B7">
        <w:rPr>
          <w:sz w:val="22"/>
          <w:szCs w:val="22"/>
        </w:rPr>
        <w:t>are able to</w:t>
      </w:r>
      <w:proofErr w:type="gramEnd"/>
      <w:r w:rsidRPr="00C511B7">
        <w:rPr>
          <w:sz w:val="22"/>
          <w:szCs w:val="22"/>
        </w:rPr>
        <w:t xml:space="preserve"> model differences in susceptibility across treatments used in the ES </w:t>
      </w:r>
      <w:r>
        <w:rPr>
          <w:sz w:val="22"/>
          <w:szCs w:val="22"/>
        </w:rPr>
        <w:t xml:space="preserve">dependent on whether a patient is susceptible or non-susceptible, </w:t>
      </w:r>
      <w:r w:rsidRPr="00C511B7">
        <w:rPr>
          <w:sz w:val="22"/>
          <w:szCs w:val="22"/>
        </w:rPr>
        <w:t>even though clinicians will not observe this information until patients enter the MDS. </w:t>
      </w:r>
    </w:p>
    <w:p w14:paraId="07669DEF" w14:textId="54BEDEFE" w:rsidR="00A4788F" w:rsidRDefault="00A4788F" w:rsidP="00A83123">
      <w:pPr>
        <w:pStyle w:val="NormalWeb"/>
        <w:spacing w:after="0" w:line="360" w:lineRule="auto"/>
        <w:jc w:val="both"/>
        <w:rPr>
          <w:sz w:val="22"/>
          <w:szCs w:val="22"/>
        </w:rPr>
      </w:pPr>
      <w:bookmarkStart w:id="380" w:name="_Hlk83981366"/>
      <w:r w:rsidRPr="00C511B7">
        <w:rPr>
          <w:sz w:val="22"/>
          <w:szCs w:val="22"/>
        </w:rPr>
        <w:t xml:space="preserve">At the point at which patients’ microbiology results become available, patients may have died, may require </w:t>
      </w:r>
      <w:r>
        <w:rPr>
          <w:sz w:val="22"/>
          <w:szCs w:val="22"/>
        </w:rPr>
        <w:t>initiation of a new AM</w:t>
      </w:r>
      <w:r w:rsidRPr="00C511B7">
        <w:rPr>
          <w:sz w:val="22"/>
          <w:szCs w:val="22"/>
        </w:rPr>
        <w:t xml:space="preserve"> treatment (</w:t>
      </w:r>
      <w:r w:rsidR="00393DF4" w:rsidRPr="00C511B7">
        <w:rPr>
          <w:sz w:val="22"/>
          <w:szCs w:val="22"/>
        </w:rPr>
        <w:t>e.g.,</w:t>
      </w:r>
      <w:r w:rsidRPr="00C511B7">
        <w:rPr>
          <w:sz w:val="22"/>
          <w:szCs w:val="22"/>
        </w:rPr>
        <w:t xml:space="preserve"> due to lack of efficacy) or </w:t>
      </w:r>
      <w:r>
        <w:rPr>
          <w:sz w:val="22"/>
          <w:szCs w:val="22"/>
        </w:rPr>
        <w:t>may complete their course of empiric treatment</w:t>
      </w:r>
      <w:r w:rsidR="00393DF4">
        <w:rPr>
          <w:sz w:val="22"/>
          <w:szCs w:val="22"/>
        </w:rPr>
        <w:t xml:space="preserve"> (Figure 18)</w:t>
      </w:r>
      <w:r w:rsidRPr="00C511B7">
        <w:rPr>
          <w:sz w:val="22"/>
          <w:szCs w:val="22"/>
        </w:rPr>
        <w:t xml:space="preserve">. </w:t>
      </w:r>
      <w:bookmarkEnd w:id="380"/>
      <w:r w:rsidRPr="00C511B7">
        <w:rPr>
          <w:sz w:val="22"/>
          <w:szCs w:val="22"/>
        </w:rPr>
        <w:t xml:space="preserve">The probability of these three outcomes depends on whether patients </w:t>
      </w:r>
      <w:r w:rsidRPr="00C511B7">
        <w:rPr>
          <w:sz w:val="22"/>
          <w:szCs w:val="22"/>
        </w:rPr>
        <w:lastRenderedPageBreak/>
        <w:t xml:space="preserve">were susceptible to their empiric treatment or not, but not directly on the choice of specific treatment. Patients who have received empirically a treatment to which they are later found not to be susceptible are all assumed to require further treatment in the MDS, provided they survive until microbiology results are available. This assumption is based on evidence presented in </w:t>
      </w:r>
      <w:proofErr w:type="spellStart"/>
      <w:r w:rsidRPr="00C511B7">
        <w:rPr>
          <w:sz w:val="22"/>
          <w:szCs w:val="22"/>
        </w:rPr>
        <w:t>Tumbarello</w:t>
      </w:r>
      <w:proofErr w:type="spellEnd"/>
      <w:r w:rsidRPr="00C511B7">
        <w:rPr>
          <w:sz w:val="22"/>
          <w:szCs w:val="22"/>
        </w:rPr>
        <w:t xml:space="preserve"> </w:t>
      </w:r>
      <w:r w:rsidRPr="00393DF4">
        <w:rPr>
          <w:i/>
          <w:iCs/>
          <w:sz w:val="22"/>
          <w:szCs w:val="22"/>
        </w:rPr>
        <w:t>et al</w:t>
      </w:r>
      <w:r w:rsidRPr="00C511B7">
        <w:rPr>
          <w:sz w:val="22"/>
          <w:szCs w:val="22"/>
        </w:rPr>
        <w:t xml:space="preserve"> 2013</w:t>
      </w:r>
      <w:r>
        <w:rPr>
          <w:sz w:val="22"/>
          <w:szCs w:val="22"/>
        </w:rPr>
        <w:t xml:space="preserve"> which found that all patients who received inappropriate empiric treatment and survived until their microbiology results were received switched to appropriate therapy (further details on </w:t>
      </w:r>
      <w:proofErr w:type="spellStart"/>
      <w:r>
        <w:rPr>
          <w:sz w:val="22"/>
          <w:szCs w:val="22"/>
        </w:rPr>
        <w:t>Tumbarello</w:t>
      </w:r>
      <w:proofErr w:type="spellEnd"/>
      <w:r>
        <w:rPr>
          <w:sz w:val="22"/>
          <w:szCs w:val="22"/>
        </w:rPr>
        <w:t xml:space="preserve"> are provided in</w:t>
      </w:r>
      <w:r w:rsidR="00F12ADA">
        <w:rPr>
          <w:sz w:val="22"/>
          <w:szCs w:val="22"/>
        </w:rPr>
        <w:t xml:space="preserve"> section 7.2.3.3</w:t>
      </w:r>
      <w:r>
        <w:rPr>
          <w:sz w:val="22"/>
          <w:szCs w:val="22"/>
        </w:rPr>
        <w:t>)</w:t>
      </w:r>
      <w:r w:rsidRPr="00C511B7">
        <w:rPr>
          <w:sz w:val="22"/>
          <w:szCs w:val="22"/>
        </w:rPr>
        <w:t>.</w:t>
      </w:r>
      <w:r w:rsidR="00A83123" w:rsidRPr="00A83123">
        <w:rPr>
          <w:noProof/>
          <w:sz w:val="22"/>
          <w:szCs w:val="22"/>
          <w:vertAlign w:val="superscript"/>
        </w:rPr>
        <w:t>120</w:t>
      </w:r>
      <w:r w:rsidRPr="00C511B7">
        <w:rPr>
          <w:sz w:val="22"/>
          <w:szCs w:val="22"/>
        </w:rPr>
        <w:t xml:space="preserve"> </w:t>
      </w:r>
    </w:p>
    <w:p w14:paraId="7E5876FB" w14:textId="77777777" w:rsidR="00393DF4" w:rsidRDefault="00393DF4">
      <w:pPr>
        <w:rPr>
          <w:rFonts w:ascii="Times New Roman" w:eastAsia="Times New Roman" w:hAnsi="Times New Roman" w:cs="Times New Roman"/>
          <w:b/>
          <w:sz w:val="20"/>
          <w:szCs w:val="20"/>
          <w:lang w:eastAsia="zh-CN"/>
        </w:rPr>
      </w:pPr>
      <w:bookmarkStart w:id="381" w:name="_Ref77704583"/>
      <w:bookmarkStart w:id="382" w:name="_Toc83590014"/>
      <w:r>
        <w:rPr>
          <w:b/>
          <w:sz w:val="20"/>
          <w:szCs w:val="20"/>
        </w:rPr>
        <w:br w:type="page"/>
      </w:r>
    </w:p>
    <w:p w14:paraId="22D7824F" w14:textId="77777777" w:rsidR="00DC3933" w:rsidRDefault="00DC3933" w:rsidP="00E9526C">
      <w:pPr>
        <w:pStyle w:val="NormalWeb"/>
        <w:spacing w:after="0"/>
        <w:jc w:val="both"/>
        <w:rPr>
          <w:b/>
          <w:sz w:val="20"/>
          <w:szCs w:val="20"/>
        </w:rPr>
        <w:sectPr w:rsidR="00DC3933" w:rsidSect="00A4788F">
          <w:pgSz w:w="11906" w:h="16838"/>
          <w:pgMar w:top="1440" w:right="1440" w:bottom="1440" w:left="1440" w:header="709" w:footer="709" w:gutter="0"/>
          <w:cols w:space="708"/>
          <w:docGrid w:linePitch="360"/>
        </w:sectPr>
      </w:pPr>
    </w:p>
    <w:p w14:paraId="3D33F5B3" w14:textId="5433989A" w:rsidR="00E9526C" w:rsidRPr="00E9526C" w:rsidRDefault="00E9526C" w:rsidP="00E9526C">
      <w:pPr>
        <w:pStyle w:val="NormalWeb"/>
        <w:spacing w:after="0"/>
        <w:jc w:val="both"/>
        <w:rPr>
          <w:b/>
          <w:sz w:val="20"/>
          <w:szCs w:val="20"/>
        </w:rPr>
      </w:pPr>
      <w:bookmarkStart w:id="383" w:name="_Toc86419063"/>
      <w:r w:rsidRPr="00E9526C">
        <w:rPr>
          <w:b/>
          <w:sz w:val="20"/>
          <w:szCs w:val="20"/>
        </w:rPr>
        <w:lastRenderedPageBreak/>
        <w:t xml:space="preserve">Figure </w:t>
      </w:r>
      <w:r w:rsidR="0021430F">
        <w:rPr>
          <w:b/>
          <w:noProof/>
          <w:sz w:val="20"/>
          <w:szCs w:val="20"/>
        </w:rPr>
        <w:t>18</w:t>
      </w:r>
      <w:bookmarkEnd w:id="381"/>
      <w:r w:rsidRPr="00E9526C">
        <w:rPr>
          <w:b/>
          <w:sz w:val="20"/>
          <w:szCs w:val="20"/>
        </w:rPr>
        <w:t>: Second component of 30-day outcomes model for ES: outcomes at the point at which patients are assessed for MD treatment. Note that mortality (</w:t>
      </w:r>
      <w:proofErr w:type="spellStart"/>
      <w:r w:rsidRPr="00E9526C">
        <w:rPr>
          <w:b/>
          <w:sz w:val="20"/>
          <w:szCs w:val="20"/>
        </w:rPr>
        <w:t>p_bgrd_Dst_S</w:t>
      </w:r>
      <w:proofErr w:type="spellEnd"/>
      <w:r w:rsidRPr="00E9526C">
        <w:rPr>
          <w:b/>
          <w:sz w:val="20"/>
          <w:szCs w:val="20"/>
        </w:rPr>
        <w:t xml:space="preserve"> and </w:t>
      </w:r>
      <w:proofErr w:type="spellStart"/>
      <w:r w:rsidRPr="00E9526C">
        <w:rPr>
          <w:b/>
          <w:sz w:val="20"/>
          <w:szCs w:val="20"/>
        </w:rPr>
        <w:t>p_bgrdDst_nonS</w:t>
      </w:r>
      <w:proofErr w:type="spellEnd"/>
      <w:r w:rsidRPr="00E9526C">
        <w:rPr>
          <w:b/>
          <w:sz w:val="20"/>
          <w:szCs w:val="20"/>
        </w:rPr>
        <w:t>) is also adjusted to reflected differences in mortality due to AKI, in the same way as shown in Figure 6, but this is not shown for parsimony.</w:t>
      </w:r>
      <w:bookmarkEnd w:id="382"/>
      <w:bookmarkEnd w:id="383"/>
    </w:p>
    <w:p w14:paraId="06C57E8B" w14:textId="77777777" w:rsidR="00A4788F" w:rsidRPr="00FC2D0A" w:rsidRDefault="00A4788F" w:rsidP="00A4788F">
      <w:pPr>
        <w:pStyle w:val="NormalWeb"/>
        <w:spacing w:before="0" w:beforeAutospacing="0" w:after="0" w:afterAutospacing="0"/>
        <w:jc w:val="both"/>
        <w:rPr>
          <w:rFonts w:asciiTheme="minorHAnsi" w:eastAsiaTheme="minorHAnsi" w:hAnsiTheme="minorHAnsi" w:cstheme="minorBidi"/>
          <w:sz w:val="22"/>
          <w:szCs w:val="22"/>
          <w:lang w:eastAsia="en-US"/>
        </w:rPr>
      </w:pPr>
      <w:r w:rsidRPr="0051123C">
        <w:rPr>
          <w:noProof/>
          <w:lang w:eastAsia="en-GB"/>
        </w:rPr>
        <w:drawing>
          <wp:inline distT="0" distB="0" distL="0" distR="0" wp14:anchorId="34355966" wp14:editId="4013ECD5">
            <wp:extent cx="7213600" cy="4493895"/>
            <wp:effectExtent l="0" t="0" r="6350" b="1905"/>
            <wp:docPr id="31" name="Picture 31" descr="This element of the empiric setting model is described in the text i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element of the empiric setting model is described in the text in 7.2.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19215" cy="4497393"/>
                    </a:xfrm>
                    <a:prstGeom prst="rect">
                      <a:avLst/>
                    </a:prstGeom>
                    <a:noFill/>
                    <a:ln>
                      <a:noFill/>
                    </a:ln>
                  </pic:spPr>
                </pic:pic>
              </a:graphicData>
            </a:graphic>
          </wp:inline>
        </w:drawing>
      </w:r>
    </w:p>
    <w:p w14:paraId="10128833" w14:textId="77777777" w:rsidR="00DC3933" w:rsidRPr="00EC4036" w:rsidRDefault="00DC3933" w:rsidP="00EC4036">
      <w:pPr>
        <w:spacing w:line="360" w:lineRule="auto"/>
        <w:rPr>
          <w:rFonts w:asciiTheme="majorBidi" w:hAnsiTheme="majorBidi" w:cstheme="majorBidi"/>
        </w:rPr>
        <w:sectPr w:rsidR="00DC3933" w:rsidRPr="00EC4036" w:rsidSect="00DC3933">
          <w:pgSz w:w="16838" w:h="11906" w:orient="landscape"/>
          <w:pgMar w:top="1440" w:right="1440" w:bottom="1440" w:left="1440" w:header="709" w:footer="709" w:gutter="0"/>
          <w:cols w:space="708"/>
          <w:docGrid w:linePitch="360"/>
        </w:sectPr>
      </w:pPr>
    </w:p>
    <w:p w14:paraId="572A6E28" w14:textId="40AEE1A0" w:rsidR="00A4788F" w:rsidRPr="00E9526C" w:rsidRDefault="00A4788F" w:rsidP="005A3BE6">
      <w:pPr>
        <w:pStyle w:val="ListParagraph"/>
        <w:numPr>
          <w:ilvl w:val="0"/>
          <w:numId w:val="28"/>
        </w:numPr>
        <w:spacing w:line="360" w:lineRule="auto"/>
        <w:rPr>
          <w:rFonts w:asciiTheme="majorBidi" w:hAnsiTheme="majorBidi" w:cstheme="majorBidi"/>
        </w:rPr>
      </w:pPr>
      <w:r w:rsidRPr="00E9526C">
        <w:rPr>
          <w:rFonts w:asciiTheme="majorBidi" w:hAnsiTheme="majorBidi" w:cstheme="majorBidi"/>
        </w:rPr>
        <w:lastRenderedPageBreak/>
        <w:t>30-day outcomes following assessment for MD treatment</w:t>
      </w:r>
    </w:p>
    <w:p w14:paraId="16A8D4B9" w14:textId="1D79FFA3" w:rsidR="00A4788F" w:rsidRPr="00E64E29" w:rsidRDefault="00A4788F" w:rsidP="00E64E29">
      <w:pPr>
        <w:pStyle w:val="Caption"/>
        <w:spacing w:line="360" w:lineRule="auto"/>
        <w:jc w:val="both"/>
        <w:rPr>
          <w:rFonts w:ascii="Times New Roman" w:hAnsi="Times New Roman" w:cs="Times New Roman"/>
          <w:i w:val="0"/>
          <w:iCs w:val="0"/>
          <w:color w:val="auto"/>
          <w:sz w:val="22"/>
          <w:szCs w:val="22"/>
        </w:rPr>
      </w:pPr>
      <w:r w:rsidRPr="00E64E29">
        <w:rPr>
          <w:rFonts w:ascii="Times New Roman" w:hAnsi="Times New Roman" w:cs="Times New Roman"/>
          <w:i w:val="0"/>
          <w:iCs w:val="0"/>
          <w:color w:val="auto"/>
          <w:sz w:val="22"/>
          <w:szCs w:val="22"/>
        </w:rPr>
        <w:t xml:space="preserve">People who survive until the time point of assessment for MD treatment enter the third part of the decision tree which is </w:t>
      </w:r>
      <w:r w:rsidRPr="009537D8">
        <w:rPr>
          <w:rFonts w:ascii="Times New Roman" w:hAnsi="Times New Roman" w:cs="Times New Roman"/>
          <w:i w:val="0"/>
          <w:iCs w:val="0"/>
          <w:color w:val="auto"/>
          <w:sz w:val="22"/>
          <w:szCs w:val="22"/>
        </w:rPr>
        <w:t>shown in</w:t>
      </w:r>
      <w:r w:rsidR="00FF69A1" w:rsidRPr="009537D8">
        <w:rPr>
          <w:rFonts w:ascii="Times New Roman" w:hAnsi="Times New Roman" w:cs="Times New Roman"/>
          <w:i w:val="0"/>
          <w:iCs w:val="0"/>
          <w:color w:val="auto"/>
          <w:sz w:val="22"/>
          <w:szCs w:val="22"/>
        </w:rPr>
        <w:t xml:space="preserve"> </w:t>
      </w:r>
      <w:r w:rsidR="00FF69A1" w:rsidRPr="009537D8">
        <w:rPr>
          <w:rFonts w:asciiTheme="majorBidi" w:hAnsiTheme="majorBidi" w:cstheme="majorBidi"/>
          <w:i w:val="0"/>
          <w:iCs w:val="0"/>
          <w:color w:val="auto"/>
          <w:sz w:val="22"/>
          <w:szCs w:val="22"/>
        </w:rPr>
        <w:t xml:space="preserve">Figure </w:t>
      </w:r>
      <w:r w:rsidR="00FF69A1" w:rsidRPr="009537D8">
        <w:rPr>
          <w:rFonts w:asciiTheme="majorBidi" w:hAnsiTheme="majorBidi" w:cstheme="majorBidi"/>
          <w:i w:val="0"/>
          <w:iCs w:val="0"/>
          <w:noProof/>
          <w:color w:val="auto"/>
          <w:sz w:val="22"/>
          <w:szCs w:val="22"/>
        </w:rPr>
        <w:t>19</w:t>
      </w:r>
      <w:r w:rsidR="00E02607" w:rsidRPr="009537D8">
        <w:rPr>
          <w:rFonts w:ascii="Times New Roman" w:hAnsi="Times New Roman" w:cs="Times New Roman"/>
          <w:i w:val="0"/>
          <w:iCs w:val="0"/>
          <w:color w:val="auto"/>
          <w:sz w:val="22"/>
          <w:szCs w:val="22"/>
        </w:rPr>
        <w:t xml:space="preserve">. </w:t>
      </w:r>
      <w:r w:rsidRPr="009537D8">
        <w:rPr>
          <w:rFonts w:ascii="Times New Roman" w:hAnsi="Times New Roman" w:cs="Times New Roman"/>
          <w:i w:val="0"/>
          <w:iCs w:val="0"/>
          <w:color w:val="auto"/>
          <w:sz w:val="22"/>
          <w:szCs w:val="22"/>
        </w:rPr>
        <w:t xml:space="preserve">Those </w:t>
      </w:r>
      <w:r w:rsidRPr="00E64E29">
        <w:rPr>
          <w:rFonts w:ascii="Times New Roman" w:hAnsi="Times New Roman" w:cs="Times New Roman"/>
          <w:i w:val="0"/>
          <w:iCs w:val="0"/>
          <w:color w:val="auto"/>
          <w:sz w:val="22"/>
          <w:szCs w:val="22"/>
        </w:rPr>
        <w:t>requiring no further treatment face a risk of dying between this point and 30 days which depends on whether they experienced an AKI. Those surviving to 30 days face the possibility of entering the (</w:t>
      </w:r>
      <w:proofErr w:type="spellStart"/>
      <w:r w:rsidRPr="00E64E29">
        <w:rPr>
          <w:rFonts w:ascii="Times New Roman" w:hAnsi="Times New Roman" w:cs="Times New Roman"/>
          <w:i w:val="0"/>
          <w:iCs w:val="0"/>
          <w:color w:val="auto"/>
          <w:sz w:val="22"/>
          <w:szCs w:val="22"/>
        </w:rPr>
        <w:t>i</w:t>
      </w:r>
      <w:proofErr w:type="spellEnd"/>
      <w:r w:rsidRPr="00E64E29">
        <w:rPr>
          <w:rFonts w:ascii="Times New Roman" w:hAnsi="Times New Roman" w:cs="Times New Roman"/>
          <w:i w:val="0"/>
          <w:iCs w:val="0"/>
          <w:color w:val="auto"/>
          <w:sz w:val="22"/>
          <w:szCs w:val="22"/>
        </w:rPr>
        <w:t xml:space="preserve">) alive; (ii) alive with recovered renal function or (iii) alive with irreversible renal failure health states described in </w:t>
      </w:r>
      <w:r w:rsidR="00E02607" w:rsidRPr="00E64E29">
        <w:rPr>
          <w:rFonts w:ascii="Times New Roman" w:hAnsi="Times New Roman" w:cs="Times New Roman"/>
          <w:i w:val="0"/>
          <w:iCs w:val="0"/>
          <w:color w:val="auto"/>
          <w:sz w:val="22"/>
          <w:szCs w:val="22"/>
        </w:rPr>
        <w:t xml:space="preserve">Figure </w:t>
      </w:r>
      <w:r w:rsidR="00E02607" w:rsidRPr="00E64E29">
        <w:rPr>
          <w:rFonts w:ascii="Times New Roman" w:hAnsi="Times New Roman" w:cs="Times New Roman"/>
          <w:i w:val="0"/>
          <w:iCs w:val="0"/>
          <w:noProof/>
          <w:color w:val="auto"/>
          <w:sz w:val="22"/>
          <w:szCs w:val="22"/>
        </w:rPr>
        <w:t>19</w:t>
      </w:r>
      <w:r w:rsidRPr="00E64E29">
        <w:rPr>
          <w:rFonts w:ascii="Times New Roman" w:hAnsi="Times New Roman" w:cs="Times New Roman"/>
          <w:i w:val="0"/>
          <w:iCs w:val="0"/>
          <w:color w:val="auto"/>
          <w:sz w:val="22"/>
          <w:szCs w:val="22"/>
        </w:rPr>
        <w:t xml:space="preserve">. Whilst patients may experience an AKI following empiric treatment, clinicians confirmed that in this patient group, where treatment options are limited, the AKI alone would not typically trigger a treatment switch, provided the treatment was effective. </w:t>
      </w:r>
    </w:p>
    <w:p w14:paraId="2E3699C1" w14:textId="060CC129" w:rsidR="00DA453A" w:rsidRDefault="00A4788F" w:rsidP="00E64E29">
      <w:pPr>
        <w:spacing w:line="360" w:lineRule="auto"/>
        <w:jc w:val="both"/>
        <w:rPr>
          <w:rFonts w:asciiTheme="majorBidi" w:hAnsiTheme="majorBidi" w:cstheme="majorBidi"/>
          <w:b/>
          <w:bCs/>
          <w:sz w:val="20"/>
          <w:szCs w:val="20"/>
        </w:rPr>
      </w:pPr>
      <w:r w:rsidRPr="00E64E29">
        <w:rPr>
          <w:rFonts w:ascii="Times New Roman" w:hAnsi="Times New Roman" w:cs="Times New Roman"/>
        </w:rPr>
        <w:t>Patients who require further treatment enter the MDS component of the model. Their outcomes depend</w:t>
      </w:r>
      <w:r w:rsidRPr="00E9526C">
        <w:rPr>
          <w:rFonts w:asciiTheme="majorBidi" w:hAnsiTheme="majorBidi" w:cstheme="majorBidi"/>
        </w:rPr>
        <w:t xml:space="preserve"> on whether they experienced an AKI following first-line treatment (</w:t>
      </w:r>
      <w:r w:rsidR="00E02607" w:rsidRPr="00E9526C">
        <w:rPr>
          <w:rFonts w:asciiTheme="majorBidi" w:hAnsiTheme="majorBidi" w:cstheme="majorBidi"/>
        </w:rPr>
        <w:t>i.e.,</w:t>
      </w:r>
      <w:r w:rsidRPr="00E9526C">
        <w:rPr>
          <w:rFonts w:asciiTheme="majorBidi" w:hAnsiTheme="majorBidi" w:cstheme="majorBidi"/>
        </w:rPr>
        <w:t xml:space="preserve"> this is “remembered” within the model) as this determines both their outcomes (patients who experience an AKI experience elevated mortality and the implications of reversible or irreversible kidney damage) and their choice of treatment in the MDS. Our clinical advisors informed us that patients requiring further treatment in the MDS, who experienced an AKI following treatment in the ES are unlikely to receive colistin- or aminoglycoside-based treatment in the MDS. Patients who fit this </w:t>
      </w:r>
      <w:proofErr w:type="gramStart"/>
      <w:r w:rsidRPr="00E9526C">
        <w:rPr>
          <w:rFonts w:asciiTheme="majorBidi" w:hAnsiTheme="majorBidi" w:cstheme="majorBidi"/>
        </w:rPr>
        <w:t>profile, and</w:t>
      </w:r>
      <w:proofErr w:type="gramEnd"/>
      <w:r w:rsidRPr="00E9526C">
        <w:rPr>
          <w:rFonts w:asciiTheme="majorBidi" w:hAnsiTheme="majorBidi" w:cstheme="majorBidi"/>
        </w:rPr>
        <w:t xml:space="preserve"> are only susceptible to colistin or aminoglycoside-based treatment are, therefore, assumed to receive multi-drug salvage therapy in the MDS, or the new drug if available. For these patients, multi-drug salvage therapy is assumed not to include colistin or an </w:t>
      </w:r>
      <w:proofErr w:type="spellStart"/>
      <w:r w:rsidRPr="00E9526C">
        <w:rPr>
          <w:rFonts w:asciiTheme="majorBidi" w:hAnsiTheme="majorBidi" w:cstheme="majorBidi"/>
        </w:rPr>
        <w:t>aminoglyscoside</w:t>
      </w:r>
      <w:proofErr w:type="spellEnd"/>
      <w:r w:rsidRPr="00E9526C">
        <w:rPr>
          <w:rFonts w:asciiTheme="majorBidi" w:hAnsiTheme="majorBidi" w:cstheme="majorBidi"/>
        </w:rPr>
        <w:t xml:space="preserve">. Instead, they are assumed to receive the outcomes of multi-drug salvage therapy without elevated risk of AKI. </w:t>
      </w:r>
      <w:bookmarkStart w:id="384" w:name="_Ref83549624"/>
      <w:bookmarkStart w:id="385" w:name="_Toc83590015"/>
    </w:p>
    <w:p w14:paraId="6BDF2F44" w14:textId="77777777" w:rsidR="00DA453A" w:rsidRDefault="00DA453A" w:rsidP="00E9526C">
      <w:pPr>
        <w:spacing w:line="360" w:lineRule="auto"/>
        <w:jc w:val="both"/>
        <w:rPr>
          <w:rFonts w:asciiTheme="majorBidi" w:hAnsiTheme="majorBidi" w:cstheme="majorBidi"/>
          <w:b/>
          <w:bCs/>
          <w:sz w:val="20"/>
          <w:szCs w:val="20"/>
        </w:rPr>
      </w:pPr>
    </w:p>
    <w:p w14:paraId="3E89549A" w14:textId="77777777" w:rsidR="00DC3933" w:rsidRDefault="00DC3933" w:rsidP="00E9526C">
      <w:pPr>
        <w:spacing w:line="360" w:lineRule="auto"/>
        <w:jc w:val="both"/>
        <w:rPr>
          <w:rFonts w:asciiTheme="majorBidi" w:hAnsiTheme="majorBidi" w:cstheme="majorBidi"/>
          <w:b/>
          <w:bCs/>
          <w:sz w:val="20"/>
          <w:szCs w:val="20"/>
        </w:rPr>
        <w:sectPr w:rsidR="00DC3933" w:rsidSect="00A4788F">
          <w:pgSz w:w="11906" w:h="16838"/>
          <w:pgMar w:top="1440" w:right="1440" w:bottom="1440" w:left="1440" w:header="709" w:footer="709" w:gutter="0"/>
          <w:cols w:space="708"/>
          <w:docGrid w:linePitch="360"/>
        </w:sectPr>
      </w:pPr>
      <w:bookmarkStart w:id="386" w:name="_Ref85807011"/>
    </w:p>
    <w:p w14:paraId="11C2C521" w14:textId="5933498A" w:rsidR="00E9526C" w:rsidRPr="00DA453A" w:rsidRDefault="00E9526C" w:rsidP="00E9526C">
      <w:pPr>
        <w:spacing w:line="360" w:lineRule="auto"/>
        <w:jc w:val="both"/>
        <w:rPr>
          <w:rFonts w:asciiTheme="majorBidi" w:hAnsiTheme="majorBidi" w:cstheme="majorBidi"/>
          <w:b/>
          <w:bCs/>
          <w:i/>
          <w:sz w:val="20"/>
          <w:szCs w:val="20"/>
        </w:rPr>
      </w:pPr>
      <w:bookmarkStart w:id="387" w:name="_Toc86419064"/>
      <w:r w:rsidRPr="00DA453A">
        <w:rPr>
          <w:rFonts w:asciiTheme="majorBidi" w:hAnsiTheme="majorBidi" w:cstheme="majorBidi"/>
          <w:b/>
          <w:bCs/>
          <w:sz w:val="20"/>
          <w:szCs w:val="20"/>
        </w:rPr>
        <w:lastRenderedPageBreak/>
        <w:t xml:space="preserve">Figure </w:t>
      </w:r>
      <w:r w:rsidR="0021430F">
        <w:rPr>
          <w:rFonts w:asciiTheme="majorBidi" w:hAnsiTheme="majorBidi" w:cstheme="majorBidi"/>
          <w:b/>
          <w:bCs/>
          <w:noProof/>
          <w:sz w:val="20"/>
          <w:szCs w:val="20"/>
        </w:rPr>
        <w:t>19</w:t>
      </w:r>
      <w:bookmarkEnd w:id="384"/>
      <w:bookmarkEnd w:id="386"/>
      <w:r w:rsidRPr="00DA453A">
        <w:rPr>
          <w:rFonts w:asciiTheme="majorBidi" w:hAnsiTheme="majorBidi" w:cstheme="majorBidi"/>
          <w:b/>
          <w:bCs/>
          <w:sz w:val="20"/>
          <w:szCs w:val="20"/>
        </w:rPr>
        <w:t>: Third component of 30-day outcomes model for ES: 30-day outcomes following assessment for MDS treatment</w:t>
      </w:r>
      <w:bookmarkEnd w:id="385"/>
      <w:bookmarkEnd w:id="387"/>
    </w:p>
    <w:p w14:paraId="172F75E0" w14:textId="77777777" w:rsidR="00A4788F" w:rsidRDefault="00A4788F" w:rsidP="00A4788F">
      <w:pPr>
        <w:jc w:val="both"/>
      </w:pPr>
      <w:r w:rsidRPr="0051123C">
        <w:rPr>
          <w:noProof/>
          <w:lang w:eastAsia="en-GB"/>
        </w:rPr>
        <w:drawing>
          <wp:inline distT="0" distB="0" distL="0" distR="0" wp14:anchorId="697B78D1" wp14:editId="38DE99D3">
            <wp:extent cx="8415347" cy="4718649"/>
            <wp:effectExtent l="0" t="0" r="5080" b="6350"/>
            <wp:docPr id="33" name="Picture 33" descr="This element of the empiric setting model is described in the text i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element of the empiric setting model is described in the text in 7.2.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7336" cy="4719764"/>
                    </a:xfrm>
                    <a:prstGeom prst="rect">
                      <a:avLst/>
                    </a:prstGeom>
                    <a:noFill/>
                    <a:ln>
                      <a:noFill/>
                    </a:ln>
                  </pic:spPr>
                </pic:pic>
              </a:graphicData>
            </a:graphic>
          </wp:inline>
        </w:drawing>
      </w:r>
    </w:p>
    <w:p w14:paraId="72AD9B2D" w14:textId="77777777" w:rsidR="00DC3933" w:rsidRDefault="00DC3933" w:rsidP="00A4788F">
      <w:pPr>
        <w:spacing w:line="360" w:lineRule="auto"/>
        <w:jc w:val="both"/>
        <w:rPr>
          <w:rFonts w:asciiTheme="majorBidi" w:hAnsiTheme="majorBidi" w:cstheme="majorBidi"/>
        </w:rPr>
        <w:sectPr w:rsidR="00DC3933" w:rsidSect="00DC3933">
          <w:pgSz w:w="16838" w:h="11906" w:orient="landscape"/>
          <w:pgMar w:top="1440" w:right="1440" w:bottom="1440" w:left="1440" w:header="709" w:footer="709" w:gutter="0"/>
          <w:cols w:space="708"/>
          <w:docGrid w:linePitch="360"/>
        </w:sectPr>
      </w:pPr>
    </w:p>
    <w:p w14:paraId="6EFED835" w14:textId="357F60B4"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lastRenderedPageBreak/>
        <w:t xml:space="preserve">In the absence of evidence to support more detailed modelling, we assume that a patient’s susceptibility to treatment is the same in the ES and MDS. </w:t>
      </w:r>
      <w:proofErr w:type="gramStart"/>
      <w:r w:rsidRPr="00DA453A">
        <w:rPr>
          <w:rFonts w:asciiTheme="majorBidi" w:hAnsiTheme="majorBidi" w:cstheme="majorBidi"/>
        </w:rPr>
        <w:t>In reality, patients</w:t>
      </w:r>
      <w:proofErr w:type="gramEnd"/>
      <w:r w:rsidRPr="00DA453A">
        <w:rPr>
          <w:rFonts w:asciiTheme="majorBidi" w:hAnsiTheme="majorBidi" w:cstheme="majorBidi"/>
        </w:rPr>
        <w:t xml:space="preserve"> entering the MDS who were already assessed as high-risk of carrying a highly resistant pathogen in the ES are likely to receive aggressive treatments in the ES which may change their resistance profile in the MDS. The nature of the effects on individual resistance are hard to predict as they are influenced by the treatment received in the ES, the effectiveness of this treatment and the development of acquired resistance. These are not</w:t>
      </w:r>
      <w:r w:rsidR="009537D8">
        <w:rPr>
          <w:rFonts w:asciiTheme="majorBidi" w:hAnsiTheme="majorBidi" w:cstheme="majorBidi"/>
        </w:rPr>
        <w:t>,</w:t>
      </w:r>
      <w:r w:rsidRPr="00DA453A">
        <w:rPr>
          <w:rFonts w:asciiTheme="majorBidi" w:hAnsiTheme="majorBidi" w:cstheme="majorBidi"/>
        </w:rPr>
        <w:t xml:space="preserve"> therefore</w:t>
      </w:r>
      <w:r w:rsidR="009537D8">
        <w:rPr>
          <w:rFonts w:asciiTheme="majorBidi" w:hAnsiTheme="majorBidi" w:cstheme="majorBidi"/>
        </w:rPr>
        <w:t>,</w:t>
      </w:r>
      <w:r w:rsidRPr="00DA453A">
        <w:rPr>
          <w:rFonts w:asciiTheme="majorBidi" w:hAnsiTheme="majorBidi" w:cstheme="majorBidi"/>
        </w:rPr>
        <w:t xml:space="preserve"> considered within the model.</w:t>
      </w:r>
    </w:p>
    <w:p w14:paraId="1A5AAD7B" w14:textId="77777777" w:rsidR="00DA453A" w:rsidRPr="00DA453A" w:rsidRDefault="00DA453A" w:rsidP="00DA453A">
      <w:pPr>
        <w:pStyle w:val="ListParagraph"/>
        <w:keepNext/>
        <w:keepLines/>
        <w:spacing w:after="240" w:line="240" w:lineRule="auto"/>
        <w:ind w:left="648"/>
        <w:contextualSpacing w:val="0"/>
        <w:outlineLvl w:val="1"/>
        <w:rPr>
          <w:rFonts w:asciiTheme="majorBidi" w:eastAsiaTheme="majorEastAsia" w:hAnsiTheme="majorBidi" w:cstheme="majorBidi"/>
          <w:b/>
          <w:bCs/>
          <w:vanish/>
          <w:sz w:val="26"/>
          <w:szCs w:val="26"/>
        </w:rPr>
      </w:pPr>
      <w:bookmarkStart w:id="388" w:name="_Toc77944772"/>
      <w:bookmarkStart w:id="389" w:name="_Toc77950654"/>
      <w:bookmarkStart w:id="390" w:name="_Ref83629568"/>
    </w:p>
    <w:p w14:paraId="7DB1260C" w14:textId="08FE0CDD" w:rsidR="00A4788F" w:rsidRPr="005B1D03" w:rsidRDefault="00C67B00" w:rsidP="00794B4E">
      <w:pPr>
        <w:pStyle w:val="EEPRUnumberedlevel4"/>
        <w:ind w:left="981" w:firstLine="437"/>
      </w:pPr>
      <w:bookmarkStart w:id="391" w:name="_Toc87463037"/>
      <w:r>
        <w:t>7</w:t>
      </w:r>
      <w:r w:rsidR="00F1720A">
        <w:t>.2.3</w:t>
      </w:r>
      <w:r w:rsidR="00A4788F" w:rsidRPr="00A42937">
        <w:t xml:space="preserve">   </w:t>
      </w:r>
      <w:bookmarkStart w:id="392" w:name="_Toc85194069"/>
      <w:r w:rsidR="00A4788F" w:rsidRPr="005B1D03">
        <w:t>Sources of evidence</w:t>
      </w:r>
      <w:bookmarkEnd w:id="388"/>
      <w:bookmarkEnd w:id="389"/>
      <w:bookmarkEnd w:id="390"/>
      <w:bookmarkEnd w:id="392"/>
      <w:bookmarkEnd w:id="391"/>
    </w:p>
    <w:p w14:paraId="100D8369" w14:textId="0896D86B" w:rsidR="00A4788F" w:rsidRPr="00DA453A" w:rsidRDefault="00F1720A" w:rsidP="00C67B00">
      <w:pPr>
        <w:pStyle w:val="EEPRUnumberedlevel4"/>
        <w:ind w:hanging="250"/>
      </w:pPr>
      <w:bookmarkStart w:id="393" w:name="_Toc87463038"/>
      <w:r>
        <w:t>7.2.3.1 I</w:t>
      </w:r>
      <w:r w:rsidR="00A4788F" w:rsidRPr="00DA453A">
        <w:t>dentification of evidence</w:t>
      </w:r>
      <w:bookmarkEnd w:id="393"/>
    </w:p>
    <w:p w14:paraId="71772018" w14:textId="1F709BE9" w:rsidR="00A4788F" w:rsidRPr="00DA453A" w:rsidRDefault="00A4788F" w:rsidP="00A4788F">
      <w:pPr>
        <w:spacing w:line="360" w:lineRule="auto"/>
        <w:rPr>
          <w:rFonts w:asciiTheme="majorBidi" w:hAnsiTheme="majorBidi" w:cstheme="majorBidi"/>
        </w:rPr>
      </w:pPr>
      <w:r w:rsidRPr="00DA453A">
        <w:rPr>
          <w:rFonts w:asciiTheme="majorBidi" w:hAnsiTheme="majorBidi" w:cstheme="majorBidi"/>
        </w:rPr>
        <w:t>Susceptibility evidence and evidence linking susceptibility to mortality and hospitalisation was obtained via the systematic reviews and structured expert elicitation described in Section</w:t>
      </w:r>
      <w:r w:rsidR="00F658F7">
        <w:rPr>
          <w:rFonts w:asciiTheme="majorBidi" w:hAnsiTheme="majorBidi" w:cstheme="majorBidi"/>
        </w:rPr>
        <w:t>s</w:t>
      </w:r>
      <w:r w:rsidRPr="00DA453A">
        <w:rPr>
          <w:rFonts w:asciiTheme="majorBidi" w:hAnsiTheme="majorBidi" w:cstheme="majorBidi"/>
        </w:rPr>
        <w:t xml:space="preserve"> </w:t>
      </w:r>
      <w:r w:rsidR="00F658F7">
        <w:rPr>
          <w:rFonts w:asciiTheme="majorBidi" w:hAnsiTheme="majorBidi" w:cstheme="majorBidi"/>
        </w:rPr>
        <w:t>4 and 5</w:t>
      </w:r>
      <w:r w:rsidRPr="00DA453A">
        <w:rPr>
          <w:rFonts w:asciiTheme="majorBidi" w:hAnsiTheme="majorBidi" w:cstheme="majorBidi"/>
        </w:rPr>
        <w:t xml:space="preserve">.  Other key clinical parameters were obtained from existing systematic reviews where possible, otherwise clinical parameters were obtained from existing UK cost-effectiveness models. </w:t>
      </w:r>
      <w:r w:rsidR="00F658F7">
        <w:rPr>
          <w:rFonts w:asciiTheme="majorBidi" w:hAnsiTheme="majorBidi" w:cstheme="majorBidi"/>
        </w:rPr>
        <w:t>HRQOL weights (u</w:t>
      </w:r>
      <w:r w:rsidRPr="00DA453A">
        <w:rPr>
          <w:rFonts w:asciiTheme="majorBidi" w:hAnsiTheme="majorBidi" w:cstheme="majorBidi"/>
        </w:rPr>
        <w:t>tilities</w:t>
      </w:r>
      <w:r w:rsidR="00F658F7">
        <w:rPr>
          <w:rFonts w:asciiTheme="majorBidi" w:hAnsiTheme="majorBidi" w:cstheme="majorBidi"/>
        </w:rPr>
        <w:t>)</w:t>
      </w:r>
      <w:r w:rsidRPr="00DA453A">
        <w:rPr>
          <w:rFonts w:asciiTheme="majorBidi" w:hAnsiTheme="majorBidi" w:cstheme="majorBidi"/>
        </w:rPr>
        <w:t xml:space="preserve"> were obtained from a systematic review (described below) and cost parameters via targeted searches. </w:t>
      </w:r>
    </w:p>
    <w:p w14:paraId="4D51C5B0" w14:textId="154042BE" w:rsidR="00A4788F" w:rsidRPr="00F1720A" w:rsidRDefault="00F1720A" w:rsidP="00C67B00">
      <w:pPr>
        <w:pStyle w:val="EEPRUnumberedlevel4"/>
        <w:ind w:hanging="250"/>
      </w:pPr>
      <w:bookmarkStart w:id="394" w:name="_Toc87463039"/>
      <w:r w:rsidRPr="00F1720A">
        <w:t>7.2.3.2</w:t>
      </w:r>
      <w:r w:rsidRPr="00F1720A">
        <w:tab/>
      </w:r>
      <w:r w:rsidR="00C67B00">
        <w:t xml:space="preserve"> </w:t>
      </w:r>
      <w:r w:rsidR="00A4788F" w:rsidRPr="00F1720A">
        <w:t>Clinical parameters – susceptibility evidence</w:t>
      </w:r>
      <w:bookmarkEnd w:id="394"/>
    </w:p>
    <w:p w14:paraId="5519D964" w14:textId="455A96D4"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 xml:space="preserve">The susceptibility data used in the model base case analysis are summarised in </w:t>
      </w:r>
      <w:r w:rsidR="00F658F7" w:rsidRPr="00F658F7">
        <w:rPr>
          <w:rFonts w:asciiTheme="majorBidi" w:hAnsiTheme="majorBidi" w:cstheme="majorBidi"/>
        </w:rPr>
        <w:t>Table 22</w:t>
      </w:r>
      <w:r w:rsidRPr="00DA453A">
        <w:rPr>
          <w:rFonts w:asciiTheme="majorBidi" w:hAnsiTheme="majorBidi" w:cstheme="majorBidi"/>
        </w:rPr>
        <w:t xml:space="preserve">. These represent the mean values of the samples used in the probabilistic sensitivity analysis, along with 95% percentile-based confidence intervals. Five key susceptibility parameters inform the model: </w:t>
      </w:r>
    </w:p>
    <w:p w14:paraId="5BB5A3BF" w14:textId="15EA55CD" w:rsidR="00A4788F" w:rsidRPr="00DA453A" w:rsidRDefault="00A4788F" w:rsidP="005A3BE6">
      <w:pPr>
        <w:pStyle w:val="ListParagraph"/>
        <w:numPr>
          <w:ilvl w:val="0"/>
          <w:numId w:val="55"/>
        </w:numPr>
        <w:spacing w:after="120" w:line="360" w:lineRule="auto"/>
        <w:jc w:val="both"/>
        <w:rPr>
          <w:rFonts w:asciiTheme="majorBidi" w:hAnsiTheme="majorBidi" w:cstheme="majorBidi"/>
        </w:rPr>
      </w:pPr>
      <w:r w:rsidRPr="00DA453A">
        <w:rPr>
          <w:rFonts w:asciiTheme="majorBidi" w:hAnsiTheme="majorBidi" w:cstheme="majorBidi"/>
        </w:rPr>
        <w:t xml:space="preserve">One parameter describes susceptibility to </w:t>
      </w:r>
      <w:r w:rsidR="00FE2007">
        <w:rPr>
          <w:rFonts w:asciiTheme="majorBidi" w:hAnsiTheme="majorBidi" w:cstheme="majorBidi"/>
        </w:rPr>
        <w:t>CAZ-AVI</w:t>
      </w:r>
      <w:r w:rsidRPr="00DA453A">
        <w:rPr>
          <w:rFonts w:asciiTheme="majorBidi" w:hAnsiTheme="majorBidi" w:cstheme="majorBidi"/>
        </w:rPr>
        <w:t xml:space="preserve"> in the MDS and ES</w:t>
      </w:r>
      <w:r w:rsidR="00F658F7">
        <w:rPr>
          <w:rFonts w:asciiTheme="majorBidi" w:hAnsiTheme="majorBidi" w:cstheme="majorBidi"/>
        </w:rPr>
        <w:t>.</w:t>
      </w:r>
    </w:p>
    <w:p w14:paraId="6257CF18" w14:textId="77777777" w:rsidR="00A4788F" w:rsidRPr="00DA453A" w:rsidRDefault="00A4788F" w:rsidP="005A3BE6">
      <w:pPr>
        <w:pStyle w:val="ListParagraph"/>
        <w:numPr>
          <w:ilvl w:val="0"/>
          <w:numId w:val="55"/>
        </w:numPr>
        <w:spacing w:after="120" w:line="360" w:lineRule="auto"/>
        <w:jc w:val="both"/>
        <w:rPr>
          <w:rFonts w:asciiTheme="majorBidi" w:hAnsiTheme="majorBidi" w:cstheme="majorBidi"/>
        </w:rPr>
      </w:pPr>
      <w:r w:rsidRPr="00DA453A">
        <w:rPr>
          <w:rFonts w:asciiTheme="majorBidi" w:hAnsiTheme="majorBidi" w:cstheme="majorBidi"/>
        </w:rPr>
        <w:t xml:space="preserve">Two parameters describe susceptibility to colistin/aminoglycoside-based therapy and to non-colistin/aminoglycoside-based therapy in the ES. </w:t>
      </w:r>
    </w:p>
    <w:p w14:paraId="5DB0BD75" w14:textId="3AEB8051" w:rsidR="00A4788F" w:rsidRPr="00DA453A" w:rsidRDefault="00A4788F" w:rsidP="005A3BE6">
      <w:pPr>
        <w:pStyle w:val="ListParagraph"/>
        <w:numPr>
          <w:ilvl w:val="0"/>
          <w:numId w:val="55"/>
        </w:numPr>
        <w:spacing w:after="120" w:line="360" w:lineRule="auto"/>
        <w:jc w:val="both"/>
        <w:rPr>
          <w:rFonts w:asciiTheme="majorBidi" w:hAnsiTheme="majorBidi" w:cstheme="majorBidi"/>
        </w:rPr>
      </w:pPr>
      <w:r w:rsidRPr="00DA453A">
        <w:rPr>
          <w:rFonts w:asciiTheme="majorBidi" w:hAnsiTheme="majorBidi" w:cstheme="majorBidi"/>
        </w:rPr>
        <w:t xml:space="preserve">Two parameters describe the number of individuals in each category of susceptibility in the MDS as shown in </w:t>
      </w:r>
      <w:r w:rsidR="00F658F7" w:rsidRPr="00F658F7">
        <w:rPr>
          <w:rFonts w:asciiTheme="majorBidi" w:hAnsiTheme="majorBidi" w:cstheme="majorBidi"/>
        </w:rPr>
        <w:t>Table 20</w:t>
      </w:r>
      <w:r w:rsidRPr="00DA453A">
        <w:rPr>
          <w:rFonts w:asciiTheme="majorBidi" w:hAnsiTheme="majorBidi" w:cstheme="majorBidi"/>
        </w:rPr>
        <w:t xml:space="preserve"> (namely susceptible to a non-colistin/aminoglycoside AM, susceptible only to a colistin/aminoglycoside AM). </w:t>
      </w:r>
    </w:p>
    <w:p w14:paraId="0A301047" w14:textId="1710493A" w:rsidR="00A4788F" w:rsidRPr="00DA453A" w:rsidRDefault="00A4788F" w:rsidP="00A83123">
      <w:pPr>
        <w:spacing w:line="360" w:lineRule="auto"/>
        <w:jc w:val="both"/>
        <w:rPr>
          <w:rFonts w:asciiTheme="majorBidi" w:hAnsiTheme="majorBidi" w:cstheme="majorBidi"/>
        </w:rPr>
      </w:pPr>
      <w:r w:rsidRPr="00DA453A">
        <w:rPr>
          <w:rFonts w:asciiTheme="majorBidi" w:hAnsiTheme="majorBidi" w:cstheme="majorBidi"/>
        </w:rPr>
        <w:t xml:space="preserve">Susceptibility to existing drugs is obtained from both the analysis of PHE data and the NMA, as described </w:t>
      </w:r>
      <w:r w:rsidRPr="007D14CC">
        <w:rPr>
          <w:rFonts w:asciiTheme="majorBidi" w:hAnsiTheme="majorBidi" w:cstheme="majorBidi"/>
        </w:rPr>
        <w:t>in</w:t>
      </w:r>
      <w:r w:rsidR="007D14CC" w:rsidRPr="007D14CC">
        <w:rPr>
          <w:rFonts w:asciiTheme="majorBidi" w:hAnsiTheme="majorBidi" w:cstheme="majorBidi"/>
        </w:rPr>
        <w:t xml:space="preserve"> </w:t>
      </w:r>
      <w:r w:rsidRPr="007D14CC">
        <w:rPr>
          <w:rFonts w:asciiTheme="majorBidi" w:hAnsiTheme="majorBidi" w:cstheme="majorBidi"/>
        </w:rPr>
        <w:t>Section</w:t>
      </w:r>
      <w:r w:rsidR="007D14CC" w:rsidRPr="007D14CC">
        <w:rPr>
          <w:rFonts w:asciiTheme="majorBidi" w:hAnsiTheme="majorBidi" w:cstheme="majorBidi"/>
        </w:rPr>
        <w:t xml:space="preserve"> 4.5.</w:t>
      </w:r>
      <w:r w:rsidRPr="007D14CC">
        <w:rPr>
          <w:rFonts w:asciiTheme="majorBidi" w:hAnsiTheme="majorBidi" w:cstheme="majorBidi"/>
        </w:rPr>
        <w:t xml:space="preserve"> These analyses </w:t>
      </w:r>
      <w:r w:rsidRPr="00DA453A">
        <w:rPr>
          <w:rFonts w:asciiTheme="majorBidi" w:hAnsiTheme="majorBidi" w:cstheme="majorBidi"/>
        </w:rPr>
        <w:t>can be combined to provide evidence on absolute rates of susceptibility to AMs for the HVCS</w:t>
      </w:r>
      <w:r w:rsidR="00F658F7">
        <w:rPr>
          <w:rFonts w:asciiTheme="majorBidi" w:hAnsiTheme="majorBidi" w:cstheme="majorBidi"/>
        </w:rPr>
        <w:t>s</w:t>
      </w:r>
      <w:r w:rsidRPr="00DA453A">
        <w:rPr>
          <w:rFonts w:asciiTheme="majorBidi" w:hAnsiTheme="majorBidi" w:cstheme="majorBidi"/>
        </w:rPr>
        <w:t>. This evidence required further adjustment before it could be used in the economic model, with different adjustments for the ES and MDS. The methods employed to obt</w:t>
      </w:r>
      <w:r w:rsidRPr="0093390A">
        <w:rPr>
          <w:rFonts w:asciiTheme="majorBidi" w:hAnsiTheme="majorBidi" w:cstheme="majorBidi"/>
        </w:rPr>
        <w:t xml:space="preserve">ain estimates for these two settings are discussed in turn, with further </w:t>
      </w:r>
      <w:r w:rsidR="00593E66" w:rsidRPr="0093390A">
        <w:rPr>
          <w:rFonts w:asciiTheme="majorBidi" w:hAnsiTheme="majorBidi" w:cstheme="majorBidi"/>
        </w:rPr>
        <w:t>details</w:t>
      </w:r>
      <w:r w:rsidRPr="0093390A">
        <w:rPr>
          <w:rFonts w:asciiTheme="majorBidi" w:hAnsiTheme="majorBidi" w:cstheme="majorBidi"/>
        </w:rPr>
        <w:t xml:space="preserve"> provided in Appendix </w:t>
      </w:r>
      <w:r w:rsidR="0093390A" w:rsidRPr="0093390A">
        <w:rPr>
          <w:rFonts w:asciiTheme="majorBidi" w:hAnsiTheme="majorBidi" w:cstheme="majorBidi"/>
        </w:rPr>
        <w:t>1</w:t>
      </w:r>
      <w:r w:rsidR="00A80C2B">
        <w:rPr>
          <w:rFonts w:asciiTheme="majorBidi" w:hAnsiTheme="majorBidi" w:cstheme="majorBidi"/>
        </w:rPr>
        <w:t>3</w:t>
      </w:r>
      <w:r w:rsidRPr="0093390A">
        <w:rPr>
          <w:rFonts w:asciiTheme="majorBidi" w:hAnsiTheme="majorBidi" w:cstheme="majorBidi"/>
        </w:rPr>
        <w:t>.</w:t>
      </w:r>
      <w:r w:rsidRPr="00DA453A">
        <w:rPr>
          <w:rFonts w:asciiTheme="majorBidi" w:hAnsiTheme="majorBidi" w:cstheme="majorBidi"/>
        </w:rPr>
        <w:t xml:space="preserve"> Of note, whilst evidence on susceptibility to meropenem was available, this was not used in the economic modelling. This is because clinical advice was that, for meropenem, susceptibility amongst </w:t>
      </w:r>
      <w:proofErr w:type="spellStart"/>
      <w:r w:rsidRPr="00DA453A">
        <w:rPr>
          <w:rFonts w:asciiTheme="majorBidi" w:hAnsiTheme="majorBidi" w:cstheme="majorBidi"/>
        </w:rPr>
        <w:t>carabepenem</w:t>
      </w:r>
      <w:proofErr w:type="spellEnd"/>
      <w:r w:rsidRPr="00DA453A">
        <w:rPr>
          <w:rFonts w:asciiTheme="majorBidi" w:hAnsiTheme="majorBidi" w:cstheme="majorBidi"/>
        </w:rPr>
        <w:t xml:space="preserve">-producing pathogens was not a good surrogate predictor of clinical outcomes. This </w:t>
      </w:r>
      <w:r w:rsidRPr="00DA453A">
        <w:rPr>
          <w:rFonts w:asciiTheme="majorBidi" w:hAnsiTheme="majorBidi" w:cstheme="majorBidi"/>
        </w:rPr>
        <w:lastRenderedPageBreak/>
        <w:t>reflects advice in the literature.</w:t>
      </w:r>
      <w:r w:rsidR="00A83123" w:rsidRPr="00A83123">
        <w:rPr>
          <w:rFonts w:asciiTheme="majorBidi" w:hAnsiTheme="majorBidi" w:cstheme="majorBidi"/>
          <w:noProof/>
          <w:vertAlign w:val="superscript"/>
        </w:rPr>
        <w:t>64,121</w:t>
      </w:r>
      <w:r w:rsidRPr="00DA453A">
        <w:rPr>
          <w:rFonts w:asciiTheme="majorBidi" w:hAnsiTheme="majorBidi" w:cstheme="majorBidi"/>
        </w:rPr>
        <w:t xml:space="preserve"> Hence, whilst meropenem is included as a comparator in the PICOS, it is assumed to have zero efficacy in the economic modelling (and so not actively modelled).</w:t>
      </w:r>
    </w:p>
    <w:p w14:paraId="53F46027" w14:textId="1B671997" w:rsidR="00A4788F" w:rsidRDefault="00A4788F" w:rsidP="00A4788F">
      <w:pPr>
        <w:spacing w:after="0" w:line="360" w:lineRule="auto"/>
        <w:jc w:val="both"/>
        <w:rPr>
          <w:rFonts w:asciiTheme="majorBidi" w:hAnsiTheme="majorBidi" w:cstheme="majorBidi"/>
        </w:rPr>
      </w:pPr>
      <w:r w:rsidRPr="00DA453A">
        <w:rPr>
          <w:rFonts w:asciiTheme="majorBidi" w:hAnsiTheme="majorBidi" w:cstheme="majorBidi"/>
        </w:rPr>
        <w:t xml:space="preserve">Susceptibility is estimated to be specific to the </w:t>
      </w:r>
      <w:r w:rsidR="00AE639B">
        <w:rPr>
          <w:rFonts w:asciiTheme="majorBidi" w:hAnsiTheme="majorBidi" w:cstheme="majorBidi"/>
        </w:rPr>
        <w:t>pathogen-mechanism</w:t>
      </w:r>
      <w:r w:rsidRPr="00DA453A">
        <w:rPr>
          <w:rFonts w:asciiTheme="majorBidi" w:hAnsiTheme="majorBidi" w:cstheme="majorBidi"/>
        </w:rPr>
        <w:t xml:space="preserve"> subgroup of </w:t>
      </w:r>
      <w:proofErr w:type="gramStart"/>
      <w:r w:rsidRPr="00DA453A">
        <w:rPr>
          <w:rFonts w:asciiTheme="majorBidi" w:hAnsiTheme="majorBidi" w:cstheme="majorBidi"/>
        </w:rPr>
        <w:t>interest</w:t>
      </w:r>
      <w:r w:rsidR="00F658F7">
        <w:rPr>
          <w:rFonts w:asciiTheme="majorBidi" w:hAnsiTheme="majorBidi" w:cstheme="majorBidi"/>
        </w:rPr>
        <w:t>,</w:t>
      </w:r>
      <w:r w:rsidRPr="00DA453A">
        <w:rPr>
          <w:rFonts w:asciiTheme="majorBidi" w:hAnsiTheme="majorBidi" w:cstheme="majorBidi"/>
        </w:rPr>
        <w:t xml:space="preserve"> but</w:t>
      </w:r>
      <w:proofErr w:type="gramEnd"/>
      <w:r w:rsidRPr="00DA453A">
        <w:rPr>
          <w:rFonts w:asciiTheme="majorBidi" w:hAnsiTheme="majorBidi" w:cstheme="majorBidi"/>
        </w:rPr>
        <w:t xml:space="preserve"> is assumed to generalise across sites and settings. This was considered a reasonable assumption by our clinical advisors and preferable to further subgrouping the susceptibility data given the small sample sizes available to inform these parameter estimates for the HVCS</w:t>
      </w:r>
      <w:r w:rsidR="00F658F7">
        <w:rPr>
          <w:rFonts w:asciiTheme="majorBidi" w:hAnsiTheme="majorBidi" w:cstheme="majorBidi"/>
        </w:rPr>
        <w:t>s</w:t>
      </w:r>
      <w:r w:rsidRPr="00DA453A">
        <w:rPr>
          <w:rFonts w:asciiTheme="majorBidi" w:hAnsiTheme="majorBidi" w:cstheme="majorBidi"/>
        </w:rPr>
        <w:t>.</w:t>
      </w:r>
      <w:r w:rsidR="0025709E" w:rsidRPr="0025709E">
        <w:rPr>
          <w:rFonts w:asciiTheme="majorBidi" w:hAnsiTheme="majorBidi" w:cstheme="majorBidi"/>
        </w:rPr>
        <w:t xml:space="preserve"> Due to this </w:t>
      </w:r>
      <w:proofErr w:type="gramStart"/>
      <w:r w:rsidR="0025709E" w:rsidRPr="0025709E">
        <w:rPr>
          <w:rFonts w:asciiTheme="majorBidi" w:hAnsiTheme="majorBidi" w:cstheme="majorBidi"/>
        </w:rPr>
        <w:t>assumption</w:t>
      </w:r>
      <w:proofErr w:type="gramEnd"/>
      <w:r w:rsidR="0025709E" w:rsidRPr="0025709E">
        <w:rPr>
          <w:rFonts w:asciiTheme="majorBidi" w:hAnsiTheme="majorBidi" w:cstheme="majorBidi"/>
        </w:rPr>
        <w:t xml:space="preserve"> there was one deviation from the PICOS, with tigecycline used for both sites (</w:t>
      </w:r>
      <w:proofErr w:type="spellStart"/>
      <w:r w:rsidR="0025709E" w:rsidRPr="0025709E">
        <w:rPr>
          <w:rFonts w:asciiTheme="majorBidi" w:hAnsiTheme="majorBidi" w:cstheme="majorBidi"/>
        </w:rPr>
        <w:t>cUTI</w:t>
      </w:r>
      <w:proofErr w:type="spellEnd"/>
      <w:r w:rsidR="0025709E" w:rsidRPr="0025709E">
        <w:rPr>
          <w:rFonts w:asciiTheme="majorBidi" w:hAnsiTheme="majorBidi" w:cstheme="majorBidi"/>
        </w:rPr>
        <w:t xml:space="preserve"> and HAP/VAP). In the PICOS, </w:t>
      </w:r>
      <w:proofErr w:type="spellStart"/>
      <w:r w:rsidR="0025709E" w:rsidRPr="0025709E">
        <w:rPr>
          <w:rFonts w:asciiTheme="majorBidi" w:hAnsiTheme="majorBidi" w:cstheme="majorBidi"/>
        </w:rPr>
        <w:t>tigecylcline</w:t>
      </w:r>
      <w:proofErr w:type="spellEnd"/>
      <w:r w:rsidR="0025709E" w:rsidRPr="0025709E">
        <w:rPr>
          <w:rFonts w:asciiTheme="majorBidi" w:hAnsiTheme="majorBidi" w:cstheme="majorBidi"/>
        </w:rPr>
        <w:t xml:space="preserve"> was only included for HAP/VAP.</w:t>
      </w:r>
    </w:p>
    <w:p w14:paraId="465FAD58" w14:textId="77777777" w:rsidR="0025709E" w:rsidRPr="00DA453A" w:rsidRDefault="0025709E" w:rsidP="00A4788F">
      <w:pPr>
        <w:spacing w:after="0" w:line="360" w:lineRule="auto"/>
        <w:jc w:val="both"/>
        <w:rPr>
          <w:rFonts w:asciiTheme="majorBidi" w:hAnsiTheme="majorBidi" w:cstheme="majorBidi"/>
        </w:rPr>
      </w:pPr>
    </w:p>
    <w:p w14:paraId="61199DB2" w14:textId="77777777" w:rsidR="00A4788F" w:rsidRPr="00DA453A" w:rsidRDefault="00A4788F" w:rsidP="00A4788F">
      <w:pPr>
        <w:spacing w:after="0" w:line="360" w:lineRule="auto"/>
        <w:jc w:val="both"/>
        <w:rPr>
          <w:rFonts w:asciiTheme="majorBidi" w:hAnsiTheme="majorBidi" w:cstheme="majorBidi"/>
        </w:rPr>
      </w:pPr>
    </w:p>
    <w:p w14:paraId="503FBC4C" w14:textId="5CC8BDA0" w:rsidR="00F658F7" w:rsidRPr="00DA453A" w:rsidRDefault="00A4788F" w:rsidP="00DA453A">
      <w:pPr>
        <w:spacing w:after="0" w:line="240" w:lineRule="auto"/>
        <w:jc w:val="both"/>
        <w:rPr>
          <w:rFonts w:asciiTheme="majorBidi" w:hAnsiTheme="majorBidi" w:cstheme="majorBidi"/>
          <w:b/>
          <w:bCs/>
          <w:sz w:val="20"/>
          <w:szCs w:val="20"/>
        </w:rPr>
      </w:pPr>
      <w:bookmarkStart w:id="395" w:name="_Ref77705132"/>
      <w:bookmarkStart w:id="396" w:name="_Toc83589977"/>
      <w:bookmarkStart w:id="397" w:name="_Toc86418999"/>
      <w:r w:rsidRPr="00DA453A">
        <w:rPr>
          <w:rFonts w:asciiTheme="majorBidi" w:hAnsiTheme="majorBidi" w:cstheme="majorBidi"/>
          <w:b/>
          <w:bCs/>
          <w:sz w:val="20"/>
          <w:szCs w:val="20"/>
        </w:rPr>
        <w:t xml:space="preserve">Table </w:t>
      </w:r>
      <w:r w:rsidR="00F10F0A">
        <w:rPr>
          <w:rFonts w:asciiTheme="majorBidi" w:hAnsiTheme="majorBidi" w:cstheme="majorBidi"/>
          <w:b/>
          <w:bCs/>
          <w:noProof/>
          <w:sz w:val="20"/>
          <w:szCs w:val="20"/>
        </w:rPr>
        <w:t>22</w:t>
      </w:r>
      <w:bookmarkEnd w:id="395"/>
      <w:r w:rsidRPr="00DA453A">
        <w:rPr>
          <w:rFonts w:asciiTheme="majorBidi" w:hAnsiTheme="majorBidi" w:cstheme="majorBidi"/>
          <w:b/>
          <w:bCs/>
          <w:sz w:val="20"/>
          <w:szCs w:val="20"/>
        </w:rPr>
        <w:t xml:space="preserve">: Susceptibility parameters by </w:t>
      </w:r>
      <w:r w:rsidR="00AE639B">
        <w:rPr>
          <w:rFonts w:asciiTheme="majorBidi" w:hAnsiTheme="majorBidi" w:cstheme="majorBidi"/>
          <w:b/>
          <w:bCs/>
          <w:sz w:val="20"/>
          <w:szCs w:val="20"/>
        </w:rPr>
        <w:t>pathogen-mechanism</w:t>
      </w:r>
      <w:r w:rsidRPr="00DA453A">
        <w:rPr>
          <w:rFonts w:asciiTheme="majorBidi" w:hAnsiTheme="majorBidi" w:cstheme="majorBidi"/>
          <w:b/>
          <w:bCs/>
          <w:sz w:val="20"/>
          <w:szCs w:val="20"/>
        </w:rPr>
        <w:t xml:space="preserve"> subgroup</w:t>
      </w:r>
      <w:bookmarkEnd w:id="396"/>
      <w:r w:rsidRPr="00DA453A">
        <w:rPr>
          <w:rFonts w:asciiTheme="majorBidi" w:hAnsiTheme="majorBidi" w:cstheme="majorBidi"/>
          <w:b/>
          <w:bCs/>
          <w:sz w:val="20"/>
          <w:szCs w:val="20"/>
        </w:rPr>
        <w:t xml:space="preserve"> (all evidence was from a combination of PHE data and the NMA)</w:t>
      </w:r>
      <w:bookmarkEnd w:id="397"/>
    </w:p>
    <w:tbl>
      <w:tblPr>
        <w:tblStyle w:val="TableGrid"/>
        <w:tblpPr w:leftFromText="180" w:rightFromText="180" w:vertAnchor="text" w:horzAnchor="margin" w:tblpY="323"/>
        <w:tblW w:w="5000" w:type="pct"/>
        <w:tblLayout w:type="fixed"/>
        <w:tblLook w:val="04A0" w:firstRow="1" w:lastRow="0" w:firstColumn="1" w:lastColumn="0" w:noHBand="0" w:noVBand="1"/>
      </w:tblPr>
      <w:tblGrid>
        <w:gridCol w:w="2868"/>
        <w:gridCol w:w="3086"/>
        <w:gridCol w:w="1450"/>
        <w:gridCol w:w="1612"/>
      </w:tblGrid>
      <w:tr w:rsidR="00A4788F" w:rsidRPr="004A4B7C" w14:paraId="07038031" w14:textId="77777777" w:rsidTr="00A4788F">
        <w:tc>
          <w:tcPr>
            <w:tcW w:w="2522" w:type="dxa"/>
          </w:tcPr>
          <w:p w14:paraId="26FA9526" w14:textId="36459E56" w:rsidR="00A4788F" w:rsidRPr="004A4B7C" w:rsidRDefault="00AE639B"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Pathogen-mechanism</w:t>
            </w:r>
            <w:r w:rsidR="00A4788F" w:rsidRPr="004A4B7C">
              <w:rPr>
                <w:rFonts w:ascii="Times New Roman" w:eastAsiaTheme="minorHAnsi" w:hAnsi="Times New Roman" w:cs="Times New Roman"/>
                <w:bCs w:val="0"/>
                <w:sz w:val="20"/>
                <w:szCs w:val="20"/>
              </w:rPr>
              <w:t xml:space="preserve"> subgroup</w:t>
            </w:r>
          </w:p>
        </w:tc>
        <w:tc>
          <w:tcPr>
            <w:tcW w:w="2714" w:type="dxa"/>
          </w:tcPr>
          <w:p w14:paraId="7638A8B5"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Description</w:t>
            </w:r>
          </w:p>
        </w:tc>
        <w:tc>
          <w:tcPr>
            <w:tcW w:w="1275" w:type="dxa"/>
          </w:tcPr>
          <w:p w14:paraId="76AD1E6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Value</w:t>
            </w:r>
          </w:p>
        </w:tc>
        <w:tc>
          <w:tcPr>
            <w:tcW w:w="1418" w:type="dxa"/>
          </w:tcPr>
          <w:p w14:paraId="6A74343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95% CI</w:t>
            </w:r>
          </w:p>
        </w:tc>
      </w:tr>
      <w:tr w:rsidR="00A4788F" w:rsidRPr="004A4B7C" w14:paraId="209B29CC" w14:textId="77777777" w:rsidTr="00A4788F">
        <w:tc>
          <w:tcPr>
            <w:tcW w:w="2522" w:type="dxa"/>
          </w:tcPr>
          <w:p w14:paraId="2C598E5A" w14:textId="4893272D" w:rsidR="00A4788F" w:rsidRPr="004A4B7C" w:rsidRDefault="00FE2007"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i/>
                <w:iCs/>
                <w:sz w:val="20"/>
                <w:szCs w:val="20"/>
              </w:rPr>
              <w:t>Enterobacterales</w:t>
            </w:r>
            <w:proofErr w:type="spellEnd"/>
            <w:r w:rsidR="00A4788F" w:rsidRPr="004A4B7C">
              <w:rPr>
                <w:rFonts w:ascii="Times New Roman" w:eastAsiaTheme="minorHAnsi" w:hAnsi="Times New Roman" w:cs="Times New Roman"/>
                <w:b w:val="0"/>
                <w:bCs w:val="0"/>
                <w:sz w:val="20"/>
                <w:szCs w:val="20"/>
              </w:rPr>
              <w:t>/OXA-48</w:t>
            </w:r>
          </w:p>
        </w:tc>
        <w:tc>
          <w:tcPr>
            <w:tcW w:w="2714" w:type="dxa"/>
          </w:tcPr>
          <w:p w14:paraId="02B6CF2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sz w:val="20"/>
                <w:szCs w:val="20"/>
              </w:rPr>
              <w:t>Proportion of isolates susceptible to one or more non-colistin/aminoglycosides option</w:t>
            </w:r>
          </w:p>
        </w:tc>
        <w:tc>
          <w:tcPr>
            <w:tcW w:w="1275" w:type="dxa"/>
          </w:tcPr>
          <w:p w14:paraId="3A36482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65%</w:t>
            </w:r>
          </w:p>
        </w:tc>
        <w:tc>
          <w:tcPr>
            <w:tcW w:w="1418" w:type="dxa"/>
          </w:tcPr>
          <w:p w14:paraId="4F7A444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55% to 75%</w:t>
            </w:r>
          </w:p>
        </w:tc>
      </w:tr>
      <w:tr w:rsidR="00A4788F" w:rsidRPr="004A4B7C" w14:paraId="3FF2E401" w14:textId="77777777" w:rsidTr="00A4788F">
        <w:tc>
          <w:tcPr>
            <w:tcW w:w="2522" w:type="dxa"/>
          </w:tcPr>
          <w:p w14:paraId="7B9F3931" w14:textId="10DAA857" w:rsidR="00A4788F" w:rsidRPr="004A4B7C" w:rsidRDefault="00FE2007"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i/>
                <w:iCs/>
                <w:sz w:val="20"/>
                <w:szCs w:val="20"/>
              </w:rPr>
              <w:t>Enterobacterales</w:t>
            </w:r>
            <w:proofErr w:type="spellEnd"/>
            <w:r w:rsidR="00A4788F" w:rsidRPr="004A4B7C">
              <w:rPr>
                <w:rFonts w:ascii="Times New Roman" w:eastAsiaTheme="minorHAnsi" w:hAnsi="Times New Roman" w:cs="Times New Roman"/>
                <w:b w:val="0"/>
                <w:bCs w:val="0"/>
                <w:sz w:val="20"/>
                <w:szCs w:val="20"/>
              </w:rPr>
              <w:t>/OXA-48</w:t>
            </w:r>
          </w:p>
        </w:tc>
        <w:tc>
          <w:tcPr>
            <w:tcW w:w="2714" w:type="dxa"/>
          </w:tcPr>
          <w:p w14:paraId="266214F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isolates susceptible only to colistin or aminoglycosides</w:t>
            </w:r>
          </w:p>
        </w:tc>
        <w:tc>
          <w:tcPr>
            <w:tcW w:w="1275" w:type="dxa"/>
          </w:tcPr>
          <w:p w14:paraId="1BCA636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35%</w:t>
            </w:r>
          </w:p>
        </w:tc>
        <w:tc>
          <w:tcPr>
            <w:tcW w:w="1418" w:type="dxa"/>
          </w:tcPr>
          <w:p w14:paraId="3E5437F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25% to 45%</w:t>
            </w:r>
          </w:p>
        </w:tc>
      </w:tr>
      <w:tr w:rsidR="00A4788F" w:rsidRPr="004A4B7C" w14:paraId="528DABEE" w14:textId="77777777" w:rsidTr="00A4788F">
        <w:tc>
          <w:tcPr>
            <w:tcW w:w="2522" w:type="dxa"/>
          </w:tcPr>
          <w:p w14:paraId="6421D0D4" w14:textId="460E153C" w:rsidR="00A4788F" w:rsidRPr="004A4B7C" w:rsidRDefault="00FE2007"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i/>
                <w:iCs/>
                <w:sz w:val="20"/>
                <w:szCs w:val="20"/>
              </w:rPr>
              <w:t>Enterobacterales</w:t>
            </w:r>
            <w:proofErr w:type="spellEnd"/>
            <w:r w:rsidR="00A4788F" w:rsidRPr="004A4B7C">
              <w:rPr>
                <w:rFonts w:ascii="Times New Roman" w:eastAsiaTheme="minorHAnsi" w:hAnsi="Times New Roman" w:cs="Times New Roman"/>
                <w:b w:val="0"/>
                <w:bCs w:val="0"/>
                <w:sz w:val="20"/>
                <w:szCs w:val="20"/>
              </w:rPr>
              <w:t>/OXA-48</w:t>
            </w:r>
          </w:p>
        </w:tc>
        <w:tc>
          <w:tcPr>
            <w:tcW w:w="2714" w:type="dxa"/>
          </w:tcPr>
          <w:p w14:paraId="0055466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isolates susceptible to CAZ-AVI</w:t>
            </w:r>
          </w:p>
        </w:tc>
        <w:tc>
          <w:tcPr>
            <w:tcW w:w="1275" w:type="dxa"/>
          </w:tcPr>
          <w:p w14:paraId="6279F09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92%</w:t>
            </w:r>
          </w:p>
        </w:tc>
        <w:tc>
          <w:tcPr>
            <w:tcW w:w="1418" w:type="dxa"/>
          </w:tcPr>
          <w:p w14:paraId="7B10E77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77% to 98%</w:t>
            </w:r>
          </w:p>
        </w:tc>
      </w:tr>
      <w:tr w:rsidR="00A4788F" w:rsidRPr="004A4B7C" w14:paraId="0E2EBD73" w14:textId="77777777" w:rsidTr="00A4788F">
        <w:tc>
          <w:tcPr>
            <w:tcW w:w="2522" w:type="dxa"/>
          </w:tcPr>
          <w:p w14:paraId="2009BDAD" w14:textId="400128BC" w:rsidR="00A4788F" w:rsidRPr="004A4B7C" w:rsidRDefault="00FE2007"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i/>
                <w:iCs/>
                <w:sz w:val="20"/>
                <w:szCs w:val="20"/>
              </w:rPr>
              <w:t>Enterobacterales</w:t>
            </w:r>
            <w:proofErr w:type="spellEnd"/>
            <w:r w:rsidR="00A4788F" w:rsidRPr="004A4B7C">
              <w:rPr>
                <w:rFonts w:ascii="Times New Roman" w:eastAsiaTheme="minorHAnsi" w:hAnsi="Times New Roman" w:cs="Times New Roman"/>
                <w:b w:val="0"/>
                <w:bCs w:val="0"/>
                <w:sz w:val="20"/>
                <w:szCs w:val="20"/>
              </w:rPr>
              <w:t>/OXA-48</w:t>
            </w:r>
          </w:p>
        </w:tc>
        <w:tc>
          <w:tcPr>
            <w:tcW w:w="2714" w:type="dxa"/>
          </w:tcPr>
          <w:p w14:paraId="30BE652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isolates susceptible to the most effective non-colistin/aminoglycoside-based empiric treatment</w:t>
            </w:r>
          </w:p>
        </w:tc>
        <w:tc>
          <w:tcPr>
            <w:tcW w:w="1275" w:type="dxa"/>
          </w:tcPr>
          <w:p w14:paraId="133A36D9"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35%</w:t>
            </w:r>
          </w:p>
        </w:tc>
        <w:tc>
          <w:tcPr>
            <w:tcW w:w="1418" w:type="dxa"/>
          </w:tcPr>
          <w:p w14:paraId="3B56DB7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7% to 79%</w:t>
            </w:r>
          </w:p>
        </w:tc>
      </w:tr>
      <w:tr w:rsidR="00A4788F" w:rsidRPr="004A4B7C" w14:paraId="7D10F09D" w14:textId="77777777" w:rsidTr="00A4788F">
        <w:tc>
          <w:tcPr>
            <w:tcW w:w="2522" w:type="dxa"/>
            <w:tcBorders>
              <w:bottom w:val="single" w:sz="4" w:space="0" w:color="auto"/>
            </w:tcBorders>
          </w:tcPr>
          <w:p w14:paraId="3226AE5C" w14:textId="0239B2CE" w:rsidR="00A4788F" w:rsidRPr="004A4B7C" w:rsidRDefault="00FE2007"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i/>
                <w:iCs/>
                <w:sz w:val="20"/>
                <w:szCs w:val="20"/>
              </w:rPr>
              <w:t>Enterobacterales</w:t>
            </w:r>
            <w:proofErr w:type="spellEnd"/>
            <w:r w:rsidR="00A4788F" w:rsidRPr="004A4B7C">
              <w:rPr>
                <w:rFonts w:ascii="Times New Roman" w:eastAsiaTheme="minorHAnsi" w:hAnsi="Times New Roman" w:cs="Times New Roman"/>
                <w:b w:val="0"/>
                <w:bCs w:val="0"/>
                <w:sz w:val="20"/>
                <w:szCs w:val="20"/>
              </w:rPr>
              <w:t>/OXA-48</w:t>
            </w:r>
          </w:p>
        </w:tc>
        <w:tc>
          <w:tcPr>
            <w:tcW w:w="2714" w:type="dxa"/>
            <w:tcBorders>
              <w:bottom w:val="single" w:sz="4" w:space="0" w:color="auto"/>
            </w:tcBorders>
          </w:tcPr>
          <w:p w14:paraId="10FBC12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isolates susceptible to the most effective colistin/aminoglycoside-based empiric treatment</w:t>
            </w:r>
          </w:p>
        </w:tc>
        <w:tc>
          <w:tcPr>
            <w:tcW w:w="1275" w:type="dxa"/>
            <w:tcBorders>
              <w:bottom w:val="single" w:sz="4" w:space="0" w:color="auto"/>
            </w:tcBorders>
          </w:tcPr>
          <w:p w14:paraId="252D1AA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94%</w:t>
            </w:r>
          </w:p>
        </w:tc>
        <w:tc>
          <w:tcPr>
            <w:tcW w:w="1418" w:type="dxa"/>
            <w:tcBorders>
              <w:bottom w:val="single" w:sz="4" w:space="0" w:color="auto"/>
            </w:tcBorders>
          </w:tcPr>
          <w:p w14:paraId="4E6468A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88% to 98%</w:t>
            </w:r>
          </w:p>
        </w:tc>
      </w:tr>
    </w:tbl>
    <w:p w14:paraId="3692ACE9" w14:textId="77777777" w:rsidR="00794B4E" w:rsidRDefault="00794B4E" w:rsidP="00F658F7">
      <w:pPr>
        <w:rPr>
          <w:rFonts w:asciiTheme="majorBidi" w:hAnsiTheme="majorBidi" w:cstheme="majorBidi"/>
          <w:sz w:val="20"/>
          <w:szCs w:val="20"/>
        </w:rPr>
      </w:pPr>
    </w:p>
    <w:p w14:paraId="7DF4B999" w14:textId="73F6B36A" w:rsidR="00774411" w:rsidRDefault="00F658F7" w:rsidP="00774411">
      <w:pPr>
        <w:pStyle w:val="EEPRUtextundertables"/>
      </w:pPr>
      <w:r w:rsidRPr="00794B4E">
        <w:rPr>
          <w:rFonts w:asciiTheme="majorBidi" w:hAnsiTheme="majorBidi" w:cstheme="majorBidi"/>
        </w:rPr>
        <w:t>CI: Confidence interval</w:t>
      </w:r>
      <w:r w:rsidR="00774411">
        <w:t xml:space="preserve">; OXA, </w:t>
      </w:r>
      <w:proofErr w:type="spellStart"/>
      <w:r w:rsidR="00774411">
        <w:t>oxicillinase</w:t>
      </w:r>
      <w:proofErr w:type="spellEnd"/>
      <w:r w:rsidR="00774411" w:rsidRPr="006065E4">
        <w:t xml:space="preserve"> </w:t>
      </w:r>
    </w:p>
    <w:p w14:paraId="122ECC2D" w14:textId="2BAE1CC2" w:rsidR="00F658F7" w:rsidRPr="00794B4E" w:rsidRDefault="00774411" w:rsidP="00774411">
      <w:pPr>
        <w:rPr>
          <w:rFonts w:asciiTheme="majorBidi" w:hAnsiTheme="majorBidi" w:cstheme="majorBidi"/>
          <w:sz w:val="20"/>
          <w:szCs w:val="20"/>
        </w:rPr>
      </w:pPr>
      <w:r w:rsidRPr="007D1B7F">
        <w:rPr>
          <w:rFonts w:asciiTheme="majorBidi" w:hAnsiTheme="majorBidi" w:cstheme="majorBidi"/>
        </w:rPr>
        <w:t xml:space="preserve">NB: </w:t>
      </w:r>
      <w:r w:rsidR="00F658F7" w:rsidRPr="008E4948">
        <w:rPr>
          <w:rFonts w:asciiTheme="majorBidi" w:hAnsiTheme="majorBidi" w:cstheme="majorBidi"/>
          <w:sz w:val="20"/>
          <w:szCs w:val="20"/>
        </w:rPr>
        <w:t>For the</w:t>
      </w:r>
      <w:r w:rsidR="00F658F7" w:rsidRPr="00794B4E">
        <w:rPr>
          <w:rFonts w:asciiTheme="majorBidi" w:hAnsiTheme="majorBidi" w:cstheme="majorBidi"/>
          <w:sz w:val="20"/>
          <w:szCs w:val="20"/>
        </w:rPr>
        <w:t xml:space="preserve"> MBL population the PICOS does not include any treatments in the </w:t>
      </w:r>
      <w:r w:rsidR="008E4948">
        <w:rPr>
          <w:rFonts w:asciiTheme="majorBidi" w:hAnsiTheme="majorBidi" w:cstheme="majorBidi"/>
          <w:sz w:val="20"/>
          <w:szCs w:val="20"/>
        </w:rPr>
        <w:t>ES</w:t>
      </w:r>
      <w:r w:rsidR="00F658F7" w:rsidRPr="00794B4E">
        <w:rPr>
          <w:rFonts w:asciiTheme="majorBidi" w:hAnsiTheme="majorBidi" w:cstheme="majorBidi"/>
          <w:sz w:val="20"/>
          <w:szCs w:val="20"/>
        </w:rPr>
        <w:t xml:space="preserve"> that do not include colistin or an aminoglycoside.</w:t>
      </w:r>
    </w:p>
    <w:p w14:paraId="6B7F6ABD" w14:textId="77777777" w:rsidR="00F658F7" w:rsidRDefault="00F658F7" w:rsidP="00A4788F">
      <w:pPr>
        <w:spacing w:before="240"/>
        <w:rPr>
          <w:rFonts w:asciiTheme="majorBidi" w:hAnsiTheme="majorBidi" w:cstheme="majorBidi"/>
          <w:b/>
          <w:i/>
        </w:rPr>
      </w:pPr>
    </w:p>
    <w:p w14:paraId="57B3958D" w14:textId="50D7DE0D" w:rsidR="00A4788F" w:rsidRPr="00F658F7" w:rsidRDefault="00A4788F" w:rsidP="00A4788F">
      <w:pPr>
        <w:spacing w:before="240"/>
        <w:rPr>
          <w:rFonts w:asciiTheme="majorBidi" w:hAnsiTheme="majorBidi" w:cstheme="majorBidi"/>
          <w:bCs/>
          <w:i/>
        </w:rPr>
      </w:pPr>
      <w:r w:rsidRPr="00F658F7">
        <w:rPr>
          <w:rFonts w:asciiTheme="majorBidi" w:hAnsiTheme="majorBidi" w:cstheme="majorBidi"/>
          <w:bCs/>
          <w:i/>
        </w:rPr>
        <w:t>Susceptibility for antimicrobials used in the empiric setting</w:t>
      </w:r>
    </w:p>
    <w:p w14:paraId="1F7D34DE" w14:textId="6BEEA08F" w:rsidR="00A4788F" w:rsidRPr="006606D8" w:rsidRDefault="00A4788F" w:rsidP="00A4788F">
      <w:pPr>
        <w:spacing w:line="360" w:lineRule="auto"/>
        <w:jc w:val="both"/>
        <w:rPr>
          <w:rFonts w:asciiTheme="majorBidi" w:hAnsiTheme="majorBidi" w:cstheme="majorBidi"/>
        </w:rPr>
      </w:pPr>
      <w:r w:rsidRPr="00DA453A">
        <w:rPr>
          <w:rFonts w:asciiTheme="majorBidi" w:hAnsiTheme="majorBidi" w:cstheme="majorBidi"/>
        </w:rPr>
        <w:t>Clinical advice, as reflected in the PICO, was that combination treatment was frequently used in the ES. Hence evidence on absolute susceptibilities for individual drugs needed to be converted to evidence on overall susceptibility to combination treatments, to identify the most effective combination treatments. This requires information on conditional susceptibility (</w:t>
      </w:r>
      <w:r w:rsidR="00F658F7" w:rsidRPr="00DA453A">
        <w:rPr>
          <w:rFonts w:asciiTheme="majorBidi" w:hAnsiTheme="majorBidi" w:cstheme="majorBidi"/>
        </w:rPr>
        <w:t>e.g.,</w:t>
      </w:r>
      <w:r w:rsidRPr="00DA453A">
        <w:rPr>
          <w:rFonts w:asciiTheme="majorBidi" w:hAnsiTheme="majorBidi" w:cstheme="majorBidi"/>
        </w:rPr>
        <w:t xml:space="preserve"> for combination treatment of AM ‘X’ and AM ‘Y’, evidence is required on the susceptibility to AM ‘Y’ conditional on being resistant to AM ‘X’). For use in the model, the most effective ES treatment which did</w:t>
      </w:r>
      <w:r w:rsidR="00F658F7">
        <w:rPr>
          <w:rFonts w:asciiTheme="majorBidi" w:hAnsiTheme="majorBidi" w:cstheme="majorBidi"/>
        </w:rPr>
        <w:t xml:space="preserve"> not</w:t>
      </w:r>
      <w:r w:rsidRPr="00DA453A">
        <w:rPr>
          <w:rFonts w:asciiTheme="majorBidi" w:hAnsiTheme="majorBidi" w:cstheme="majorBidi"/>
        </w:rPr>
        <w:t xml:space="preserve"> include colistin or an aminoglycoside was considered, as well as the most effective ES which did. A discussion of the available evidence on conditional susceptibility is </w:t>
      </w:r>
      <w:r w:rsidRPr="006606D8">
        <w:rPr>
          <w:rFonts w:asciiTheme="majorBidi" w:hAnsiTheme="majorBidi" w:cstheme="majorBidi"/>
        </w:rPr>
        <w:t xml:space="preserve">provided in Appendix </w:t>
      </w:r>
      <w:r w:rsidR="004222B2" w:rsidRPr="006606D8">
        <w:rPr>
          <w:rFonts w:asciiTheme="majorBidi" w:hAnsiTheme="majorBidi" w:cstheme="majorBidi"/>
        </w:rPr>
        <w:t>1</w:t>
      </w:r>
      <w:r w:rsidR="00A80C2B">
        <w:rPr>
          <w:rFonts w:asciiTheme="majorBidi" w:hAnsiTheme="majorBidi" w:cstheme="majorBidi"/>
        </w:rPr>
        <w:t>3</w:t>
      </w:r>
      <w:r w:rsidRPr="006606D8">
        <w:rPr>
          <w:rFonts w:asciiTheme="majorBidi" w:hAnsiTheme="majorBidi" w:cstheme="majorBidi"/>
        </w:rPr>
        <w:t xml:space="preserve">. </w:t>
      </w:r>
    </w:p>
    <w:p w14:paraId="5666FB07" w14:textId="0779A57B" w:rsidR="00A4788F" w:rsidRPr="00DA453A" w:rsidRDefault="00A4788F" w:rsidP="006E78D8">
      <w:pPr>
        <w:spacing w:line="360" w:lineRule="auto"/>
        <w:jc w:val="both"/>
        <w:rPr>
          <w:rFonts w:asciiTheme="majorBidi" w:hAnsiTheme="majorBidi" w:cstheme="majorBidi"/>
        </w:rPr>
      </w:pPr>
      <w:r w:rsidRPr="00DA453A">
        <w:rPr>
          <w:rFonts w:asciiTheme="majorBidi" w:hAnsiTheme="majorBidi" w:cstheme="majorBidi"/>
        </w:rPr>
        <w:lastRenderedPageBreak/>
        <w:t xml:space="preserve">For the base-case analysis, evidence on absolute susceptibilities for combination treatments and monotherapies was obtained from the NMA based on EUCAST </w:t>
      </w:r>
      <w:r w:rsidRPr="006606D8">
        <w:rPr>
          <w:rFonts w:asciiTheme="majorBidi" w:hAnsiTheme="majorBidi" w:cstheme="majorBidi"/>
        </w:rPr>
        <w:t xml:space="preserve">studies (Section </w:t>
      </w:r>
      <w:r w:rsidR="001C27BD" w:rsidRPr="006606D8">
        <w:rPr>
          <w:rFonts w:asciiTheme="majorBidi" w:hAnsiTheme="majorBidi" w:cstheme="majorBidi"/>
        </w:rPr>
        <w:t>4.5</w:t>
      </w:r>
      <w:r w:rsidRPr="006606D8">
        <w:rPr>
          <w:rFonts w:asciiTheme="majorBidi" w:hAnsiTheme="majorBidi" w:cstheme="majorBidi"/>
        </w:rPr>
        <w:t xml:space="preserve">) applied to the </w:t>
      </w:r>
      <w:r w:rsidRPr="00DA453A">
        <w:rPr>
          <w:rFonts w:asciiTheme="majorBidi" w:hAnsiTheme="majorBidi" w:cstheme="majorBidi"/>
        </w:rPr>
        <w:t xml:space="preserve">absolute colistin susceptibility from the PHE data (colistin was chosen as the reference AM as it appeared in </w:t>
      </w:r>
      <w:proofErr w:type="gramStart"/>
      <w:r w:rsidRPr="00DA453A">
        <w:rPr>
          <w:rFonts w:asciiTheme="majorBidi" w:hAnsiTheme="majorBidi" w:cstheme="majorBidi"/>
        </w:rPr>
        <w:t>the majority of</w:t>
      </w:r>
      <w:proofErr w:type="gramEnd"/>
      <w:r w:rsidRPr="00DA453A">
        <w:rPr>
          <w:rFonts w:asciiTheme="majorBidi" w:hAnsiTheme="majorBidi" w:cstheme="majorBidi"/>
        </w:rPr>
        <w:t xml:space="preserve"> studies, and susceptibility to t</w:t>
      </w:r>
      <w:r w:rsidRPr="0093390A">
        <w:rPr>
          <w:rFonts w:asciiTheme="majorBidi" w:hAnsiTheme="majorBidi" w:cstheme="majorBidi"/>
        </w:rPr>
        <w:t>his AM was relatively constant over</w:t>
      </w:r>
      <w:r w:rsidR="00BB49F0">
        <w:rPr>
          <w:rFonts w:asciiTheme="majorBidi" w:hAnsiTheme="majorBidi" w:cstheme="majorBidi"/>
        </w:rPr>
        <w:t xml:space="preserve"> </w:t>
      </w:r>
      <w:r w:rsidRPr="0093390A">
        <w:rPr>
          <w:rFonts w:asciiTheme="majorBidi" w:hAnsiTheme="majorBidi" w:cstheme="majorBidi"/>
        </w:rPr>
        <w:t xml:space="preserve">time as illustrated by an analysis of PHE data; see Appendix </w:t>
      </w:r>
      <w:r w:rsidR="0093390A" w:rsidRPr="0093390A">
        <w:rPr>
          <w:rFonts w:asciiTheme="majorBidi" w:hAnsiTheme="majorBidi" w:cstheme="majorBidi"/>
        </w:rPr>
        <w:t>1</w:t>
      </w:r>
      <w:r w:rsidR="00680B08">
        <w:rPr>
          <w:rFonts w:asciiTheme="majorBidi" w:hAnsiTheme="majorBidi" w:cstheme="majorBidi"/>
        </w:rPr>
        <w:t>8</w:t>
      </w:r>
      <w:r w:rsidRPr="00DA453A">
        <w:rPr>
          <w:rFonts w:asciiTheme="majorBidi" w:hAnsiTheme="majorBidi" w:cstheme="majorBidi"/>
        </w:rPr>
        <w:t>). Where the NMA provided evidence for multiple AMs within the same class (such as aminoglycosides), the most effective AM was used. The assumption of</w:t>
      </w:r>
      <w:r w:rsidRPr="0093390A">
        <w:rPr>
          <w:rFonts w:asciiTheme="majorBidi" w:hAnsiTheme="majorBidi" w:cstheme="majorBidi"/>
        </w:rPr>
        <w:t xml:space="preserve"> independence of absolute susceptibilities was relaxed in scenario analyses, as detailed in Appendix </w:t>
      </w:r>
      <w:r w:rsidR="0093390A" w:rsidRPr="0093390A">
        <w:rPr>
          <w:rFonts w:asciiTheme="majorBidi" w:hAnsiTheme="majorBidi" w:cstheme="majorBidi"/>
        </w:rPr>
        <w:t>1</w:t>
      </w:r>
      <w:r w:rsidR="00A80C2B">
        <w:rPr>
          <w:rFonts w:asciiTheme="majorBidi" w:hAnsiTheme="majorBidi" w:cstheme="majorBidi"/>
        </w:rPr>
        <w:t>3</w:t>
      </w:r>
      <w:r w:rsidR="006E78D8" w:rsidRPr="0093390A">
        <w:rPr>
          <w:rFonts w:asciiTheme="majorBidi" w:hAnsiTheme="majorBidi" w:cstheme="majorBidi"/>
        </w:rPr>
        <w:t>.</w:t>
      </w:r>
    </w:p>
    <w:p w14:paraId="47B91EE6" w14:textId="1CD2B786" w:rsidR="00A4788F" w:rsidRPr="00DA453A" w:rsidRDefault="00A4788F" w:rsidP="006E78D8">
      <w:pPr>
        <w:spacing w:line="360" w:lineRule="auto"/>
        <w:jc w:val="both"/>
        <w:rPr>
          <w:rFonts w:asciiTheme="majorBidi" w:hAnsiTheme="majorBidi" w:cstheme="majorBidi"/>
        </w:rPr>
      </w:pPr>
      <w:r w:rsidRPr="00DA453A">
        <w:rPr>
          <w:rFonts w:asciiTheme="majorBidi" w:hAnsiTheme="majorBidi" w:cstheme="majorBidi"/>
        </w:rPr>
        <w:t>There are two main approaches for defining breakpoints for susceptibility evidence (w</w:t>
      </w:r>
      <w:r w:rsidRPr="006606D8">
        <w:rPr>
          <w:rFonts w:asciiTheme="majorBidi" w:hAnsiTheme="majorBidi" w:cstheme="majorBidi"/>
        </w:rPr>
        <w:t xml:space="preserve">hich in turn affect relative and absolute rates of susceptibility): EUCAST and CLSI (see Section </w:t>
      </w:r>
      <w:r w:rsidR="006606D8" w:rsidRPr="006606D8">
        <w:rPr>
          <w:rFonts w:asciiTheme="majorBidi" w:hAnsiTheme="majorBidi" w:cstheme="majorBidi"/>
        </w:rPr>
        <w:t>4.1.1</w:t>
      </w:r>
      <w:r w:rsidRPr="00DA453A">
        <w:rPr>
          <w:rFonts w:asciiTheme="majorBidi" w:hAnsiTheme="majorBidi" w:cstheme="majorBidi"/>
        </w:rPr>
        <w:t>). The former was judged to be of the most relevance to the UK, hence evidence from studies using EUCAST breakpoints were used in the base-case. A scenario analysis inclu</w:t>
      </w:r>
      <w:r w:rsidRPr="006606D8">
        <w:rPr>
          <w:rFonts w:asciiTheme="majorBidi" w:hAnsiTheme="majorBidi" w:cstheme="majorBidi"/>
        </w:rPr>
        <w:t>ded all studies regardless of breakpoint (with the exclusion of selected arms</w:t>
      </w:r>
      <w:r w:rsidR="00AE639B">
        <w:rPr>
          <w:rFonts w:asciiTheme="majorBidi" w:hAnsiTheme="majorBidi" w:cstheme="majorBidi"/>
        </w:rPr>
        <w:t xml:space="preserve"> based on their inconsistency with the overall evidence base</w:t>
      </w:r>
      <w:r w:rsidRPr="006606D8">
        <w:rPr>
          <w:rFonts w:asciiTheme="majorBidi" w:hAnsiTheme="majorBidi" w:cstheme="majorBidi"/>
        </w:rPr>
        <w:t xml:space="preserve">, as detailed in Section </w:t>
      </w:r>
      <w:r w:rsidR="006606D8" w:rsidRPr="006606D8">
        <w:rPr>
          <w:rFonts w:asciiTheme="majorBidi" w:hAnsiTheme="majorBidi" w:cstheme="majorBidi"/>
        </w:rPr>
        <w:t>4.5</w:t>
      </w:r>
      <w:r w:rsidRPr="00DA453A">
        <w:rPr>
          <w:rFonts w:asciiTheme="majorBidi" w:hAnsiTheme="majorBidi" w:cstheme="majorBidi"/>
        </w:rPr>
        <w:t xml:space="preserve">). </w:t>
      </w:r>
    </w:p>
    <w:p w14:paraId="5DFC38EF" w14:textId="42055CF9" w:rsidR="00A4788F" w:rsidRPr="00DA453A" w:rsidRDefault="00A4788F" w:rsidP="00A83123">
      <w:pPr>
        <w:spacing w:line="360" w:lineRule="auto"/>
        <w:jc w:val="both"/>
        <w:rPr>
          <w:rFonts w:asciiTheme="majorBidi" w:hAnsiTheme="majorBidi" w:cstheme="majorBidi"/>
        </w:rPr>
      </w:pPr>
      <w:r w:rsidRPr="00DA453A">
        <w:rPr>
          <w:rFonts w:asciiTheme="majorBidi" w:hAnsiTheme="majorBidi" w:cstheme="majorBidi"/>
        </w:rPr>
        <w:t xml:space="preserve">Another scenario analysis used only evidence from PHE, as this represents UK-specific evidence. As there was insufficient evidence for </w:t>
      </w:r>
      <w:proofErr w:type="spellStart"/>
      <w:r w:rsidRPr="00DA453A">
        <w:rPr>
          <w:rFonts w:asciiTheme="majorBidi" w:hAnsiTheme="majorBidi" w:cstheme="majorBidi"/>
        </w:rPr>
        <w:t>fosfomycin</w:t>
      </w:r>
      <w:proofErr w:type="spellEnd"/>
      <w:r w:rsidRPr="00DA453A">
        <w:rPr>
          <w:rFonts w:asciiTheme="majorBidi" w:hAnsiTheme="majorBidi" w:cstheme="majorBidi"/>
        </w:rPr>
        <w:t xml:space="preserve"> in the PHE data, this scenario assumes that </w:t>
      </w:r>
      <w:proofErr w:type="spellStart"/>
      <w:r w:rsidRPr="00DA453A">
        <w:rPr>
          <w:rFonts w:asciiTheme="majorBidi" w:hAnsiTheme="majorBidi" w:cstheme="majorBidi"/>
        </w:rPr>
        <w:t>fosfomycin</w:t>
      </w:r>
      <w:proofErr w:type="spellEnd"/>
      <w:r w:rsidRPr="00DA453A">
        <w:rPr>
          <w:rFonts w:asciiTheme="majorBidi" w:hAnsiTheme="majorBidi" w:cstheme="majorBidi"/>
        </w:rPr>
        <w:t xml:space="preserve"> is not used. A further analysis was restricted to the EUCAST studies for which co-carriage of MBL was not present (due to a concern that CAZ-AVI would not be used where co-carriage is known). This only left the study by Vasquez-</w:t>
      </w:r>
      <w:proofErr w:type="spellStart"/>
      <w:r w:rsidRPr="00DA453A">
        <w:rPr>
          <w:rFonts w:asciiTheme="majorBidi" w:hAnsiTheme="majorBidi" w:cstheme="majorBidi"/>
        </w:rPr>
        <w:t>Ucha</w:t>
      </w:r>
      <w:proofErr w:type="spellEnd"/>
      <w:r w:rsidRPr="00DA453A">
        <w:rPr>
          <w:rFonts w:asciiTheme="majorBidi" w:hAnsiTheme="majorBidi" w:cstheme="majorBidi"/>
        </w:rPr>
        <w:t xml:space="preserve"> </w:t>
      </w:r>
      <w:r w:rsidRPr="00DA453A">
        <w:rPr>
          <w:rFonts w:asciiTheme="majorBidi" w:hAnsiTheme="majorBidi" w:cstheme="majorBidi"/>
          <w:i/>
          <w:iCs/>
        </w:rPr>
        <w:t>et al</w:t>
      </w:r>
      <w:r w:rsidR="00BF0555">
        <w:rPr>
          <w:rFonts w:asciiTheme="majorBidi" w:hAnsiTheme="majorBidi" w:cstheme="majorBidi"/>
          <w:i/>
          <w:iCs/>
        </w:rPr>
        <w:t>.</w:t>
      </w:r>
      <w:r w:rsidR="00A83123" w:rsidRPr="00A83123">
        <w:rPr>
          <w:rFonts w:asciiTheme="majorBidi" w:hAnsiTheme="majorBidi" w:cstheme="majorBidi"/>
          <w:noProof/>
          <w:vertAlign w:val="superscript"/>
        </w:rPr>
        <w:t>1</w:t>
      </w:r>
      <w:r w:rsidRPr="00DA453A">
        <w:rPr>
          <w:rFonts w:asciiTheme="majorBidi" w:hAnsiTheme="majorBidi" w:cstheme="majorBidi"/>
        </w:rPr>
        <w:t xml:space="preserve"> This study does not have evidence for tigecycline, so it was assumed that this AM is not used in this scenario. </w:t>
      </w:r>
    </w:p>
    <w:p w14:paraId="7D140991" w14:textId="77777777"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For the PSA (which was performed for the base-case analysis only), two sources of uncertainty were considered:</w:t>
      </w:r>
    </w:p>
    <w:p w14:paraId="04BFE9DA" w14:textId="51921A57" w:rsidR="00A4788F" w:rsidRPr="00DA453A" w:rsidRDefault="00A4788F" w:rsidP="005A3BE6">
      <w:pPr>
        <w:pStyle w:val="ListParagraph"/>
        <w:numPr>
          <w:ilvl w:val="0"/>
          <w:numId w:val="38"/>
        </w:numPr>
        <w:spacing w:line="360" w:lineRule="auto"/>
        <w:jc w:val="both"/>
        <w:rPr>
          <w:rFonts w:asciiTheme="majorBidi" w:hAnsiTheme="majorBidi" w:cstheme="majorBidi"/>
        </w:rPr>
      </w:pPr>
      <w:r w:rsidRPr="00DA453A">
        <w:rPr>
          <w:rFonts w:asciiTheme="majorBidi" w:hAnsiTheme="majorBidi" w:cstheme="majorBidi"/>
        </w:rPr>
        <w:t xml:space="preserve">Uncertainty in the </w:t>
      </w:r>
      <w:r w:rsidR="00785C3A">
        <w:rPr>
          <w:rFonts w:asciiTheme="majorBidi" w:hAnsiTheme="majorBidi" w:cstheme="majorBidi"/>
        </w:rPr>
        <w:t>ORs</w:t>
      </w:r>
      <w:r w:rsidRPr="00DA453A">
        <w:rPr>
          <w:rFonts w:asciiTheme="majorBidi" w:hAnsiTheme="majorBidi" w:cstheme="majorBidi"/>
        </w:rPr>
        <w:t xml:space="preserve"> obtained from the NMA posterior distribution.</w:t>
      </w:r>
    </w:p>
    <w:p w14:paraId="517B1282" w14:textId="6D09499A" w:rsidR="00A4788F" w:rsidRPr="00DA453A" w:rsidRDefault="00A4788F" w:rsidP="005A3BE6">
      <w:pPr>
        <w:pStyle w:val="ListParagraph"/>
        <w:numPr>
          <w:ilvl w:val="0"/>
          <w:numId w:val="38"/>
        </w:numPr>
        <w:spacing w:line="360" w:lineRule="auto"/>
        <w:jc w:val="both"/>
        <w:rPr>
          <w:rFonts w:asciiTheme="majorBidi" w:hAnsiTheme="majorBidi" w:cstheme="majorBidi"/>
        </w:rPr>
      </w:pPr>
      <w:r w:rsidRPr="00DA453A">
        <w:rPr>
          <w:rFonts w:asciiTheme="majorBidi" w:hAnsiTheme="majorBidi" w:cstheme="majorBidi"/>
        </w:rPr>
        <w:t xml:space="preserve">Uncertainty in the absolute susceptibility of colistin (to which </w:t>
      </w:r>
      <w:r w:rsidR="00785C3A">
        <w:rPr>
          <w:rFonts w:asciiTheme="majorBidi" w:hAnsiTheme="majorBidi" w:cstheme="majorBidi"/>
        </w:rPr>
        <w:t>ORs</w:t>
      </w:r>
      <w:r w:rsidRPr="00DA453A">
        <w:rPr>
          <w:rFonts w:asciiTheme="majorBidi" w:hAnsiTheme="majorBidi" w:cstheme="majorBidi"/>
        </w:rPr>
        <w:t xml:space="preserve"> are applied), obtained from PHE data and modelled using a beta distribution.</w:t>
      </w:r>
    </w:p>
    <w:p w14:paraId="054B69B2" w14:textId="77777777" w:rsidR="00BF0555" w:rsidRDefault="00BF0555" w:rsidP="00A4788F">
      <w:pPr>
        <w:spacing w:line="360" w:lineRule="auto"/>
        <w:jc w:val="both"/>
        <w:rPr>
          <w:rFonts w:asciiTheme="majorBidi" w:hAnsiTheme="majorBidi" w:cstheme="majorBidi"/>
          <w:b/>
          <w:i/>
        </w:rPr>
      </w:pPr>
    </w:p>
    <w:p w14:paraId="04EA5147" w14:textId="34B455C6" w:rsidR="00A4788F" w:rsidRPr="00BF0555" w:rsidRDefault="00A4788F" w:rsidP="00A4788F">
      <w:pPr>
        <w:spacing w:line="360" w:lineRule="auto"/>
        <w:jc w:val="both"/>
        <w:rPr>
          <w:rFonts w:asciiTheme="majorBidi" w:hAnsiTheme="majorBidi" w:cstheme="majorBidi"/>
          <w:bCs/>
          <w:i/>
        </w:rPr>
      </w:pPr>
      <w:r w:rsidRPr="00BF0555">
        <w:rPr>
          <w:rFonts w:asciiTheme="majorBidi" w:hAnsiTheme="majorBidi" w:cstheme="majorBidi"/>
          <w:bCs/>
          <w:i/>
        </w:rPr>
        <w:t>Susceptibility for antimicrobials used in the microbiology-directed setting</w:t>
      </w:r>
    </w:p>
    <w:p w14:paraId="2C3CB62F" w14:textId="77777777"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When microbiology test results are available it is assumed that patients will receive an AM to which they are susceptible (if they are susceptible to an AM). It was further assumed that, given their toxicity, use of either colistin or an aminoglycoside would be reserved for when a patient was not susceptible to any other relevant AMs. Hence, for use in the economic model, it was necessary to convert absolute susceptibility evidence for each AM into the proportion of patients falling into each of the following mutually exclusive groups:</w:t>
      </w:r>
    </w:p>
    <w:p w14:paraId="3025F50E" w14:textId="77777777" w:rsidR="00A4788F" w:rsidRPr="00DA453A" w:rsidRDefault="00A4788F" w:rsidP="005A3BE6">
      <w:pPr>
        <w:pStyle w:val="ListParagraph"/>
        <w:numPr>
          <w:ilvl w:val="0"/>
          <w:numId w:val="39"/>
        </w:numPr>
        <w:spacing w:line="360" w:lineRule="auto"/>
        <w:jc w:val="both"/>
        <w:rPr>
          <w:rFonts w:asciiTheme="majorBidi" w:hAnsiTheme="majorBidi" w:cstheme="majorBidi"/>
        </w:rPr>
      </w:pPr>
      <w:r w:rsidRPr="00DA453A">
        <w:rPr>
          <w:rFonts w:asciiTheme="majorBidi" w:hAnsiTheme="majorBidi" w:cstheme="majorBidi"/>
        </w:rPr>
        <w:lastRenderedPageBreak/>
        <w:t>Susceptible to an AM that is not colistin or an aminoglycoside</w:t>
      </w:r>
    </w:p>
    <w:p w14:paraId="3B36D49B" w14:textId="77777777" w:rsidR="00A4788F" w:rsidRPr="00DA453A" w:rsidRDefault="00A4788F" w:rsidP="005A3BE6">
      <w:pPr>
        <w:pStyle w:val="ListParagraph"/>
        <w:numPr>
          <w:ilvl w:val="0"/>
          <w:numId w:val="39"/>
        </w:numPr>
        <w:spacing w:line="360" w:lineRule="auto"/>
        <w:jc w:val="both"/>
        <w:rPr>
          <w:rFonts w:asciiTheme="majorBidi" w:hAnsiTheme="majorBidi" w:cstheme="majorBidi"/>
        </w:rPr>
      </w:pPr>
      <w:r w:rsidRPr="00DA453A">
        <w:rPr>
          <w:rFonts w:asciiTheme="majorBidi" w:hAnsiTheme="majorBidi" w:cstheme="majorBidi"/>
        </w:rPr>
        <w:t>Susceptible only to colistin or an aminoglycoside</w:t>
      </w:r>
    </w:p>
    <w:p w14:paraId="418712D4" w14:textId="77777777" w:rsidR="00A4788F" w:rsidRPr="00DA453A" w:rsidRDefault="00A4788F" w:rsidP="005A3BE6">
      <w:pPr>
        <w:pStyle w:val="ListParagraph"/>
        <w:numPr>
          <w:ilvl w:val="0"/>
          <w:numId w:val="39"/>
        </w:numPr>
        <w:spacing w:line="360" w:lineRule="auto"/>
        <w:jc w:val="both"/>
        <w:rPr>
          <w:rFonts w:asciiTheme="majorBidi" w:hAnsiTheme="majorBidi" w:cstheme="majorBidi"/>
        </w:rPr>
      </w:pPr>
      <w:r w:rsidRPr="00DA453A">
        <w:rPr>
          <w:rFonts w:asciiTheme="majorBidi" w:hAnsiTheme="majorBidi" w:cstheme="majorBidi"/>
        </w:rPr>
        <w:t>Not susceptible to any available treatment options</w:t>
      </w:r>
    </w:p>
    <w:p w14:paraId="75EA24A8" w14:textId="77777777"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The AMs contributing to the first susceptibility grouping are:</w:t>
      </w:r>
    </w:p>
    <w:p w14:paraId="328D3279" w14:textId="10609703" w:rsidR="00A4788F" w:rsidRPr="00DA453A" w:rsidRDefault="00A4788F" w:rsidP="005A3BE6">
      <w:pPr>
        <w:pStyle w:val="ListParagraph"/>
        <w:numPr>
          <w:ilvl w:val="0"/>
          <w:numId w:val="40"/>
        </w:numPr>
        <w:spacing w:line="360" w:lineRule="auto"/>
        <w:jc w:val="both"/>
        <w:rPr>
          <w:rFonts w:asciiTheme="majorBidi" w:hAnsiTheme="majorBidi" w:cstheme="majorBidi"/>
        </w:rPr>
      </w:pPr>
      <w:r w:rsidRPr="00DA453A">
        <w:rPr>
          <w:rFonts w:asciiTheme="majorBidi" w:hAnsiTheme="majorBidi" w:cstheme="majorBidi"/>
        </w:rPr>
        <w:t>Aztreonam</w:t>
      </w:r>
    </w:p>
    <w:p w14:paraId="6DD62618" w14:textId="648E157F" w:rsidR="00A4788F" w:rsidRPr="00DA453A" w:rsidRDefault="00A4788F" w:rsidP="005A3BE6">
      <w:pPr>
        <w:pStyle w:val="ListParagraph"/>
        <w:numPr>
          <w:ilvl w:val="0"/>
          <w:numId w:val="40"/>
        </w:numPr>
        <w:spacing w:line="360" w:lineRule="auto"/>
        <w:jc w:val="both"/>
        <w:rPr>
          <w:rFonts w:asciiTheme="majorBidi" w:hAnsiTheme="majorBidi" w:cstheme="majorBidi"/>
        </w:rPr>
      </w:pPr>
      <w:r w:rsidRPr="00DA453A">
        <w:rPr>
          <w:rFonts w:asciiTheme="majorBidi" w:hAnsiTheme="majorBidi" w:cstheme="majorBidi"/>
        </w:rPr>
        <w:t>Cephalosporins</w:t>
      </w:r>
    </w:p>
    <w:p w14:paraId="4B805443" w14:textId="39DB86F3" w:rsidR="00A4788F" w:rsidRPr="00DA453A" w:rsidRDefault="00A4788F" w:rsidP="005A3BE6">
      <w:pPr>
        <w:pStyle w:val="ListParagraph"/>
        <w:numPr>
          <w:ilvl w:val="0"/>
          <w:numId w:val="40"/>
        </w:numPr>
        <w:spacing w:line="360" w:lineRule="auto"/>
        <w:jc w:val="both"/>
        <w:rPr>
          <w:rFonts w:asciiTheme="majorBidi" w:hAnsiTheme="majorBidi" w:cstheme="majorBidi"/>
        </w:rPr>
      </w:pPr>
      <w:r w:rsidRPr="00DA453A">
        <w:rPr>
          <w:rFonts w:asciiTheme="majorBidi" w:hAnsiTheme="majorBidi" w:cstheme="majorBidi"/>
        </w:rPr>
        <w:t>Fluoroquinolones</w:t>
      </w:r>
    </w:p>
    <w:p w14:paraId="152D7DC3" w14:textId="35D4DBA4" w:rsidR="00A4788F" w:rsidRPr="00DA453A" w:rsidRDefault="00A4788F" w:rsidP="005A3BE6">
      <w:pPr>
        <w:pStyle w:val="ListParagraph"/>
        <w:numPr>
          <w:ilvl w:val="0"/>
          <w:numId w:val="40"/>
        </w:numPr>
        <w:spacing w:line="360" w:lineRule="auto"/>
        <w:jc w:val="both"/>
        <w:rPr>
          <w:rFonts w:asciiTheme="majorBidi" w:hAnsiTheme="majorBidi" w:cstheme="majorBidi"/>
        </w:rPr>
      </w:pPr>
      <w:r w:rsidRPr="00DA453A">
        <w:rPr>
          <w:rFonts w:asciiTheme="majorBidi" w:hAnsiTheme="majorBidi" w:cstheme="majorBidi"/>
        </w:rPr>
        <w:t>Fosfomycin</w:t>
      </w:r>
    </w:p>
    <w:p w14:paraId="0D3E5924" w14:textId="41FAE15E" w:rsidR="00A4788F" w:rsidRPr="00DA453A" w:rsidRDefault="00A4788F" w:rsidP="005A3BE6">
      <w:pPr>
        <w:pStyle w:val="ListParagraph"/>
        <w:numPr>
          <w:ilvl w:val="0"/>
          <w:numId w:val="40"/>
        </w:numPr>
        <w:spacing w:line="360" w:lineRule="auto"/>
        <w:jc w:val="both"/>
        <w:rPr>
          <w:rFonts w:asciiTheme="majorBidi" w:hAnsiTheme="majorBidi" w:cstheme="majorBidi"/>
        </w:rPr>
      </w:pPr>
      <w:r w:rsidRPr="00DA453A">
        <w:rPr>
          <w:rFonts w:asciiTheme="majorBidi" w:hAnsiTheme="majorBidi" w:cstheme="majorBidi"/>
        </w:rPr>
        <w:t>Tigecycline</w:t>
      </w:r>
    </w:p>
    <w:p w14:paraId="413674B8" w14:textId="13345497" w:rsidR="00A4788F" w:rsidRPr="00DA453A" w:rsidRDefault="00A4788F" w:rsidP="00A83123">
      <w:pPr>
        <w:spacing w:line="360" w:lineRule="auto"/>
        <w:jc w:val="both"/>
        <w:rPr>
          <w:rFonts w:asciiTheme="majorBidi" w:hAnsiTheme="majorBidi" w:cstheme="majorBidi"/>
        </w:rPr>
      </w:pPr>
      <w:r w:rsidRPr="00DA453A">
        <w:rPr>
          <w:rFonts w:asciiTheme="majorBidi" w:hAnsiTheme="majorBidi" w:cstheme="majorBidi"/>
        </w:rPr>
        <w:t>In the ES</w:t>
      </w:r>
      <w:r w:rsidR="008B56D1">
        <w:rPr>
          <w:rFonts w:asciiTheme="majorBidi" w:hAnsiTheme="majorBidi" w:cstheme="majorBidi"/>
        </w:rPr>
        <w:t>,</w:t>
      </w:r>
      <w:r w:rsidRPr="00DA453A">
        <w:rPr>
          <w:rFonts w:asciiTheme="majorBidi" w:hAnsiTheme="majorBidi" w:cstheme="majorBidi"/>
        </w:rPr>
        <w:t xml:space="preserve"> </w:t>
      </w:r>
      <w:r w:rsidR="008F1C31">
        <w:rPr>
          <w:rFonts w:asciiTheme="majorBidi" w:hAnsiTheme="majorBidi" w:cstheme="majorBidi"/>
        </w:rPr>
        <w:t xml:space="preserve">for the base case analysis </w:t>
      </w:r>
      <w:r w:rsidRPr="00DA453A">
        <w:rPr>
          <w:rFonts w:asciiTheme="majorBidi" w:hAnsiTheme="majorBidi" w:cstheme="majorBidi"/>
        </w:rPr>
        <w:t xml:space="preserve">susceptibility to a given AM was assumed independent of susceptibility to any other AM. This assumption could also be used to derive the proportion in each susceptibility </w:t>
      </w:r>
      <w:r w:rsidRPr="0093390A">
        <w:rPr>
          <w:rFonts w:asciiTheme="majorBidi" w:hAnsiTheme="majorBidi" w:cstheme="majorBidi"/>
        </w:rPr>
        <w:t xml:space="preserve">group for the MDS. A discussion of the appropriateness of this assumption is provided in Appendix </w:t>
      </w:r>
      <w:r w:rsidR="0093390A" w:rsidRPr="0093390A">
        <w:rPr>
          <w:rFonts w:asciiTheme="majorBidi" w:hAnsiTheme="majorBidi" w:cstheme="majorBidi"/>
        </w:rPr>
        <w:t>1</w:t>
      </w:r>
      <w:r w:rsidR="00A80C2B">
        <w:rPr>
          <w:rFonts w:asciiTheme="majorBidi" w:hAnsiTheme="majorBidi" w:cstheme="majorBidi"/>
        </w:rPr>
        <w:t>3</w:t>
      </w:r>
      <w:r w:rsidRPr="0093390A">
        <w:rPr>
          <w:rFonts w:asciiTheme="majorBidi" w:hAnsiTheme="majorBidi" w:cstheme="majorBidi"/>
        </w:rPr>
        <w:t>.</w:t>
      </w:r>
      <w:r w:rsidRPr="00DA453A">
        <w:rPr>
          <w:rFonts w:asciiTheme="majorBidi" w:hAnsiTheme="majorBidi" w:cstheme="majorBidi"/>
        </w:rPr>
        <w:t xml:space="preserve">  This suggested that</w:t>
      </w:r>
      <w:r w:rsidR="008B56D1">
        <w:rPr>
          <w:rFonts w:asciiTheme="majorBidi" w:hAnsiTheme="majorBidi" w:cstheme="majorBidi"/>
        </w:rPr>
        <w:t>,</w:t>
      </w:r>
      <w:r w:rsidRPr="00DA453A">
        <w:rPr>
          <w:rFonts w:asciiTheme="majorBidi" w:hAnsiTheme="majorBidi" w:cstheme="majorBidi"/>
        </w:rPr>
        <w:t xml:space="preserve"> in the MDS</w:t>
      </w:r>
      <w:r w:rsidR="008B56D1">
        <w:rPr>
          <w:rFonts w:asciiTheme="majorBidi" w:hAnsiTheme="majorBidi" w:cstheme="majorBidi"/>
        </w:rPr>
        <w:t>,</w:t>
      </w:r>
      <w:r w:rsidRPr="00DA453A">
        <w:rPr>
          <w:rFonts w:asciiTheme="majorBidi" w:hAnsiTheme="majorBidi" w:cstheme="majorBidi"/>
        </w:rPr>
        <w:t xml:space="preserve"> the assumption of independence did not hold. Instead, evidence from PHE was used to estimate the bias arising when assuming independence to derive the proportion in each susceptibility group. This bias was then used to adjust estimates of the proportion in each susceptibility group obtained from the NMA using an assumption of independence of susceptibili</w:t>
      </w:r>
      <w:r w:rsidRPr="004222B2">
        <w:rPr>
          <w:rFonts w:asciiTheme="majorBidi" w:hAnsiTheme="majorBidi" w:cstheme="majorBidi"/>
        </w:rPr>
        <w:t>ties. Scenario</w:t>
      </w:r>
      <w:r w:rsidRPr="00DA453A">
        <w:rPr>
          <w:rFonts w:asciiTheme="majorBidi" w:hAnsiTheme="majorBidi" w:cstheme="majorBidi"/>
        </w:rPr>
        <w:t xml:space="preserve"> analyses that only used isolate-level data from either PHE or Vasquez-</w:t>
      </w:r>
      <w:proofErr w:type="spellStart"/>
      <w:r w:rsidRPr="00DA453A">
        <w:rPr>
          <w:rFonts w:asciiTheme="majorBidi" w:hAnsiTheme="majorBidi" w:cstheme="majorBidi"/>
        </w:rPr>
        <w:t>Ucha</w:t>
      </w:r>
      <w:proofErr w:type="spellEnd"/>
      <w:r w:rsidRPr="00DA453A">
        <w:rPr>
          <w:rFonts w:asciiTheme="majorBidi" w:hAnsiTheme="majorBidi" w:cstheme="majorBidi"/>
        </w:rPr>
        <w:t xml:space="preserve"> </w:t>
      </w:r>
      <w:r w:rsidRPr="00DA453A">
        <w:rPr>
          <w:rFonts w:asciiTheme="majorBidi" w:hAnsiTheme="majorBidi" w:cstheme="majorBidi"/>
          <w:i/>
          <w:iCs/>
        </w:rPr>
        <w:t>et al</w:t>
      </w:r>
      <w:r w:rsidRPr="00DA453A">
        <w:rPr>
          <w:rFonts w:asciiTheme="majorBidi" w:hAnsiTheme="majorBidi" w:cstheme="majorBidi"/>
        </w:rPr>
        <w:t xml:space="preserve"> to directly estimate the MDS groupings were also considered</w:t>
      </w:r>
      <w:r w:rsidR="008F1C31">
        <w:rPr>
          <w:rFonts w:asciiTheme="majorBidi" w:hAnsiTheme="majorBidi" w:cstheme="majorBidi"/>
        </w:rPr>
        <w:t>.</w:t>
      </w:r>
      <w:r w:rsidR="00A83123" w:rsidRPr="00A83123">
        <w:rPr>
          <w:rFonts w:asciiTheme="majorBidi" w:hAnsiTheme="majorBidi" w:cstheme="majorBidi"/>
          <w:noProof/>
          <w:vertAlign w:val="superscript"/>
        </w:rPr>
        <w:t>1</w:t>
      </w:r>
      <w:r w:rsidRPr="00DA453A">
        <w:rPr>
          <w:rFonts w:asciiTheme="majorBidi" w:hAnsiTheme="majorBidi" w:cstheme="majorBidi"/>
        </w:rPr>
        <w:t xml:space="preserve"> Due to a lack of evidence, these scenarios assume that </w:t>
      </w:r>
      <w:proofErr w:type="spellStart"/>
      <w:r w:rsidRPr="00DA453A">
        <w:rPr>
          <w:rFonts w:asciiTheme="majorBidi" w:hAnsiTheme="majorBidi" w:cstheme="majorBidi"/>
        </w:rPr>
        <w:t>fosfomycin</w:t>
      </w:r>
      <w:proofErr w:type="spellEnd"/>
      <w:r w:rsidRPr="00DA453A">
        <w:rPr>
          <w:rFonts w:asciiTheme="majorBidi" w:hAnsiTheme="majorBidi" w:cstheme="majorBidi"/>
        </w:rPr>
        <w:t xml:space="preserve"> and tigecycline are not used, respectively. </w:t>
      </w:r>
    </w:p>
    <w:p w14:paraId="6128A117" w14:textId="77777777"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For the PSA, two primary sources of uncertainty were considered:</w:t>
      </w:r>
    </w:p>
    <w:p w14:paraId="6EB8DEEC" w14:textId="18599C86" w:rsidR="00A4788F" w:rsidRPr="00DA453A" w:rsidRDefault="00A4788F" w:rsidP="005A3BE6">
      <w:pPr>
        <w:pStyle w:val="ListParagraph"/>
        <w:numPr>
          <w:ilvl w:val="0"/>
          <w:numId w:val="38"/>
        </w:numPr>
        <w:spacing w:line="360" w:lineRule="auto"/>
        <w:jc w:val="both"/>
        <w:rPr>
          <w:rFonts w:asciiTheme="majorBidi" w:hAnsiTheme="majorBidi" w:cstheme="majorBidi"/>
        </w:rPr>
      </w:pPr>
      <w:r w:rsidRPr="00DA453A">
        <w:rPr>
          <w:rFonts w:asciiTheme="majorBidi" w:hAnsiTheme="majorBidi" w:cstheme="majorBidi"/>
        </w:rPr>
        <w:t xml:space="preserve">Uncertainty in the </w:t>
      </w:r>
      <w:r w:rsidR="00785C3A">
        <w:rPr>
          <w:rFonts w:asciiTheme="majorBidi" w:hAnsiTheme="majorBidi" w:cstheme="majorBidi"/>
        </w:rPr>
        <w:t xml:space="preserve">ORs </w:t>
      </w:r>
      <w:r w:rsidRPr="00DA453A">
        <w:rPr>
          <w:rFonts w:asciiTheme="majorBidi" w:hAnsiTheme="majorBidi" w:cstheme="majorBidi"/>
        </w:rPr>
        <w:t>obtained from the NMA posterior distribution.</w:t>
      </w:r>
    </w:p>
    <w:p w14:paraId="454CEF55" w14:textId="404ABB71" w:rsidR="00A4788F" w:rsidRPr="00DA453A" w:rsidRDefault="00A4788F" w:rsidP="005A3BE6">
      <w:pPr>
        <w:pStyle w:val="ListParagraph"/>
        <w:numPr>
          <w:ilvl w:val="0"/>
          <w:numId w:val="38"/>
        </w:numPr>
        <w:spacing w:after="0" w:line="360" w:lineRule="auto"/>
        <w:jc w:val="both"/>
        <w:rPr>
          <w:rFonts w:asciiTheme="majorBidi" w:hAnsiTheme="majorBidi" w:cstheme="majorBidi"/>
        </w:rPr>
      </w:pPr>
      <w:r w:rsidRPr="00DA453A">
        <w:rPr>
          <w:rFonts w:asciiTheme="majorBidi" w:hAnsiTheme="majorBidi" w:cstheme="majorBidi"/>
        </w:rPr>
        <w:t>Uncertainty in the scaling factor used. This in turn had two components: variation in the true proportions in each susceptibility group from the PHE data (modelled using a Dirichlet distribution), and variation in the absolute susceptibility to each AM in the PHE data (modelled using a beta distribution).</w:t>
      </w:r>
    </w:p>
    <w:p w14:paraId="3386636D" w14:textId="77777777" w:rsidR="00A4788F" w:rsidRPr="00DA453A" w:rsidRDefault="00A4788F" w:rsidP="00A4788F">
      <w:pPr>
        <w:rPr>
          <w:rFonts w:asciiTheme="majorBidi" w:hAnsiTheme="majorBidi" w:cstheme="majorBidi"/>
        </w:rPr>
      </w:pPr>
    </w:p>
    <w:p w14:paraId="45A11461" w14:textId="77777777" w:rsidR="00A4788F" w:rsidRPr="00AE14F3" w:rsidRDefault="00A4788F" w:rsidP="00A4788F">
      <w:pPr>
        <w:rPr>
          <w:rFonts w:asciiTheme="majorBidi" w:hAnsiTheme="majorBidi" w:cstheme="majorBidi"/>
          <w:bCs/>
          <w:i/>
        </w:rPr>
      </w:pPr>
      <w:r w:rsidRPr="00AE14F3">
        <w:rPr>
          <w:rFonts w:asciiTheme="majorBidi" w:hAnsiTheme="majorBidi" w:cstheme="majorBidi"/>
          <w:bCs/>
          <w:i/>
        </w:rPr>
        <w:t>Overview of options for including susceptibility data in the economic model</w:t>
      </w:r>
    </w:p>
    <w:p w14:paraId="4F97A787" w14:textId="60D8EA66" w:rsidR="00A4788F" w:rsidRPr="00DA453A" w:rsidRDefault="00A4788F" w:rsidP="00EE4C38">
      <w:pPr>
        <w:spacing w:line="360" w:lineRule="auto"/>
        <w:jc w:val="both"/>
        <w:rPr>
          <w:rFonts w:asciiTheme="majorBidi" w:hAnsiTheme="majorBidi" w:cstheme="majorBidi"/>
        </w:rPr>
      </w:pPr>
      <w:r w:rsidRPr="00DA453A">
        <w:rPr>
          <w:rFonts w:asciiTheme="majorBidi" w:hAnsiTheme="majorBidi" w:cstheme="majorBidi"/>
        </w:rPr>
        <w:t xml:space="preserve">The evidence sources and assumptions used when generating susceptibility data for use in the economic model (for both CAZ-AVI and the comparators) are described in </w:t>
      </w:r>
      <w:r w:rsidR="00AE14F3" w:rsidRPr="00AE14F3">
        <w:rPr>
          <w:rFonts w:asciiTheme="majorBidi" w:hAnsiTheme="majorBidi" w:cstheme="majorBidi"/>
        </w:rPr>
        <w:t>Table 23</w:t>
      </w:r>
      <w:r w:rsidR="00EE4C38">
        <w:rPr>
          <w:rFonts w:asciiTheme="majorBidi" w:hAnsiTheme="majorBidi" w:cstheme="majorBidi"/>
        </w:rPr>
        <w:t xml:space="preserve"> </w:t>
      </w:r>
      <w:r w:rsidRPr="00DA453A">
        <w:rPr>
          <w:rFonts w:asciiTheme="majorBidi" w:hAnsiTheme="majorBidi" w:cstheme="majorBidi"/>
        </w:rPr>
        <w:t xml:space="preserve">with resulting deterministic input values provided in </w:t>
      </w:r>
      <w:r w:rsidR="00BB49F0" w:rsidRPr="00BB49F0">
        <w:rPr>
          <w:rFonts w:asciiTheme="majorBidi" w:hAnsiTheme="majorBidi" w:cstheme="majorBidi"/>
        </w:rPr>
        <w:t xml:space="preserve">Table </w:t>
      </w:r>
      <w:r w:rsidR="00BB49F0" w:rsidRPr="00BB49F0">
        <w:rPr>
          <w:rFonts w:asciiTheme="majorBidi" w:hAnsiTheme="majorBidi" w:cstheme="majorBidi"/>
          <w:noProof/>
        </w:rPr>
        <w:t>24</w:t>
      </w:r>
      <w:r w:rsidRPr="00DA453A">
        <w:rPr>
          <w:rFonts w:asciiTheme="majorBidi" w:hAnsiTheme="majorBidi" w:cstheme="majorBidi"/>
        </w:rPr>
        <w:t xml:space="preserve">. </w:t>
      </w:r>
    </w:p>
    <w:p w14:paraId="0802BB2A" w14:textId="40D672A8"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 xml:space="preserve">CAZ-AVI susceptibility is 88-99% across scenarios for both the ES and MDS. In the </w:t>
      </w:r>
      <w:r w:rsidR="008E4948">
        <w:rPr>
          <w:rFonts w:asciiTheme="majorBidi" w:hAnsiTheme="majorBidi" w:cstheme="majorBidi"/>
        </w:rPr>
        <w:t>ES</w:t>
      </w:r>
      <w:r w:rsidRPr="00DA453A">
        <w:rPr>
          <w:rFonts w:asciiTheme="majorBidi" w:hAnsiTheme="majorBidi" w:cstheme="majorBidi"/>
        </w:rPr>
        <w:t xml:space="preserve"> CAZ-AVI is associated with similar susceptibility to the best available colistin or aminoglycoside-based therapies, which across scenarios is 89-97%.  The best available non-colistin or aminoglycoside-based therapy is </w:t>
      </w:r>
      <w:r w:rsidRPr="00DA453A">
        <w:rPr>
          <w:rFonts w:asciiTheme="majorBidi" w:hAnsiTheme="majorBidi" w:cstheme="majorBidi"/>
        </w:rPr>
        <w:lastRenderedPageBreak/>
        <w:t>associated with lower and more variable susceptibility across scenarios of 7-35%. In the MDS</w:t>
      </w:r>
      <w:r w:rsidR="008B6D4A">
        <w:rPr>
          <w:rFonts w:asciiTheme="majorBidi" w:hAnsiTheme="majorBidi" w:cstheme="majorBidi"/>
        </w:rPr>
        <w:t>,</w:t>
      </w:r>
      <w:r w:rsidRPr="00DA453A">
        <w:rPr>
          <w:rFonts w:asciiTheme="majorBidi" w:hAnsiTheme="majorBidi" w:cstheme="majorBidi"/>
        </w:rPr>
        <w:t xml:space="preserve"> scenarios 1</w:t>
      </w:r>
      <w:r w:rsidR="008B6D4A">
        <w:rPr>
          <w:rFonts w:asciiTheme="majorBidi" w:hAnsiTheme="majorBidi" w:cstheme="majorBidi"/>
        </w:rPr>
        <w:t xml:space="preserve"> to </w:t>
      </w:r>
      <w:r w:rsidRPr="00DA453A">
        <w:rPr>
          <w:rFonts w:asciiTheme="majorBidi" w:hAnsiTheme="majorBidi" w:cstheme="majorBidi"/>
        </w:rPr>
        <w:t xml:space="preserve">3 indicate that 65-73% of patients will be susceptible to a non-colistin/aminoglycoside-based treatment, and 27-35% only to a colistin/aminoglycoside-based treatment. Scenario 4 indicates poorer susceptibility with 44% susceptible only to a colistin/aminoglycoside-based </w:t>
      </w:r>
      <w:r w:rsidRPr="008B6D4A">
        <w:rPr>
          <w:rFonts w:ascii="Times New Roman" w:hAnsi="Times New Roman" w:cs="Times New Roman"/>
        </w:rPr>
        <w:t>treatment.</w:t>
      </w:r>
      <w:r w:rsidR="008B6D4A" w:rsidRPr="008B6D4A">
        <w:rPr>
          <w:rFonts w:ascii="Times New Roman" w:hAnsi="Times New Roman" w:cs="Times New Roman"/>
        </w:rPr>
        <w:t xml:space="preserve"> This is primarily due to the exclusion of tigecycline in this scenario due to a lack of evidence.</w:t>
      </w:r>
    </w:p>
    <w:p w14:paraId="5AD32CF0" w14:textId="77777777" w:rsidR="00DA453A" w:rsidRDefault="00DA453A" w:rsidP="009E265F">
      <w:pPr>
        <w:pStyle w:val="table"/>
      </w:pPr>
      <w:bookmarkStart w:id="398" w:name="_Ref83302796"/>
      <w:bookmarkStart w:id="399" w:name="_Ref83302783"/>
      <w:bookmarkStart w:id="400" w:name="_Toc83589979"/>
    </w:p>
    <w:p w14:paraId="13A1CE65" w14:textId="16361B4F" w:rsidR="00A4788F" w:rsidRPr="00AE14F3" w:rsidRDefault="00EE4C38" w:rsidP="00EE4C38">
      <w:pPr>
        <w:pStyle w:val="Caption"/>
        <w:rPr>
          <w:rFonts w:asciiTheme="majorBidi" w:hAnsiTheme="majorBidi" w:cstheme="majorBidi"/>
          <w:b/>
          <w:bCs/>
          <w:i w:val="0"/>
          <w:iCs w:val="0"/>
          <w:color w:val="auto"/>
          <w:sz w:val="20"/>
          <w:szCs w:val="20"/>
        </w:rPr>
      </w:pPr>
      <w:bookmarkStart w:id="401" w:name="_Ref85643415"/>
      <w:bookmarkStart w:id="402" w:name="_Toc86419000"/>
      <w:bookmarkEnd w:id="398"/>
      <w:r w:rsidRPr="00AE14F3">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23</w:t>
      </w:r>
      <w:bookmarkEnd w:id="401"/>
      <w:r w:rsidR="00AE14F3">
        <w:rPr>
          <w:rFonts w:asciiTheme="majorBidi" w:hAnsiTheme="majorBidi" w:cstheme="majorBidi"/>
          <w:b/>
          <w:bCs/>
          <w:i w:val="0"/>
          <w:iCs w:val="0"/>
          <w:color w:val="auto"/>
          <w:sz w:val="20"/>
          <w:szCs w:val="20"/>
        </w:rPr>
        <w:t xml:space="preserve">: </w:t>
      </w:r>
      <w:r w:rsidR="00A4788F" w:rsidRPr="00AE14F3">
        <w:rPr>
          <w:rFonts w:asciiTheme="majorBidi" w:hAnsiTheme="majorBidi" w:cstheme="majorBidi"/>
          <w:b/>
          <w:bCs/>
          <w:i w:val="0"/>
          <w:iCs w:val="0"/>
          <w:color w:val="auto"/>
          <w:sz w:val="20"/>
          <w:szCs w:val="20"/>
        </w:rPr>
        <w:t xml:space="preserve">Sources and assumptions for </w:t>
      </w:r>
      <w:r w:rsidR="00593E66" w:rsidRPr="00AE14F3">
        <w:rPr>
          <w:rFonts w:asciiTheme="majorBidi" w:hAnsiTheme="majorBidi" w:cstheme="majorBidi"/>
          <w:b/>
          <w:bCs/>
          <w:i w:val="0"/>
          <w:iCs w:val="0"/>
          <w:color w:val="auto"/>
          <w:sz w:val="20"/>
          <w:szCs w:val="20"/>
        </w:rPr>
        <w:t>susceptibility</w:t>
      </w:r>
      <w:r w:rsidR="00A4788F" w:rsidRPr="00AE14F3">
        <w:rPr>
          <w:rFonts w:asciiTheme="majorBidi" w:hAnsiTheme="majorBidi" w:cstheme="majorBidi"/>
          <w:b/>
          <w:bCs/>
          <w:i w:val="0"/>
          <w:iCs w:val="0"/>
          <w:color w:val="auto"/>
          <w:sz w:val="20"/>
          <w:szCs w:val="20"/>
        </w:rPr>
        <w:t xml:space="preserve"> data</w:t>
      </w:r>
      <w:bookmarkEnd w:id="399"/>
      <w:bookmarkEnd w:id="400"/>
      <w:bookmarkEnd w:id="402"/>
    </w:p>
    <w:tbl>
      <w:tblPr>
        <w:tblStyle w:val="TableGrid"/>
        <w:tblW w:w="9918" w:type="dxa"/>
        <w:tblLook w:val="04A0" w:firstRow="1" w:lastRow="0" w:firstColumn="1" w:lastColumn="0" w:noHBand="0" w:noVBand="1"/>
      </w:tblPr>
      <w:tblGrid>
        <w:gridCol w:w="1271"/>
        <w:gridCol w:w="5670"/>
        <w:gridCol w:w="2977"/>
      </w:tblGrid>
      <w:tr w:rsidR="00A4788F" w:rsidRPr="004A4B7C" w14:paraId="6F2E1A1B" w14:textId="77777777" w:rsidTr="00A4788F">
        <w:tc>
          <w:tcPr>
            <w:tcW w:w="1271" w:type="dxa"/>
          </w:tcPr>
          <w:p w14:paraId="25CFEDE9" w14:textId="77777777" w:rsidR="00A4788F" w:rsidRPr="004A4B7C" w:rsidRDefault="00A4788F" w:rsidP="00A4788F">
            <w:pPr>
              <w:rPr>
                <w:rFonts w:asciiTheme="majorBidi" w:hAnsiTheme="majorBidi" w:cstheme="majorBidi"/>
                <w:b/>
                <w:bCs/>
                <w:sz w:val="20"/>
                <w:szCs w:val="20"/>
              </w:rPr>
            </w:pPr>
            <w:r w:rsidRPr="004A4B7C">
              <w:rPr>
                <w:rFonts w:asciiTheme="majorBidi" w:hAnsiTheme="majorBidi" w:cstheme="majorBidi"/>
                <w:b/>
                <w:bCs/>
                <w:sz w:val="20"/>
                <w:szCs w:val="20"/>
              </w:rPr>
              <w:t>Scenario</w:t>
            </w:r>
          </w:p>
        </w:tc>
        <w:tc>
          <w:tcPr>
            <w:tcW w:w="5670" w:type="dxa"/>
          </w:tcPr>
          <w:p w14:paraId="34E6BBFE" w14:textId="77777777" w:rsidR="00A4788F" w:rsidRPr="004A4B7C" w:rsidRDefault="00A4788F" w:rsidP="00A4788F">
            <w:pPr>
              <w:rPr>
                <w:rFonts w:asciiTheme="majorBidi" w:hAnsiTheme="majorBidi" w:cstheme="majorBidi"/>
                <w:b/>
                <w:bCs/>
                <w:sz w:val="20"/>
                <w:szCs w:val="20"/>
              </w:rPr>
            </w:pPr>
            <w:r w:rsidRPr="004A4B7C">
              <w:rPr>
                <w:rFonts w:asciiTheme="majorBidi" w:hAnsiTheme="majorBidi" w:cstheme="majorBidi"/>
                <w:b/>
                <w:bCs/>
                <w:sz w:val="20"/>
                <w:szCs w:val="20"/>
              </w:rPr>
              <w:t>Source of susceptibility data</w:t>
            </w:r>
          </w:p>
        </w:tc>
        <w:tc>
          <w:tcPr>
            <w:tcW w:w="2977" w:type="dxa"/>
          </w:tcPr>
          <w:p w14:paraId="12C6C988" w14:textId="77777777" w:rsidR="00A4788F" w:rsidRPr="004A4B7C" w:rsidRDefault="00A4788F" w:rsidP="00A4788F">
            <w:pPr>
              <w:rPr>
                <w:rFonts w:asciiTheme="majorBidi" w:hAnsiTheme="majorBidi" w:cstheme="majorBidi"/>
                <w:b/>
                <w:bCs/>
                <w:sz w:val="20"/>
                <w:szCs w:val="20"/>
              </w:rPr>
            </w:pPr>
            <w:r w:rsidRPr="004A4B7C">
              <w:rPr>
                <w:rFonts w:asciiTheme="majorBidi" w:hAnsiTheme="majorBidi" w:cstheme="majorBidi"/>
                <w:b/>
                <w:bCs/>
                <w:sz w:val="20"/>
                <w:szCs w:val="20"/>
              </w:rPr>
              <w:t>Empiric setting: assume independence?</w:t>
            </w:r>
          </w:p>
        </w:tc>
      </w:tr>
      <w:tr w:rsidR="00A4788F" w:rsidRPr="004A4B7C" w14:paraId="50CA4E34" w14:textId="77777777" w:rsidTr="00A4788F">
        <w:tc>
          <w:tcPr>
            <w:tcW w:w="1271" w:type="dxa"/>
          </w:tcPr>
          <w:p w14:paraId="56AC6462"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Base-case</w:t>
            </w:r>
          </w:p>
        </w:tc>
        <w:tc>
          <w:tcPr>
            <w:tcW w:w="5670" w:type="dxa"/>
          </w:tcPr>
          <w:p w14:paraId="2E93F711"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Network meta-analysis: EUCAST studies</w:t>
            </w:r>
          </w:p>
        </w:tc>
        <w:tc>
          <w:tcPr>
            <w:tcW w:w="2977" w:type="dxa"/>
          </w:tcPr>
          <w:p w14:paraId="7D7A1D7D"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Yes</w:t>
            </w:r>
          </w:p>
        </w:tc>
      </w:tr>
      <w:tr w:rsidR="00A4788F" w:rsidRPr="004A4B7C" w14:paraId="64EF3D1F" w14:textId="77777777" w:rsidTr="00A4788F">
        <w:tc>
          <w:tcPr>
            <w:tcW w:w="1271" w:type="dxa"/>
          </w:tcPr>
          <w:p w14:paraId="7C26FC3A"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S1</w:t>
            </w:r>
          </w:p>
        </w:tc>
        <w:tc>
          <w:tcPr>
            <w:tcW w:w="5670" w:type="dxa"/>
          </w:tcPr>
          <w:p w14:paraId="7EA72704"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Network meta-analysis: EUCAST studies</w:t>
            </w:r>
          </w:p>
        </w:tc>
        <w:tc>
          <w:tcPr>
            <w:tcW w:w="2977" w:type="dxa"/>
          </w:tcPr>
          <w:p w14:paraId="6D90BEA9"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No</w:t>
            </w:r>
          </w:p>
        </w:tc>
      </w:tr>
      <w:tr w:rsidR="00A4788F" w:rsidRPr="004A4B7C" w14:paraId="58F5A3AB" w14:textId="77777777" w:rsidTr="00A4788F">
        <w:tc>
          <w:tcPr>
            <w:tcW w:w="1271" w:type="dxa"/>
          </w:tcPr>
          <w:p w14:paraId="4908C579"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S2</w:t>
            </w:r>
          </w:p>
        </w:tc>
        <w:tc>
          <w:tcPr>
            <w:tcW w:w="5670" w:type="dxa"/>
          </w:tcPr>
          <w:p w14:paraId="708C8C6B"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Network meta-analysis: include all studies regardless of breakpoints, excluding specific arms due to inconsistency</w:t>
            </w:r>
          </w:p>
        </w:tc>
        <w:tc>
          <w:tcPr>
            <w:tcW w:w="2977" w:type="dxa"/>
          </w:tcPr>
          <w:p w14:paraId="5AF3E06D"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Yes</w:t>
            </w:r>
          </w:p>
        </w:tc>
      </w:tr>
      <w:tr w:rsidR="00A4788F" w:rsidRPr="004A4B7C" w14:paraId="31279EEA" w14:textId="77777777" w:rsidTr="00A4788F">
        <w:tc>
          <w:tcPr>
            <w:tcW w:w="1271" w:type="dxa"/>
          </w:tcPr>
          <w:p w14:paraId="6294AA71"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S3</w:t>
            </w:r>
          </w:p>
        </w:tc>
        <w:tc>
          <w:tcPr>
            <w:tcW w:w="5670" w:type="dxa"/>
          </w:tcPr>
          <w:p w14:paraId="7C5B8A49"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 xml:space="preserve">PHE isolate-level data (excludes </w:t>
            </w:r>
            <w:proofErr w:type="spellStart"/>
            <w:r w:rsidRPr="004A4B7C">
              <w:rPr>
                <w:rFonts w:asciiTheme="majorBidi" w:hAnsiTheme="majorBidi" w:cstheme="majorBidi"/>
                <w:sz w:val="20"/>
                <w:szCs w:val="20"/>
              </w:rPr>
              <w:t>fosfomycin</w:t>
            </w:r>
            <w:proofErr w:type="spellEnd"/>
            <w:r w:rsidRPr="004A4B7C">
              <w:rPr>
                <w:rFonts w:asciiTheme="majorBidi" w:hAnsiTheme="majorBidi" w:cstheme="majorBidi"/>
                <w:sz w:val="20"/>
                <w:szCs w:val="20"/>
              </w:rPr>
              <w:t>)</w:t>
            </w:r>
          </w:p>
        </w:tc>
        <w:tc>
          <w:tcPr>
            <w:tcW w:w="2977" w:type="dxa"/>
          </w:tcPr>
          <w:p w14:paraId="5ED51F88"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No</w:t>
            </w:r>
          </w:p>
        </w:tc>
      </w:tr>
      <w:tr w:rsidR="00A4788F" w:rsidRPr="004A4B7C" w14:paraId="3EAC8604" w14:textId="77777777" w:rsidTr="00A4788F">
        <w:tc>
          <w:tcPr>
            <w:tcW w:w="1271" w:type="dxa"/>
          </w:tcPr>
          <w:p w14:paraId="5808502C"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S4</w:t>
            </w:r>
          </w:p>
        </w:tc>
        <w:tc>
          <w:tcPr>
            <w:tcW w:w="5670" w:type="dxa"/>
          </w:tcPr>
          <w:p w14:paraId="51F887AB" w14:textId="77777777" w:rsidR="00A4788F" w:rsidRPr="004A4B7C" w:rsidRDefault="00A4788F" w:rsidP="00A4788F">
            <w:pPr>
              <w:rPr>
                <w:rFonts w:asciiTheme="majorBidi" w:hAnsiTheme="majorBidi" w:cstheme="majorBidi"/>
                <w:sz w:val="20"/>
                <w:szCs w:val="20"/>
                <w:lang w:val="fr-FR"/>
              </w:rPr>
            </w:pPr>
            <w:r w:rsidRPr="004A4B7C">
              <w:rPr>
                <w:rFonts w:asciiTheme="majorBidi" w:hAnsiTheme="majorBidi" w:cstheme="majorBidi"/>
                <w:sz w:val="20"/>
                <w:szCs w:val="20"/>
                <w:lang w:val="fr-FR"/>
              </w:rPr>
              <w:t xml:space="preserve">Vasquez-Ucha </w:t>
            </w:r>
            <w:r w:rsidRPr="004A4B7C">
              <w:rPr>
                <w:rFonts w:asciiTheme="majorBidi" w:hAnsiTheme="majorBidi" w:cstheme="majorBidi"/>
                <w:i/>
                <w:sz w:val="20"/>
                <w:szCs w:val="20"/>
                <w:lang w:val="fr-FR"/>
              </w:rPr>
              <w:t>et al</w:t>
            </w:r>
            <w:r w:rsidRPr="004A4B7C">
              <w:rPr>
                <w:rFonts w:asciiTheme="majorBidi" w:hAnsiTheme="majorBidi" w:cstheme="majorBidi"/>
                <w:sz w:val="20"/>
                <w:szCs w:val="20"/>
                <w:lang w:val="fr-FR"/>
              </w:rPr>
              <w:t xml:space="preserve">. </w:t>
            </w:r>
            <w:proofErr w:type="spellStart"/>
            <w:proofErr w:type="gramStart"/>
            <w:r w:rsidRPr="004A4B7C">
              <w:rPr>
                <w:rFonts w:asciiTheme="majorBidi" w:hAnsiTheme="majorBidi" w:cstheme="majorBidi"/>
                <w:sz w:val="20"/>
                <w:szCs w:val="20"/>
                <w:lang w:val="fr-FR"/>
              </w:rPr>
              <w:t>isolate</w:t>
            </w:r>
            <w:proofErr w:type="gramEnd"/>
            <w:r w:rsidRPr="004A4B7C">
              <w:rPr>
                <w:rFonts w:asciiTheme="majorBidi" w:hAnsiTheme="majorBidi" w:cstheme="majorBidi"/>
                <w:sz w:val="20"/>
                <w:szCs w:val="20"/>
                <w:lang w:val="fr-FR"/>
              </w:rPr>
              <w:t>-level</w:t>
            </w:r>
            <w:proofErr w:type="spellEnd"/>
            <w:r w:rsidRPr="004A4B7C">
              <w:rPr>
                <w:rFonts w:asciiTheme="majorBidi" w:hAnsiTheme="majorBidi" w:cstheme="majorBidi"/>
                <w:sz w:val="20"/>
                <w:szCs w:val="20"/>
                <w:lang w:val="fr-FR"/>
              </w:rPr>
              <w:t xml:space="preserve"> data (</w:t>
            </w:r>
            <w:proofErr w:type="spellStart"/>
            <w:r w:rsidRPr="004A4B7C">
              <w:rPr>
                <w:rFonts w:asciiTheme="majorBidi" w:hAnsiTheme="majorBidi" w:cstheme="majorBidi"/>
                <w:sz w:val="20"/>
                <w:szCs w:val="20"/>
                <w:lang w:val="fr-FR"/>
              </w:rPr>
              <w:t>excludes</w:t>
            </w:r>
            <w:proofErr w:type="spellEnd"/>
            <w:r w:rsidRPr="004A4B7C">
              <w:rPr>
                <w:rFonts w:asciiTheme="majorBidi" w:hAnsiTheme="majorBidi" w:cstheme="majorBidi"/>
                <w:sz w:val="20"/>
                <w:szCs w:val="20"/>
                <w:lang w:val="fr-FR"/>
              </w:rPr>
              <w:t xml:space="preserve"> </w:t>
            </w:r>
            <w:proofErr w:type="spellStart"/>
            <w:r w:rsidRPr="004A4B7C">
              <w:rPr>
                <w:rFonts w:asciiTheme="majorBidi" w:hAnsiTheme="majorBidi" w:cstheme="majorBidi"/>
                <w:sz w:val="20"/>
                <w:szCs w:val="20"/>
                <w:lang w:val="fr-FR"/>
              </w:rPr>
              <w:t>tigecycline</w:t>
            </w:r>
            <w:proofErr w:type="spellEnd"/>
            <w:r w:rsidRPr="004A4B7C">
              <w:rPr>
                <w:rFonts w:asciiTheme="majorBidi" w:hAnsiTheme="majorBidi" w:cstheme="majorBidi"/>
                <w:sz w:val="20"/>
                <w:szCs w:val="20"/>
                <w:lang w:val="fr-FR"/>
              </w:rPr>
              <w:t>)</w:t>
            </w:r>
          </w:p>
        </w:tc>
        <w:tc>
          <w:tcPr>
            <w:tcW w:w="2977" w:type="dxa"/>
          </w:tcPr>
          <w:p w14:paraId="4679833D" w14:textId="77777777" w:rsidR="00A4788F" w:rsidRPr="004A4B7C" w:rsidRDefault="00A4788F" w:rsidP="00A4788F">
            <w:pPr>
              <w:rPr>
                <w:rFonts w:asciiTheme="majorBidi" w:hAnsiTheme="majorBidi" w:cstheme="majorBidi"/>
                <w:sz w:val="20"/>
                <w:szCs w:val="20"/>
              </w:rPr>
            </w:pPr>
            <w:r w:rsidRPr="004A4B7C">
              <w:rPr>
                <w:rFonts w:asciiTheme="majorBidi" w:hAnsiTheme="majorBidi" w:cstheme="majorBidi"/>
                <w:sz w:val="20"/>
                <w:szCs w:val="20"/>
              </w:rPr>
              <w:t>No</w:t>
            </w:r>
          </w:p>
        </w:tc>
      </w:tr>
    </w:tbl>
    <w:p w14:paraId="7B9E0C89" w14:textId="0F021BED" w:rsidR="00A4788F" w:rsidRDefault="00774411" w:rsidP="00A4788F">
      <w:pPr>
        <w:jc w:val="both"/>
      </w:pPr>
      <w:r w:rsidRPr="003D0997">
        <w:t>EUCAST, European Committee on Antimicrobial Susceptibility Testing</w:t>
      </w:r>
      <w:r>
        <w:t xml:space="preserve">; </w:t>
      </w:r>
      <w:r w:rsidRPr="003D0997">
        <w:t>PHE, Public Health England</w:t>
      </w:r>
    </w:p>
    <w:p w14:paraId="0D6E87CC" w14:textId="4BF8B0E7" w:rsidR="00A4788F" w:rsidRDefault="00A4788F" w:rsidP="009E265F">
      <w:pPr>
        <w:pStyle w:val="table"/>
      </w:pPr>
      <w:bookmarkStart w:id="403" w:name="_Ref83302941"/>
      <w:bookmarkStart w:id="404" w:name="_Toc83589980"/>
      <w:bookmarkStart w:id="405" w:name="_Toc86419001"/>
      <w:r>
        <w:t xml:space="preserve">Table </w:t>
      </w:r>
      <w:r w:rsidR="00F10F0A">
        <w:rPr>
          <w:noProof/>
        </w:rPr>
        <w:t>24</w:t>
      </w:r>
      <w:bookmarkEnd w:id="403"/>
      <w:r w:rsidR="00AE14F3">
        <w:t xml:space="preserve">: </w:t>
      </w:r>
      <w:r w:rsidR="00593E66">
        <w:t>Susceptibility</w:t>
      </w:r>
      <w:r>
        <w:t xml:space="preserve"> values used in the economic model</w:t>
      </w:r>
      <w:bookmarkEnd w:id="404"/>
      <w:bookmarkEnd w:id="405"/>
    </w:p>
    <w:tbl>
      <w:tblPr>
        <w:tblStyle w:val="TableGrid"/>
        <w:tblW w:w="9488" w:type="dxa"/>
        <w:tblLayout w:type="fixed"/>
        <w:tblLook w:val="04A0" w:firstRow="1" w:lastRow="0" w:firstColumn="1" w:lastColumn="0" w:noHBand="0" w:noVBand="1"/>
      </w:tblPr>
      <w:tblGrid>
        <w:gridCol w:w="2433"/>
        <w:gridCol w:w="1389"/>
        <w:gridCol w:w="1395"/>
        <w:gridCol w:w="1395"/>
        <w:gridCol w:w="1438"/>
        <w:gridCol w:w="1438"/>
      </w:tblGrid>
      <w:tr w:rsidR="00A4788F" w:rsidRPr="004A4B7C" w14:paraId="4A4146E0" w14:textId="77777777" w:rsidTr="00A4788F">
        <w:tc>
          <w:tcPr>
            <w:tcW w:w="2433" w:type="dxa"/>
          </w:tcPr>
          <w:p w14:paraId="43530A43" w14:textId="77777777" w:rsidR="00A4788F" w:rsidRPr="004A4B7C" w:rsidRDefault="00A4788F" w:rsidP="004A4B7C">
            <w:pPr>
              <w:rPr>
                <w:rFonts w:ascii="Times New Roman" w:hAnsi="Times New Roman" w:cs="Times New Roman"/>
                <w:sz w:val="20"/>
                <w:szCs w:val="20"/>
              </w:rPr>
            </w:pPr>
          </w:p>
        </w:tc>
        <w:tc>
          <w:tcPr>
            <w:tcW w:w="1389" w:type="dxa"/>
            <w:vAlign w:val="center"/>
          </w:tcPr>
          <w:p w14:paraId="63BD7A90" w14:textId="77777777" w:rsidR="00A4788F" w:rsidRPr="004A4B7C" w:rsidRDefault="00A4788F" w:rsidP="004A4B7C">
            <w:pPr>
              <w:jc w:val="center"/>
              <w:rPr>
                <w:rFonts w:ascii="Times New Roman" w:hAnsi="Times New Roman" w:cs="Times New Roman"/>
                <w:b/>
                <w:bCs/>
                <w:sz w:val="20"/>
                <w:szCs w:val="20"/>
              </w:rPr>
            </w:pPr>
            <w:r w:rsidRPr="004A4B7C">
              <w:rPr>
                <w:rFonts w:ascii="Times New Roman" w:hAnsi="Times New Roman" w:cs="Times New Roman"/>
                <w:b/>
                <w:bCs/>
                <w:sz w:val="20"/>
                <w:szCs w:val="20"/>
              </w:rPr>
              <w:t>Base-case</w:t>
            </w:r>
          </w:p>
        </w:tc>
        <w:tc>
          <w:tcPr>
            <w:tcW w:w="1395" w:type="dxa"/>
            <w:vAlign w:val="center"/>
          </w:tcPr>
          <w:p w14:paraId="7713D86D" w14:textId="77777777" w:rsidR="00A4788F" w:rsidRPr="004A4B7C" w:rsidRDefault="00A4788F" w:rsidP="004A4B7C">
            <w:pPr>
              <w:jc w:val="center"/>
              <w:rPr>
                <w:rFonts w:ascii="Times New Roman" w:hAnsi="Times New Roman" w:cs="Times New Roman"/>
                <w:b/>
                <w:bCs/>
                <w:sz w:val="20"/>
                <w:szCs w:val="20"/>
              </w:rPr>
            </w:pPr>
            <w:r w:rsidRPr="004A4B7C">
              <w:rPr>
                <w:rFonts w:ascii="Times New Roman" w:hAnsi="Times New Roman" w:cs="Times New Roman"/>
                <w:b/>
                <w:bCs/>
                <w:sz w:val="20"/>
                <w:szCs w:val="20"/>
              </w:rPr>
              <w:t>S1</w:t>
            </w:r>
          </w:p>
        </w:tc>
        <w:tc>
          <w:tcPr>
            <w:tcW w:w="1395" w:type="dxa"/>
            <w:vAlign w:val="center"/>
          </w:tcPr>
          <w:p w14:paraId="4F62BFF0" w14:textId="77777777" w:rsidR="00A4788F" w:rsidRPr="004A4B7C" w:rsidRDefault="00A4788F" w:rsidP="004A4B7C">
            <w:pPr>
              <w:jc w:val="center"/>
              <w:rPr>
                <w:rFonts w:ascii="Times New Roman" w:hAnsi="Times New Roman" w:cs="Times New Roman"/>
                <w:b/>
                <w:bCs/>
                <w:sz w:val="20"/>
                <w:szCs w:val="20"/>
              </w:rPr>
            </w:pPr>
            <w:r w:rsidRPr="004A4B7C">
              <w:rPr>
                <w:rFonts w:ascii="Times New Roman" w:hAnsi="Times New Roman" w:cs="Times New Roman"/>
                <w:b/>
                <w:bCs/>
                <w:sz w:val="20"/>
                <w:szCs w:val="20"/>
              </w:rPr>
              <w:t>S2</w:t>
            </w:r>
          </w:p>
        </w:tc>
        <w:tc>
          <w:tcPr>
            <w:tcW w:w="1438" w:type="dxa"/>
            <w:vAlign w:val="center"/>
          </w:tcPr>
          <w:p w14:paraId="1A6A3B39" w14:textId="77777777" w:rsidR="00A4788F" w:rsidRPr="004A4B7C" w:rsidRDefault="00A4788F" w:rsidP="004A4B7C">
            <w:pPr>
              <w:jc w:val="center"/>
              <w:rPr>
                <w:rFonts w:ascii="Times New Roman" w:hAnsi="Times New Roman" w:cs="Times New Roman"/>
                <w:b/>
                <w:bCs/>
                <w:sz w:val="20"/>
                <w:szCs w:val="20"/>
              </w:rPr>
            </w:pPr>
            <w:r w:rsidRPr="004A4B7C">
              <w:rPr>
                <w:rFonts w:ascii="Times New Roman" w:hAnsi="Times New Roman" w:cs="Times New Roman"/>
                <w:b/>
                <w:bCs/>
                <w:sz w:val="20"/>
                <w:szCs w:val="20"/>
              </w:rPr>
              <w:t>S3</w:t>
            </w:r>
          </w:p>
        </w:tc>
        <w:tc>
          <w:tcPr>
            <w:tcW w:w="1438" w:type="dxa"/>
            <w:vAlign w:val="center"/>
          </w:tcPr>
          <w:p w14:paraId="786EB5CC" w14:textId="77777777" w:rsidR="00A4788F" w:rsidRPr="004A4B7C" w:rsidRDefault="00A4788F" w:rsidP="004A4B7C">
            <w:pPr>
              <w:jc w:val="center"/>
              <w:rPr>
                <w:rFonts w:ascii="Times New Roman" w:hAnsi="Times New Roman" w:cs="Times New Roman"/>
                <w:b/>
                <w:bCs/>
                <w:sz w:val="20"/>
                <w:szCs w:val="20"/>
              </w:rPr>
            </w:pPr>
            <w:r w:rsidRPr="004A4B7C">
              <w:rPr>
                <w:rFonts w:ascii="Times New Roman" w:hAnsi="Times New Roman" w:cs="Times New Roman"/>
                <w:b/>
                <w:bCs/>
                <w:sz w:val="20"/>
                <w:szCs w:val="20"/>
              </w:rPr>
              <w:t>S4</w:t>
            </w:r>
          </w:p>
        </w:tc>
      </w:tr>
      <w:tr w:rsidR="00A4788F" w:rsidRPr="004A4B7C" w14:paraId="60EC51E3" w14:textId="77777777" w:rsidTr="00A4788F">
        <w:tc>
          <w:tcPr>
            <w:tcW w:w="2433" w:type="dxa"/>
          </w:tcPr>
          <w:p w14:paraId="4548CB47"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Empiric treatment setting</w:t>
            </w:r>
          </w:p>
        </w:tc>
        <w:tc>
          <w:tcPr>
            <w:tcW w:w="1389" w:type="dxa"/>
            <w:vAlign w:val="center"/>
          </w:tcPr>
          <w:p w14:paraId="14AB3CB6" w14:textId="77777777" w:rsidR="00A4788F" w:rsidRPr="004A4B7C" w:rsidRDefault="00A4788F" w:rsidP="004A4B7C">
            <w:pPr>
              <w:jc w:val="center"/>
              <w:rPr>
                <w:rFonts w:ascii="Times New Roman" w:hAnsi="Times New Roman" w:cs="Times New Roman"/>
                <w:sz w:val="20"/>
                <w:szCs w:val="20"/>
              </w:rPr>
            </w:pPr>
          </w:p>
        </w:tc>
        <w:tc>
          <w:tcPr>
            <w:tcW w:w="1395" w:type="dxa"/>
            <w:vAlign w:val="center"/>
          </w:tcPr>
          <w:p w14:paraId="0844C466" w14:textId="77777777" w:rsidR="00A4788F" w:rsidRPr="004A4B7C" w:rsidRDefault="00A4788F" w:rsidP="004A4B7C">
            <w:pPr>
              <w:jc w:val="center"/>
              <w:rPr>
                <w:rFonts w:ascii="Times New Roman" w:hAnsi="Times New Roman" w:cs="Times New Roman"/>
                <w:sz w:val="20"/>
                <w:szCs w:val="20"/>
              </w:rPr>
            </w:pPr>
          </w:p>
        </w:tc>
        <w:tc>
          <w:tcPr>
            <w:tcW w:w="1395" w:type="dxa"/>
            <w:vAlign w:val="center"/>
          </w:tcPr>
          <w:p w14:paraId="512F2BF6" w14:textId="77777777" w:rsidR="00A4788F" w:rsidRPr="004A4B7C" w:rsidRDefault="00A4788F" w:rsidP="004A4B7C">
            <w:pPr>
              <w:jc w:val="center"/>
              <w:rPr>
                <w:rFonts w:ascii="Times New Roman" w:hAnsi="Times New Roman" w:cs="Times New Roman"/>
                <w:sz w:val="20"/>
                <w:szCs w:val="20"/>
              </w:rPr>
            </w:pPr>
          </w:p>
        </w:tc>
        <w:tc>
          <w:tcPr>
            <w:tcW w:w="1438" w:type="dxa"/>
            <w:vAlign w:val="center"/>
          </w:tcPr>
          <w:p w14:paraId="19B64AF8" w14:textId="77777777" w:rsidR="00A4788F" w:rsidRPr="004A4B7C" w:rsidRDefault="00A4788F" w:rsidP="004A4B7C">
            <w:pPr>
              <w:jc w:val="center"/>
              <w:rPr>
                <w:rFonts w:ascii="Times New Roman" w:hAnsi="Times New Roman" w:cs="Times New Roman"/>
                <w:sz w:val="20"/>
                <w:szCs w:val="20"/>
              </w:rPr>
            </w:pPr>
          </w:p>
        </w:tc>
        <w:tc>
          <w:tcPr>
            <w:tcW w:w="1438" w:type="dxa"/>
            <w:vAlign w:val="center"/>
          </w:tcPr>
          <w:p w14:paraId="0166D454" w14:textId="77777777" w:rsidR="00A4788F" w:rsidRPr="004A4B7C" w:rsidRDefault="00A4788F" w:rsidP="004A4B7C">
            <w:pPr>
              <w:jc w:val="center"/>
              <w:rPr>
                <w:rFonts w:ascii="Times New Roman" w:hAnsi="Times New Roman" w:cs="Times New Roman"/>
                <w:sz w:val="20"/>
                <w:szCs w:val="20"/>
              </w:rPr>
            </w:pPr>
          </w:p>
        </w:tc>
      </w:tr>
      <w:tr w:rsidR="00A4788F" w:rsidRPr="004A4B7C" w14:paraId="6DFD6221" w14:textId="77777777" w:rsidTr="00A4788F">
        <w:tc>
          <w:tcPr>
            <w:tcW w:w="2433" w:type="dxa"/>
          </w:tcPr>
          <w:p w14:paraId="650E5438" w14:textId="77777777" w:rsidR="00A4788F" w:rsidRPr="004A4B7C" w:rsidRDefault="00A4788F" w:rsidP="004A4B7C">
            <w:pPr>
              <w:rPr>
                <w:rFonts w:ascii="Times New Roman" w:hAnsi="Times New Roman" w:cs="Times New Roman"/>
                <w:sz w:val="20"/>
                <w:szCs w:val="20"/>
              </w:rPr>
            </w:pPr>
            <w:bookmarkStart w:id="406" w:name="_Hlk84423870"/>
            <w:r w:rsidRPr="004A4B7C">
              <w:rPr>
                <w:rFonts w:ascii="Times New Roman" w:hAnsi="Times New Roman" w:cs="Times New Roman"/>
                <w:sz w:val="20"/>
                <w:szCs w:val="20"/>
              </w:rPr>
              <w:t>Susceptibility to the most effective non-colistin/ aminoglycoside</w:t>
            </w:r>
            <w:bookmarkEnd w:id="406"/>
          </w:p>
        </w:tc>
        <w:tc>
          <w:tcPr>
            <w:tcW w:w="1389" w:type="dxa"/>
            <w:vAlign w:val="center"/>
          </w:tcPr>
          <w:p w14:paraId="71C1DD14" w14:textId="3F86FCFB" w:rsidR="00A4788F" w:rsidRPr="004A4B7C" w:rsidRDefault="007F4B0C" w:rsidP="004A4B7C">
            <w:pPr>
              <w:jc w:val="center"/>
              <w:rPr>
                <w:rFonts w:ascii="Times New Roman" w:hAnsi="Times New Roman" w:cs="Times New Roman"/>
                <w:sz w:val="20"/>
                <w:szCs w:val="20"/>
              </w:rPr>
            </w:pPr>
            <w:r w:rsidRPr="004A4B7C">
              <w:rPr>
                <w:rFonts w:ascii="Times New Roman" w:hAnsi="Times New Roman" w:cs="Times New Roman"/>
                <w:sz w:val="20"/>
                <w:szCs w:val="20"/>
              </w:rPr>
              <w:t>35</w:t>
            </w:r>
            <w:r w:rsidR="00A4788F" w:rsidRPr="004A4B7C">
              <w:rPr>
                <w:rFonts w:ascii="Times New Roman" w:hAnsi="Times New Roman" w:cs="Times New Roman"/>
                <w:sz w:val="20"/>
                <w:szCs w:val="20"/>
              </w:rPr>
              <w:t>%</w:t>
            </w:r>
          </w:p>
        </w:tc>
        <w:tc>
          <w:tcPr>
            <w:tcW w:w="1395" w:type="dxa"/>
            <w:vAlign w:val="center"/>
          </w:tcPr>
          <w:p w14:paraId="354B4852" w14:textId="594F82B3" w:rsidR="00A4788F" w:rsidRPr="004A4B7C" w:rsidRDefault="000D2197" w:rsidP="004A4B7C">
            <w:pPr>
              <w:jc w:val="center"/>
              <w:rPr>
                <w:rFonts w:ascii="Times New Roman" w:hAnsi="Times New Roman" w:cs="Times New Roman"/>
                <w:sz w:val="20"/>
                <w:szCs w:val="20"/>
              </w:rPr>
            </w:pPr>
            <w:r w:rsidRPr="004A4B7C">
              <w:rPr>
                <w:rFonts w:ascii="Times New Roman" w:hAnsi="Times New Roman" w:cs="Times New Roman"/>
                <w:sz w:val="20"/>
                <w:szCs w:val="20"/>
              </w:rPr>
              <w:t>35</w:t>
            </w:r>
            <w:r w:rsidR="00A4788F" w:rsidRPr="004A4B7C">
              <w:rPr>
                <w:rFonts w:ascii="Times New Roman" w:hAnsi="Times New Roman" w:cs="Times New Roman"/>
                <w:sz w:val="20"/>
                <w:szCs w:val="20"/>
              </w:rPr>
              <w:t>%</w:t>
            </w:r>
          </w:p>
        </w:tc>
        <w:tc>
          <w:tcPr>
            <w:tcW w:w="1395" w:type="dxa"/>
            <w:vAlign w:val="center"/>
          </w:tcPr>
          <w:p w14:paraId="2422359A" w14:textId="2D69BA1B"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1</w:t>
            </w:r>
            <w:r w:rsidR="000D2197" w:rsidRPr="004A4B7C">
              <w:rPr>
                <w:rFonts w:ascii="Times New Roman" w:hAnsi="Times New Roman" w:cs="Times New Roman"/>
                <w:sz w:val="20"/>
                <w:szCs w:val="20"/>
              </w:rPr>
              <w:t>8</w:t>
            </w:r>
            <w:r w:rsidRPr="004A4B7C">
              <w:rPr>
                <w:rFonts w:ascii="Times New Roman" w:hAnsi="Times New Roman" w:cs="Times New Roman"/>
                <w:sz w:val="20"/>
                <w:szCs w:val="20"/>
              </w:rPr>
              <w:t>%</w:t>
            </w:r>
          </w:p>
        </w:tc>
        <w:tc>
          <w:tcPr>
            <w:tcW w:w="1438" w:type="dxa"/>
            <w:vAlign w:val="center"/>
          </w:tcPr>
          <w:p w14:paraId="4F6F172E"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23%</w:t>
            </w:r>
          </w:p>
        </w:tc>
        <w:tc>
          <w:tcPr>
            <w:tcW w:w="1438" w:type="dxa"/>
            <w:vAlign w:val="center"/>
          </w:tcPr>
          <w:p w14:paraId="73D92F6D"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7%</w:t>
            </w:r>
          </w:p>
        </w:tc>
      </w:tr>
      <w:tr w:rsidR="00A4788F" w:rsidRPr="004A4B7C" w14:paraId="74ADAE5A" w14:textId="77777777" w:rsidTr="00A4788F">
        <w:tc>
          <w:tcPr>
            <w:tcW w:w="2433" w:type="dxa"/>
          </w:tcPr>
          <w:p w14:paraId="2CAA7DC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Most effective non-colistin/ aminoglycoside</w:t>
            </w:r>
          </w:p>
        </w:tc>
        <w:tc>
          <w:tcPr>
            <w:tcW w:w="1389" w:type="dxa"/>
            <w:vAlign w:val="center"/>
          </w:tcPr>
          <w:p w14:paraId="23A91E61"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Levofloxacin</w:t>
            </w:r>
          </w:p>
        </w:tc>
        <w:tc>
          <w:tcPr>
            <w:tcW w:w="1395" w:type="dxa"/>
            <w:vAlign w:val="center"/>
          </w:tcPr>
          <w:p w14:paraId="29FF4136"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Levofloxacin</w:t>
            </w:r>
          </w:p>
        </w:tc>
        <w:tc>
          <w:tcPr>
            <w:tcW w:w="1395" w:type="dxa"/>
            <w:vAlign w:val="center"/>
          </w:tcPr>
          <w:p w14:paraId="40758384"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Levofloxacin</w:t>
            </w:r>
          </w:p>
        </w:tc>
        <w:tc>
          <w:tcPr>
            <w:tcW w:w="1438" w:type="dxa"/>
            <w:vAlign w:val="center"/>
          </w:tcPr>
          <w:p w14:paraId="7743430E"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Ciprofloxacin</w:t>
            </w:r>
          </w:p>
        </w:tc>
        <w:tc>
          <w:tcPr>
            <w:tcW w:w="1438" w:type="dxa"/>
            <w:vAlign w:val="center"/>
          </w:tcPr>
          <w:p w14:paraId="6A7063B3"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Ciprofloxacin</w:t>
            </w:r>
          </w:p>
        </w:tc>
      </w:tr>
      <w:tr w:rsidR="00A4788F" w:rsidRPr="004A4B7C" w14:paraId="1C1F37AB" w14:textId="77777777" w:rsidTr="00A4788F">
        <w:tc>
          <w:tcPr>
            <w:tcW w:w="2433" w:type="dxa"/>
          </w:tcPr>
          <w:p w14:paraId="4606BB3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to the most effective colistin/ aminoglycoside</w:t>
            </w:r>
          </w:p>
        </w:tc>
        <w:tc>
          <w:tcPr>
            <w:tcW w:w="1389" w:type="dxa"/>
          </w:tcPr>
          <w:p w14:paraId="0B490506"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94%</w:t>
            </w:r>
          </w:p>
        </w:tc>
        <w:tc>
          <w:tcPr>
            <w:tcW w:w="1395" w:type="dxa"/>
          </w:tcPr>
          <w:p w14:paraId="0B527B11"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93%</w:t>
            </w:r>
          </w:p>
        </w:tc>
        <w:tc>
          <w:tcPr>
            <w:tcW w:w="1395" w:type="dxa"/>
          </w:tcPr>
          <w:p w14:paraId="76480461"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97%</w:t>
            </w:r>
          </w:p>
        </w:tc>
        <w:tc>
          <w:tcPr>
            <w:tcW w:w="1438" w:type="dxa"/>
          </w:tcPr>
          <w:p w14:paraId="43DCE8D6"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94%</w:t>
            </w:r>
          </w:p>
        </w:tc>
        <w:tc>
          <w:tcPr>
            <w:tcW w:w="1438" w:type="dxa"/>
          </w:tcPr>
          <w:p w14:paraId="0CDD2D4A"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89%</w:t>
            </w:r>
          </w:p>
        </w:tc>
      </w:tr>
      <w:tr w:rsidR="00A4788F" w:rsidRPr="004A4B7C" w14:paraId="23FF861E" w14:textId="77777777" w:rsidTr="00A4788F">
        <w:tc>
          <w:tcPr>
            <w:tcW w:w="2433" w:type="dxa"/>
          </w:tcPr>
          <w:p w14:paraId="74A74F0B"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Most effective colistin/ aminoglycoside</w:t>
            </w:r>
          </w:p>
        </w:tc>
        <w:tc>
          <w:tcPr>
            <w:tcW w:w="1389" w:type="dxa"/>
            <w:vAlign w:val="center"/>
          </w:tcPr>
          <w:p w14:paraId="5190547A"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Colistin + tigecycline</w:t>
            </w:r>
          </w:p>
        </w:tc>
        <w:tc>
          <w:tcPr>
            <w:tcW w:w="1395" w:type="dxa"/>
            <w:vAlign w:val="center"/>
          </w:tcPr>
          <w:p w14:paraId="2905B359"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Colistin + tigecycline</w:t>
            </w:r>
          </w:p>
        </w:tc>
        <w:tc>
          <w:tcPr>
            <w:tcW w:w="1395" w:type="dxa"/>
            <w:vAlign w:val="center"/>
          </w:tcPr>
          <w:p w14:paraId="5ABE2DCE"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Colistin + tigecycline</w:t>
            </w:r>
          </w:p>
        </w:tc>
        <w:tc>
          <w:tcPr>
            <w:tcW w:w="1438" w:type="dxa"/>
            <w:vAlign w:val="center"/>
          </w:tcPr>
          <w:p w14:paraId="4CF014D2"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Colistin + tigecycline</w:t>
            </w:r>
          </w:p>
        </w:tc>
        <w:tc>
          <w:tcPr>
            <w:tcW w:w="1438" w:type="dxa"/>
            <w:vAlign w:val="center"/>
          </w:tcPr>
          <w:p w14:paraId="315BA617"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 xml:space="preserve">Amikacin + </w:t>
            </w:r>
            <w:proofErr w:type="spellStart"/>
            <w:r w:rsidRPr="004A4B7C">
              <w:rPr>
                <w:rFonts w:ascii="Times New Roman" w:hAnsi="Times New Roman" w:cs="Times New Roman"/>
                <w:sz w:val="20"/>
                <w:szCs w:val="20"/>
              </w:rPr>
              <w:t>fosfomycin</w:t>
            </w:r>
            <w:proofErr w:type="spellEnd"/>
          </w:p>
        </w:tc>
      </w:tr>
      <w:tr w:rsidR="00A4788F" w:rsidRPr="004A4B7C" w14:paraId="3519F9DC" w14:textId="77777777" w:rsidTr="00A4788F">
        <w:tc>
          <w:tcPr>
            <w:tcW w:w="2433" w:type="dxa"/>
          </w:tcPr>
          <w:p w14:paraId="1CC8E47F"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Microbiology-directed setting</w:t>
            </w:r>
          </w:p>
        </w:tc>
        <w:tc>
          <w:tcPr>
            <w:tcW w:w="1389" w:type="dxa"/>
            <w:vAlign w:val="center"/>
          </w:tcPr>
          <w:p w14:paraId="61F2AD6F" w14:textId="77777777" w:rsidR="00A4788F" w:rsidRPr="004A4B7C" w:rsidRDefault="00A4788F" w:rsidP="004A4B7C">
            <w:pPr>
              <w:jc w:val="center"/>
              <w:rPr>
                <w:rFonts w:ascii="Times New Roman" w:hAnsi="Times New Roman" w:cs="Times New Roman"/>
                <w:sz w:val="20"/>
                <w:szCs w:val="20"/>
              </w:rPr>
            </w:pPr>
          </w:p>
        </w:tc>
        <w:tc>
          <w:tcPr>
            <w:tcW w:w="1395" w:type="dxa"/>
            <w:vAlign w:val="center"/>
          </w:tcPr>
          <w:p w14:paraId="35F4583C" w14:textId="77777777" w:rsidR="00A4788F" w:rsidRPr="004A4B7C" w:rsidRDefault="00A4788F" w:rsidP="004A4B7C">
            <w:pPr>
              <w:jc w:val="center"/>
              <w:rPr>
                <w:rFonts w:ascii="Times New Roman" w:hAnsi="Times New Roman" w:cs="Times New Roman"/>
                <w:sz w:val="20"/>
                <w:szCs w:val="20"/>
              </w:rPr>
            </w:pPr>
          </w:p>
        </w:tc>
        <w:tc>
          <w:tcPr>
            <w:tcW w:w="1395" w:type="dxa"/>
            <w:vAlign w:val="center"/>
          </w:tcPr>
          <w:p w14:paraId="79E9D8A0" w14:textId="77777777" w:rsidR="00A4788F" w:rsidRPr="004A4B7C" w:rsidRDefault="00A4788F" w:rsidP="004A4B7C">
            <w:pPr>
              <w:jc w:val="center"/>
              <w:rPr>
                <w:rFonts w:ascii="Times New Roman" w:hAnsi="Times New Roman" w:cs="Times New Roman"/>
                <w:sz w:val="20"/>
                <w:szCs w:val="20"/>
              </w:rPr>
            </w:pPr>
          </w:p>
        </w:tc>
        <w:tc>
          <w:tcPr>
            <w:tcW w:w="1438" w:type="dxa"/>
            <w:vAlign w:val="center"/>
          </w:tcPr>
          <w:p w14:paraId="1B28625F" w14:textId="77777777" w:rsidR="00A4788F" w:rsidRPr="004A4B7C" w:rsidRDefault="00A4788F" w:rsidP="004A4B7C">
            <w:pPr>
              <w:jc w:val="center"/>
              <w:rPr>
                <w:rFonts w:ascii="Times New Roman" w:hAnsi="Times New Roman" w:cs="Times New Roman"/>
                <w:sz w:val="20"/>
                <w:szCs w:val="20"/>
              </w:rPr>
            </w:pPr>
          </w:p>
        </w:tc>
        <w:tc>
          <w:tcPr>
            <w:tcW w:w="1438" w:type="dxa"/>
            <w:vAlign w:val="center"/>
          </w:tcPr>
          <w:p w14:paraId="77528DE1" w14:textId="77777777" w:rsidR="00A4788F" w:rsidRPr="004A4B7C" w:rsidRDefault="00A4788F" w:rsidP="004A4B7C">
            <w:pPr>
              <w:jc w:val="center"/>
              <w:rPr>
                <w:rFonts w:ascii="Times New Roman" w:hAnsi="Times New Roman" w:cs="Times New Roman"/>
                <w:sz w:val="20"/>
                <w:szCs w:val="20"/>
              </w:rPr>
            </w:pPr>
          </w:p>
        </w:tc>
      </w:tr>
      <w:tr w:rsidR="00A4788F" w:rsidRPr="004A4B7C" w14:paraId="225E3256" w14:textId="77777777" w:rsidTr="00A4788F">
        <w:tc>
          <w:tcPr>
            <w:tcW w:w="2433" w:type="dxa"/>
          </w:tcPr>
          <w:p w14:paraId="40932FFC" w14:textId="77777777" w:rsidR="00A4788F" w:rsidRPr="004A4B7C" w:rsidRDefault="00A4788F" w:rsidP="004A4B7C">
            <w:pPr>
              <w:rPr>
                <w:rFonts w:ascii="Times New Roman" w:hAnsi="Times New Roman" w:cs="Times New Roman"/>
                <w:sz w:val="20"/>
                <w:szCs w:val="20"/>
                <w:lang w:val="it-IT"/>
              </w:rPr>
            </w:pPr>
            <w:r w:rsidRPr="004A4B7C">
              <w:rPr>
                <w:rFonts w:ascii="Times New Roman" w:hAnsi="Times New Roman" w:cs="Times New Roman"/>
                <w:sz w:val="20"/>
                <w:szCs w:val="20"/>
                <w:lang w:val="it-IT"/>
              </w:rPr>
              <w:t>Susceptibility to a non-colistin/ aminoglycoside</w:t>
            </w:r>
          </w:p>
        </w:tc>
        <w:tc>
          <w:tcPr>
            <w:tcW w:w="1389" w:type="dxa"/>
          </w:tcPr>
          <w:p w14:paraId="69A49FD3" w14:textId="03ED1332"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6</w:t>
            </w:r>
            <w:r w:rsidR="007F4B0C"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395" w:type="dxa"/>
          </w:tcPr>
          <w:p w14:paraId="6B945437" w14:textId="6BBEEDF4"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6</w:t>
            </w:r>
            <w:r w:rsidR="000D2197"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395" w:type="dxa"/>
          </w:tcPr>
          <w:p w14:paraId="346FB7C5"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73%</w:t>
            </w:r>
          </w:p>
        </w:tc>
        <w:tc>
          <w:tcPr>
            <w:tcW w:w="1438" w:type="dxa"/>
          </w:tcPr>
          <w:p w14:paraId="3CE9C8B9" w14:textId="34E05E4A"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6</w:t>
            </w:r>
            <w:r w:rsidR="000D2197"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438" w:type="dxa"/>
          </w:tcPr>
          <w:p w14:paraId="6FC637F9"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55%</w:t>
            </w:r>
          </w:p>
        </w:tc>
      </w:tr>
      <w:tr w:rsidR="00A4788F" w:rsidRPr="004A4B7C" w14:paraId="0AE7F96B" w14:textId="77777777" w:rsidTr="00A4788F">
        <w:tc>
          <w:tcPr>
            <w:tcW w:w="2433" w:type="dxa"/>
          </w:tcPr>
          <w:p w14:paraId="12BDCFDB"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to colistin/ aminoglycoside</w:t>
            </w:r>
          </w:p>
        </w:tc>
        <w:tc>
          <w:tcPr>
            <w:tcW w:w="1389" w:type="dxa"/>
          </w:tcPr>
          <w:p w14:paraId="16DBCA65" w14:textId="3AEBF1BE"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3</w:t>
            </w:r>
            <w:r w:rsidR="007F4B0C"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395" w:type="dxa"/>
          </w:tcPr>
          <w:p w14:paraId="08F04343" w14:textId="489DD053"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3</w:t>
            </w:r>
            <w:r w:rsidR="000D2197"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395" w:type="dxa"/>
          </w:tcPr>
          <w:p w14:paraId="04510828"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27%</w:t>
            </w:r>
          </w:p>
        </w:tc>
        <w:tc>
          <w:tcPr>
            <w:tcW w:w="1438" w:type="dxa"/>
          </w:tcPr>
          <w:p w14:paraId="33B29D74" w14:textId="6943A75E"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3</w:t>
            </w:r>
            <w:r w:rsidR="000D2197" w:rsidRPr="004A4B7C">
              <w:rPr>
                <w:rFonts w:ascii="Times New Roman" w:hAnsi="Times New Roman" w:cs="Times New Roman"/>
                <w:sz w:val="20"/>
                <w:szCs w:val="20"/>
              </w:rPr>
              <w:t>5</w:t>
            </w:r>
            <w:r w:rsidRPr="004A4B7C">
              <w:rPr>
                <w:rFonts w:ascii="Times New Roman" w:hAnsi="Times New Roman" w:cs="Times New Roman"/>
                <w:sz w:val="20"/>
                <w:szCs w:val="20"/>
              </w:rPr>
              <w:t>%</w:t>
            </w:r>
          </w:p>
        </w:tc>
        <w:tc>
          <w:tcPr>
            <w:tcW w:w="1438" w:type="dxa"/>
          </w:tcPr>
          <w:p w14:paraId="664F4A73"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44%</w:t>
            </w:r>
          </w:p>
        </w:tc>
      </w:tr>
      <w:tr w:rsidR="00A4788F" w:rsidRPr="004A4B7C" w14:paraId="74159C73" w14:textId="77777777" w:rsidTr="00A4788F">
        <w:tc>
          <w:tcPr>
            <w:tcW w:w="2433" w:type="dxa"/>
          </w:tcPr>
          <w:p w14:paraId="005836F8"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Susceptibility to CAZ-AVI %</w:t>
            </w:r>
          </w:p>
        </w:tc>
        <w:tc>
          <w:tcPr>
            <w:tcW w:w="1389" w:type="dxa"/>
          </w:tcPr>
          <w:p w14:paraId="53418B4E" w14:textId="5B3FB8D9"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w:t>
            </w:r>
            <w:r w:rsidR="007F4B0C" w:rsidRPr="004A4B7C">
              <w:rPr>
                <w:rFonts w:ascii="Times New Roman" w:hAnsi="Times New Roman" w:cs="Times New Roman"/>
                <w:sz w:val="20"/>
                <w:szCs w:val="20"/>
              </w:rPr>
              <w:t>2</w:t>
            </w:r>
            <w:r w:rsidRPr="004A4B7C">
              <w:rPr>
                <w:rFonts w:ascii="Times New Roman" w:hAnsi="Times New Roman" w:cs="Times New Roman"/>
                <w:sz w:val="20"/>
                <w:szCs w:val="20"/>
              </w:rPr>
              <w:t>%</w:t>
            </w:r>
          </w:p>
        </w:tc>
        <w:tc>
          <w:tcPr>
            <w:tcW w:w="1395" w:type="dxa"/>
          </w:tcPr>
          <w:p w14:paraId="148A068F" w14:textId="311E7782"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w:t>
            </w:r>
            <w:r w:rsidR="007F4B0C" w:rsidRPr="004A4B7C">
              <w:rPr>
                <w:rFonts w:ascii="Times New Roman" w:hAnsi="Times New Roman" w:cs="Times New Roman"/>
                <w:sz w:val="20"/>
                <w:szCs w:val="20"/>
              </w:rPr>
              <w:t>2</w:t>
            </w:r>
            <w:r w:rsidRPr="004A4B7C">
              <w:rPr>
                <w:rFonts w:ascii="Times New Roman" w:hAnsi="Times New Roman" w:cs="Times New Roman"/>
                <w:sz w:val="20"/>
                <w:szCs w:val="20"/>
              </w:rPr>
              <w:t>%</w:t>
            </w:r>
          </w:p>
        </w:tc>
        <w:tc>
          <w:tcPr>
            <w:tcW w:w="1395" w:type="dxa"/>
          </w:tcPr>
          <w:p w14:paraId="0E2A47EF" w14:textId="177DED05"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w:t>
            </w:r>
            <w:r w:rsidR="007F4B0C" w:rsidRPr="004A4B7C">
              <w:rPr>
                <w:rFonts w:ascii="Times New Roman" w:hAnsi="Times New Roman" w:cs="Times New Roman"/>
                <w:sz w:val="20"/>
                <w:szCs w:val="20"/>
              </w:rPr>
              <w:t>7</w:t>
            </w:r>
            <w:r w:rsidRPr="004A4B7C">
              <w:rPr>
                <w:rFonts w:ascii="Times New Roman" w:hAnsi="Times New Roman" w:cs="Times New Roman"/>
                <w:sz w:val="20"/>
                <w:szCs w:val="20"/>
              </w:rPr>
              <w:t>%</w:t>
            </w:r>
          </w:p>
        </w:tc>
        <w:tc>
          <w:tcPr>
            <w:tcW w:w="1438" w:type="dxa"/>
          </w:tcPr>
          <w:p w14:paraId="07166735"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88%</w:t>
            </w:r>
          </w:p>
        </w:tc>
        <w:tc>
          <w:tcPr>
            <w:tcW w:w="1438" w:type="dxa"/>
          </w:tcPr>
          <w:p w14:paraId="01820565" w14:textId="77777777" w:rsidR="00A4788F" w:rsidRPr="004A4B7C" w:rsidRDefault="00A4788F" w:rsidP="004A4B7C">
            <w:pPr>
              <w:jc w:val="center"/>
              <w:rPr>
                <w:rFonts w:ascii="Times New Roman" w:hAnsi="Times New Roman" w:cs="Times New Roman"/>
                <w:sz w:val="20"/>
                <w:szCs w:val="20"/>
              </w:rPr>
            </w:pPr>
            <w:r w:rsidRPr="004A4B7C">
              <w:rPr>
                <w:rFonts w:ascii="Times New Roman" w:hAnsi="Times New Roman" w:cs="Times New Roman"/>
                <w:sz w:val="20"/>
                <w:szCs w:val="20"/>
              </w:rPr>
              <w:t>99%</w:t>
            </w:r>
          </w:p>
        </w:tc>
      </w:tr>
    </w:tbl>
    <w:p w14:paraId="7C1FE0C9" w14:textId="77777777" w:rsidR="00A4788F" w:rsidRPr="00243536" w:rsidRDefault="00A4788F" w:rsidP="00A4788F">
      <w:pPr>
        <w:rPr>
          <w:rFonts w:ascii="Times New Roman" w:hAnsi="Times New Roman" w:cs="Times New Roman"/>
          <w:sz w:val="18"/>
        </w:rPr>
      </w:pPr>
      <w:r w:rsidRPr="00243536">
        <w:rPr>
          <w:rFonts w:ascii="Times New Roman" w:hAnsi="Times New Roman" w:cs="Times New Roman"/>
          <w:sz w:val="18"/>
        </w:rPr>
        <w:t>Notes on the evidence:</w:t>
      </w:r>
    </w:p>
    <w:p w14:paraId="6DFF71E2" w14:textId="77777777" w:rsidR="00A4788F" w:rsidRPr="00243536" w:rsidRDefault="00A4788F" w:rsidP="005A3BE6">
      <w:pPr>
        <w:pStyle w:val="ListParagraph"/>
        <w:numPr>
          <w:ilvl w:val="0"/>
          <w:numId w:val="20"/>
        </w:numPr>
        <w:ind w:left="720"/>
        <w:rPr>
          <w:rFonts w:ascii="Times New Roman" w:hAnsi="Times New Roman" w:cs="Times New Roman"/>
          <w:sz w:val="18"/>
        </w:rPr>
      </w:pPr>
      <w:r w:rsidRPr="00243536">
        <w:rPr>
          <w:rFonts w:ascii="Times New Roman" w:hAnsi="Times New Roman" w:cs="Times New Roman"/>
          <w:sz w:val="18"/>
        </w:rPr>
        <w:t xml:space="preserve">In the NMA of EUCAST studies (used for the base-case and S1), two fluoroquinolones are included: levofloxacin and ciprofloxacin, with odds ratios of 0.07 and 0.01, respectively. In the NMA of CLSI studies (used for S2) these odds ratios are 0.03 and 0.01, respectively. In both cases the most effective aminoglycoside was retained. </w:t>
      </w:r>
    </w:p>
    <w:p w14:paraId="7BC0D678" w14:textId="77777777" w:rsidR="00A4788F" w:rsidRPr="00243536" w:rsidRDefault="00A4788F" w:rsidP="005A3BE6">
      <w:pPr>
        <w:pStyle w:val="ListParagraph"/>
        <w:numPr>
          <w:ilvl w:val="0"/>
          <w:numId w:val="20"/>
        </w:numPr>
        <w:ind w:left="720"/>
        <w:rPr>
          <w:rFonts w:ascii="Times New Roman" w:hAnsi="Times New Roman" w:cs="Times New Roman"/>
          <w:sz w:val="18"/>
        </w:rPr>
      </w:pPr>
      <w:r w:rsidRPr="00243536">
        <w:rPr>
          <w:rFonts w:ascii="Times New Roman" w:hAnsi="Times New Roman" w:cs="Times New Roman"/>
          <w:sz w:val="18"/>
        </w:rPr>
        <w:t xml:space="preserve">S3: the PHE evidence does not include </w:t>
      </w:r>
      <w:proofErr w:type="spellStart"/>
      <w:r w:rsidRPr="00243536">
        <w:rPr>
          <w:rFonts w:ascii="Times New Roman" w:hAnsi="Times New Roman" w:cs="Times New Roman"/>
          <w:sz w:val="18"/>
        </w:rPr>
        <w:t>fosfomycin</w:t>
      </w:r>
      <w:proofErr w:type="spellEnd"/>
      <w:r w:rsidRPr="00243536">
        <w:rPr>
          <w:rFonts w:ascii="Times New Roman" w:hAnsi="Times New Roman" w:cs="Times New Roman"/>
          <w:sz w:val="18"/>
        </w:rPr>
        <w:t xml:space="preserve"> or levofloxacin, so it is assumed that these drugs are not used.</w:t>
      </w:r>
    </w:p>
    <w:p w14:paraId="2FF0C509" w14:textId="57B88FFF" w:rsidR="00A4788F" w:rsidRDefault="00A4788F" w:rsidP="005A3BE6">
      <w:pPr>
        <w:pStyle w:val="ListParagraph"/>
        <w:numPr>
          <w:ilvl w:val="0"/>
          <w:numId w:val="20"/>
        </w:numPr>
        <w:ind w:left="720"/>
        <w:rPr>
          <w:rFonts w:ascii="Times New Roman" w:hAnsi="Times New Roman" w:cs="Times New Roman"/>
          <w:sz w:val="18"/>
        </w:rPr>
      </w:pPr>
      <w:r w:rsidRPr="00243536">
        <w:rPr>
          <w:rFonts w:ascii="Times New Roman" w:hAnsi="Times New Roman" w:cs="Times New Roman"/>
          <w:sz w:val="18"/>
        </w:rPr>
        <w:t>S4: the evidence from Vasquez-</w:t>
      </w:r>
      <w:proofErr w:type="spellStart"/>
      <w:r w:rsidRPr="00243536">
        <w:rPr>
          <w:rFonts w:ascii="Times New Roman" w:hAnsi="Times New Roman" w:cs="Times New Roman"/>
          <w:sz w:val="18"/>
        </w:rPr>
        <w:t>Ucha</w:t>
      </w:r>
      <w:proofErr w:type="spellEnd"/>
      <w:r w:rsidRPr="00243536">
        <w:rPr>
          <w:rFonts w:ascii="Times New Roman" w:hAnsi="Times New Roman" w:cs="Times New Roman"/>
          <w:sz w:val="18"/>
        </w:rPr>
        <w:t xml:space="preserve"> </w:t>
      </w:r>
      <w:r w:rsidRPr="00243536">
        <w:rPr>
          <w:rFonts w:ascii="Times New Roman" w:hAnsi="Times New Roman" w:cs="Times New Roman"/>
          <w:i/>
          <w:sz w:val="18"/>
        </w:rPr>
        <w:t>et al</w:t>
      </w:r>
      <w:r w:rsidRPr="00243536">
        <w:rPr>
          <w:rFonts w:ascii="Times New Roman" w:hAnsi="Times New Roman" w:cs="Times New Roman"/>
          <w:sz w:val="18"/>
        </w:rPr>
        <w:t xml:space="preserve"> does not include tigecycline or levofloxacin, so it is assumed that these drugs are not used.</w:t>
      </w:r>
    </w:p>
    <w:p w14:paraId="4E17586D" w14:textId="52E893AB" w:rsidR="00A4788F" w:rsidRPr="00EC4036" w:rsidRDefault="00EC4036" w:rsidP="00EC4036">
      <w:pPr>
        <w:pStyle w:val="EEPRUnumberedlevel4"/>
      </w:pPr>
      <w:bookmarkStart w:id="407" w:name="_Toc87463040"/>
      <w:r>
        <w:lastRenderedPageBreak/>
        <w:t xml:space="preserve">7.2.3.3 </w:t>
      </w:r>
      <w:r>
        <w:tab/>
      </w:r>
      <w:r w:rsidR="00A4788F" w:rsidRPr="00EC4036">
        <w:t xml:space="preserve">Clinical parameters – linking susceptibility to </w:t>
      </w:r>
      <w:r w:rsidR="005B25E5">
        <w:t xml:space="preserve">30-day outcomes </w:t>
      </w:r>
      <w:r w:rsidR="00A4788F" w:rsidRPr="00EC4036">
        <w:t>in the MDS</w:t>
      </w:r>
      <w:bookmarkEnd w:id="407"/>
    </w:p>
    <w:p w14:paraId="0139A01E" w14:textId="11BA307C" w:rsidR="00A4788F" w:rsidRPr="00DA453A" w:rsidRDefault="00A4788F" w:rsidP="00DC3C3F">
      <w:pPr>
        <w:spacing w:line="360" w:lineRule="auto"/>
        <w:jc w:val="both"/>
        <w:rPr>
          <w:rFonts w:asciiTheme="majorBidi" w:hAnsiTheme="majorBidi" w:cstheme="majorBidi"/>
        </w:rPr>
      </w:pPr>
      <w:r w:rsidRPr="00DA453A">
        <w:rPr>
          <w:rFonts w:asciiTheme="majorBidi" w:hAnsiTheme="majorBidi" w:cstheme="majorBidi"/>
        </w:rPr>
        <w:t xml:space="preserve">The remaining clinical evidence predicting 30-day outcomes in the MDS is presented in </w:t>
      </w:r>
      <w:r w:rsidR="00BB49F0" w:rsidRPr="00BB49F0">
        <w:rPr>
          <w:rFonts w:asciiTheme="majorBidi" w:hAnsiTheme="majorBidi" w:cstheme="majorBidi"/>
        </w:rPr>
        <w:t>Table 25</w:t>
      </w:r>
      <w:r w:rsidRPr="00DA453A">
        <w:rPr>
          <w:rFonts w:asciiTheme="majorBidi" w:hAnsiTheme="majorBidi" w:cstheme="majorBidi"/>
        </w:rPr>
        <w:t>.</w:t>
      </w:r>
      <w:bookmarkStart w:id="408" w:name="_Hlk83982856"/>
      <w:r w:rsidRPr="00DA453A">
        <w:rPr>
          <w:rFonts w:asciiTheme="majorBidi" w:hAnsiTheme="majorBidi" w:cstheme="majorBidi"/>
        </w:rPr>
        <w:t xml:space="preserve"> 30-day mortality differs across comparators via two mechanisms in the MDS. 30-day mortality does not differ in the MDS setting if infections are susceptible to existing treatments because patients will be treated with the correct AM, though it does differ if patients have infections resistant to existing options but susceptible to </w:t>
      </w:r>
      <w:r w:rsidR="00FE2007">
        <w:rPr>
          <w:rFonts w:asciiTheme="majorBidi" w:hAnsiTheme="majorBidi" w:cstheme="majorBidi"/>
        </w:rPr>
        <w:t>CAZ-AVI</w:t>
      </w:r>
      <w:r w:rsidRPr="00DA453A">
        <w:rPr>
          <w:rFonts w:asciiTheme="majorBidi" w:hAnsiTheme="majorBidi" w:cstheme="majorBidi"/>
        </w:rPr>
        <w:t xml:space="preserve">, as their recovery will be more likely if they take </w:t>
      </w:r>
      <w:r w:rsidR="00FE2007">
        <w:rPr>
          <w:rFonts w:asciiTheme="majorBidi" w:hAnsiTheme="majorBidi" w:cstheme="majorBidi"/>
        </w:rPr>
        <w:t>CAZ-AVI</w:t>
      </w:r>
      <w:r w:rsidRPr="00DA453A">
        <w:rPr>
          <w:rFonts w:asciiTheme="majorBidi" w:hAnsiTheme="majorBidi" w:cstheme="majorBidi"/>
        </w:rPr>
        <w:t xml:space="preserve">. In </w:t>
      </w:r>
      <w:r w:rsidR="00DC3C3F" w:rsidRPr="00DA453A">
        <w:rPr>
          <w:rFonts w:asciiTheme="majorBidi" w:hAnsiTheme="majorBidi" w:cstheme="majorBidi"/>
        </w:rPr>
        <w:t>addition,</w:t>
      </w:r>
      <w:r w:rsidRPr="00DA453A">
        <w:rPr>
          <w:rFonts w:asciiTheme="majorBidi" w:hAnsiTheme="majorBidi" w:cstheme="majorBidi"/>
        </w:rPr>
        <w:t xml:space="preserve"> </w:t>
      </w:r>
      <w:r w:rsidR="00DC3C3F" w:rsidRPr="00DA453A">
        <w:rPr>
          <w:rFonts w:asciiTheme="majorBidi" w:hAnsiTheme="majorBidi" w:cstheme="majorBidi"/>
        </w:rPr>
        <w:t>patients’</w:t>
      </w:r>
      <w:r w:rsidRPr="00DA453A">
        <w:rPr>
          <w:rFonts w:asciiTheme="majorBidi" w:hAnsiTheme="majorBidi" w:cstheme="majorBidi"/>
        </w:rPr>
        <w:t xml:space="preserve"> mortality risk varies according to the AKI-rate associated with the AM used. </w:t>
      </w:r>
    </w:p>
    <w:bookmarkEnd w:id="408"/>
    <w:p w14:paraId="1AC0547A" w14:textId="7DF976C9"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 xml:space="preserve">As documented in Section </w:t>
      </w:r>
      <w:r w:rsidR="00BB49F0">
        <w:rPr>
          <w:rFonts w:asciiTheme="majorBidi" w:hAnsiTheme="majorBidi" w:cstheme="majorBidi"/>
        </w:rPr>
        <w:t>4.6.2</w:t>
      </w:r>
      <w:r w:rsidRPr="00DA453A">
        <w:rPr>
          <w:rFonts w:asciiTheme="majorBidi" w:hAnsiTheme="majorBidi" w:cstheme="majorBidi"/>
        </w:rPr>
        <w:t xml:space="preserve">, several studies have explored the link between whether patients have been administered a treatment to which they are susceptible and their 30-day mortality outcomes in the infection sites of interest for the HVCSs. However, these studies have focused on the empiric setting and none was available relating specifically to the MDS where outcomes are expected to differ substantively. Patients in the MDS who receive an inappropriate drug are much more likely to be </w:t>
      </w:r>
      <w:r w:rsidR="009578AF">
        <w:rPr>
          <w:rFonts w:asciiTheme="majorBidi" w:hAnsiTheme="majorBidi" w:cstheme="majorBidi"/>
        </w:rPr>
        <w:t>MDR</w:t>
      </w:r>
      <w:r w:rsidRPr="00DA453A">
        <w:rPr>
          <w:rFonts w:asciiTheme="majorBidi" w:hAnsiTheme="majorBidi" w:cstheme="majorBidi"/>
        </w:rPr>
        <w:t xml:space="preserve"> than patients receiving inappropriate treatment in the </w:t>
      </w:r>
      <w:r w:rsidR="00DC3C3F" w:rsidRPr="00DA453A">
        <w:rPr>
          <w:rFonts w:asciiTheme="majorBidi" w:hAnsiTheme="majorBidi" w:cstheme="majorBidi"/>
        </w:rPr>
        <w:t>ES and</w:t>
      </w:r>
      <w:r w:rsidRPr="00DA453A">
        <w:rPr>
          <w:rFonts w:asciiTheme="majorBidi" w:hAnsiTheme="majorBidi" w:cstheme="majorBidi"/>
        </w:rPr>
        <w:t xml:space="preserve"> are more likely to be in critical state that reduces the possibility for further treatment. </w:t>
      </w:r>
    </w:p>
    <w:p w14:paraId="5F757AED" w14:textId="7DDC7E34"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 xml:space="preserve">This data gap is perhaps unsurprising as multi-drug resistance (including to colistin) remains rare and it may, therefore, be difficult to recruit or include sufficient patients in this setting. Given the absence of data to inform this important parameter, a structured expert elicitation exercise was conducted. The methods </w:t>
      </w:r>
      <w:r w:rsidR="00DC3C3F">
        <w:rPr>
          <w:rFonts w:asciiTheme="majorBidi" w:hAnsiTheme="majorBidi" w:cstheme="majorBidi"/>
        </w:rPr>
        <w:t>and results of</w:t>
      </w:r>
      <w:r w:rsidRPr="00DA453A">
        <w:rPr>
          <w:rFonts w:asciiTheme="majorBidi" w:hAnsiTheme="majorBidi" w:cstheme="majorBidi"/>
        </w:rPr>
        <w:t xml:space="preserve"> the expert elicitation are </w:t>
      </w:r>
      <w:r w:rsidRPr="00C27EE8">
        <w:rPr>
          <w:rFonts w:asciiTheme="majorBidi" w:hAnsiTheme="majorBidi" w:cstheme="majorBidi"/>
        </w:rPr>
        <w:t xml:space="preserve">described in </w:t>
      </w:r>
      <w:r w:rsidR="00C27EE8" w:rsidRPr="00C27EE8">
        <w:rPr>
          <w:rFonts w:asciiTheme="majorBidi" w:hAnsiTheme="majorBidi" w:cstheme="majorBidi"/>
        </w:rPr>
        <w:t>Chapter 5</w:t>
      </w:r>
      <w:r w:rsidRPr="00C27EE8">
        <w:rPr>
          <w:rFonts w:asciiTheme="majorBidi" w:hAnsiTheme="majorBidi" w:cstheme="majorBidi"/>
        </w:rPr>
        <w:t xml:space="preserve">. These </w:t>
      </w:r>
      <w:r w:rsidRPr="00DA453A">
        <w:rPr>
          <w:rFonts w:asciiTheme="majorBidi" w:hAnsiTheme="majorBidi" w:cstheme="majorBidi"/>
        </w:rPr>
        <w:t xml:space="preserve">estimates were elicited separately for </w:t>
      </w:r>
      <w:proofErr w:type="spellStart"/>
      <w:r w:rsidRPr="00DA453A">
        <w:rPr>
          <w:rFonts w:asciiTheme="majorBidi" w:hAnsiTheme="majorBidi" w:cstheme="majorBidi"/>
        </w:rPr>
        <w:t>cUTI</w:t>
      </w:r>
      <w:proofErr w:type="spellEnd"/>
      <w:r w:rsidRPr="00DA453A">
        <w:rPr>
          <w:rFonts w:asciiTheme="majorBidi" w:hAnsiTheme="majorBidi" w:cstheme="majorBidi"/>
        </w:rPr>
        <w:t xml:space="preserve">, HAP and VAP as these infection sites are expected to have quite different mortality rates. </w:t>
      </w:r>
      <w:r w:rsidR="00DC3C3F">
        <w:rPr>
          <w:rFonts w:asciiTheme="majorBidi" w:hAnsiTheme="majorBidi" w:cstheme="majorBidi"/>
        </w:rPr>
        <w:t xml:space="preserve"> </w:t>
      </w:r>
      <w:r w:rsidRPr="00DA453A">
        <w:rPr>
          <w:rFonts w:asciiTheme="majorBidi" w:hAnsiTheme="majorBidi" w:cstheme="majorBidi"/>
        </w:rPr>
        <w:t xml:space="preserve">Separate estimates were not produced by causative </w:t>
      </w:r>
      <w:r w:rsidR="00AE639B">
        <w:rPr>
          <w:rFonts w:asciiTheme="majorBidi" w:hAnsiTheme="majorBidi" w:cstheme="majorBidi"/>
        </w:rPr>
        <w:t>pathogen-mechanism</w:t>
      </w:r>
      <w:r w:rsidRPr="00DA453A">
        <w:rPr>
          <w:rFonts w:asciiTheme="majorBidi" w:hAnsiTheme="majorBidi" w:cstheme="majorBidi"/>
        </w:rPr>
        <w:t>. This is because</w:t>
      </w:r>
      <w:r w:rsidR="00DC3C3F">
        <w:rPr>
          <w:rFonts w:asciiTheme="majorBidi" w:hAnsiTheme="majorBidi" w:cstheme="majorBidi"/>
        </w:rPr>
        <w:t>,</w:t>
      </w:r>
      <w:r w:rsidRPr="00DA453A">
        <w:rPr>
          <w:rFonts w:asciiTheme="majorBidi" w:hAnsiTheme="majorBidi" w:cstheme="majorBidi"/>
        </w:rPr>
        <w:t xml:space="preserve"> amongst those receiving a treatment to which they are susceptible, outcomes are expected to be similar across the </w:t>
      </w:r>
      <w:r w:rsidR="00AE639B">
        <w:rPr>
          <w:rFonts w:asciiTheme="majorBidi" w:hAnsiTheme="majorBidi" w:cstheme="majorBidi"/>
        </w:rPr>
        <w:t>pathogen-mechanism</w:t>
      </w:r>
      <w:r w:rsidRPr="00DA453A">
        <w:rPr>
          <w:rFonts w:asciiTheme="majorBidi" w:hAnsiTheme="majorBidi" w:cstheme="majorBidi"/>
        </w:rPr>
        <w:t xml:space="preserve"> combinations relevant to the CAZ-AVI HVCS</w:t>
      </w:r>
      <w:r w:rsidR="00DC3C3F">
        <w:rPr>
          <w:rFonts w:asciiTheme="majorBidi" w:hAnsiTheme="majorBidi" w:cstheme="majorBidi"/>
        </w:rPr>
        <w:t>s</w:t>
      </w:r>
      <w:r w:rsidRPr="00DA453A">
        <w:rPr>
          <w:rFonts w:asciiTheme="majorBidi" w:hAnsiTheme="majorBidi" w:cstheme="majorBidi"/>
        </w:rPr>
        <w:t xml:space="preserve">. Similarly, amongst patients receiving multi-drug salvage therapy due to multi-drug resistance, outcomes are expected to be similar across the </w:t>
      </w:r>
      <w:r w:rsidR="00AE639B">
        <w:rPr>
          <w:rFonts w:asciiTheme="majorBidi" w:hAnsiTheme="majorBidi" w:cstheme="majorBidi"/>
        </w:rPr>
        <w:t>pathogen-mechanism</w:t>
      </w:r>
      <w:r w:rsidRPr="00DA453A">
        <w:rPr>
          <w:rFonts w:asciiTheme="majorBidi" w:hAnsiTheme="majorBidi" w:cstheme="majorBidi"/>
        </w:rPr>
        <w:t xml:space="preserve"> combinations relevant to the CAZ-AVI HVCS</w:t>
      </w:r>
      <w:r w:rsidR="00DC3C3F">
        <w:rPr>
          <w:rFonts w:asciiTheme="majorBidi" w:hAnsiTheme="majorBidi" w:cstheme="majorBidi"/>
        </w:rPr>
        <w:t>s</w:t>
      </w:r>
      <w:r w:rsidRPr="00DA453A">
        <w:rPr>
          <w:rFonts w:asciiTheme="majorBidi" w:hAnsiTheme="majorBidi" w:cstheme="majorBidi"/>
        </w:rPr>
        <w:t xml:space="preserve">. </w:t>
      </w:r>
    </w:p>
    <w:p w14:paraId="38F9BAB1" w14:textId="58A3EBAB" w:rsidR="00A4788F" w:rsidRPr="00DA453A" w:rsidRDefault="00A4788F" w:rsidP="00794B4E">
      <w:pPr>
        <w:pStyle w:val="EEPRUnumberedlevel4"/>
        <w:ind w:hanging="283"/>
      </w:pPr>
      <w:bookmarkStart w:id="409" w:name="_Hlk83983316"/>
      <w:r w:rsidRPr="00DA453A">
        <w:t xml:space="preserve"> </w:t>
      </w:r>
      <w:bookmarkStart w:id="410" w:name="_Toc87463041"/>
      <w:r w:rsidR="00F1720A">
        <w:t>7.2.3.</w:t>
      </w:r>
      <w:r w:rsidR="00EC4036">
        <w:t>4</w:t>
      </w:r>
      <w:r w:rsidR="00C67B00">
        <w:t xml:space="preserve"> </w:t>
      </w:r>
      <w:r w:rsidR="00EC4036">
        <w:tab/>
      </w:r>
      <w:r w:rsidRPr="00DA453A">
        <w:t>Clinical parameters – AKI risk and subsequent outcomes</w:t>
      </w:r>
      <w:bookmarkEnd w:id="410"/>
    </w:p>
    <w:p w14:paraId="5F7BD956" w14:textId="51121851" w:rsidR="00A4788F" w:rsidRPr="00DA453A" w:rsidRDefault="00A4788F" w:rsidP="00A4788F">
      <w:pPr>
        <w:spacing w:line="360" w:lineRule="auto"/>
        <w:jc w:val="both"/>
        <w:rPr>
          <w:rFonts w:asciiTheme="majorBidi" w:hAnsiTheme="majorBidi" w:cstheme="majorBidi"/>
        </w:rPr>
      </w:pPr>
      <w:r w:rsidRPr="00DA453A">
        <w:rPr>
          <w:rFonts w:asciiTheme="majorBidi" w:hAnsiTheme="majorBidi" w:cstheme="majorBidi"/>
        </w:rPr>
        <w:t xml:space="preserve">Rates of nephrotoxic-drug induced AKI and their implications are assumed to generalise across sites, </w:t>
      </w:r>
      <w:proofErr w:type="gramStart"/>
      <w:r w:rsidRPr="00DA453A">
        <w:rPr>
          <w:rFonts w:asciiTheme="majorBidi" w:hAnsiTheme="majorBidi" w:cstheme="majorBidi"/>
        </w:rPr>
        <w:t>pathogens</w:t>
      </w:r>
      <w:proofErr w:type="gramEnd"/>
      <w:r w:rsidRPr="00DA453A">
        <w:rPr>
          <w:rFonts w:asciiTheme="majorBidi" w:hAnsiTheme="majorBidi" w:cstheme="majorBidi"/>
        </w:rPr>
        <w:t xml:space="preserve"> and mechanisms in the absence of subgroup-specific data.</w:t>
      </w:r>
      <w:bookmarkEnd w:id="409"/>
      <w:r w:rsidRPr="00DA453A">
        <w:rPr>
          <w:rFonts w:asciiTheme="majorBidi" w:hAnsiTheme="majorBidi" w:cstheme="majorBidi"/>
        </w:rPr>
        <w:t xml:space="preserve"> </w:t>
      </w:r>
      <w:r w:rsidR="0098296C">
        <w:rPr>
          <w:rFonts w:asciiTheme="majorBidi" w:hAnsiTheme="majorBidi" w:cstheme="majorBidi"/>
        </w:rPr>
        <w:t xml:space="preserve">The evidence from the CAZ-AVI RCTs did not provide any meaningful evidence on the safety implications of aminoglycoside/colistin use (see Section 4.6.4) and these data were not considered by our advisors to be generalisable to the highly comorbid patients who tend to acquire carbapenem-resistant infections. </w:t>
      </w:r>
      <w:r w:rsidRPr="00DA453A">
        <w:rPr>
          <w:rFonts w:asciiTheme="majorBidi" w:hAnsiTheme="majorBidi" w:cstheme="majorBidi"/>
        </w:rPr>
        <w:t xml:space="preserve">These parameters were </w:t>
      </w:r>
      <w:r w:rsidR="0098296C">
        <w:rPr>
          <w:rFonts w:asciiTheme="majorBidi" w:hAnsiTheme="majorBidi" w:cstheme="majorBidi"/>
        </w:rPr>
        <w:t xml:space="preserve">therefore </w:t>
      </w:r>
      <w:r w:rsidRPr="00DA453A">
        <w:rPr>
          <w:rFonts w:asciiTheme="majorBidi" w:hAnsiTheme="majorBidi" w:cstheme="majorBidi"/>
        </w:rPr>
        <w:t>obtained from existing systematic reviews where possible or, if not available, from UK-specific sources.</w:t>
      </w:r>
      <w:r w:rsidR="008F1C31">
        <w:rPr>
          <w:rFonts w:asciiTheme="majorBidi" w:hAnsiTheme="majorBidi" w:cstheme="majorBidi"/>
        </w:rPr>
        <w:t xml:space="preserve"> </w:t>
      </w:r>
    </w:p>
    <w:p w14:paraId="2D4DAB8F" w14:textId="49D356E2" w:rsidR="00A4788F" w:rsidRPr="00DA453A" w:rsidRDefault="00A4788F" w:rsidP="00A83123">
      <w:pPr>
        <w:spacing w:line="360" w:lineRule="auto"/>
        <w:jc w:val="both"/>
        <w:rPr>
          <w:rFonts w:asciiTheme="majorBidi" w:hAnsiTheme="majorBidi" w:cstheme="majorBidi"/>
        </w:rPr>
      </w:pPr>
      <w:r w:rsidRPr="00DA453A">
        <w:rPr>
          <w:rFonts w:asciiTheme="majorBidi" w:hAnsiTheme="majorBidi" w:cstheme="majorBidi"/>
        </w:rPr>
        <w:lastRenderedPageBreak/>
        <w:t>Several recent systematic reviews and meta-analyses estimated the pooled cumulative incidence of AKI in patients treated with colistin or polymyxins B</w:t>
      </w:r>
      <w:r w:rsidR="00A83123" w:rsidRPr="00A83123">
        <w:rPr>
          <w:rFonts w:asciiTheme="majorBidi" w:hAnsiTheme="majorBidi" w:cstheme="majorBidi"/>
          <w:noProof/>
          <w:vertAlign w:val="superscript"/>
        </w:rPr>
        <w:t>122</w:t>
      </w:r>
      <w:r w:rsidRPr="00DA453A">
        <w:rPr>
          <w:rFonts w:asciiTheme="majorBidi" w:hAnsiTheme="majorBidi" w:cstheme="majorBidi"/>
        </w:rPr>
        <w:t>,</w:t>
      </w:r>
      <w:r w:rsidR="00A83123" w:rsidRPr="00A83123">
        <w:rPr>
          <w:rFonts w:asciiTheme="majorBidi" w:hAnsiTheme="majorBidi" w:cstheme="majorBidi"/>
          <w:noProof/>
          <w:vertAlign w:val="superscript"/>
        </w:rPr>
        <w:t>123</w:t>
      </w:r>
      <w:r w:rsidRPr="00DA453A">
        <w:rPr>
          <w:rFonts w:asciiTheme="majorBidi" w:hAnsiTheme="majorBidi" w:cstheme="majorBidi"/>
        </w:rPr>
        <w:t>,</w:t>
      </w:r>
      <w:r w:rsidR="00A83123" w:rsidRPr="00A83123">
        <w:rPr>
          <w:rFonts w:asciiTheme="majorBidi" w:hAnsiTheme="majorBidi" w:cstheme="majorBidi"/>
          <w:noProof/>
          <w:vertAlign w:val="superscript"/>
        </w:rPr>
        <w:t>124</w:t>
      </w:r>
      <w:r w:rsidRPr="00DA453A">
        <w:rPr>
          <w:rFonts w:asciiTheme="majorBidi" w:hAnsiTheme="majorBidi" w:cstheme="majorBidi"/>
        </w:rPr>
        <w:t>,</w:t>
      </w:r>
      <w:r w:rsidR="00A83123" w:rsidRPr="00A83123">
        <w:rPr>
          <w:rFonts w:asciiTheme="majorBidi" w:hAnsiTheme="majorBidi" w:cstheme="majorBidi"/>
          <w:noProof/>
          <w:vertAlign w:val="superscript"/>
        </w:rPr>
        <w:t>125</w:t>
      </w:r>
      <w:r w:rsidRPr="00DA453A">
        <w:rPr>
          <w:rFonts w:asciiTheme="majorBidi" w:hAnsiTheme="majorBidi" w:cstheme="majorBidi"/>
        </w:rPr>
        <w:t xml:space="preserve"> and two </w:t>
      </w:r>
      <w:r w:rsidR="00322CC6">
        <w:rPr>
          <w:rFonts w:asciiTheme="majorBidi" w:hAnsiTheme="majorBidi" w:cstheme="majorBidi"/>
        </w:rPr>
        <w:t xml:space="preserve">of these </w:t>
      </w:r>
      <w:r w:rsidRPr="00DA453A">
        <w:rPr>
          <w:rFonts w:asciiTheme="majorBidi" w:hAnsiTheme="majorBidi" w:cstheme="majorBidi"/>
        </w:rPr>
        <w:t>reported differences in the rates of AKI between colistin or polymyxin B based therapy and other agents.</w:t>
      </w:r>
      <w:r w:rsidR="00A83123" w:rsidRPr="00A83123">
        <w:rPr>
          <w:rFonts w:asciiTheme="majorBidi" w:hAnsiTheme="majorBidi" w:cstheme="majorBidi"/>
          <w:noProof/>
          <w:vertAlign w:val="superscript"/>
        </w:rPr>
        <w:t>123</w:t>
      </w:r>
      <w:r w:rsidRPr="00DA453A">
        <w:rPr>
          <w:rFonts w:asciiTheme="majorBidi" w:hAnsiTheme="majorBidi" w:cstheme="majorBidi"/>
        </w:rPr>
        <w:t>,</w:t>
      </w:r>
      <w:r w:rsidR="00A83123" w:rsidRPr="00A83123">
        <w:rPr>
          <w:rFonts w:asciiTheme="majorBidi" w:hAnsiTheme="majorBidi" w:cstheme="majorBidi"/>
          <w:noProof/>
          <w:vertAlign w:val="superscript"/>
        </w:rPr>
        <w:t>124</w:t>
      </w:r>
      <w:r w:rsidRPr="00DA453A">
        <w:rPr>
          <w:rFonts w:asciiTheme="majorBidi" w:hAnsiTheme="majorBidi" w:cstheme="majorBidi"/>
        </w:rPr>
        <w:t xml:space="preserve"> The absolute risk of an AKI and the likelihood that an AKI resulted in irrecoverable kidney damage was derived from </w:t>
      </w:r>
      <w:proofErr w:type="spellStart"/>
      <w:r w:rsidRPr="00DA453A">
        <w:rPr>
          <w:rFonts w:asciiTheme="majorBidi" w:hAnsiTheme="majorBidi" w:cstheme="majorBidi"/>
        </w:rPr>
        <w:t>Sisay</w:t>
      </w:r>
      <w:proofErr w:type="spellEnd"/>
      <w:r w:rsidRPr="00DA453A">
        <w:rPr>
          <w:rFonts w:asciiTheme="majorBidi" w:hAnsiTheme="majorBidi" w:cstheme="majorBidi"/>
        </w:rPr>
        <w:t xml:space="preserve"> 2021</w:t>
      </w:r>
      <w:r w:rsidR="00A83123" w:rsidRPr="00A83123">
        <w:rPr>
          <w:rFonts w:asciiTheme="majorBidi" w:hAnsiTheme="majorBidi" w:cstheme="majorBidi"/>
          <w:noProof/>
          <w:vertAlign w:val="superscript"/>
        </w:rPr>
        <w:t>122</w:t>
      </w:r>
      <w:r w:rsidRPr="00DA453A">
        <w:rPr>
          <w:rFonts w:asciiTheme="majorBidi" w:hAnsiTheme="majorBidi" w:cstheme="majorBidi"/>
        </w:rPr>
        <w:t xml:space="preserve"> as this study had the most recent searches, included a broad range of study designs and was restricted to studies using the Risk Injury Failure Loss </w:t>
      </w:r>
      <w:r w:rsidR="00322CC6">
        <w:rPr>
          <w:rFonts w:asciiTheme="majorBidi" w:hAnsiTheme="majorBidi" w:cstheme="majorBidi"/>
        </w:rPr>
        <w:t>end-stage renal disease (</w:t>
      </w:r>
      <w:r w:rsidRPr="00DA453A">
        <w:rPr>
          <w:rFonts w:asciiTheme="majorBidi" w:hAnsiTheme="majorBidi" w:cstheme="majorBidi"/>
        </w:rPr>
        <w:t>ESRD</w:t>
      </w:r>
      <w:r w:rsidR="00322CC6">
        <w:rPr>
          <w:rFonts w:asciiTheme="majorBidi" w:hAnsiTheme="majorBidi" w:cstheme="majorBidi"/>
        </w:rPr>
        <w:t xml:space="preserve">) </w:t>
      </w:r>
      <w:r w:rsidRPr="00DA453A">
        <w:rPr>
          <w:rFonts w:asciiTheme="majorBidi" w:hAnsiTheme="majorBidi" w:cstheme="majorBidi"/>
        </w:rPr>
        <w:t xml:space="preserve">(RIFLE) criteria. The difference between colistin (or polymyxin B, a similar drug from the same class) based therapy and other agents was obtained from </w:t>
      </w:r>
      <w:proofErr w:type="spellStart"/>
      <w:r w:rsidRPr="00DA453A">
        <w:rPr>
          <w:rFonts w:asciiTheme="majorBidi" w:hAnsiTheme="majorBidi" w:cstheme="majorBidi"/>
        </w:rPr>
        <w:t>Chien</w:t>
      </w:r>
      <w:proofErr w:type="spellEnd"/>
      <w:r w:rsidRPr="00DA453A">
        <w:rPr>
          <w:rFonts w:asciiTheme="majorBidi" w:hAnsiTheme="majorBidi" w:cstheme="majorBidi"/>
        </w:rPr>
        <w:t xml:space="preserve"> et al 2020</w:t>
      </w:r>
      <w:r w:rsidR="00A83123" w:rsidRPr="00A83123">
        <w:rPr>
          <w:rFonts w:asciiTheme="majorBidi" w:hAnsiTheme="majorBidi" w:cstheme="majorBidi"/>
          <w:noProof/>
          <w:vertAlign w:val="superscript"/>
        </w:rPr>
        <w:t>124</w:t>
      </w:r>
      <w:r w:rsidRPr="00DA453A">
        <w:rPr>
          <w:rFonts w:asciiTheme="majorBidi" w:hAnsiTheme="majorBidi" w:cstheme="majorBidi"/>
        </w:rPr>
        <w:t xml:space="preserve"> as this review made some attempt to control for confounding. </w:t>
      </w:r>
      <w:proofErr w:type="spellStart"/>
      <w:r w:rsidRPr="00DA453A">
        <w:rPr>
          <w:rFonts w:asciiTheme="majorBidi" w:hAnsiTheme="majorBidi" w:cstheme="majorBidi"/>
        </w:rPr>
        <w:t>Chien</w:t>
      </w:r>
      <w:proofErr w:type="spellEnd"/>
      <w:r w:rsidRPr="00DA453A">
        <w:rPr>
          <w:rFonts w:asciiTheme="majorBidi" w:hAnsiTheme="majorBidi" w:cstheme="majorBidi"/>
        </w:rPr>
        <w:t xml:space="preserve"> et al 2020</w:t>
      </w:r>
      <w:r w:rsidR="00A83123" w:rsidRPr="00A83123">
        <w:rPr>
          <w:rFonts w:asciiTheme="majorBidi" w:hAnsiTheme="majorBidi" w:cstheme="majorBidi"/>
          <w:noProof/>
          <w:vertAlign w:val="superscript"/>
        </w:rPr>
        <w:t>124</w:t>
      </w:r>
      <w:r w:rsidRPr="00DA453A">
        <w:rPr>
          <w:rFonts w:asciiTheme="majorBidi" w:hAnsiTheme="majorBidi" w:cstheme="majorBidi"/>
        </w:rPr>
        <w:t xml:space="preserve"> included both RCTs and comparative cohort studies but excluded studies considered poor quality as assessed by the Newcastle-Ottawa scale (</w:t>
      </w:r>
      <w:proofErr w:type="gramStart"/>
      <w:r w:rsidRPr="00DA453A">
        <w:rPr>
          <w:rFonts w:asciiTheme="majorBidi" w:hAnsiTheme="majorBidi" w:cstheme="majorBidi"/>
        </w:rPr>
        <w:t>in particular the</w:t>
      </w:r>
      <w:proofErr w:type="gramEnd"/>
      <w:r w:rsidRPr="00DA453A">
        <w:rPr>
          <w:rFonts w:asciiTheme="majorBidi" w:hAnsiTheme="majorBidi" w:cstheme="majorBidi"/>
        </w:rPr>
        <w:t xml:space="preserve"> authors state that only cohort studies of parallel design with patients of comparable clinical characteristics were included). Alternative sources for these parameters are explored as scenario analyses. </w:t>
      </w:r>
    </w:p>
    <w:p w14:paraId="0D24959A" w14:textId="656051A1" w:rsidR="00322CC6" w:rsidRDefault="00A4788F" w:rsidP="00A83123">
      <w:pPr>
        <w:spacing w:after="0" w:line="360" w:lineRule="auto"/>
        <w:jc w:val="both"/>
        <w:rPr>
          <w:rFonts w:asciiTheme="majorBidi" w:hAnsiTheme="majorBidi" w:cstheme="majorBidi"/>
        </w:rPr>
      </w:pPr>
      <w:bookmarkStart w:id="411" w:name="_Ref77667871"/>
      <w:bookmarkStart w:id="412" w:name="_Ref77926163"/>
      <w:r w:rsidRPr="00DA453A">
        <w:rPr>
          <w:rFonts w:asciiTheme="majorBidi" w:hAnsiTheme="majorBidi" w:cstheme="majorBidi"/>
        </w:rPr>
        <w:t>The excess death from AKI was derived by comparing in-hospital mortality rates in the UK for individuals who experienced an AKI as defined by the Acute Kidney Injury Network (AKIN) criteria and individuals without AKI using the East Kent Hospitals University NHS Foundation Trust (EKHUFT) dataset from Kerr et al 2014.</w:t>
      </w:r>
      <w:r w:rsidR="00A83123" w:rsidRPr="00A83123">
        <w:rPr>
          <w:rFonts w:asciiTheme="majorBidi" w:hAnsiTheme="majorBidi" w:cstheme="majorBidi"/>
          <w:noProof/>
          <w:vertAlign w:val="superscript"/>
        </w:rPr>
        <w:t>126</w:t>
      </w:r>
      <w:r w:rsidRPr="00DA453A">
        <w:rPr>
          <w:rFonts w:asciiTheme="majorBidi" w:hAnsiTheme="majorBidi" w:cstheme="majorBidi"/>
        </w:rPr>
        <w:t xml:space="preserve"> The latter gathers admission records from three inpatient hospitals in the South of England. The analysis of the EKHUFT dataset was deemed more appropriate than that obtained using the HES dataset as EKHUFT includes older and more comorbid patients that are</w:t>
      </w:r>
      <w:r w:rsidR="00322CC6">
        <w:rPr>
          <w:rFonts w:asciiTheme="majorBidi" w:hAnsiTheme="majorBidi" w:cstheme="majorBidi"/>
        </w:rPr>
        <w:t xml:space="preserve">, </w:t>
      </w:r>
      <w:r w:rsidRPr="00DA453A">
        <w:rPr>
          <w:rFonts w:asciiTheme="majorBidi" w:hAnsiTheme="majorBidi" w:cstheme="majorBidi"/>
        </w:rPr>
        <w:t>therefore</w:t>
      </w:r>
      <w:r w:rsidR="00322CC6">
        <w:rPr>
          <w:rFonts w:asciiTheme="majorBidi" w:hAnsiTheme="majorBidi" w:cstheme="majorBidi"/>
        </w:rPr>
        <w:t>,</w:t>
      </w:r>
      <w:r w:rsidRPr="00DA453A">
        <w:rPr>
          <w:rFonts w:asciiTheme="majorBidi" w:hAnsiTheme="majorBidi" w:cstheme="majorBidi"/>
        </w:rPr>
        <w:t xml:space="preserve"> more </w:t>
      </w:r>
      <w:proofErr w:type="gramStart"/>
      <w:r w:rsidRPr="00DA453A">
        <w:rPr>
          <w:rFonts w:asciiTheme="majorBidi" w:hAnsiTheme="majorBidi" w:cstheme="majorBidi"/>
        </w:rPr>
        <w:t>similar to</w:t>
      </w:r>
      <w:proofErr w:type="gramEnd"/>
      <w:r w:rsidRPr="00DA453A">
        <w:rPr>
          <w:rFonts w:asciiTheme="majorBidi" w:hAnsiTheme="majorBidi" w:cstheme="majorBidi"/>
        </w:rPr>
        <w:t xml:space="preserve"> our patient population, and is more likely to include all AKIs than the HES dataset. </w:t>
      </w:r>
    </w:p>
    <w:p w14:paraId="434F60B4" w14:textId="77777777" w:rsidR="00322CC6" w:rsidRDefault="00322CC6" w:rsidP="00A4788F">
      <w:pPr>
        <w:spacing w:after="0" w:line="360" w:lineRule="auto"/>
        <w:jc w:val="both"/>
        <w:rPr>
          <w:rFonts w:asciiTheme="majorBidi" w:hAnsiTheme="majorBidi" w:cstheme="majorBidi"/>
        </w:rPr>
      </w:pPr>
    </w:p>
    <w:p w14:paraId="17BB5555" w14:textId="12E05A2B" w:rsidR="00A4788F" w:rsidRPr="00DA453A" w:rsidRDefault="00A4788F" w:rsidP="00A83123">
      <w:pPr>
        <w:spacing w:after="0" w:line="360" w:lineRule="auto"/>
        <w:jc w:val="both"/>
        <w:rPr>
          <w:rFonts w:asciiTheme="majorBidi" w:hAnsiTheme="majorBidi" w:cstheme="majorBidi"/>
        </w:rPr>
      </w:pPr>
      <w:r w:rsidRPr="00DA453A">
        <w:rPr>
          <w:rFonts w:asciiTheme="majorBidi" w:hAnsiTheme="majorBidi" w:cstheme="majorBidi"/>
        </w:rPr>
        <w:t xml:space="preserve">The impact of AKI on mortality was estimated by the authors adjusting for a range of covariates including history of hospital admission, </w:t>
      </w:r>
      <w:proofErr w:type="gramStart"/>
      <w:r w:rsidRPr="00DA453A">
        <w:rPr>
          <w:rFonts w:asciiTheme="majorBidi" w:hAnsiTheme="majorBidi" w:cstheme="majorBidi"/>
        </w:rPr>
        <w:t>comorbidities</w:t>
      </w:r>
      <w:proofErr w:type="gramEnd"/>
      <w:r w:rsidRPr="00DA453A">
        <w:rPr>
          <w:rFonts w:asciiTheme="majorBidi" w:hAnsiTheme="majorBidi" w:cstheme="majorBidi"/>
        </w:rPr>
        <w:t xml:space="preserve"> and primary diagnosis. We assumed the relative increase in mortality associated with AKI observed in the Kerr et al. analysis</w:t>
      </w:r>
      <w:r w:rsidR="00A83123" w:rsidRPr="00A83123">
        <w:rPr>
          <w:rFonts w:asciiTheme="majorBidi" w:hAnsiTheme="majorBidi" w:cstheme="majorBidi"/>
          <w:noProof/>
          <w:vertAlign w:val="superscript"/>
        </w:rPr>
        <w:t>126</w:t>
      </w:r>
      <w:r w:rsidR="00322CC6">
        <w:rPr>
          <w:rFonts w:asciiTheme="majorBidi" w:hAnsiTheme="majorBidi" w:cstheme="majorBidi"/>
        </w:rPr>
        <w:t xml:space="preserve"> </w:t>
      </w:r>
      <w:r w:rsidRPr="00DA453A">
        <w:rPr>
          <w:rFonts w:asciiTheme="majorBidi" w:hAnsiTheme="majorBidi" w:cstheme="majorBidi"/>
        </w:rPr>
        <w:t xml:space="preserve">applied to the baseline risk of mortality in our HVCS despite the patients within our HVCS exhibiting a much higher </w:t>
      </w:r>
      <w:r w:rsidR="00837CD7" w:rsidRPr="00DA453A">
        <w:rPr>
          <w:rFonts w:asciiTheme="majorBidi" w:hAnsiTheme="majorBidi" w:cstheme="majorBidi"/>
        </w:rPr>
        <w:t>baseline</w:t>
      </w:r>
      <w:r w:rsidRPr="00DA453A">
        <w:rPr>
          <w:rFonts w:asciiTheme="majorBidi" w:hAnsiTheme="majorBidi" w:cstheme="majorBidi"/>
        </w:rPr>
        <w:t xml:space="preserve"> mortality risk. AKI is more prevalent in patients with poor prognosis, although Kerr et al. attempted to adjust for these factors the elevated mortality estimated was considered high by expert advisors.</w:t>
      </w:r>
      <w:r w:rsidR="00A83123" w:rsidRPr="00A83123">
        <w:rPr>
          <w:rFonts w:asciiTheme="majorBidi" w:hAnsiTheme="majorBidi" w:cstheme="majorBidi"/>
          <w:noProof/>
          <w:vertAlign w:val="superscript"/>
        </w:rPr>
        <w:t>126</w:t>
      </w:r>
      <w:r w:rsidRPr="00DA453A">
        <w:rPr>
          <w:rFonts w:asciiTheme="majorBidi" w:hAnsiTheme="majorBidi" w:cstheme="majorBidi"/>
        </w:rPr>
        <w:t xml:space="preserve"> A scenario analysis was</w:t>
      </w:r>
      <w:r w:rsidR="00322CC6">
        <w:rPr>
          <w:rFonts w:asciiTheme="majorBidi" w:hAnsiTheme="majorBidi" w:cstheme="majorBidi"/>
        </w:rPr>
        <w:t>,</w:t>
      </w:r>
      <w:r w:rsidRPr="00DA453A">
        <w:rPr>
          <w:rFonts w:asciiTheme="majorBidi" w:hAnsiTheme="majorBidi" w:cstheme="majorBidi"/>
        </w:rPr>
        <w:t xml:space="preserve"> </w:t>
      </w:r>
      <w:proofErr w:type="spellStart"/>
      <w:proofErr w:type="gramStart"/>
      <w:r w:rsidRPr="00DA453A">
        <w:rPr>
          <w:rFonts w:asciiTheme="majorBidi" w:hAnsiTheme="majorBidi" w:cstheme="majorBidi"/>
        </w:rPr>
        <w:t>therefor</w:t>
      </w:r>
      <w:r w:rsidR="00322CC6">
        <w:rPr>
          <w:rFonts w:asciiTheme="majorBidi" w:hAnsiTheme="majorBidi" w:cstheme="majorBidi"/>
        </w:rPr>
        <w:t>,</w:t>
      </w:r>
      <w:r w:rsidRPr="00DA453A">
        <w:rPr>
          <w:rFonts w:asciiTheme="majorBidi" w:hAnsiTheme="majorBidi" w:cstheme="majorBidi"/>
        </w:rPr>
        <w:t>e</w:t>
      </w:r>
      <w:proofErr w:type="spellEnd"/>
      <w:proofErr w:type="gramEnd"/>
      <w:r w:rsidRPr="00DA453A">
        <w:rPr>
          <w:rFonts w:asciiTheme="majorBidi" w:hAnsiTheme="majorBidi" w:cstheme="majorBidi"/>
        </w:rPr>
        <w:t xml:space="preserve"> run whereby the excess mortality associated with AKI was halved from the reported value. </w:t>
      </w:r>
    </w:p>
    <w:p w14:paraId="08C56331" w14:textId="77777777" w:rsidR="00A4788F" w:rsidRDefault="00A4788F" w:rsidP="00A4788F">
      <w:pPr>
        <w:spacing w:after="0" w:line="360" w:lineRule="auto"/>
        <w:jc w:val="both"/>
      </w:pPr>
      <w:r>
        <w:t xml:space="preserve"> </w:t>
      </w:r>
    </w:p>
    <w:p w14:paraId="0E281B59" w14:textId="77777777" w:rsidR="00DC3933" w:rsidRDefault="00DC3933" w:rsidP="009E265F">
      <w:pPr>
        <w:pStyle w:val="table"/>
        <w:sectPr w:rsidR="00DC3933" w:rsidSect="00A4788F">
          <w:pgSz w:w="11906" w:h="16838"/>
          <w:pgMar w:top="1440" w:right="1440" w:bottom="1440" w:left="1440" w:header="709" w:footer="709" w:gutter="0"/>
          <w:cols w:space="708"/>
          <w:docGrid w:linePitch="360"/>
        </w:sectPr>
      </w:pPr>
      <w:bookmarkStart w:id="413" w:name="_Ref83552852"/>
      <w:bookmarkStart w:id="414" w:name="_Toc83589981"/>
    </w:p>
    <w:p w14:paraId="6765F4F9" w14:textId="43B44D2F" w:rsidR="00C67B00" w:rsidRPr="00C67B00" w:rsidRDefault="00A4788F" w:rsidP="00C67B00">
      <w:pPr>
        <w:pStyle w:val="table"/>
      </w:pPr>
      <w:bookmarkStart w:id="415" w:name="_Toc86419002"/>
      <w:r w:rsidRPr="00442159">
        <w:lastRenderedPageBreak/>
        <w:t xml:space="preserve">Table </w:t>
      </w:r>
      <w:r w:rsidR="00F10F0A">
        <w:rPr>
          <w:noProof/>
        </w:rPr>
        <w:t>25</w:t>
      </w:r>
      <w:bookmarkEnd w:id="411"/>
      <w:bookmarkEnd w:id="412"/>
      <w:bookmarkEnd w:id="413"/>
      <w:r w:rsidRPr="00442159">
        <w:t xml:space="preserve">: </w:t>
      </w:r>
      <w:r>
        <w:t>Parameters informing the 30-day MDS decision tree</w:t>
      </w:r>
      <w:bookmarkEnd w:id="414"/>
      <w:bookmarkEnd w:id="415"/>
    </w:p>
    <w:tbl>
      <w:tblPr>
        <w:tblStyle w:val="TableGrid"/>
        <w:tblpPr w:leftFromText="180" w:rightFromText="180" w:vertAnchor="text" w:horzAnchor="margin" w:tblpY="323"/>
        <w:tblW w:w="13482" w:type="dxa"/>
        <w:tblLayout w:type="fixed"/>
        <w:tblLook w:val="04A0" w:firstRow="1" w:lastRow="0" w:firstColumn="1" w:lastColumn="0" w:noHBand="0" w:noVBand="1"/>
      </w:tblPr>
      <w:tblGrid>
        <w:gridCol w:w="1107"/>
        <w:gridCol w:w="2608"/>
        <w:gridCol w:w="3628"/>
        <w:gridCol w:w="1187"/>
        <w:gridCol w:w="2324"/>
        <w:gridCol w:w="2628"/>
      </w:tblGrid>
      <w:tr w:rsidR="00A4788F" w:rsidRPr="004A4B7C" w14:paraId="62C85A89" w14:textId="77777777" w:rsidTr="00A4788F">
        <w:tc>
          <w:tcPr>
            <w:tcW w:w="1107" w:type="dxa"/>
          </w:tcPr>
          <w:p w14:paraId="652D0E4D" w14:textId="4D73D8A3"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Site</w:t>
            </w:r>
          </w:p>
        </w:tc>
        <w:tc>
          <w:tcPr>
            <w:tcW w:w="2608" w:type="dxa"/>
          </w:tcPr>
          <w:p w14:paraId="0C8A7AA4" w14:textId="77777777"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Parameter name</w:t>
            </w:r>
          </w:p>
        </w:tc>
        <w:tc>
          <w:tcPr>
            <w:tcW w:w="3628" w:type="dxa"/>
          </w:tcPr>
          <w:p w14:paraId="378F90D0" w14:textId="77777777"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Description</w:t>
            </w:r>
          </w:p>
        </w:tc>
        <w:tc>
          <w:tcPr>
            <w:tcW w:w="1187" w:type="dxa"/>
          </w:tcPr>
          <w:p w14:paraId="19B34DFC" w14:textId="77777777"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Value</w:t>
            </w:r>
          </w:p>
        </w:tc>
        <w:tc>
          <w:tcPr>
            <w:tcW w:w="2324" w:type="dxa"/>
          </w:tcPr>
          <w:p w14:paraId="0EC38EE5" w14:textId="77777777"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Uncertainty (measure)</w:t>
            </w:r>
          </w:p>
        </w:tc>
        <w:tc>
          <w:tcPr>
            <w:tcW w:w="2628" w:type="dxa"/>
          </w:tcPr>
          <w:p w14:paraId="7F4DB291" w14:textId="77777777" w:rsidR="00A4788F" w:rsidRPr="004A4B7C" w:rsidRDefault="00A4788F" w:rsidP="004A4B7C">
            <w:pPr>
              <w:pStyle w:val="EEPRUNumberedHeading"/>
              <w:numPr>
                <w:ilvl w:val="0"/>
                <w:numId w:val="0"/>
              </w:numPr>
              <w:spacing w:before="0"/>
              <w:rPr>
                <w:rFonts w:ascii="Times New Roman" w:hAnsi="Times New Roman" w:cs="Times New Roman"/>
                <w:sz w:val="20"/>
                <w:szCs w:val="20"/>
              </w:rPr>
            </w:pPr>
            <w:r w:rsidRPr="004A4B7C">
              <w:rPr>
                <w:rFonts w:ascii="Times New Roman" w:hAnsi="Times New Roman" w:cs="Times New Roman"/>
                <w:sz w:val="20"/>
                <w:szCs w:val="20"/>
              </w:rPr>
              <w:t>Source</w:t>
            </w:r>
          </w:p>
        </w:tc>
      </w:tr>
      <w:tr w:rsidR="00A4788F" w:rsidRPr="004A4B7C" w14:paraId="0BAB44A5" w14:textId="77777777" w:rsidTr="00A4788F">
        <w:tc>
          <w:tcPr>
            <w:tcW w:w="1107" w:type="dxa"/>
          </w:tcPr>
          <w:p w14:paraId="3B462F55"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cUTI</w:t>
            </w:r>
            <w:proofErr w:type="spellEnd"/>
          </w:p>
        </w:tc>
        <w:tc>
          <w:tcPr>
            <w:tcW w:w="2608" w:type="dxa"/>
          </w:tcPr>
          <w:p w14:paraId="0E92A97F"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p_bgrdS30d_MDS_S</w:t>
            </w:r>
          </w:p>
        </w:tc>
        <w:tc>
          <w:tcPr>
            <w:tcW w:w="3628" w:type="dxa"/>
          </w:tcPr>
          <w:p w14:paraId="2B7D29E8" w14:textId="77777777" w:rsidR="00A4788F" w:rsidRPr="004A4B7C" w:rsidRDefault="00A4788F" w:rsidP="004A4B7C">
            <w:pPr>
              <w:pStyle w:val="NormalWeb"/>
              <w:spacing w:before="0" w:beforeAutospacing="0" w:after="0" w:afterAutospacing="0"/>
              <w:rPr>
                <w:sz w:val="20"/>
                <w:szCs w:val="20"/>
              </w:rPr>
            </w:pPr>
            <w:r w:rsidRPr="004A4B7C">
              <w:rPr>
                <w:sz w:val="20"/>
                <w:szCs w:val="20"/>
              </w:rPr>
              <w:t xml:space="preserve">30-day survival in </w:t>
            </w:r>
            <w:proofErr w:type="spellStart"/>
            <w:r w:rsidRPr="004A4B7C">
              <w:rPr>
                <w:sz w:val="20"/>
                <w:szCs w:val="20"/>
              </w:rPr>
              <w:t>cUTI</w:t>
            </w:r>
            <w:proofErr w:type="spellEnd"/>
            <w:r w:rsidRPr="004A4B7C">
              <w:rPr>
                <w:sz w:val="20"/>
                <w:szCs w:val="20"/>
              </w:rPr>
              <w:t xml:space="preserve"> patients receiving a treatment to which they are susceptible</w:t>
            </w:r>
          </w:p>
        </w:tc>
        <w:tc>
          <w:tcPr>
            <w:tcW w:w="1187" w:type="dxa"/>
          </w:tcPr>
          <w:p w14:paraId="7BBD68AB"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0.854</w:t>
            </w:r>
          </w:p>
        </w:tc>
        <w:tc>
          <w:tcPr>
            <w:tcW w:w="2324" w:type="dxa"/>
          </w:tcPr>
          <w:p w14:paraId="2C655B96"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Beta (12.10, 2.07)</w:t>
            </w:r>
          </w:p>
          <w:p w14:paraId="47775FE2"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(0.636 to 0.979)</w:t>
            </w:r>
          </w:p>
        </w:tc>
        <w:tc>
          <w:tcPr>
            <w:tcW w:w="2628" w:type="dxa"/>
          </w:tcPr>
          <w:p w14:paraId="49A64B80"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 xml:space="preserve">Structured expert elicitation </w:t>
            </w:r>
          </w:p>
        </w:tc>
      </w:tr>
      <w:tr w:rsidR="00A4788F" w:rsidRPr="004A4B7C" w14:paraId="3222B96B" w14:textId="77777777" w:rsidTr="00A4788F">
        <w:tc>
          <w:tcPr>
            <w:tcW w:w="1107" w:type="dxa"/>
          </w:tcPr>
          <w:p w14:paraId="44752AEF"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cUTI</w:t>
            </w:r>
            <w:proofErr w:type="spellEnd"/>
          </w:p>
        </w:tc>
        <w:tc>
          <w:tcPr>
            <w:tcW w:w="2608" w:type="dxa"/>
          </w:tcPr>
          <w:p w14:paraId="5DFCE71E"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p_bgrdS30d_MDS_nonS</w:t>
            </w:r>
          </w:p>
        </w:tc>
        <w:tc>
          <w:tcPr>
            <w:tcW w:w="3628" w:type="dxa"/>
          </w:tcPr>
          <w:p w14:paraId="4A3B5100" w14:textId="77777777" w:rsidR="00A4788F" w:rsidRPr="004A4B7C" w:rsidRDefault="00A4788F" w:rsidP="004A4B7C">
            <w:pPr>
              <w:pStyle w:val="NormalWeb"/>
              <w:spacing w:before="0" w:beforeAutospacing="0" w:after="0" w:afterAutospacing="0"/>
              <w:rPr>
                <w:sz w:val="20"/>
                <w:szCs w:val="20"/>
              </w:rPr>
            </w:pPr>
            <w:r w:rsidRPr="004A4B7C">
              <w:rPr>
                <w:sz w:val="20"/>
                <w:szCs w:val="20"/>
              </w:rPr>
              <w:t xml:space="preserve">30-day survival in </w:t>
            </w:r>
            <w:proofErr w:type="spellStart"/>
            <w:r w:rsidRPr="004A4B7C">
              <w:rPr>
                <w:sz w:val="20"/>
                <w:szCs w:val="20"/>
              </w:rPr>
              <w:t>cUTI</w:t>
            </w:r>
            <w:proofErr w:type="spellEnd"/>
            <w:r w:rsidRPr="004A4B7C">
              <w:rPr>
                <w:sz w:val="20"/>
                <w:szCs w:val="20"/>
              </w:rPr>
              <w:t xml:space="preserve"> patients receiving a treatment to which they are resistant</w:t>
            </w:r>
          </w:p>
        </w:tc>
        <w:tc>
          <w:tcPr>
            <w:tcW w:w="1187" w:type="dxa"/>
          </w:tcPr>
          <w:p w14:paraId="609F4471"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0.610</w:t>
            </w:r>
          </w:p>
        </w:tc>
        <w:tc>
          <w:tcPr>
            <w:tcW w:w="2324" w:type="dxa"/>
          </w:tcPr>
          <w:p w14:paraId="59117BEA"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Beta (3.55, 2.27)</w:t>
            </w:r>
          </w:p>
          <w:p w14:paraId="0ECBAA2F"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(0.227 to 0.923)</w:t>
            </w:r>
          </w:p>
        </w:tc>
        <w:tc>
          <w:tcPr>
            <w:tcW w:w="2628" w:type="dxa"/>
          </w:tcPr>
          <w:p w14:paraId="364C8F50"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 xml:space="preserve">Structured expert elicitation </w:t>
            </w:r>
          </w:p>
        </w:tc>
      </w:tr>
      <w:tr w:rsidR="00A4788F" w:rsidRPr="004A4B7C" w14:paraId="60E6EDD0" w14:textId="77777777" w:rsidTr="00A4788F">
        <w:tc>
          <w:tcPr>
            <w:tcW w:w="1107" w:type="dxa"/>
          </w:tcPr>
          <w:p w14:paraId="7930110A"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HAP/VAP</w:t>
            </w:r>
          </w:p>
        </w:tc>
        <w:tc>
          <w:tcPr>
            <w:tcW w:w="2608" w:type="dxa"/>
          </w:tcPr>
          <w:p w14:paraId="440A9E4D"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p_bgrdS30d_MDS_S</w:t>
            </w:r>
          </w:p>
        </w:tc>
        <w:tc>
          <w:tcPr>
            <w:tcW w:w="3628" w:type="dxa"/>
          </w:tcPr>
          <w:p w14:paraId="6667B893" w14:textId="77777777" w:rsidR="00A4788F" w:rsidRPr="004A4B7C" w:rsidRDefault="00A4788F" w:rsidP="004A4B7C">
            <w:pPr>
              <w:pStyle w:val="NormalWeb"/>
              <w:spacing w:before="0" w:beforeAutospacing="0" w:after="0" w:afterAutospacing="0"/>
              <w:rPr>
                <w:sz w:val="20"/>
                <w:szCs w:val="20"/>
              </w:rPr>
            </w:pPr>
            <w:r w:rsidRPr="004A4B7C">
              <w:rPr>
                <w:sz w:val="20"/>
                <w:szCs w:val="20"/>
              </w:rPr>
              <w:t>30-day survival in HAP/VAP patients receiving a treatment to which they are susceptible</w:t>
            </w:r>
          </w:p>
        </w:tc>
        <w:tc>
          <w:tcPr>
            <w:tcW w:w="1187" w:type="dxa"/>
          </w:tcPr>
          <w:p w14:paraId="3420DFFB"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0.578</w:t>
            </w:r>
          </w:p>
        </w:tc>
        <w:tc>
          <w:tcPr>
            <w:tcW w:w="2324" w:type="dxa"/>
          </w:tcPr>
          <w:p w14:paraId="6C3D6E55"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Beta (3.99, 2.91)</w:t>
            </w:r>
          </w:p>
          <w:p w14:paraId="0BBE9E08"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(0.226 to 0.888)</w:t>
            </w:r>
          </w:p>
          <w:p w14:paraId="2AC142CB"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p>
        </w:tc>
        <w:tc>
          <w:tcPr>
            <w:tcW w:w="2628" w:type="dxa"/>
          </w:tcPr>
          <w:p w14:paraId="532C2DD4"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Structured expert elicitation</w:t>
            </w:r>
          </w:p>
        </w:tc>
      </w:tr>
      <w:tr w:rsidR="00A4788F" w:rsidRPr="004A4B7C" w14:paraId="314C3246" w14:textId="77777777" w:rsidTr="00A4788F">
        <w:tc>
          <w:tcPr>
            <w:tcW w:w="1107" w:type="dxa"/>
          </w:tcPr>
          <w:p w14:paraId="163E2F90"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 xml:space="preserve">HAP/VAP </w:t>
            </w:r>
          </w:p>
        </w:tc>
        <w:tc>
          <w:tcPr>
            <w:tcW w:w="2608" w:type="dxa"/>
          </w:tcPr>
          <w:p w14:paraId="6AB36979"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p_bgrdS30d_MDS_nonS</w:t>
            </w:r>
          </w:p>
        </w:tc>
        <w:tc>
          <w:tcPr>
            <w:tcW w:w="3628" w:type="dxa"/>
          </w:tcPr>
          <w:p w14:paraId="7FE22FB4" w14:textId="77777777" w:rsidR="00A4788F" w:rsidRPr="004A4B7C" w:rsidRDefault="00A4788F" w:rsidP="004A4B7C">
            <w:pPr>
              <w:pStyle w:val="NormalWeb"/>
              <w:spacing w:before="0" w:beforeAutospacing="0" w:after="0" w:afterAutospacing="0"/>
              <w:rPr>
                <w:sz w:val="20"/>
                <w:szCs w:val="20"/>
              </w:rPr>
            </w:pPr>
            <w:r w:rsidRPr="004A4B7C">
              <w:rPr>
                <w:sz w:val="20"/>
                <w:szCs w:val="20"/>
              </w:rPr>
              <w:t>30-day survival in HAP/VAP patients receiving a treatment to which they are resistant</w:t>
            </w:r>
          </w:p>
        </w:tc>
        <w:tc>
          <w:tcPr>
            <w:tcW w:w="1187" w:type="dxa"/>
          </w:tcPr>
          <w:p w14:paraId="234D0A0C"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0.376</w:t>
            </w:r>
          </w:p>
        </w:tc>
        <w:tc>
          <w:tcPr>
            <w:tcW w:w="2324" w:type="dxa"/>
          </w:tcPr>
          <w:p w14:paraId="5D87395C"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Beta (2.71, 4.51)</w:t>
            </w:r>
          </w:p>
          <w:p w14:paraId="37F0FD91" w14:textId="681831A0"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(0.090 to 0.726)</w:t>
            </w:r>
          </w:p>
        </w:tc>
        <w:tc>
          <w:tcPr>
            <w:tcW w:w="2628" w:type="dxa"/>
          </w:tcPr>
          <w:p w14:paraId="333C7473"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Structured expert elicitation</w:t>
            </w:r>
          </w:p>
        </w:tc>
      </w:tr>
      <w:tr w:rsidR="00A4788F" w:rsidRPr="004A4B7C" w14:paraId="3A3EE0CB" w14:textId="77777777" w:rsidTr="00A4788F">
        <w:tc>
          <w:tcPr>
            <w:tcW w:w="1107" w:type="dxa"/>
          </w:tcPr>
          <w:p w14:paraId="533180BE"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All</w:t>
            </w:r>
          </w:p>
        </w:tc>
        <w:tc>
          <w:tcPr>
            <w:tcW w:w="2608" w:type="dxa"/>
          </w:tcPr>
          <w:p w14:paraId="2D24E6A5"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p_AKI_ca</w:t>
            </w:r>
            <w:proofErr w:type="spellEnd"/>
          </w:p>
        </w:tc>
        <w:tc>
          <w:tcPr>
            <w:tcW w:w="3628" w:type="dxa"/>
          </w:tcPr>
          <w:p w14:paraId="7BB117D0" w14:textId="77777777" w:rsidR="00A4788F" w:rsidRPr="004A4B7C" w:rsidRDefault="00A4788F" w:rsidP="004A4B7C">
            <w:pPr>
              <w:pStyle w:val="NormalWeb"/>
              <w:spacing w:before="0" w:beforeAutospacing="0" w:after="0" w:afterAutospacing="0"/>
              <w:rPr>
                <w:sz w:val="20"/>
                <w:szCs w:val="20"/>
              </w:rPr>
            </w:pPr>
            <w:r w:rsidRPr="004A4B7C">
              <w:rPr>
                <w:sz w:val="20"/>
                <w:szCs w:val="20"/>
              </w:rPr>
              <w:t>Risk of AKI in patients receiving colistin or an aminoglycoside</w:t>
            </w:r>
          </w:p>
        </w:tc>
        <w:tc>
          <w:tcPr>
            <w:tcW w:w="1187" w:type="dxa"/>
          </w:tcPr>
          <w:p w14:paraId="53EB7887"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0.45</w:t>
            </w:r>
          </w:p>
        </w:tc>
        <w:tc>
          <w:tcPr>
            <w:tcW w:w="2324" w:type="dxa"/>
            <w:shd w:val="clear" w:color="auto" w:fill="auto"/>
          </w:tcPr>
          <w:p w14:paraId="0B7BB786"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(0.41-0.49)</w:t>
            </w:r>
          </w:p>
        </w:tc>
        <w:tc>
          <w:tcPr>
            <w:tcW w:w="2628" w:type="dxa"/>
          </w:tcPr>
          <w:p w14:paraId="243C5969" w14:textId="32D73DB6" w:rsidR="00A4788F" w:rsidRPr="004A4B7C" w:rsidRDefault="00A4788F" w:rsidP="00C83FB7">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Sisay</w:t>
            </w:r>
            <w:proofErr w:type="spellEnd"/>
            <w:r w:rsidRPr="004A4B7C">
              <w:rPr>
                <w:rFonts w:ascii="Times New Roman" w:hAnsi="Times New Roman" w:cs="Times New Roman"/>
                <w:b w:val="0"/>
                <w:sz w:val="20"/>
                <w:szCs w:val="20"/>
              </w:rPr>
              <w:t xml:space="preserve"> 2021</w:t>
            </w:r>
            <w:r w:rsidR="00A83123" w:rsidRPr="004A4B7C">
              <w:rPr>
                <w:rFonts w:ascii="Times New Roman" w:hAnsi="Times New Roman" w:cs="Times New Roman"/>
                <w:b w:val="0"/>
                <w:noProof/>
                <w:sz w:val="20"/>
                <w:szCs w:val="20"/>
                <w:vertAlign w:val="superscript"/>
              </w:rPr>
              <w:t>122</w:t>
            </w:r>
          </w:p>
        </w:tc>
      </w:tr>
      <w:tr w:rsidR="00A4788F" w:rsidRPr="004A4B7C" w14:paraId="054F1A48" w14:textId="77777777" w:rsidTr="00A4788F">
        <w:tc>
          <w:tcPr>
            <w:tcW w:w="1107" w:type="dxa"/>
            <w:shd w:val="clear" w:color="auto" w:fill="auto"/>
          </w:tcPr>
          <w:p w14:paraId="1942A8CF"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All</w:t>
            </w:r>
          </w:p>
        </w:tc>
        <w:tc>
          <w:tcPr>
            <w:tcW w:w="2608" w:type="dxa"/>
            <w:shd w:val="clear" w:color="auto" w:fill="auto"/>
          </w:tcPr>
          <w:p w14:paraId="2D52D79B"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OR_AKI_ca</w:t>
            </w:r>
            <w:proofErr w:type="spellEnd"/>
          </w:p>
        </w:tc>
        <w:tc>
          <w:tcPr>
            <w:tcW w:w="3628" w:type="dxa"/>
            <w:shd w:val="clear" w:color="auto" w:fill="auto"/>
          </w:tcPr>
          <w:p w14:paraId="5E2616F2" w14:textId="77777777" w:rsidR="00A4788F" w:rsidRPr="004A4B7C" w:rsidRDefault="00A4788F" w:rsidP="004A4B7C">
            <w:pPr>
              <w:pStyle w:val="NormalWeb"/>
              <w:spacing w:before="0" w:beforeAutospacing="0" w:after="0" w:afterAutospacing="0"/>
              <w:rPr>
                <w:sz w:val="20"/>
                <w:szCs w:val="20"/>
              </w:rPr>
            </w:pPr>
            <w:r w:rsidRPr="004A4B7C">
              <w:rPr>
                <w:sz w:val="20"/>
                <w:szCs w:val="20"/>
              </w:rPr>
              <w:t>Elevation in risk of AKI associated with colistin or aminoglycosides compared to other less nephrotoxic therapies</w:t>
            </w:r>
          </w:p>
        </w:tc>
        <w:tc>
          <w:tcPr>
            <w:tcW w:w="1187" w:type="dxa"/>
            <w:shd w:val="clear" w:color="auto" w:fill="auto"/>
          </w:tcPr>
          <w:p w14:paraId="764B203F"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1.81</w:t>
            </w:r>
          </w:p>
        </w:tc>
        <w:tc>
          <w:tcPr>
            <w:tcW w:w="2324" w:type="dxa"/>
            <w:shd w:val="clear" w:color="auto" w:fill="auto"/>
          </w:tcPr>
          <w:p w14:paraId="3B210507"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sz w:val="20"/>
                <w:szCs w:val="20"/>
              </w:rPr>
            </w:pPr>
            <w:r w:rsidRPr="004A4B7C">
              <w:rPr>
                <w:rFonts w:ascii="Times New Roman" w:hAnsi="Times New Roman" w:cs="Times New Roman"/>
                <w:b w:val="0"/>
                <w:sz w:val="20"/>
                <w:szCs w:val="20"/>
              </w:rPr>
              <w:t>95% CI: (1.13, 2.92)</w:t>
            </w:r>
          </w:p>
        </w:tc>
        <w:tc>
          <w:tcPr>
            <w:tcW w:w="2628" w:type="dxa"/>
            <w:shd w:val="clear" w:color="auto" w:fill="auto"/>
          </w:tcPr>
          <w:p w14:paraId="7CCAA5FF" w14:textId="74A37E45" w:rsidR="00A4788F" w:rsidRPr="004A4B7C" w:rsidRDefault="00A4788F" w:rsidP="00C83FB7">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Chien</w:t>
            </w:r>
            <w:proofErr w:type="spellEnd"/>
            <w:r w:rsidRPr="004A4B7C">
              <w:rPr>
                <w:rFonts w:ascii="Times New Roman" w:hAnsi="Times New Roman" w:cs="Times New Roman"/>
                <w:b w:val="0"/>
                <w:sz w:val="20"/>
                <w:szCs w:val="20"/>
              </w:rPr>
              <w:t xml:space="preserve"> 2020</w:t>
            </w:r>
            <w:r w:rsidR="00A83123" w:rsidRPr="004A4B7C">
              <w:rPr>
                <w:rFonts w:ascii="Times New Roman" w:hAnsi="Times New Roman" w:cs="Times New Roman"/>
                <w:b w:val="0"/>
                <w:noProof/>
                <w:sz w:val="20"/>
                <w:szCs w:val="20"/>
                <w:vertAlign w:val="superscript"/>
              </w:rPr>
              <w:t>124</w:t>
            </w:r>
          </w:p>
        </w:tc>
      </w:tr>
      <w:tr w:rsidR="00A4788F" w:rsidRPr="004A4B7C" w14:paraId="754E086B" w14:textId="77777777" w:rsidTr="00A4788F">
        <w:tc>
          <w:tcPr>
            <w:tcW w:w="1107" w:type="dxa"/>
          </w:tcPr>
          <w:p w14:paraId="46AFEC56"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All</w:t>
            </w:r>
          </w:p>
        </w:tc>
        <w:tc>
          <w:tcPr>
            <w:tcW w:w="2608" w:type="dxa"/>
          </w:tcPr>
          <w:p w14:paraId="660A7136"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OR_AKI_death</w:t>
            </w:r>
            <w:proofErr w:type="spellEnd"/>
          </w:p>
        </w:tc>
        <w:tc>
          <w:tcPr>
            <w:tcW w:w="3628" w:type="dxa"/>
          </w:tcPr>
          <w:p w14:paraId="39A619E1" w14:textId="77777777" w:rsidR="00A4788F" w:rsidRPr="004A4B7C" w:rsidRDefault="00A4788F" w:rsidP="004A4B7C">
            <w:pPr>
              <w:pStyle w:val="NormalWeb"/>
              <w:spacing w:before="0" w:beforeAutospacing="0" w:after="0" w:afterAutospacing="0"/>
              <w:rPr>
                <w:sz w:val="20"/>
                <w:szCs w:val="20"/>
              </w:rPr>
            </w:pPr>
            <w:r w:rsidRPr="004A4B7C">
              <w:rPr>
                <w:sz w:val="20"/>
                <w:szCs w:val="20"/>
              </w:rPr>
              <w:t>Odds ratio of mortality for AKI compared to no AKI</w:t>
            </w:r>
          </w:p>
        </w:tc>
        <w:tc>
          <w:tcPr>
            <w:tcW w:w="1187" w:type="dxa"/>
          </w:tcPr>
          <w:p w14:paraId="343BB0D8"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5.11</w:t>
            </w:r>
          </w:p>
        </w:tc>
        <w:tc>
          <w:tcPr>
            <w:tcW w:w="2324" w:type="dxa"/>
            <w:shd w:val="clear" w:color="auto" w:fill="auto"/>
          </w:tcPr>
          <w:p w14:paraId="70FC1BB8"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95% CI: (4.23, 6.17)</w:t>
            </w:r>
          </w:p>
        </w:tc>
        <w:tc>
          <w:tcPr>
            <w:tcW w:w="2628" w:type="dxa"/>
          </w:tcPr>
          <w:p w14:paraId="12C0461A" w14:textId="2535F14F" w:rsidR="00A4788F" w:rsidRPr="004A4B7C" w:rsidRDefault="00A4788F" w:rsidP="00C83FB7">
            <w:pPr>
              <w:pStyle w:val="NormalWeb"/>
              <w:spacing w:before="0" w:beforeAutospacing="0" w:after="0" w:afterAutospacing="0"/>
              <w:rPr>
                <w:sz w:val="20"/>
                <w:szCs w:val="20"/>
              </w:rPr>
            </w:pPr>
            <w:r w:rsidRPr="004A4B7C">
              <w:rPr>
                <w:sz w:val="20"/>
                <w:szCs w:val="20"/>
              </w:rPr>
              <w:t>Kerr 2014</w:t>
            </w:r>
            <w:r w:rsidR="00A83123" w:rsidRPr="004A4B7C">
              <w:rPr>
                <w:noProof/>
                <w:sz w:val="20"/>
                <w:szCs w:val="20"/>
                <w:vertAlign w:val="superscript"/>
              </w:rPr>
              <w:t>126</w:t>
            </w:r>
          </w:p>
        </w:tc>
      </w:tr>
      <w:tr w:rsidR="00A4788F" w:rsidRPr="004A4B7C" w14:paraId="44183B72" w14:textId="77777777" w:rsidTr="00A4788F">
        <w:tc>
          <w:tcPr>
            <w:tcW w:w="1107" w:type="dxa"/>
          </w:tcPr>
          <w:p w14:paraId="4DA5DAD2"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r w:rsidRPr="004A4B7C">
              <w:rPr>
                <w:rFonts w:ascii="Times New Roman" w:hAnsi="Times New Roman" w:cs="Times New Roman"/>
                <w:b w:val="0"/>
                <w:sz w:val="20"/>
                <w:szCs w:val="20"/>
              </w:rPr>
              <w:t>HAP/VAP</w:t>
            </w:r>
          </w:p>
        </w:tc>
        <w:tc>
          <w:tcPr>
            <w:tcW w:w="2608" w:type="dxa"/>
          </w:tcPr>
          <w:p w14:paraId="6EC87E22"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p_AKIirrec</w:t>
            </w:r>
            <w:proofErr w:type="spellEnd"/>
          </w:p>
        </w:tc>
        <w:tc>
          <w:tcPr>
            <w:tcW w:w="3628" w:type="dxa"/>
          </w:tcPr>
          <w:p w14:paraId="1C9BC202" w14:textId="77777777" w:rsidR="00A4788F" w:rsidRPr="004A4B7C" w:rsidRDefault="00A4788F" w:rsidP="004A4B7C">
            <w:pPr>
              <w:pStyle w:val="NormalWeb"/>
              <w:spacing w:before="0" w:beforeAutospacing="0" w:after="0" w:afterAutospacing="0"/>
              <w:rPr>
                <w:sz w:val="20"/>
                <w:szCs w:val="20"/>
              </w:rPr>
            </w:pPr>
            <w:r w:rsidRPr="004A4B7C">
              <w:rPr>
                <w:sz w:val="20"/>
                <w:szCs w:val="20"/>
              </w:rPr>
              <w:t xml:space="preserve">Proportion of individuals who experience an AKI who have ESRD </w:t>
            </w:r>
          </w:p>
        </w:tc>
        <w:tc>
          <w:tcPr>
            <w:tcW w:w="1187" w:type="dxa"/>
          </w:tcPr>
          <w:p w14:paraId="1E6E90AF"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0.003</w:t>
            </w:r>
          </w:p>
        </w:tc>
        <w:tc>
          <w:tcPr>
            <w:tcW w:w="2324" w:type="dxa"/>
            <w:shd w:val="clear" w:color="auto" w:fill="auto"/>
          </w:tcPr>
          <w:p w14:paraId="12B147C5"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0.002</w:t>
            </w:r>
          </w:p>
        </w:tc>
        <w:tc>
          <w:tcPr>
            <w:tcW w:w="2628" w:type="dxa"/>
          </w:tcPr>
          <w:p w14:paraId="361AFAE7" w14:textId="3D9DB862" w:rsidR="00A4788F" w:rsidRPr="004A4B7C" w:rsidRDefault="00A4788F" w:rsidP="00C83FB7">
            <w:pPr>
              <w:pStyle w:val="NormalWeb"/>
              <w:spacing w:before="0" w:beforeAutospacing="0" w:after="0" w:afterAutospacing="0"/>
              <w:rPr>
                <w:sz w:val="20"/>
                <w:szCs w:val="20"/>
              </w:rPr>
            </w:pPr>
            <w:proofErr w:type="spellStart"/>
            <w:r w:rsidRPr="004A4B7C">
              <w:rPr>
                <w:sz w:val="20"/>
                <w:szCs w:val="20"/>
              </w:rPr>
              <w:t>Sisay</w:t>
            </w:r>
            <w:proofErr w:type="spellEnd"/>
            <w:r w:rsidRPr="004A4B7C">
              <w:rPr>
                <w:sz w:val="20"/>
                <w:szCs w:val="20"/>
              </w:rPr>
              <w:t>, 2021</w:t>
            </w:r>
            <w:r w:rsidR="00A83123" w:rsidRPr="004A4B7C">
              <w:rPr>
                <w:noProof/>
                <w:sz w:val="20"/>
                <w:szCs w:val="20"/>
                <w:vertAlign w:val="superscript"/>
              </w:rPr>
              <w:t>122</w:t>
            </w:r>
            <w:r w:rsidRPr="004A4B7C">
              <w:rPr>
                <w:sz w:val="20"/>
                <w:szCs w:val="20"/>
              </w:rPr>
              <w:t xml:space="preserve"> </w:t>
            </w:r>
          </w:p>
        </w:tc>
      </w:tr>
      <w:tr w:rsidR="00A4788F" w:rsidRPr="004A4B7C" w14:paraId="6E40C2BE" w14:textId="77777777" w:rsidTr="00A4788F">
        <w:tc>
          <w:tcPr>
            <w:tcW w:w="1107" w:type="dxa"/>
          </w:tcPr>
          <w:p w14:paraId="70AD61D9"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cUTI</w:t>
            </w:r>
            <w:proofErr w:type="spellEnd"/>
          </w:p>
        </w:tc>
        <w:tc>
          <w:tcPr>
            <w:tcW w:w="2608" w:type="dxa"/>
          </w:tcPr>
          <w:p w14:paraId="468FAF14"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hAnsi="Times New Roman" w:cs="Times New Roman"/>
                <w:b w:val="0"/>
                <w:sz w:val="20"/>
                <w:szCs w:val="20"/>
              </w:rPr>
              <w:t>p_AKIirrec</w:t>
            </w:r>
            <w:proofErr w:type="spellEnd"/>
          </w:p>
        </w:tc>
        <w:tc>
          <w:tcPr>
            <w:tcW w:w="3628" w:type="dxa"/>
          </w:tcPr>
          <w:p w14:paraId="113C65D0" w14:textId="77777777" w:rsidR="00A4788F" w:rsidRPr="004A4B7C" w:rsidRDefault="00A4788F" w:rsidP="004A4B7C">
            <w:pPr>
              <w:pStyle w:val="NormalWeb"/>
              <w:spacing w:before="0" w:beforeAutospacing="0" w:after="0" w:afterAutospacing="0"/>
              <w:rPr>
                <w:sz w:val="20"/>
                <w:szCs w:val="20"/>
              </w:rPr>
            </w:pPr>
            <w:r w:rsidRPr="004A4B7C">
              <w:rPr>
                <w:sz w:val="20"/>
                <w:szCs w:val="20"/>
              </w:rPr>
              <w:t>Proportion of individuals who experience an AKI who have ESRD</w:t>
            </w:r>
          </w:p>
        </w:tc>
        <w:tc>
          <w:tcPr>
            <w:tcW w:w="1187" w:type="dxa"/>
          </w:tcPr>
          <w:p w14:paraId="551AA458"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0.001</w:t>
            </w:r>
          </w:p>
        </w:tc>
        <w:tc>
          <w:tcPr>
            <w:tcW w:w="2324" w:type="dxa"/>
            <w:shd w:val="clear" w:color="auto" w:fill="auto"/>
          </w:tcPr>
          <w:p w14:paraId="7A1F9E41" w14:textId="77777777" w:rsidR="00A4788F" w:rsidRPr="004A4B7C" w:rsidRDefault="00A4788F" w:rsidP="004A4B7C">
            <w:pPr>
              <w:pStyle w:val="NormalWeb"/>
              <w:spacing w:before="0" w:beforeAutospacing="0" w:after="0" w:afterAutospacing="0"/>
              <w:jc w:val="right"/>
              <w:rPr>
                <w:sz w:val="20"/>
                <w:szCs w:val="20"/>
              </w:rPr>
            </w:pPr>
            <w:r w:rsidRPr="004A4B7C">
              <w:rPr>
                <w:sz w:val="20"/>
                <w:szCs w:val="20"/>
              </w:rPr>
              <w:t>0.002</w:t>
            </w:r>
          </w:p>
        </w:tc>
        <w:tc>
          <w:tcPr>
            <w:tcW w:w="2628" w:type="dxa"/>
          </w:tcPr>
          <w:p w14:paraId="2A071F19" w14:textId="7A1D50AB" w:rsidR="00A4788F" w:rsidRPr="004A4B7C" w:rsidRDefault="00CF2F84" w:rsidP="004A4B7C">
            <w:pPr>
              <w:pStyle w:val="NormalWeb"/>
              <w:spacing w:before="0" w:beforeAutospacing="0" w:after="0" w:afterAutospacing="0"/>
              <w:rPr>
                <w:sz w:val="20"/>
                <w:szCs w:val="20"/>
              </w:rPr>
            </w:pPr>
            <w:proofErr w:type="spellStart"/>
            <w:r w:rsidRPr="004A4B7C">
              <w:rPr>
                <w:sz w:val="20"/>
                <w:szCs w:val="20"/>
              </w:rPr>
              <w:t>Sisay</w:t>
            </w:r>
            <w:proofErr w:type="spellEnd"/>
            <w:r w:rsidRPr="004A4B7C">
              <w:rPr>
                <w:sz w:val="20"/>
                <w:szCs w:val="20"/>
              </w:rPr>
              <w:t>, 2021</w:t>
            </w:r>
            <w:r w:rsidRPr="004A4B7C">
              <w:rPr>
                <w:noProof/>
                <w:sz w:val="20"/>
                <w:szCs w:val="20"/>
                <w:vertAlign w:val="superscript"/>
              </w:rPr>
              <w:t>122</w:t>
            </w:r>
          </w:p>
        </w:tc>
      </w:tr>
    </w:tbl>
    <w:p w14:paraId="457BE9DC" w14:textId="77777777" w:rsidR="00A4788F" w:rsidRDefault="00A4788F" w:rsidP="00A4788F">
      <w:pPr>
        <w:spacing w:line="360" w:lineRule="auto"/>
      </w:pPr>
    </w:p>
    <w:p w14:paraId="3185764D" w14:textId="7626280D" w:rsidR="00DC3933" w:rsidRDefault="00774411" w:rsidP="00774411">
      <w:pPr>
        <w:pStyle w:val="EEPRUtextundertables"/>
        <w:sectPr w:rsidR="00DC3933" w:rsidSect="00DC3933">
          <w:pgSz w:w="16838" w:h="11906" w:orient="landscape"/>
          <w:pgMar w:top="1440" w:right="1440" w:bottom="1440" w:left="1440" w:header="709" w:footer="709" w:gutter="0"/>
          <w:cols w:space="708"/>
          <w:docGrid w:linePitch="360"/>
        </w:sectPr>
      </w:pPr>
      <w:r w:rsidRPr="00774411">
        <w:t xml:space="preserve">AKI, acute kidney injury; CI, confidence intervals; </w:t>
      </w:r>
      <w:proofErr w:type="spellStart"/>
      <w:r w:rsidRPr="00774411">
        <w:t>cUTI</w:t>
      </w:r>
      <w:proofErr w:type="spellEnd"/>
      <w:r w:rsidRPr="00774411">
        <w:t xml:space="preserve">, complicated urinary tract infection; ESRD, end-stage renal disease; HAP/VAP, hospital-acquired </w:t>
      </w:r>
      <w:proofErr w:type="gramStart"/>
      <w:r w:rsidRPr="00774411">
        <w:t>pneumonia</w:t>
      </w:r>
      <w:proofErr w:type="gramEnd"/>
      <w:r w:rsidRPr="00774411">
        <w:t xml:space="preserve"> or ventilator-associated pneumonia</w:t>
      </w:r>
    </w:p>
    <w:p w14:paraId="549D7243" w14:textId="2394D21B" w:rsidR="00EC4036" w:rsidRPr="00DA453A" w:rsidRDefault="00EC4036" w:rsidP="00EC4036">
      <w:pPr>
        <w:pStyle w:val="EEPRUnumberedlevel4"/>
        <w:ind w:hanging="283"/>
      </w:pPr>
      <w:bookmarkStart w:id="416" w:name="_Toc87463042"/>
      <w:r>
        <w:lastRenderedPageBreak/>
        <w:t xml:space="preserve">7.2.3.5 </w:t>
      </w:r>
      <w:r>
        <w:tab/>
      </w:r>
      <w:r w:rsidRPr="00DA453A">
        <w:t xml:space="preserve">Clinical parameters – </w:t>
      </w:r>
      <w:r>
        <w:t>linking susceptibility to 30-day outcomes in the ES</w:t>
      </w:r>
      <w:bookmarkEnd w:id="416"/>
    </w:p>
    <w:p w14:paraId="1C7BCE13" w14:textId="77777777" w:rsidR="00EC4036" w:rsidRDefault="00EC4036" w:rsidP="00A83123">
      <w:pPr>
        <w:spacing w:line="360" w:lineRule="auto"/>
        <w:rPr>
          <w:rFonts w:asciiTheme="majorBidi" w:hAnsiTheme="majorBidi" w:cstheme="majorBidi"/>
        </w:rPr>
      </w:pPr>
    </w:p>
    <w:p w14:paraId="78B5F62A" w14:textId="65011B5F" w:rsidR="00A4788F" w:rsidRPr="00042419" w:rsidRDefault="00A4788F" w:rsidP="00A83123">
      <w:pPr>
        <w:spacing w:line="360" w:lineRule="auto"/>
        <w:rPr>
          <w:rFonts w:asciiTheme="majorBidi" w:hAnsiTheme="majorBidi" w:cstheme="majorBidi"/>
        </w:rPr>
      </w:pPr>
      <w:r w:rsidRPr="00042419">
        <w:rPr>
          <w:rFonts w:asciiTheme="majorBidi" w:hAnsiTheme="majorBidi" w:cstheme="majorBidi"/>
        </w:rPr>
        <w:t xml:space="preserve">The evidence informing the decision tree predicting 30-day outcomes in the ES is presented in </w:t>
      </w:r>
      <w:r w:rsidR="00322CC6" w:rsidRPr="00322CC6">
        <w:rPr>
          <w:rFonts w:asciiTheme="majorBidi" w:hAnsiTheme="majorBidi" w:cstheme="majorBidi"/>
        </w:rPr>
        <w:t>Table 26</w:t>
      </w:r>
      <w:r w:rsidRPr="00042419">
        <w:rPr>
          <w:rFonts w:asciiTheme="majorBidi" w:hAnsiTheme="majorBidi" w:cstheme="majorBidi"/>
        </w:rPr>
        <w:t>.</w:t>
      </w:r>
      <w:bookmarkStart w:id="417" w:name="_Hlk83983467"/>
      <w:r w:rsidR="00322CC6">
        <w:rPr>
          <w:rFonts w:asciiTheme="majorBidi" w:hAnsiTheme="majorBidi" w:cstheme="majorBidi"/>
        </w:rPr>
        <w:t xml:space="preserve">  </w:t>
      </w:r>
      <w:r w:rsidRPr="00042419">
        <w:rPr>
          <w:rFonts w:asciiTheme="majorBidi" w:hAnsiTheme="majorBidi" w:cstheme="majorBidi"/>
        </w:rPr>
        <w:t xml:space="preserve">The mechanisms database described </w:t>
      </w:r>
      <w:r w:rsidRPr="00C27EE8">
        <w:rPr>
          <w:rFonts w:asciiTheme="majorBidi" w:hAnsiTheme="majorBidi" w:cstheme="majorBidi"/>
        </w:rPr>
        <w:t xml:space="preserve">in Section </w:t>
      </w:r>
      <w:r w:rsidR="00C27EE8" w:rsidRPr="00C27EE8">
        <w:rPr>
          <w:rFonts w:asciiTheme="majorBidi" w:hAnsiTheme="majorBidi" w:cstheme="majorBidi"/>
        </w:rPr>
        <w:t>4.6.2 and Appendix 8</w:t>
      </w:r>
      <w:r w:rsidRPr="00C27EE8">
        <w:rPr>
          <w:rFonts w:asciiTheme="majorBidi" w:hAnsiTheme="majorBidi" w:cstheme="majorBidi"/>
        </w:rPr>
        <w:t xml:space="preserve"> was </w:t>
      </w:r>
      <w:r w:rsidRPr="00042419">
        <w:rPr>
          <w:rFonts w:asciiTheme="majorBidi" w:hAnsiTheme="majorBidi" w:cstheme="majorBidi"/>
        </w:rPr>
        <w:t xml:space="preserve">searched to identify papers providing quantitative estimates of the risk of carrying the </w:t>
      </w:r>
      <w:r w:rsidR="00AE639B">
        <w:rPr>
          <w:rFonts w:asciiTheme="majorBidi" w:hAnsiTheme="majorBidi" w:cstheme="majorBidi"/>
        </w:rPr>
        <w:t>pathogen-mechanism</w:t>
      </w:r>
      <w:r w:rsidRPr="00042419">
        <w:rPr>
          <w:rFonts w:asciiTheme="majorBidi" w:hAnsiTheme="majorBidi" w:cstheme="majorBidi"/>
        </w:rPr>
        <w:t xml:space="preserve"> of interest among patients with specific characteristics</w:t>
      </w:r>
      <w:bookmarkEnd w:id="417"/>
      <w:r w:rsidRPr="00042419">
        <w:rPr>
          <w:rFonts w:asciiTheme="majorBidi" w:hAnsiTheme="majorBidi" w:cstheme="majorBidi"/>
        </w:rPr>
        <w:t xml:space="preserve">. This was supplemented by papers known to the study team. Two searches were conducted. The first was to identify UK-specific studies. This had two concepts; the first was to identify ‘risk’ studies (any field containing any of “risk”, “prevalence”, “incidence”, “character*”, or “outbreak”), returning 1,696 studies. The second concept was for UK studies (abstract contains any of (“United Kingdom”, “Great Britain”, “England”, “UK”, “NHS”, “Trust”, “London”, “*Shire”), returning 119 studies. Combining both concepts provided 61 studies for the first search. The second search was expanded to identify non-UK risk models and returned 51 studies based on their title containing “Risk”. No risk models were identified from either search. Indeed, even in the wider population of patients at risk of a </w:t>
      </w:r>
      <w:r w:rsidR="007C6FC0">
        <w:rPr>
          <w:rFonts w:asciiTheme="majorBidi" w:hAnsiTheme="majorBidi" w:cstheme="majorBidi"/>
        </w:rPr>
        <w:t>carbapenem-resistant</w:t>
      </w:r>
      <w:r w:rsidRPr="00042419">
        <w:rPr>
          <w:rFonts w:asciiTheme="majorBidi" w:hAnsiTheme="majorBidi" w:cstheme="majorBidi"/>
        </w:rPr>
        <w:t xml:space="preserve"> infection, there is a paucity of UK data available to estimate the risk of having a </w:t>
      </w:r>
      <w:r w:rsidR="007C6FC0">
        <w:rPr>
          <w:rFonts w:asciiTheme="majorBidi" w:hAnsiTheme="majorBidi" w:cstheme="majorBidi"/>
        </w:rPr>
        <w:t>carbapenem-resistant</w:t>
      </w:r>
      <w:r w:rsidRPr="00042419">
        <w:rPr>
          <w:rFonts w:asciiTheme="majorBidi" w:hAnsiTheme="majorBidi" w:cstheme="majorBidi"/>
        </w:rPr>
        <w:t xml:space="preserve"> infection amongst patients with relevant risk factors.</w:t>
      </w:r>
      <w:r w:rsidR="00A83123" w:rsidRPr="00A83123">
        <w:rPr>
          <w:rFonts w:asciiTheme="majorBidi" w:hAnsiTheme="majorBidi" w:cstheme="majorBidi"/>
          <w:noProof/>
          <w:vertAlign w:val="superscript"/>
        </w:rPr>
        <w:t>127</w:t>
      </w:r>
    </w:p>
    <w:p w14:paraId="77B1AE54" w14:textId="2FD2A552" w:rsidR="00A4788F" w:rsidRPr="00042419" w:rsidRDefault="00A4788F" w:rsidP="006E78D8">
      <w:pPr>
        <w:spacing w:line="360" w:lineRule="auto"/>
        <w:jc w:val="both"/>
        <w:rPr>
          <w:rFonts w:asciiTheme="majorBidi" w:hAnsiTheme="majorBidi" w:cstheme="majorBidi"/>
        </w:rPr>
      </w:pPr>
      <w:r w:rsidRPr="00042419">
        <w:rPr>
          <w:rFonts w:asciiTheme="majorBidi" w:hAnsiTheme="majorBidi" w:cstheme="majorBidi"/>
        </w:rPr>
        <w:t xml:space="preserve">The probability that a patient entering the ES who actually has the suspected </w:t>
      </w:r>
      <w:r w:rsidR="00AE639B">
        <w:rPr>
          <w:rFonts w:asciiTheme="majorBidi" w:hAnsiTheme="majorBidi" w:cstheme="majorBidi"/>
        </w:rPr>
        <w:t>pathogen-mechanism</w:t>
      </w:r>
      <w:r w:rsidRPr="00042419">
        <w:rPr>
          <w:rFonts w:asciiTheme="majorBidi" w:hAnsiTheme="majorBidi" w:cstheme="majorBidi"/>
        </w:rPr>
        <w:t xml:space="preserve"> was obtained from the </w:t>
      </w:r>
      <w:proofErr w:type="gramStart"/>
      <w:r w:rsidRPr="00042419">
        <w:rPr>
          <w:rFonts w:asciiTheme="majorBidi" w:hAnsiTheme="majorBidi" w:cstheme="majorBidi"/>
        </w:rPr>
        <w:t>Second Generation</w:t>
      </w:r>
      <w:proofErr w:type="gramEnd"/>
      <w:r w:rsidRPr="00042419">
        <w:rPr>
          <w:rFonts w:asciiTheme="majorBidi" w:hAnsiTheme="majorBidi" w:cstheme="majorBidi"/>
        </w:rPr>
        <w:t xml:space="preserve"> Surveillance System (SGSS) data supplied by PHE as shown in </w:t>
      </w:r>
      <w:r w:rsidR="00322CC6" w:rsidRPr="00322CC6">
        <w:rPr>
          <w:rFonts w:asciiTheme="majorBidi" w:hAnsiTheme="majorBidi" w:cstheme="majorBidi"/>
        </w:rPr>
        <w:t xml:space="preserve">Table </w:t>
      </w:r>
      <w:r w:rsidR="00322CC6" w:rsidRPr="00322CC6">
        <w:rPr>
          <w:rFonts w:asciiTheme="majorBidi" w:hAnsiTheme="majorBidi" w:cstheme="majorBidi"/>
          <w:noProof/>
        </w:rPr>
        <w:t>26</w:t>
      </w:r>
      <w:r w:rsidRPr="00042419">
        <w:rPr>
          <w:rFonts w:asciiTheme="majorBidi" w:hAnsiTheme="majorBidi" w:cstheme="majorBidi"/>
        </w:rPr>
        <w:t xml:space="preserve"> (for further </w:t>
      </w:r>
      <w:r w:rsidRPr="00322CC6">
        <w:rPr>
          <w:rFonts w:asciiTheme="majorBidi" w:hAnsiTheme="majorBidi" w:cstheme="majorBidi"/>
        </w:rPr>
        <w:t xml:space="preserve">discussion see Section </w:t>
      </w:r>
      <w:r w:rsidR="00322CC6" w:rsidRPr="00322CC6">
        <w:rPr>
          <w:rFonts w:asciiTheme="majorBidi" w:hAnsiTheme="majorBidi" w:cstheme="majorBidi"/>
        </w:rPr>
        <w:t>7.2.6.2</w:t>
      </w:r>
      <w:r w:rsidRPr="00322CC6">
        <w:rPr>
          <w:rFonts w:asciiTheme="majorBidi" w:hAnsiTheme="majorBidi" w:cstheme="majorBidi"/>
        </w:rPr>
        <w:t xml:space="preserve">). These </w:t>
      </w:r>
      <w:r w:rsidRPr="00042419">
        <w:rPr>
          <w:rFonts w:asciiTheme="majorBidi" w:hAnsiTheme="majorBidi" w:cstheme="majorBidi"/>
        </w:rPr>
        <w:t>data provide the number of tests for a given mechanism of resistance and the proportion of those tests that returned a positive result.</w:t>
      </w:r>
      <w:r w:rsidR="006E78D8" w:rsidRPr="00042419">
        <w:rPr>
          <w:rFonts w:asciiTheme="majorBidi" w:hAnsiTheme="majorBidi" w:cstheme="majorBidi"/>
        </w:rPr>
        <w:t xml:space="preserve"> </w:t>
      </w:r>
      <w:r w:rsidRPr="00042419">
        <w:rPr>
          <w:rFonts w:asciiTheme="majorBidi" w:hAnsiTheme="majorBidi" w:cstheme="majorBidi"/>
        </w:rPr>
        <w:t xml:space="preserve">These data are unlikely solely </w:t>
      </w:r>
      <w:r w:rsidR="00322CC6" w:rsidRPr="00042419">
        <w:rPr>
          <w:rFonts w:asciiTheme="majorBidi" w:hAnsiTheme="majorBidi" w:cstheme="majorBidi"/>
        </w:rPr>
        <w:t xml:space="preserve">to </w:t>
      </w:r>
      <w:r w:rsidRPr="00042419">
        <w:rPr>
          <w:rFonts w:asciiTheme="majorBidi" w:hAnsiTheme="majorBidi" w:cstheme="majorBidi"/>
        </w:rPr>
        <w:t>reflect the ES HVCS of focus in the current analysis</w:t>
      </w:r>
      <w:r w:rsidR="00322CC6">
        <w:rPr>
          <w:rFonts w:asciiTheme="majorBidi" w:hAnsiTheme="majorBidi" w:cstheme="majorBidi"/>
        </w:rPr>
        <w:t>.  F</w:t>
      </w:r>
      <w:r w:rsidRPr="00042419">
        <w:rPr>
          <w:rFonts w:asciiTheme="majorBidi" w:hAnsiTheme="majorBidi" w:cstheme="majorBidi"/>
        </w:rPr>
        <w:t>or example</w:t>
      </w:r>
      <w:r w:rsidR="00322CC6">
        <w:rPr>
          <w:rFonts w:asciiTheme="majorBidi" w:hAnsiTheme="majorBidi" w:cstheme="majorBidi"/>
        </w:rPr>
        <w:t>,</w:t>
      </w:r>
      <w:r w:rsidRPr="00042419">
        <w:rPr>
          <w:rFonts w:asciiTheme="majorBidi" w:hAnsiTheme="majorBidi" w:cstheme="majorBidi"/>
        </w:rPr>
        <w:t xml:space="preserve"> testing may be conducted due to a suspicion in the lab rather than at the level of the treating clinician (</w:t>
      </w:r>
      <w:proofErr w:type="gramStart"/>
      <w:r w:rsidRPr="00042419">
        <w:rPr>
          <w:rFonts w:asciiTheme="majorBidi" w:hAnsiTheme="majorBidi" w:cstheme="majorBidi"/>
        </w:rPr>
        <w:t>e.g.</w:t>
      </w:r>
      <w:proofErr w:type="gramEnd"/>
      <w:r w:rsidRPr="00042419">
        <w:rPr>
          <w:rFonts w:asciiTheme="majorBidi" w:hAnsiTheme="majorBidi" w:cstheme="majorBidi"/>
        </w:rPr>
        <w:t xml:space="preserve"> a lab finding of carbapenem non-susceptibility might trigger a test), some tests may be run following treatment failure or may be run in the ES but at a lower level of suspicion than considered in our HVCS.</w:t>
      </w:r>
    </w:p>
    <w:p w14:paraId="7679BD21" w14:textId="42AC0DCD" w:rsidR="00A4788F" w:rsidRPr="00042419" w:rsidRDefault="00A4788F" w:rsidP="006E78D8">
      <w:pPr>
        <w:spacing w:line="360" w:lineRule="auto"/>
        <w:jc w:val="both"/>
        <w:rPr>
          <w:rFonts w:asciiTheme="majorBidi" w:hAnsiTheme="majorBidi" w:cstheme="majorBidi"/>
          <w:highlight w:val="yellow"/>
        </w:rPr>
      </w:pPr>
      <w:r w:rsidRPr="00042419">
        <w:rPr>
          <w:rFonts w:asciiTheme="majorBidi" w:hAnsiTheme="majorBidi" w:cstheme="majorBidi"/>
        </w:rPr>
        <w:t xml:space="preserve">Given these uncertainties in the available data, we also conducted a survey of the mailing list of the BSAC. This survey asked microbiologists and infectious disease specialists how many times they saw patients who would fall into our ES HVCS of interest, and the proportion of those who </w:t>
      </w:r>
      <w:r w:rsidR="00A22A79" w:rsidRPr="00042419">
        <w:rPr>
          <w:rFonts w:asciiTheme="majorBidi" w:hAnsiTheme="majorBidi" w:cstheme="majorBidi"/>
        </w:rPr>
        <w:t>had</w:t>
      </w:r>
      <w:r w:rsidRPr="00042419">
        <w:rPr>
          <w:rFonts w:asciiTheme="majorBidi" w:hAnsiTheme="majorBidi" w:cstheme="majorBidi"/>
        </w:rPr>
        <w:t xml:space="preserve"> the </w:t>
      </w:r>
      <w:r w:rsidR="00AE639B">
        <w:rPr>
          <w:rFonts w:asciiTheme="majorBidi" w:hAnsiTheme="majorBidi" w:cstheme="majorBidi"/>
        </w:rPr>
        <w:t>pathogen-mechanism</w:t>
      </w:r>
      <w:r w:rsidRPr="00042419">
        <w:rPr>
          <w:rFonts w:asciiTheme="majorBidi" w:hAnsiTheme="majorBidi" w:cstheme="majorBidi"/>
        </w:rPr>
        <w:t xml:space="preserve"> of interest. A survey was used in preference to the structured expert elicitation as this parameter was expected to vary according to local epidemiology and history of outbreaks of resistant infections and it was not considered realistic that the expert elicitation exercise could include enough experts to adequately reflect this geographical heterogeneity. Unfortunately, the response to the survey was low with only 9 experts providing usable responses. On average these experts reported that</w:t>
      </w:r>
      <w:r w:rsidR="00A22A79">
        <w:rPr>
          <w:rFonts w:asciiTheme="majorBidi" w:hAnsiTheme="majorBidi" w:cstheme="majorBidi"/>
        </w:rPr>
        <w:t>,</w:t>
      </w:r>
      <w:r w:rsidRPr="00042419">
        <w:rPr>
          <w:rFonts w:asciiTheme="majorBidi" w:hAnsiTheme="majorBidi" w:cstheme="majorBidi"/>
        </w:rPr>
        <w:t xml:space="preserve"> of the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Pr="00042419">
        <w:rPr>
          <w:rFonts w:asciiTheme="majorBidi" w:hAnsiTheme="majorBidi" w:cstheme="majorBidi"/>
        </w:rPr>
        <w:t xml:space="preserve"> HAP/VAP seen where there was a high suspicion of the mechanism of </w:t>
      </w:r>
      <w:r w:rsidRPr="00042419">
        <w:rPr>
          <w:rFonts w:asciiTheme="majorBidi" w:hAnsiTheme="majorBidi" w:cstheme="majorBidi"/>
        </w:rPr>
        <w:lastRenderedPageBreak/>
        <w:t>interest</w:t>
      </w:r>
      <w:r w:rsidR="00A22A79">
        <w:rPr>
          <w:rFonts w:asciiTheme="majorBidi" w:hAnsiTheme="majorBidi" w:cstheme="majorBidi"/>
        </w:rPr>
        <w:t>,</w:t>
      </w:r>
      <w:r w:rsidRPr="00042419">
        <w:rPr>
          <w:rFonts w:asciiTheme="majorBidi" w:hAnsiTheme="majorBidi" w:cstheme="majorBidi"/>
        </w:rPr>
        <w:t xml:space="preserve"> 57</w:t>
      </w:r>
      <w:r w:rsidR="00837CD7" w:rsidRPr="00042419">
        <w:rPr>
          <w:rFonts w:asciiTheme="majorBidi" w:hAnsiTheme="majorBidi" w:cstheme="majorBidi"/>
        </w:rPr>
        <w:t>% of</w:t>
      </w:r>
      <w:r w:rsidRPr="00042419">
        <w:rPr>
          <w:rFonts w:asciiTheme="majorBidi" w:hAnsiTheme="majorBidi" w:cstheme="majorBidi"/>
        </w:rPr>
        <w:t xml:space="preserve"> patients would be confirmed as having the mechanism.  These values are used in a sensitivity analysis. Given the high level of uncertainty around this parameter, sensitivity analysis results are shown for a wide range of alternative values. </w:t>
      </w:r>
    </w:p>
    <w:p w14:paraId="37599B7E" w14:textId="5CFD0EE1"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 xml:space="preserve">Mortality at the time of assessment for entry to the MDS conditional upon susceptibility status, and 30-day mortality among patients not requiring further treatment, was obtained from </w:t>
      </w:r>
      <w:proofErr w:type="spellStart"/>
      <w:r w:rsidRPr="00042419">
        <w:rPr>
          <w:rFonts w:asciiTheme="majorBidi" w:hAnsiTheme="majorBidi" w:cstheme="majorBidi"/>
        </w:rPr>
        <w:t>Tumbarello</w:t>
      </w:r>
      <w:proofErr w:type="spellEnd"/>
      <w:r w:rsidRPr="00042419">
        <w:rPr>
          <w:rFonts w:asciiTheme="majorBidi" w:hAnsiTheme="majorBidi" w:cstheme="majorBidi"/>
        </w:rPr>
        <w:t xml:space="preserve"> 2013.</w:t>
      </w:r>
      <w:r w:rsidR="00A83123" w:rsidRPr="00A83123">
        <w:rPr>
          <w:rFonts w:asciiTheme="majorBidi" w:hAnsiTheme="majorBidi" w:cstheme="majorBidi"/>
          <w:noProof/>
          <w:vertAlign w:val="superscript"/>
        </w:rPr>
        <w:t>120</w:t>
      </w:r>
      <w:r w:rsidRPr="00042419">
        <w:rPr>
          <w:rFonts w:asciiTheme="majorBidi" w:hAnsiTheme="majorBidi" w:cstheme="majorBidi"/>
        </w:rPr>
        <w:t xml:space="preserve"> This study was conducted in 110 ICU patients with confirmed </w:t>
      </w:r>
      <w:r w:rsidR="00270C20">
        <w:rPr>
          <w:rFonts w:asciiTheme="majorBidi" w:hAnsiTheme="majorBidi" w:cstheme="majorBidi"/>
          <w:i/>
          <w:iCs/>
        </w:rPr>
        <w:t>Pseudomonas aeruginosa</w:t>
      </w:r>
      <w:r w:rsidRPr="0057397E">
        <w:rPr>
          <w:rFonts w:asciiTheme="majorBidi" w:hAnsiTheme="majorBidi" w:cstheme="majorBidi"/>
          <w:i/>
          <w:iCs/>
        </w:rPr>
        <w:t xml:space="preserve"> pneumonia </w:t>
      </w:r>
      <w:r w:rsidRPr="00042419">
        <w:rPr>
          <w:rFonts w:asciiTheme="majorBidi" w:hAnsiTheme="majorBidi" w:cstheme="majorBidi"/>
        </w:rPr>
        <w:t xml:space="preserve">in a hospital in Italy and compared 30-day mortality in patients who were susceptible to initial empiric treatment and those who were not. Surviving patients who were not susceptible to empiric treatment were switched to definitive therapy, on average ~62hrs after symptom onset. </w:t>
      </w:r>
      <w:proofErr w:type="spellStart"/>
      <w:r w:rsidRPr="00042419">
        <w:rPr>
          <w:rFonts w:asciiTheme="majorBidi" w:hAnsiTheme="majorBidi" w:cstheme="majorBidi"/>
        </w:rPr>
        <w:t>Tumbarello</w:t>
      </w:r>
      <w:proofErr w:type="spellEnd"/>
      <w:r w:rsidRPr="00042419">
        <w:rPr>
          <w:rFonts w:asciiTheme="majorBidi" w:hAnsiTheme="majorBidi" w:cstheme="majorBidi"/>
        </w:rPr>
        <w:t xml:space="preserve"> 2013</w:t>
      </w:r>
      <w:r w:rsidR="00A83123" w:rsidRPr="00A83123">
        <w:rPr>
          <w:rFonts w:asciiTheme="majorBidi" w:hAnsiTheme="majorBidi" w:cstheme="majorBidi"/>
          <w:noProof/>
          <w:vertAlign w:val="superscript"/>
        </w:rPr>
        <w:t>120</w:t>
      </w:r>
      <w:r w:rsidRPr="00042419">
        <w:rPr>
          <w:rFonts w:asciiTheme="majorBidi" w:hAnsiTheme="majorBidi" w:cstheme="majorBidi"/>
        </w:rPr>
        <w:t xml:space="preserve"> was chosen as it reported a relatively high incidence of multidrug resistant strains in infecting organisms (42/110) compared to the other studies identified in the review and was the only study reporting Kaplan Meier curves (</w:t>
      </w:r>
      <w:r w:rsidRPr="00C27EE8">
        <w:rPr>
          <w:rFonts w:asciiTheme="majorBidi" w:hAnsiTheme="majorBidi" w:cstheme="majorBidi"/>
        </w:rPr>
        <w:t xml:space="preserve">see Section </w:t>
      </w:r>
      <w:r w:rsidR="00C27EE8" w:rsidRPr="00C27EE8">
        <w:rPr>
          <w:rFonts w:asciiTheme="majorBidi" w:hAnsiTheme="majorBidi" w:cstheme="majorBidi"/>
        </w:rPr>
        <w:t>4.6.2</w:t>
      </w:r>
      <w:r w:rsidRPr="00C27EE8">
        <w:rPr>
          <w:rFonts w:asciiTheme="majorBidi" w:hAnsiTheme="majorBidi" w:cstheme="majorBidi"/>
        </w:rPr>
        <w:t xml:space="preserve"> for </w:t>
      </w:r>
      <w:r w:rsidRPr="00042419">
        <w:rPr>
          <w:rFonts w:asciiTheme="majorBidi" w:hAnsiTheme="majorBidi" w:cstheme="majorBidi"/>
        </w:rPr>
        <w:t xml:space="preserve">details). No UK studies were identified. </w:t>
      </w:r>
    </w:p>
    <w:p w14:paraId="03AEF809" w14:textId="21458672"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 xml:space="preserve">The probability of requiring further treatment for susceptible patients was taken from the </w:t>
      </w:r>
      <w:r w:rsidR="00FE2007">
        <w:rPr>
          <w:rFonts w:asciiTheme="majorBidi" w:hAnsiTheme="majorBidi" w:cstheme="majorBidi"/>
        </w:rPr>
        <w:t>CAZ-AVI</w:t>
      </w:r>
      <w:r w:rsidRPr="00042419">
        <w:rPr>
          <w:rFonts w:asciiTheme="majorBidi" w:hAnsiTheme="majorBidi" w:cstheme="majorBidi"/>
        </w:rPr>
        <w:t xml:space="preserve"> arm of the APEKS-NP study.</w:t>
      </w:r>
      <w:r w:rsidR="00A83123" w:rsidRPr="00A83123">
        <w:rPr>
          <w:rFonts w:asciiTheme="majorBidi" w:hAnsiTheme="majorBidi" w:cstheme="majorBidi"/>
          <w:noProof/>
          <w:vertAlign w:val="superscript"/>
        </w:rPr>
        <w:t>128</w:t>
      </w:r>
      <w:r w:rsidRPr="00042419">
        <w:rPr>
          <w:rFonts w:asciiTheme="majorBidi" w:hAnsiTheme="majorBidi" w:cstheme="majorBidi"/>
        </w:rPr>
        <w:t xml:space="preserve"> Within the studies included in the CAZ-AVI mappings</w:t>
      </w:r>
      <w:r w:rsidR="0057397E">
        <w:rPr>
          <w:rFonts w:asciiTheme="majorBidi" w:hAnsiTheme="majorBidi" w:cstheme="majorBidi"/>
        </w:rPr>
        <w:t>,</w:t>
      </w:r>
      <w:r w:rsidRPr="00042419">
        <w:rPr>
          <w:rFonts w:asciiTheme="majorBidi" w:hAnsiTheme="majorBidi" w:cstheme="majorBidi"/>
        </w:rPr>
        <w:t xml:space="preserve"> this was identified as the only study representing a predominantly empirically treated susceptible population of HAP/VAP patients that also reported subsequent treatment rates. </w:t>
      </w:r>
    </w:p>
    <w:p w14:paraId="1AFC66FE" w14:textId="48CDD1F4" w:rsidR="00C67B00" w:rsidRDefault="00C67B00" w:rsidP="009E265F">
      <w:pPr>
        <w:pStyle w:val="table"/>
      </w:pPr>
      <w:bookmarkStart w:id="418" w:name="_Ref77667259"/>
      <w:bookmarkStart w:id="419" w:name="_Ref77926527"/>
      <w:bookmarkStart w:id="420" w:name="_Toc83589982"/>
    </w:p>
    <w:p w14:paraId="4129F1EE" w14:textId="4628C1DD" w:rsidR="00A4788F" w:rsidRPr="00794B4E" w:rsidRDefault="00A4788F" w:rsidP="00794B4E">
      <w:pPr>
        <w:pStyle w:val="table"/>
      </w:pPr>
      <w:bookmarkStart w:id="421" w:name="_Toc86419003"/>
      <w:r w:rsidRPr="00442159">
        <w:t xml:space="preserve">Table </w:t>
      </w:r>
      <w:r w:rsidR="00F10F0A">
        <w:rPr>
          <w:noProof/>
        </w:rPr>
        <w:t>26</w:t>
      </w:r>
      <w:bookmarkEnd w:id="418"/>
      <w:bookmarkEnd w:id="419"/>
      <w:r w:rsidRPr="00442159">
        <w:t xml:space="preserve">: </w:t>
      </w:r>
      <w:r>
        <w:t>Parameters informing the 30-day ES tree (HAP/VAP only)</w:t>
      </w:r>
      <w:bookmarkEnd w:id="420"/>
      <w:bookmarkEnd w:id="421"/>
    </w:p>
    <w:tbl>
      <w:tblPr>
        <w:tblStyle w:val="TableGrid"/>
        <w:tblpPr w:leftFromText="180" w:rightFromText="180" w:vertAnchor="text" w:horzAnchor="margin" w:tblpY="323"/>
        <w:tblW w:w="5000" w:type="pct"/>
        <w:tblLayout w:type="fixed"/>
        <w:tblLook w:val="04A0" w:firstRow="1" w:lastRow="0" w:firstColumn="1" w:lastColumn="0" w:noHBand="0" w:noVBand="1"/>
      </w:tblPr>
      <w:tblGrid>
        <w:gridCol w:w="1554"/>
        <w:gridCol w:w="1562"/>
        <w:gridCol w:w="2550"/>
        <w:gridCol w:w="851"/>
        <w:gridCol w:w="1358"/>
        <w:gridCol w:w="1141"/>
      </w:tblGrid>
      <w:tr w:rsidR="00A4788F" w:rsidRPr="004A4B7C" w14:paraId="120D45D8" w14:textId="77777777" w:rsidTr="00774411">
        <w:tc>
          <w:tcPr>
            <w:tcW w:w="862" w:type="pct"/>
          </w:tcPr>
          <w:p w14:paraId="125C6662"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Pathogen / mechanism subgroup</w:t>
            </w:r>
          </w:p>
        </w:tc>
        <w:tc>
          <w:tcPr>
            <w:tcW w:w="866" w:type="pct"/>
          </w:tcPr>
          <w:p w14:paraId="7DD0805C"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Parameter name</w:t>
            </w:r>
          </w:p>
        </w:tc>
        <w:tc>
          <w:tcPr>
            <w:tcW w:w="1414" w:type="pct"/>
          </w:tcPr>
          <w:p w14:paraId="42D9438E"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Description</w:t>
            </w:r>
          </w:p>
        </w:tc>
        <w:tc>
          <w:tcPr>
            <w:tcW w:w="472" w:type="pct"/>
          </w:tcPr>
          <w:p w14:paraId="24017B6D"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Value</w:t>
            </w:r>
          </w:p>
        </w:tc>
        <w:tc>
          <w:tcPr>
            <w:tcW w:w="753" w:type="pct"/>
          </w:tcPr>
          <w:p w14:paraId="67E8BA18"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Uncertainty (measure)</w:t>
            </w:r>
          </w:p>
        </w:tc>
        <w:tc>
          <w:tcPr>
            <w:tcW w:w="633" w:type="pct"/>
          </w:tcPr>
          <w:p w14:paraId="66381F15" w14:textId="77777777" w:rsidR="00A4788F" w:rsidRPr="004A4B7C" w:rsidRDefault="00A4788F" w:rsidP="004A4B7C">
            <w:pPr>
              <w:pStyle w:val="EEPRUNumberedHeading"/>
              <w:numPr>
                <w:ilvl w:val="0"/>
                <w:numId w:val="0"/>
              </w:numPr>
              <w:spacing w:before="0"/>
              <w:rPr>
                <w:rFonts w:ascii="Times New Roman" w:hAnsi="Times New Roman"/>
                <w:sz w:val="20"/>
                <w:szCs w:val="20"/>
              </w:rPr>
            </w:pPr>
            <w:r w:rsidRPr="004A4B7C">
              <w:rPr>
                <w:rFonts w:ascii="Times New Roman" w:hAnsi="Times New Roman"/>
                <w:sz w:val="20"/>
                <w:szCs w:val="20"/>
              </w:rPr>
              <w:t>Source</w:t>
            </w:r>
          </w:p>
        </w:tc>
      </w:tr>
      <w:tr w:rsidR="00A4788F" w:rsidRPr="004A4B7C" w14:paraId="124B0ECB" w14:textId="77777777" w:rsidTr="00774411">
        <w:tc>
          <w:tcPr>
            <w:tcW w:w="862" w:type="pct"/>
          </w:tcPr>
          <w:p w14:paraId="223D2173" w14:textId="075B808F" w:rsidR="00A4788F" w:rsidRPr="004A4B7C" w:rsidRDefault="00FE2007" w:rsidP="004A4B7C">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i/>
                <w:iCs/>
                <w:sz w:val="20"/>
                <w:szCs w:val="20"/>
              </w:rPr>
              <w:t>Enterobacterales</w:t>
            </w:r>
            <w:proofErr w:type="spellEnd"/>
            <w:r w:rsidR="00A4788F" w:rsidRPr="004A4B7C">
              <w:rPr>
                <w:rFonts w:ascii="Times New Roman" w:hAnsi="Times New Roman"/>
                <w:b w:val="0"/>
                <w:sz w:val="20"/>
                <w:szCs w:val="20"/>
              </w:rPr>
              <w:t>/OXA-48</w:t>
            </w:r>
          </w:p>
        </w:tc>
        <w:tc>
          <w:tcPr>
            <w:tcW w:w="866" w:type="pct"/>
          </w:tcPr>
          <w:p w14:paraId="1E38F22D"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p_bug_mech_EOXA</w:t>
            </w:r>
            <w:proofErr w:type="spellEnd"/>
          </w:p>
        </w:tc>
        <w:tc>
          <w:tcPr>
            <w:tcW w:w="1414" w:type="pct"/>
          </w:tcPr>
          <w:p w14:paraId="09AF6112" w14:textId="21EE37C2" w:rsidR="00A4788F" w:rsidRPr="004A4B7C" w:rsidRDefault="00A4788F" w:rsidP="004A4B7C">
            <w:pPr>
              <w:pStyle w:val="NormalWeb"/>
              <w:spacing w:before="0" w:beforeAutospacing="0" w:after="0" w:afterAutospacing="0"/>
              <w:rPr>
                <w:sz w:val="20"/>
                <w:szCs w:val="20"/>
              </w:rPr>
            </w:pPr>
            <w:r w:rsidRPr="004A4B7C">
              <w:rPr>
                <w:sz w:val="20"/>
                <w:szCs w:val="20"/>
              </w:rPr>
              <w:t xml:space="preserve">Proportion of people in ES who have the suspected </w:t>
            </w:r>
            <w:r w:rsidR="00AE639B" w:rsidRPr="004A4B7C">
              <w:rPr>
                <w:sz w:val="20"/>
                <w:szCs w:val="20"/>
              </w:rPr>
              <w:t>pathogen-mechanism</w:t>
            </w:r>
            <w:r w:rsidRPr="004A4B7C">
              <w:rPr>
                <w:sz w:val="20"/>
                <w:szCs w:val="20"/>
              </w:rPr>
              <w:t xml:space="preserve"> </w:t>
            </w:r>
          </w:p>
        </w:tc>
        <w:tc>
          <w:tcPr>
            <w:tcW w:w="472" w:type="pct"/>
          </w:tcPr>
          <w:p w14:paraId="282BB646"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0.20</w:t>
            </w:r>
          </w:p>
        </w:tc>
        <w:tc>
          <w:tcPr>
            <w:tcW w:w="753" w:type="pct"/>
          </w:tcPr>
          <w:p w14:paraId="2FFC60E4"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97 (n)</w:t>
            </w:r>
          </w:p>
        </w:tc>
        <w:tc>
          <w:tcPr>
            <w:tcW w:w="633" w:type="pct"/>
          </w:tcPr>
          <w:p w14:paraId="001DCCEB"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PHE SGSS*</w:t>
            </w:r>
          </w:p>
        </w:tc>
      </w:tr>
      <w:tr w:rsidR="00A4788F" w:rsidRPr="004A4B7C" w14:paraId="02A69EB9" w14:textId="77777777" w:rsidTr="00774411">
        <w:tc>
          <w:tcPr>
            <w:tcW w:w="862" w:type="pct"/>
          </w:tcPr>
          <w:p w14:paraId="65B757E7"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All</w:t>
            </w:r>
          </w:p>
        </w:tc>
        <w:tc>
          <w:tcPr>
            <w:tcW w:w="866" w:type="pct"/>
          </w:tcPr>
          <w:p w14:paraId="45B419E0"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p_bgrdDst_S</w:t>
            </w:r>
            <w:proofErr w:type="spellEnd"/>
          </w:p>
        </w:tc>
        <w:tc>
          <w:tcPr>
            <w:tcW w:w="1414" w:type="pct"/>
          </w:tcPr>
          <w:p w14:paraId="295181DD" w14:textId="77777777" w:rsidR="00A4788F" w:rsidRPr="004A4B7C" w:rsidRDefault="00A4788F" w:rsidP="004A4B7C">
            <w:pPr>
              <w:pStyle w:val="NormalWeb"/>
              <w:spacing w:before="0" w:beforeAutospacing="0" w:after="0" w:afterAutospacing="0"/>
              <w:rPr>
                <w:sz w:val="20"/>
                <w:szCs w:val="20"/>
              </w:rPr>
            </w:pPr>
            <w:r w:rsidRPr="004A4B7C">
              <w:rPr>
                <w:sz w:val="20"/>
                <w:szCs w:val="20"/>
              </w:rPr>
              <w:t>Proportion of patients who received a treatment to which they are susceptible who are dead at the point MDS results become available (assumed to be at 5 days based on CARBAR study)</w:t>
            </w:r>
          </w:p>
        </w:tc>
        <w:tc>
          <w:tcPr>
            <w:tcW w:w="472" w:type="pct"/>
            <w:shd w:val="clear" w:color="auto" w:fill="auto"/>
          </w:tcPr>
          <w:p w14:paraId="36EFCCCF"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0.03</w:t>
            </w:r>
          </w:p>
        </w:tc>
        <w:tc>
          <w:tcPr>
            <w:tcW w:w="753" w:type="pct"/>
          </w:tcPr>
          <w:p w14:paraId="2890ECA7"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0.02 (se)</w:t>
            </w:r>
          </w:p>
        </w:tc>
        <w:tc>
          <w:tcPr>
            <w:tcW w:w="633" w:type="pct"/>
          </w:tcPr>
          <w:p w14:paraId="5AD39922" w14:textId="10E312FA" w:rsidR="00A4788F" w:rsidRPr="004A4B7C" w:rsidRDefault="00A4788F" w:rsidP="00C83FB7">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Tumbarello</w:t>
            </w:r>
            <w:proofErr w:type="spellEnd"/>
            <w:r w:rsidRPr="004A4B7C">
              <w:rPr>
                <w:rFonts w:ascii="Times New Roman" w:hAnsi="Times New Roman"/>
                <w:b w:val="0"/>
                <w:sz w:val="20"/>
                <w:szCs w:val="20"/>
              </w:rPr>
              <w:t xml:space="preserve"> 2013</w:t>
            </w:r>
            <w:r w:rsidR="00A83123" w:rsidRPr="004A4B7C">
              <w:rPr>
                <w:rFonts w:ascii="Times New Roman" w:hAnsi="Times New Roman"/>
                <w:b w:val="0"/>
                <w:noProof/>
                <w:sz w:val="20"/>
                <w:szCs w:val="20"/>
                <w:vertAlign w:val="superscript"/>
              </w:rPr>
              <w:t>120</w:t>
            </w:r>
          </w:p>
        </w:tc>
      </w:tr>
      <w:tr w:rsidR="00A4788F" w:rsidRPr="004A4B7C" w14:paraId="6E3A13D6" w14:textId="77777777" w:rsidTr="00774411">
        <w:tc>
          <w:tcPr>
            <w:tcW w:w="862" w:type="pct"/>
          </w:tcPr>
          <w:p w14:paraId="4D23CBDD"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All</w:t>
            </w:r>
          </w:p>
        </w:tc>
        <w:tc>
          <w:tcPr>
            <w:tcW w:w="866" w:type="pct"/>
          </w:tcPr>
          <w:p w14:paraId="7150C104"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p_bgrdDst_nonS</w:t>
            </w:r>
            <w:proofErr w:type="spellEnd"/>
          </w:p>
        </w:tc>
        <w:tc>
          <w:tcPr>
            <w:tcW w:w="1414" w:type="pct"/>
          </w:tcPr>
          <w:p w14:paraId="42099E3B" w14:textId="77777777" w:rsidR="00A4788F" w:rsidRPr="004A4B7C" w:rsidRDefault="00A4788F" w:rsidP="004A4B7C">
            <w:pPr>
              <w:pStyle w:val="NormalWeb"/>
              <w:spacing w:before="0" w:beforeAutospacing="0" w:after="0" w:afterAutospacing="0"/>
              <w:rPr>
                <w:sz w:val="20"/>
                <w:szCs w:val="20"/>
              </w:rPr>
            </w:pPr>
            <w:r w:rsidRPr="004A4B7C">
              <w:rPr>
                <w:sz w:val="20"/>
                <w:szCs w:val="20"/>
              </w:rPr>
              <w:t>Proportion of patients who received a treatment to which they are not susceptible who are dead at the point MDS results become available (assumed to be at 5 days based on CARBAR study)</w:t>
            </w:r>
          </w:p>
        </w:tc>
        <w:tc>
          <w:tcPr>
            <w:tcW w:w="472" w:type="pct"/>
            <w:shd w:val="clear" w:color="auto" w:fill="auto"/>
          </w:tcPr>
          <w:p w14:paraId="060806F1"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0.11</w:t>
            </w:r>
          </w:p>
        </w:tc>
        <w:tc>
          <w:tcPr>
            <w:tcW w:w="753" w:type="pct"/>
          </w:tcPr>
          <w:p w14:paraId="7CFF064B"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0.04 (se)</w:t>
            </w:r>
          </w:p>
        </w:tc>
        <w:tc>
          <w:tcPr>
            <w:tcW w:w="633" w:type="pct"/>
          </w:tcPr>
          <w:p w14:paraId="5EA154AB" w14:textId="5BA8081E" w:rsidR="00A4788F" w:rsidRPr="004A4B7C" w:rsidRDefault="00A4788F" w:rsidP="00C83FB7">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Tumbarello</w:t>
            </w:r>
            <w:proofErr w:type="spellEnd"/>
            <w:r w:rsidRPr="004A4B7C">
              <w:rPr>
                <w:rFonts w:ascii="Times New Roman" w:hAnsi="Times New Roman"/>
                <w:b w:val="0"/>
                <w:sz w:val="20"/>
                <w:szCs w:val="20"/>
              </w:rPr>
              <w:t xml:space="preserve"> 2013</w:t>
            </w:r>
            <w:r w:rsidR="00A83123" w:rsidRPr="004A4B7C">
              <w:rPr>
                <w:rFonts w:ascii="Times New Roman" w:hAnsi="Times New Roman"/>
                <w:b w:val="0"/>
                <w:noProof/>
                <w:sz w:val="20"/>
                <w:szCs w:val="20"/>
                <w:vertAlign w:val="superscript"/>
              </w:rPr>
              <w:t>120</w:t>
            </w:r>
          </w:p>
        </w:tc>
      </w:tr>
      <w:tr w:rsidR="00A4788F" w:rsidRPr="004A4B7C" w14:paraId="59BEAFF1" w14:textId="77777777" w:rsidTr="00774411">
        <w:tc>
          <w:tcPr>
            <w:tcW w:w="862" w:type="pct"/>
          </w:tcPr>
          <w:p w14:paraId="4517F247"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All</w:t>
            </w:r>
          </w:p>
        </w:tc>
        <w:tc>
          <w:tcPr>
            <w:tcW w:w="866" w:type="pct"/>
          </w:tcPr>
          <w:p w14:paraId="42B6593F"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prtxF_S</w:t>
            </w:r>
            <w:proofErr w:type="spellEnd"/>
          </w:p>
        </w:tc>
        <w:tc>
          <w:tcPr>
            <w:tcW w:w="1414" w:type="pct"/>
          </w:tcPr>
          <w:p w14:paraId="688A9C5A" w14:textId="77777777" w:rsidR="00A4788F" w:rsidRPr="004A4B7C" w:rsidRDefault="00A4788F" w:rsidP="004A4B7C">
            <w:pPr>
              <w:pStyle w:val="NormalWeb"/>
              <w:spacing w:before="0" w:beforeAutospacing="0" w:after="0" w:afterAutospacing="0"/>
              <w:rPr>
                <w:sz w:val="20"/>
                <w:szCs w:val="20"/>
              </w:rPr>
            </w:pPr>
            <w:r w:rsidRPr="004A4B7C">
              <w:rPr>
                <w:sz w:val="20"/>
                <w:szCs w:val="20"/>
              </w:rPr>
              <w:t xml:space="preserve">Proportion of patients who received a treatment to which they are susceptible </w:t>
            </w:r>
            <w:r w:rsidRPr="004A4B7C">
              <w:rPr>
                <w:sz w:val="20"/>
                <w:szCs w:val="20"/>
              </w:rPr>
              <w:lastRenderedPageBreak/>
              <w:t xml:space="preserve">who require further treatment </w:t>
            </w:r>
          </w:p>
        </w:tc>
        <w:tc>
          <w:tcPr>
            <w:tcW w:w="472" w:type="pct"/>
          </w:tcPr>
          <w:p w14:paraId="289D1A10"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lastRenderedPageBreak/>
              <w:t>0.07</w:t>
            </w:r>
          </w:p>
        </w:tc>
        <w:tc>
          <w:tcPr>
            <w:tcW w:w="753" w:type="pct"/>
          </w:tcPr>
          <w:p w14:paraId="2DFDAAD6"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0.02 (se)</w:t>
            </w:r>
          </w:p>
        </w:tc>
        <w:tc>
          <w:tcPr>
            <w:tcW w:w="633" w:type="pct"/>
          </w:tcPr>
          <w:p w14:paraId="778F911B" w14:textId="105FE724" w:rsidR="00A4788F" w:rsidRPr="004A4B7C" w:rsidRDefault="00A4788F" w:rsidP="00C83FB7">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 xml:space="preserve">APEKS-NP </w:t>
            </w:r>
            <w:r w:rsidR="00A83123" w:rsidRPr="004A4B7C">
              <w:rPr>
                <w:rFonts w:ascii="Times New Roman" w:hAnsi="Times New Roman"/>
                <w:b w:val="0"/>
                <w:noProof/>
                <w:sz w:val="20"/>
                <w:szCs w:val="20"/>
                <w:vertAlign w:val="superscript"/>
              </w:rPr>
              <w:t>128</w:t>
            </w:r>
          </w:p>
        </w:tc>
      </w:tr>
      <w:tr w:rsidR="00A4788F" w:rsidRPr="004A4B7C" w14:paraId="09F0EC24" w14:textId="77777777" w:rsidTr="00774411">
        <w:trPr>
          <w:trHeight w:val="390"/>
        </w:trPr>
        <w:tc>
          <w:tcPr>
            <w:tcW w:w="862" w:type="pct"/>
          </w:tcPr>
          <w:p w14:paraId="0370A990"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All</w:t>
            </w:r>
          </w:p>
        </w:tc>
        <w:tc>
          <w:tcPr>
            <w:tcW w:w="866" w:type="pct"/>
          </w:tcPr>
          <w:p w14:paraId="1425BA34"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p_bgrdD30d_S</w:t>
            </w:r>
          </w:p>
        </w:tc>
        <w:tc>
          <w:tcPr>
            <w:tcW w:w="1414" w:type="pct"/>
          </w:tcPr>
          <w:p w14:paraId="06651BE9" w14:textId="77777777" w:rsidR="00A4788F" w:rsidRPr="004A4B7C" w:rsidRDefault="00A4788F" w:rsidP="004A4B7C">
            <w:pPr>
              <w:pStyle w:val="NormalWeb"/>
              <w:spacing w:before="0" w:beforeAutospacing="0" w:after="0" w:afterAutospacing="0"/>
              <w:rPr>
                <w:sz w:val="20"/>
                <w:szCs w:val="20"/>
              </w:rPr>
            </w:pPr>
            <w:r w:rsidRPr="004A4B7C">
              <w:rPr>
                <w:sz w:val="20"/>
                <w:szCs w:val="20"/>
              </w:rPr>
              <w:t>Proportion of patients who survive to MDS assessment, and do not require further treatment who die by 30 days</w:t>
            </w:r>
          </w:p>
        </w:tc>
        <w:tc>
          <w:tcPr>
            <w:tcW w:w="472" w:type="pct"/>
          </w:tcPr>
          <w:p w14:paraId="6FEC63E7"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0.32</w:t>
            </w:r>
          </w:p>
        </w:tc>
        <w:tc>
          <w:tcPr>
            <w:tcW w:w="753" w:type="pct"/>
          </w:tcPr>
          <w:p w14:paraId="5AC17FD7"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0.06 (se)</w:t>
            </w:r>
          </w:p>
        </w:tc>
        <w:tc>
          <w:tcPr>
            <w:tcW w:w="633" w:type="pct"/>
          </w:tcPr>
          <w:p w14:paraId="4C523CBD" w14:textId="4737916B" w:rsidR="00A4788F" w:rsidRPr="004A4B7C" w:rsidRDefault="00A4788F" w:rsidP="00C83FB7">
            <w:pPr>
              <w:pStyle w:val="EEPRUNumberedHeading"/>
              <w:numPr>
                <w:ilvl w:val="0"/>
                <w:numId w:val="0"/>
              </w:numPr>
              <w:spacing w:before="0"/>
              <w:rPr>
                <w:rFonts w:ascii="Times New Roman" w:hAnsi="Times New Roman"/>
                <w:b w:val="0"/>
                <w:sz w:val="20"/>
                <w:szCs w:val="20"/>
              </w:rPr>
            </w:pPr>
            <w:proofErr w:type="spellStart"/>
            <w:r w:rsidRPr="004A4B7C">
              <w:rPr>
                <w:rFonts w:ascii="Times New Roman" w:hAnsi="Times New Roman"/>
                <w:b w:val="0"/>
                <w:sz w:val="20"/>
                <w:szCs w:val="20"/>
              </w:rPr>
              <w:t>Tumbarello</w:t>
            </w:r>
            <w:proofErr w:type="spellEnd"/>
            <w:r w:rsidRPr="004A4B7C">
              <w:rPr>
                <w:rFonts w:ascii="Times New Roman" w:hAnsi="Times New Roman"/>
                <w:b w:val="0"/>
                <w:sz w:val="20"/>
                <w:szCs w:val="20"/>
              </w:rPr>
              <w:t xml:space="preserve"> 2013</w:t>
            </w:r>
            <w:r w:rsidR="00A83123" w:rsidRPr="004A4B7C">
              <w:rPr>
                <w:rFonts w:ascii="Times New Roman" w:hAnsi="Times New Roman"/>
                <w:b w:val="0"/>
                <w:noProof/>
                <w:sz w:val="20"/>
                <w:szCs w:val="20"/>
                <w:vertAlign w:val="superscript"/>
              </w:rPr>
              <w:t>120</w:t>
            </w:r>
            <w:r w:rsidRPr="004A4B7C">
              <w:rPr>
                <w:rFonts w:ascii="Times New Roman" w:hAnsi="Times New Roman"/>
                <w:b w:val="0"/>
                <w:sz w:val="20"/>
                <w:szCs w:val="20"/>
              </w:rPr>
              <w:t xml:space="preserve"> outcomes from susceptible cohort</w:t>
            </w:r>
          </w:p>
        </w:tc>
      </w:tr>
    </w:tbl>
    <w:p w14:paraId="7A9FCD82" w14:textId="467D2110" w:rsidR="00A4788F" w:rsidRPr="00774411" w:rsidRDefault="00774411" w:rsidP="00774411">
      <w:pPr>
        <w:pStyle w:val="EEPRUtextundertables"/>
      </w:pPr>
      <w:r>
        <w:t xml:space="preserve">Abbreviations: ES, empiric setting; MDS, microbiology-directed setting; PHE, Public Health England; SGSS, </w:t>
      </w:r>
      <w:r w:rsidRPr="00F329B1">
        <w:t>Second Generation Surveillance System</w:t>
      </w:r>
    </w:p>
    <w:p w14:paraId="4B30D680" w14:textId="27F04118" w:rsidR="00A4788F" w:rsidRPr="00794B4E" w:rsidRDefault="00A4788F" w:rsidP="00A4788F">
      <w:pPr>
        <w:jc w:val="both"/>
        <w:rPr>
          <w:rFonts w:asciiTheme="majorBidi" w:hAnsiTheme="majorBidi" w:cstheme="majorBidi"/>
          <w:sz w:val="20"/>
          <w:szCs w:val="20"/>
        </w:rPr>
      </w:pPr>
      <w:r w:rsidRPr="00794B4E">
        <w:rPr>
          <w:rFonts w:asciiTheme="majorBidi" w:hAnsiTheme="majorBidi" w:cstheme="majorBidi"/>
          <w:sz w:val="20"/>
          <w:szCs w:val="20"/>
        </w:rPr>
        <w:t xml:space="preserve">* Note that the type of specimen within SGSS was used to determine whether an isolate should be considered as HAP/VAP. The original mapping between the type of specimen and infection type provided very low numbers of HAP/VAP making the estimation of the proportions of people with the </w:t>
      </w:r>
      <w:r w:rsidR="00AE639B">
        <w:rPr>
          <w:rFonts w:asciiTheme="majorBidi" w:hAnsiTheme="majorBidi" w:cstheme="majorBidi"/>
          <w:sz w:val="20"/>
          <w:szCs w:val="20"/>
        </w:rPr>
        <w:t>pathogen-mechanism</w:t>
      </w:r>
      <w:r w:rsidRPr="00794B4E">
        <w:rPr>
          <w:rFonts w:asciiTheme="majorBidi" w:hAnsiTheme="majorBidi" w:cstheme="majorBidi"/>
          <w:sz w:val="20"/>
          <w:szCs w:val="20"/>
        </w:rPr>
        <w:t xml:space="preserve"> of interest highly uncertain. A sensitivity analysis was conducted using a revised </w:t>
      </w:r>
      <w:r w:rsidR="00837CD7" w:rsidRPr="00794B4E">
        <w:rPr>
          <w:rFonts w:asciiTheme="majorBidi" w:hAnsiTheme="majorBidi" w:cstheme="majorBidi"/>
          <w:sz w:val="20"/>
          <w:szCs w:val="20"/>
        </w:rPr>
        <w:t>mapping</w:t>
      </w:r>
      <w:r w:rsidRPr="00794B4E">
        <w:rPr>
          <w:rFonts w:asciiTheme="majorBidi" w:hAnsiTheme="majorBidi" w:cstheme="majorBidi"/>
          <w:sz w:val="20"/>
          <w:szCs w:val="20"/>
        </w:rPr>
        <w:t xml:space="preserve"> from specimen type to infection site, as this contained larger numbers and the estimates were more consistent across </w:t>
      </w:r>
      <w:r w:rsidR="00AE639B">
        <w:rPr>
          <w:rFonts w:asciiTheme="majorBidi" w:hAnsiTheme="majorBidi" w:cstheme="majorBidi"/>
          <w:sz w:val="20"/>
          <w:szCs w:val="20"/>
        </w:rPr>
        <w:t>pathogen-mechanism</w:t>
      </w:r>
      <w:r w:rsidRPr="00794B4E">
        <w:rPr>
          <w:rFonts w:asciiTheme="majorBidi" w:hAnsiTheme="majorBidi" w:cstheme="majorBidi"/>
          <w:sz w:val="20"/>
          <w:szCs w:val="20"/>
        </w:rPr>
        <w:t xml:space="preserve"> subgroups these values were used for these parameters. These analyses are discussed in more detail in </w:t>
      </w:r>
      <w:r w:rsidRPr="000D4720">
        <w:rPr>
          <w:rFonts w:asciiTheme="majorBidi" w:hAnsiTheme="majorBidi" w:cstheme="majorBidi"/>
          <w:sz w:val="20"/>
          <w:szCs w:val="20"/>
        </w:rPr>
        <w:t>Section</w:t>
      </w:r>
      <w:r w:rsidR="000D4720" w:rsidRPr="000D4720">
        <w:rPr>
          <w:rFonts w:asciiTheme="majorBidi" w:hAnsiTheme="majorBidi" w:cstheme="majorBidi"/>
          <w:sz w:val="20"/>
          <w:szCs w:val="20"/>
        </w:rPr>
        <w:t xml:space="preserve"> 7.5.2.5</w:t>
      </w:r>
      <w:r w:rsidRPr="00794B4E">
        <w:rPr>
          <w:rFonts w:asciiTheme="majorBidi" w:hAnsiTheme="majorBidi" w:cstheme="majorBidi"/>
          <w:sz w:val="20"/>
          <w:szCs w:val="20"/>
        </w:rPr>
        <w:t xml:space="preserve">.   </w:t>
      </w:r>
    </w:p>
    <w:p w14:paraId="108C573D" w14:textId="77777777" w:rsidR="0057397E" w:rsidRDefault="0057397E" w:rsidP="00A4788F">
      <w:pPr>
        <w:jc w:val="both"/>
        <w:rPr>
          <w:sz w:val="18"/>
        </w:rPr>
      </w:pPr>
    </w:p>
    <w:p w14:paraId="7B5664A4" w14:textId="78254FC2" w:rsidR="00A4788F" w:rsidRPr="00042419" w:rsidRDefault="00F1720A" w:rsidP="00794B4E">
      <w:pPr>
        <w:pStyle w:val="EEPRUnumberedlevel4"/>
        <w:ind w:left="2160" w:hanging="33"/>
      </w:pPr>
      <w:bookmarkStart w:id="422" w:name="_Toc87463043"/>
      <w:r>
        <w:t>7.2.3.</w:t>
      </w:r>
      <w:r w:rsidR="00EC4036">
        <w:t>6</w:t>
      </w:r>
      <w:r>
        <w:tab/>
      </w:r>
      <w:r w:rsidR="00C67B00">
        <w:t xml:space="preserve"> </w:t>
      </w:r>
      <w:r w:rsidR="00A4788F" w:rsidRPr="00042419">
        <w:t>Clinical evidence – long-term mortality</w:t>
      </w:r>
      <w:bookmarkEnd w:id="422"/>
    </w:p>
    <w:p w14:paraId="3C5FDF50" w14:textId="1B170D68"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All patients surviving to 30 days face an ongoing mortality risk based on the CARBAR</w:t>
      </w:r>
      <w:r w:rsidR="00A83123" w:rsidRPr="00A83123">
        <w:rPr>
          <w:rFonts w:asciiTheme="majorBidi" w:hAnsiTheme="majorBidi" w:cstheme="majorBidi"/>
          <w:noProof/>
          <w:vertAlign w:val="superscript"/>
        </w:rPr>
        <w:t>96</w:t>
      </w:r>
      <w:r w:rsidRPr="00042419">
        <w:rPr>
          <w:rFonts w:asciiTheme="majorBidi" w:hAnsiTheme="majorBidi" w:cstheme="majorBidi"/>
        </w:rPr>
        <w:t xml:space="preserve"> and Merrick</w:t>
      </w:r>
      <w:r w:rsidR="00A83123" w:rsidRPr="00A83123">
        <w:rPr>
          <w:rFonts w:asciiTheme="majorBidi" w:hAnsiTheme="majorBidi" w:cstheme="majorBidi"/>
          <w:noProof/>
          <w:vertAlign w:val="superscript"/>
        </w:rPr>
        <w:t>101</w:t>
      </w:r>
      <w:r w:rsidRPr="00042419">
        <w:rPr>
          <w:rFonts w:asciiTheme="majorBidi" w:hAnsiTheme="majorBidi" w:cstheme="majorBidi"/>
        </w:rPr>
        <w:t xml:space="preserve"> studies. Both studies included UK patients with infections caused by carbapenem resistant organisms and were, therefore, considered relevant in terms of capturing the highly comorbid nature of patients who acquire these infections. Searches were conducted as described in </w:t>
      </w:r>
      <w:r w:rsidRPr="00C27EE8">
        <w:rPr>
          <w:rFonts w:asciiTheme="majorBidi" w:hAnsiTheme="majorBidi" w:cstheme="majorBidi"/>
        </w:rPr>
        <w:t xml:space="preserve">Section </w:t>
      </w:r>
      <w:r w:rsidR="00C27EE8" w:rsidRPr="00C27EE8">
        <w:rPr>
          <w:rFonts w:asciiTheme="majorBidi" w:hAnsiTheme="majorBidi" w:cstheme="majorBidi"/>
        </w:rPr>
        <w:t>4.6.3</w:t>
      </w:r>
      <w:r w:rsidRPr="00C27EE8">
        <w:rPr>
          <w:rFonts w:asciiTheme="majorBidi" w:hAnsiTheme="majorBidi" w:cstheme="majorBidi"/>
        </w:rPr>
        <w:t xml:space="preserve"> but </w:t>
      </w:r>
      <w:r w:rsidRPr="00042419">
        <w:rPr>
          <w:rFonts w:asciiTheme="majorBidi" w:hAnsiTheme="majorBidi" w:cstheme="majorBidi"/>
        </w:rPr>
        <w:t xml:space="preserve">did not identify any further evidence of relevance. A targeted search indicated a lack of data on long-term outcomes in both HAP/VAP and </w:t>
      </w:r>
      <w:proofErr w:type="spellStart"/>
      <w:r w:rsidRPr="00042419">
        <w:rPr>
          <w:rFonts w:asciiTheme="majorBidi" w:hAnsiTheme="majorBidi" w:cstheme="majorBidi"/>
        </w:rPr>
        <w:t>cUTI</w:t>
      </w:r>
      <w:proofErr w:type="spellEnd"/>
      <w:r w:rsidR="00EF4C1C">
        <w:rPr>
          <w:rFonts w:asciiTheme="majorBidi" w:hAnsiTheme="majorBidi" w:cstheme="majorBidi"/>
        </w:rPr>
        <w:t>.  I</w:t>
      </w:r>
      <w:r w:rsidRPr="00042419">
        <w:rPr>
          <w:rFonts w:asciiTheme="majorBidi" w:hAnsiTheme="majorBidi" w:cstheme="majorBidi"/>
        </w:rPr>
        <w:t xml:space="preserve">t also seemed unlikely that outcomes in all-comer HAP/VAP and </w:t>
      </w:r>
      <w:proofErr w:type="spellStart"/>
      <w:r w:rsidRPr="00042419">
        <w:rPr>
          <w:rFonts w:asciiTheme="majorBidi" w:hAnsiTheme="majorBidi" w:cstheme="majorBidi"/>
        </w:rPr>
        <w:t>cUTI</w:t>
      </w:r>
      <w:proofErr w:type="spellEnd"/>
      <w:r w:rsidRPr="00042419">
        <w:rPr>
          <w:rFonts w:asciiTheme="majorBidi" w:hAnsiTheme="majorBidi" w:cstheme="majorBidi"/>
        </w:rPr>
        <w:t xml:space="preserve"> patients would reflect those of MDR patients who tend to have developed MDR infections </w:t>
      </w:r>
      <w:proofErr w:type="gramStart"/>
      <w:r w:rsidRPr="00042419">
        <w:rPr>
          <w:rFonts w:asciiTheme="majorBidi" w:hAnsiTheme="majorBidi" w:cstheme="majorBidi"/>
        </w:rPr>
        <w:t>as a result of</w:t>
      </w:r>
      <w:proofErr w:type="gramEnd"/>
      <w:r w:rsidRPr="00042419">
        <w:rPr>
          <w:rFonts w:asciiTheme="majorBidi" w:hAnsiTheme="majorBidi" w:cstheme="majorBidi"/>
        </w:rPr>
        <w:t xml:space="preserve"> multiple contacts with the health systems reflecting a wide range of comorbidities. We therefore chose to focus our review of long-term mortality on patients with resistant infections. </w:t>
      </w:r>
    </w:p>
    <w:p w14:paraId="4506E417" w14:textId="324C7910"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CARBAR</w:t>
      </w:r>
      <w:r w:rsidR="00A83123" w:rsidRPr="00A83123">
        <w:rPr>
          <w:rFonts w:asciiTheme="majorBidi" w:hAnsiTheme="majorBidi" w:cstheme="majorBidi"/>
          <w:noProof/>
          <w:vertAlign w:val="superscript"/>
        </w:rPr>
        <w:t>96</w:t>
      </w:r>
      <w:r w:rsidRPr="00042419">
        <w:rPr>
          <w:rFonts w:asciiTheme="majorBidi" w:hAnsiTheme="majorBidi" w:cstheme="majorBidi"/>
        </w:rPr>
        <w:t xml:space="preserve"> was used to inform mortality in the base case as it included more geographically diverse patients, had a longer follow up (2 years compared to 1 year in Merrick) and provided continuous survival estimates over time (</w:t>
      </w:r>
      <w:proofErr w:type="gramStart"/>
      <w:r w:rsidRPr="00042419">
        <w:rPr>
          <w:rFonts w:asciiTheme="majorBidi" w:hAnsiTheme="majorBidi" w:cstheme="majorBidi"/>
        </w:rPr>
        <w:t>i.e.</w:t>
      </w:r>
      <w:proofErr w:type="gramEnd"/>
      <w:r w:rsidRPr="00042419">
        <w:rPr>
          <w:rFonts w:asciiTheme="majorBidi" w:hAnsiTheme="majorBidi" w:cstheme="majorBidi"/>
        </w:rPr>
        <w:t xml:space="preserve"> Kaplan Meier curves). Merrick</w:t>
      </w:r>
      <w:r w:rsidR="00A83123" w:rsidRPr="00A83123">
        <w:rPr>
          <w:rFonts w:asciiTheme="majorBidi" w:hAnsiTheme="majorBidi" w:cstheme="majorBidi"/>
          <w:noProof/>
          <w:vertAlign w:val="superscript"/>
        </w:rPr>
        <w:t>101</w:t>
      </w:r>
      <w:r w:rsidRPr="00042419">
        <w:rPr>
          <w:rFonts w:asciiTheme="majorBidi" w:hAnsiTheme="majorBidi" w:cstheme="majorBidi"/>
        </w:rPr>
        <w:t xml:space="preserve"> reported all-cause mortality at 1 year of 31% which is </w:t>
      </w:r>
      <w:proofErr w:type="gramStart"/>
      <w:r w:rsidRPr="00042419">
        <w:rPr>
          <w:rFonts w:asciiTheme="majorBidi" w:hAnsiTheme="majorBidi" w:cstheme="majorBidi"/>
        </w:rPr>
        <w:t>similar to</w:t>
      </w:r>
      <w:proofErr w:type="gramEnd"/>
      <w:r w:rsidRPr="00042419">
        <w:rPr>
          <w:rFonts w:asciiTheme="majorBidi" w:hAnsiTheme="majorBidi" w:cstheme="majorBidi"/>
        </w:rPr>
        <w:t xml:space="preserve"> the 1-year mortality in CARBAR of 34%. </w:t>
      </w:r>
    </w:p>
    <w:p w14:paraId="34693301" w14:textId="669A4066"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Kaplan Meier curves from CARBAR were digitized and we used a published algorithm to recover pseudo individual patient data from the Kaplan Meier curve for analysis. We fitted parametric survival models to this data to facilitate extrapolation beyond the observed data. Data from 30 days onwards were used as these were of most relevance to the model. We followed guidance from the NICE Technical Support</w:t>
      </w:r>
      <w:r w:rsidR="00A83123" w:rsidRPr="00A83123">
        <w:rPr>
          <w:rFonts w:asciiTheme="majorBidi" w:hAnsiTheme="majorBidi" w:cstheme="majorBidi"/>
          <w:noProof/>
          <w:vertAlign w:val="superscript"/>
        </w:rPr>
        <w:t>129</w:t>
      </w:r>
      <w:r w:rsidRPr="00042419">
        <w:rPr>
          <w:rFonts w:asciiTheme="majorBidi" w:hAnsiTheme="majorBidi" w:cstheme="majorBidi"/>
        </w:rPr>
        <w:t xml:space="preserve"> document and fitted a range of parametric survival models: exponential, Weibull, </w:t>
      </w:r>
      <w:proofErr w:type="spellStart"/>
      <w:r w:rsidRPr="00042419">
        <w:rPr>
          <w:rFonts w:asciiTheme="majorBidi" w:hAnsiTheme="majorBidi" w:cstheme="majorBidi"/>
        </w:rPr>
        <w:t>Gompertz</w:t>
      </w:r>
      <w:proofErr w:type="spellEnd"/>
      <w:r w:rsidRPr="00042419">
        <w:rPr>
          <w:rFonts w:asciiTheme="majorBidi" w:hAnsiTheme="majorBidi" w:cstheme="majorBidi"/>
        </w:rPr>
        <w:t xml:space="preserve">, log-logistic, </w:t>
      </w:r>
      <w:proofErr w:type="gramStart"/>
      <w:r w:rsidRPr="00042419">
        <w:rPr>
          <w:rFonts w:asciiTheme="majorBidi" w:hAnsiTheme="majorBidi" w:cstheme="majorBidi"/>
        </w:rPr>
        <w:t>lognormal</w:t>
      </w:r>
      <w:proofErr w:type="gramEnd"/>
      <w:r w:rsidRPr="00042419">
        <w:rPr>
          <w:rFonts w:asciiTheme="majorBidi" w:hAnsiTheme="majorBidi" w:cstheme="majorBidi"/>
        </w:rPr>
        <w:t xml:space="preserve"> and generalised gamma. Model fit was assessed according to Akaike’s Information Criteria (AIC), log-cumulative hazard plots, hazard plots, and visual assessment of the concordance between model predictions and Kaplan Meier plots. No specific external data were identified to support validation of long-term predictions, so probabilities of death predicted by each </w:t>
      </w:r>
      <w:r w:rsidRPr="00042419">
        <w:rPr>
          <w:rFonts w:asciiTheme="majorBidi" w:hAnsiTheme="majorBidi" w:cstheme="majorBidi"/>
        </w:rPr>
        <w:lastRenderedPageBreak/>
        <w:t xml:space="preserve">model were compared to general population mortality over 20 years to assess plausibility. A summary of these assessments is provided in </w:t>
      </w:r>
      <w:r w:rsidR="00EF4C1C" w:rsidRPr="00EF4C1C">
        <w:rPr>
          <w:rFonts w:asciiTheme="majorBidi" w:hAnsiTheme="majorBidi" w:cstheme="majorBidi"/>
        </w:rPr>
        <w:t xml:space="preserve">Table </w:t>
      </w:r>
      <w:r w:rsidR="00EF4C1C" w:rsidRPr="00EF4C1C">
        <w:rPr>
          <w:rFonts w:asciiTheme="majorBidi" w:hAnsiTheme="majorBidi" w:cstheme="majorBidi"/>
          <w:noProof/>
        </w:rPr>
        <w:t>27</w:t>
      </w:r>
      <w:r w:rsidRPr="00042419">
        <w:rPr>
          <w:rFonts w:asciiTheme="majorBidi" w:hAnsiTheme="majorBidi" w:cstheme="majorBidi"/>
        </w:rPr>
        <w:t xml:space="preserve">. Overall, the Weibull, Log-logistic and </w:t>
      </w:r>
      <w:r w:rsidR="00EF4C1C">
        <w:rPr>
          <w:rFonts w:asciiTheme="majorBidi" w:hAnsiTheme="majorBidi" w:cstheme="majorBidi"/>
        </w:rPr>
        <w:t>l</w:t>
      </w:r>
      <w:r w:rsidRPr="00042419">
        <w:rPr>
          <w:rFonts w:asciiTheme="majorBidi" w:hAnsiTheme="majorBidi" w:cstheme="majorBidi"/>
        </w:rPr>
        <w:t xml:space="preserve">og-normal models were all considered plausible candidates and in the absence of further evidence log-normal was selected to offer a middle ground with the Weibull and log-logistic trialled in scenario analyses. Mortality is restricted so that it </w:t>
      </w:r>
      <w:r w:rsidR="00837CD7" w:rsidRPr="00042419">
        <w:rPr>
          <w:rFonts w:asciiTheme="majorBidi" w:hAnsiTheme="majorBidi" w:cstheme="majorBidi"/>
        </w:rPr>
        <w:t>too</w:t>
      </w:r>
      <w:r w:rsidRPr="00042419">
        <w:rPr>
          <w:rFonts w:asciiTheme="majorBidi" w:hAnsiTheme="majorBidi" w:cstheme="majorBidi"/>
        </w:rPr>
        <w:t xml:space="preserve"> remains above that in the general population within the model. </w:t>
      </w:r>
    </w:p>
    <w:p w14:paraId="42D66F60" w14:textId="592CE0A0" w:rsidR="00A4788F" w:rsidRPr="00EF4C1C" w:rsidRDefault="00A4788F" w:rsidP="00A4788F">
      <w:pPr>
        <w:pStyle w:val="Caption"/>
        <w:rPr>
          <w:rFonts w:asciiTheme="majorBidi" w:hAnsiTheme="majorBidi" w:cstheme="majorBidi"/>
          <w:b/>
          <w:bCs/>
          <w:i w:val="0"/>
          <w:iCs w:val="0"/>
          <w:color w:val="auto"/>
          <w:sz w:val="20"/>
          <w:szCs w:val="20"/>
        </w:rPr>
      </w:pPr>
      <w:bookmarkStart w:id="423" w:name="_Ref85013534"/>
      <w:bookmarkStart w:id="424" w:name="_Toc86419004"/>
      <w:r w:rsidRPr="00EF4C1C">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27</w:t>
      </w:r>
      <w:bookmarkEnd w:id="423"/>
      <w:r w:rsidRPr="00EF4C1C">
        <w:rPr>
          <w:rFonts w:asciiTheme="majorBidi" w:hAnsiTheme="majorBidi" w:cstheme="majorBidi"/>
          <w:b/>
          <w:bCs/>
          <w:i w:val="0"/>
          <w:iCs w:val="0"/>
          <w:color w:val="auto"/>
          <w:sz w:val="20"/>
          <w:szCs w:val="20"/>
        </w:rPr>
        <w:t>: Summary of survival analytic model fit to CARBAR data</w:t>
      </w:r>
      <w:bookmarkEnd w:id="424"/>
    </w:p>
    <w:tbl>
      <w:tblPr>
        <w:tblStyle w:val="TableGrid"/>
        <w:tblW w:w="5000" w:type="pct"/>
        <w:tblLook w:val="04A0" w:firstRow="1" w:lastRow="0" w:firstColumn="1" w:lastColumn="0" w:noHBand="0" w:noVBand="1"/>
      </w:tblPr>
      <w:tblGrid>
        <w:gridCol w:w="2075"/>
        <w:gridCol w:w="673"/>
        <w:gridCol w:w="1697"/>
        <w:gridCol w:w="4571"/>
      </w:tblGrid>
      <w:tr w:rsidR="00A4788F" w:rsidRPr="004A4B7C" w14:paraId="739233E5" w14:textId="77777777" w:rsidTr="00774411">
        <w:tc>
          <w:tcPr>
            <w:tcW w:w="1151" w:type="pct"/>
          </w:tcPr>
          <w:p w14:paraId="377B90B0" w14:textId="77777777" w:rsidR="00A4788F" w:rsidRPr="004A4B7C" w:rsidRDefault="00A4788F" w:rsidP="004A4B7C">
            <w:pPr>
              <w:jc w:val="both"/>
              <w:rPr>
                <w:rFonts w:asciiTheme="majorBidi" w:hAnsiTheme="majorBidi" w:cstheme="majorBidi"/>
                <w:b/>
                <w:sz w:val="20"/>
                <w:szCs w:val="20"/>
              </w:rPr>
            </w:pPr>
            <w:r w:rsidRPr="004A4B7C">
              <w:rPr>
                <w:rFonts w:asciiTheme="majorBidi" w:hAnsiTheme="majorBidi" w:cstheme="majorBidi"/>
                <w:b/>
                <w:sz w:val="20"/>
                <w:szCs w:val="20"/>
              </w:rPr>
              <w:t>Distribution</w:t>
            </w:r>
          </w:p>
        </w:tc>
        <w:tc>
          <w:tcPr>
            <w:tcW w:w="373" w:type="pct"/>
          </w:tcPr>
          <w:p w14:paraId="1A6A8F79" w14:textId="77777777" w:rsidR="00A4788F" w:rsidRPr="004A4B7C" w:rsidRDefault="00A4788F" w:rsidP="004A4B7C">
            <w:pPr>
              <w:jc w:val="right"/>
              <w:rPr>
                <w:rFonts w:asciiTheme="majorBidi" w:hAnsiTheme="majorBidi" w:cstheme="majorBidi"/>
                <w:b/>
                <w:sz w:val="20"/>
                <w:szCs w:val="20"/>
              </w:rPr>
            </w:pPr>
            <w:r w:rsidRPr="004A4B7C">
              <w:rPr>
                <w:rFonts w:asciiTheme="majorBidi" w:hAnsiTheme="majorBidi" w:cstheme="majorBidi"/>
                <w:b/>
                <w:sz w:val="20"/>
                <w:szCs w:val="20"/>
              </w:rPr>
              <w:t>AIC</w:t>
            </w:r>
          </w:p>
        </w:tc>
        <w:tc>
          <w:tcPr>
            <w:tcW w:w="941" w:type="pct"/>
          </w:tcPr>
          <w:p w14:paraId="050EDF24" w14:textId="77777777" w:rsidR="00A4788F" w:rsidRPr="004A4B7C" w:rsidRDefault="00A4788F" w:rsidP="004A4B7C">
            <w:pPr>
              <w:jc w:val="both"/>
              <w:rPr>
                <w:rFonts w:asciiTheme="majorBidi" w:hAnsiTheme="majorBidi" w:cstheme="majorBidi"/>
                <w:b/>
                <w:sz w:val="20"/>
                <w:szCs w:val="20"/>
              </w:rPr>
            </w:pPr>
            <w:r w:rsidRPr="004A4B7C">
              <w:rPr>
                <w:rFonts w:asciiTheme="majorBidi" w:hAnsiTheme="majorBidi" w:cstheme="majorBidi"/>
                <w:b/>
                <w:sz w:val="20"/>
                <w:szCs w:val="20"/>
              </w:rPr>
              <w:t>Visual assessment of fit</w:t>
            </w:r>
          </w:p>
        </w:tc>
        <w:tc>
          <w:tcPr>
            <w:tcW w:w="2535" w:type="pct"/>
          </w:tcPr>
          <w:p w14:paraId="269314D0" w14:textId="77777777" w:rsidR="00A4788F" w:rsidRPr="004A4B7C" w:rsidRDefault="00A4788F" w:rsidP="004A4B7C">
            <w:pPr>
              <w:jc w:val="both"/>
              <w:rPr>
                <w:rFonts w:asciiTheme="majorBidi" w:hAnsiTheme="majorBidi" w:cstheme="majorBidi"/>
                <w:b/>
                <w:sz w:val="20"/>
                <w:szCs w:val="20"/>
              </w:rPr>
            </w:pPr>
            <w:r w:rsidRPr="004A4B7C">
              <w:rPr>
                <w:rFonts w:asciiTheme="majorBidi" w:hAnsiTheme="majorBidi" w:cstheme="majorBidi"/>
                <w:b/>
                <w:sz w:val="20"/>
                <w:szCs w:val="20"/>
              </w:rPr>
              <w:t>Comparison with external data and assessment of face validity</w:t>
            </w:r>
          </w:p>
        </w:tc>
      </w:tr>
      <w:tr w:rsidR="00A4788F" w:rsidRPr="004A4B7C" w14:paraId="2D5ADB6B" w14:textId="77777777" w:rsidTr="00774411">
        <w:tc>
          <w:tcPr>
            <w:tcW w:w="1151" w:type="pct"/>
          </w:tcPr>
          <w:p w14:paraId="4ADDCB35"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Exponential</w:t>
            </w:r>
          </w:p>
        </w:tc>
        <w:tc>
          <w:tcPr>
            <w:tcW w:w="373" w:type="pct"/>
          </w:tcPr>
          <w:p w14:paraId="39C98333"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953</w:t>
            </w:r>
          </w:p>
        </w:tc>
        <w:tc>
          <w:tcPr>
            <w:tcW w:w="941" w:type="pct"/>
          </w:tcPr>
          <w:p w14:paraId="02BB184B"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Poor</w:t>
            </w:r>
          </w:p>
        </w:tc>
        <w:tc>
          <w:tcPr>
            <w:tcW w:w="2535" w:type="pct"/>
          </w:tcPr>
          <w:p w14:paraId="5E9FA3C6"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No convergence with general population mortality</w:t>
            </w:r>
          </w:p>
        </w:tc>
      </w:tr>
      <w:tr w:rsidR="00A4788F" w:rsidRPr="004A4B7C" w14:paraId="6E268E79" w14:textId="77777777" w:rsidTr="00774411">
        <w:tc>
          <w:tcPr>
            <w:tcW w:w="1151" w:type="pct"/>
          </w:tcPr>
          <w:p w14:paraId="11A0655A"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Weibull</w:t>
            </w:r>
          </w:p>
        </w:tc>
        <w:tc>
          <w:tcPr>
            <w:tcW w:w="373" w:type="pct"/>
          </w:tcPr>
          <w:p w14:paraId="515CDA21"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935</w:t>
            </w:r>
          </w:p>
        </w:tc>
        <w:tc>
          <w:tcPr>
            <w:tcW w:w="941" w:type="pct"/>
          </w:tcPr>
          <w:p w14:paraId="7228F2CF"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Moderate</w:t>
            </w:r>
          </w:p>
        </w:tc>
        <w:tc>
          <w:tcPr>
            <w:tcW w:w="2535" w:type="pct"/>
          </w:tcPr>
          <w:p w14:paraId="27F7F2B3"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Converges towards general population mortality but annual probability of death always greater</w:t>
            </w:r>
          </w:p>
        </w:tc>
      </w:tr>
      <w:tr w:rsidR="00A4788F" w:rsidRPr="004A4B7C" w14:paraId="70A5C33A" w14:textId="77777777" w:rsidTr="00774411">
        <w:tc>
          <w:tcPr>
            <w:tcW w:w="1151" w:type="pct"/>
          </w:tcPr>
          <w:p w14:paraId="5834A2CE" w14:textId="77777777" w:rsidR="00A4788F" w:rsidRPr="004A4B7C" w:rsidRDefault="00A4788F" w:rsidP="004A4B7C">
            <w:pPr>
              <w:jc w:val="both"/>
              <w:rPr>
                <w:rFonts w:asciiTheme="majorBidi" w:hAnsiTheme="majorBidi" w:cstheme="majorBidi"/>
                <w:sz w:val="20"/>
                <w:szCs w:val="20"/>
              </w:rPr>
            </w:pPr>
            <w:proofErr w:type="spellStart"/>
            <w:r w:rsidRPr="004A4B7C">
              <w:rPr>
                <w:rFonts w:asciiTheme="majorBidi" w:hAnsiTheme="majorBidi" w:cstheme="majorBidi"/>
                <w:sz w:val="20"/>
                <w:szCs w:val="20"/>
              </w:rPr>
              <w:t>Gompertz</w:t>
            </w:r>
            <w:proofErr w:type="spellEnd"/>
          </w:p>
        </w:tc>
        <w:tc>
          <w:tcPr>
            <w:tcW w:w="373" w:type="pct"/>
          </w:tcPr>
          <w:p w14:paraId="76569392"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952</w:t>
            </w:r>
          </w:p>
        </w:tc>
        <w:tc>
          <w:tcPr>
            <w:tcW w:w="941" w:type="pct"/>
          </w:tcPr>
          <w:p w14:paraId="726846F7"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Poor</w:t>
            </w:r>
          </w:p>
        </w:tc>
        <w:tc>
          <w:tcPr>
            <w:tcW w:w="2535" w:type="pct"/>
          </w:tcPr>
          <w:p w14:paraId="2577668C"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Converges with general population mortality at 9 years</w:t>
            </w:r>
          </w:p>
        </w:tc>
      </w:tr>
      <w:tr w:rsidR="00A4788F" w:rsidRPr="004A4B7C" w14:paraId="40ECE43D" w14:textId="77777777" w:rsidTr="00774411">
        <w:tc>
          <w:tcPr>
            <w:tcW w:w="1151" w:type="pct"/>
          </w:tcPr>
          <w:p w14:paraId="223F7505"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Log-logistic</w:t>
            </w:r>
          </w:p>
        </w:tc>
        <w:tc>
          <w:tcPr>
            <w:tcW w:w="373" w:type="pct"/>
          </w:tcPr>
          <w:p w14:paraId="7778F87C"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938</w:t>
            </w:r>
          </w:p>
        </w:tc>
        <w:tc>
          <w:tcPr>
            <w:tcW w:w="941" w:type="pct"/>
          </w:tcPr>
          <w:p w14:paraId="76E1ABAC"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Moderate</w:t>
            </w:r>
          </w:p>
        </w:tc>
        <w:tc>
          <w:tcPr>
            <w:tcW w:w="2535" w:type="pct"/>
          </w:tcPr>
          <w:p w14:paraId="4A83E4CA"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Converges with general population mortality at 15 years</w:t>
            </w:r>
          </w:p>
        </w:tc>
      </w:tr>
      <w:tr w:rsidR="00A4788F" w:rsidRPr="004A4B7C" w14:paraId="3530B77D" w14:textId="77777777" w:rsidTr="00774411">
        <w:tc>
          <w:tcPr>
            <w:tcW w:w="1151" w:type="pct"/>
          </w:tcPr>
          <w:p w14:paraId="5AFCBD3E"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Log-normal</w:t>
            </w:r>
          </w:p>
        </w:tc>
        <w:tc>
          <w:tcPr>
            <w:tcW w:w="373" w:type="pct"/>
          </w:tcPr>
          <w:p w14:paraId="2CF4DF7F"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953</w:t>
            </w:r>
          </w:p>
        </w:tc>
        <w:tc>
          <w:tcPr>
            <w:tcW w:w="941" w:type="pct"/>
          </w:tcPr>
          <w:p w14:paraId="492EDB29"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Moderate</w:t>
            </w:r>
          </w:p>
        </w:tc>
        <w:tc>
          <w:tcPr>
            <w:tcW w:w="2535" w:type="pct"/>
          </w:tcPr>
          <w:p w14:paraId="259A8D70"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Converges with general population mortality at 13 years</w:t>
            </w:r>
          </w:p>
        </w:tc>
      </w:tr>
      <w:tr w:rsidR="00A4788F" w:rsidRPr="004A4B7C" w14:paraId="716C9EFC" w14:textId="77777777" w:rsidTr="00774411">
        <w:tc>
          <w:tcPr>
            <w:tcW w:w="1151" w:type="pct"/>
          </w:tcPr>
          <w:p w14:paraId="28FBF9EC"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Generalised Gamma</w:t>
            </w:r>
          </w:p>
        </w:tc>
        <w:tc>
          <w:tcPr>
            <w:tcW w:w="373" w:type="pct"/>
          </w:tcPr>
          <w:p w14:paraId="65AF9F75" w14:textId="77777777" w:rsidR="00A4788F" w:rsidRPr="004A4B7C" w:rsidRDefault="00A4788F" w:rsidP="004A4B7C">
            <w:pPr>
              <w:jc w:val="right"/>
              <w:rPr>
                <w:rFonts w:asciiTheme="majorBidi" w:hAnsiTheme="majorBidi" w:cstheme="majorBidi"/>
                <w:sz w:val="20"/>
                <w:szCs w:val="20"/>
              </w:rPr>
            </w:pPr>
            <w:r w:rsidRPr="004A4B7C">
              <w:rPr>
                <w:rFonts w:asciiTheme="majorBidi" w:hAnsiTheme="majorBidi" w:cstheme="majorBidi"/>
                <w:sz w:val="20"/>
                <w:szCs w:val="20"/>
              </w:rPr>
              <w:t>933</w:t>
            </w:r>
          </w:p>
        </w:tc>
        <w:tc>
          <w:tcPr>
            <w:tcW w:w="941" w:type="pct"/>
          </w:tcPr>
          <w:p w14:paraId="1D854BB5"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Poor</w:t>
            </w:r>
          </w:p>
        </w:tc>
        <w:tc>
          <w:tcPr>
            <w:tcW w:w="2535" w:type="pct"/>
          </w:tcPr>
          <w:p w14:paraId="1DB6306E" w14:textId="77777777" w:rsidR="00A4788F" w:rsidRPr="004A4B7C" w:rsidRDefault="00A4788F" w:rsidP="004A4B7C">
            <w:pPr>
              <w:jc w:val="both"/>
              <w:rPr>
                <w:rFonts w:asciiTheme="majorBidi" w:hAnsiTheme="majorBidi" w:cstheme="majorBidi"/>
                <w:sz w:val="20"/>
                <w:szCs w:val="20"/>
              </w:rPr>
            </w:pPr>
            <w:r w:rsidRPr="004A4B7C">
              <w:rPr>
                <w:rFonts w:asciiTheme="majorBidi" w:hAnsiTheme="majorBidi" w:cstheme="majorBidi"/>
                <w:sz w:val="20"/>
                <w:szCs w:val="20"/>
              </w:rPr>
              <w:t>Rapidly accelerating mortality and divergence with general population mortality</w:t>
            </w:r>
          </w:p>
        </w:tc>
      </w:tr>
    </w:tbl>
    <w:p w14:paraId="347BB9E6" w14:textId="77777777" w:rsidR="00774411" w:rsidRDefault="00774411" w:rsidP="00774411">
      <w:pPr>
        <w:pStyle w:val="EEPRUtextundertables"/>
      </w:pPr>
      <w:r w:rsidRPr="00F329B1">
        <w:t xml:space="preserve">AIC, Akaike’s Information Criteria </w:t>
      </w:r>
    </w:p>
    <w:p w14:paraId="6F1C1E22" w14:textId="77777777" w:rsidR="00A4788F" w:rsidRDefault="00A4788F" w:rsidP="00A4788F"/>
    <w:p w14:paraId="24BCF078" w14:textId="4D01831F" w:rsidR="00A4788F" w:rsidRPr="00042419" w:rsidRDefault="00A4788F" w:rsidP="00A83123">
      <w:pPr>
        <w:spacing w:line="360" w:lineRule="auto"/>
        <w:rPr>
          <w:rFonts w:asciiTheme="majorBidi" w:hAnsiTheme="majorBidi" w:cstheme="majorBidi"/>
        </w:rPr>
      </w:pPr>
      <w:r w:rsidRPr="00042419">
        <w:rPr>
          <w:rFonts w:asciiTheme="majorBidi" w:hAnsiTheme="majorBidi" w:cstheme="majorBidi"/>
        </w:rPr>
        <w:t>In addition, patients alive with recovered renal function face an elevated risk of death and a risk of developing irreversible renal failure (CKD)</w:t>
      </w:r>
      <w:r w:rsidR="00EF4C1C">
        <w:rPr>
          <w:rFonts w:asciiTheme="majorBidi" w:hAnsiTheme="majorBidi" w:cstheme="majorBidi"/>
        </w:rPr>
        <w:t>.</w:t>
      </w:r>
      <w:proofErr w:type="gramStart"/>
      <w:r w:rsidR="00A83123" w:rsidRPr="00A83123">
        <w:rPr>
          <w:rFonts w:asciiTheme="majorBidi" w:hAnsiTheme="majorBidi" w:cstheme="majorBidi"/>
          <w:noProof/>
          <w:vertAlign w:val="superscript"/>
        </w:rPr>
        <w:t>130</w:t>
      </w:r>
      <w:r w:rsidRPr="00042419">
        <w:rPr>
          <w:rFonts w:asciiTheme="majorBidi" w:hAnsiTheme="majorBidi" w:cstheme="majorBidi"/>
        </w:rPr>
        <w:t xml:space="preserve"> </w:t>
      </w:r>
      <w:r w:rsidR="00EF4C1C">
        <w:rPr>
          <w:rFonts w:asciiTheme="majorBidi" w:hAnsiTheme="majorBidi" w:cstheme="majorBidi"/>
        </w:rPr>
        <w:t xml:space="preserve"> </w:t>
      </w:r>
      <w:r w:rsidRPr="00042419">
        <w:rPr>
          <w:rFonts w:asciiTheme="majorBidi" w:hAnsiTheme="majorBidi" w:cstheme="majorBidi"/>
        </w:rPr>
        <w:t>Patients</w:t>
      </w:r>
      <w:proofErr w:type="gramEnd"/>
      <w:r w:rsidRPr="00042419">
        <w:rPr>
          <w:rFonts w:asciiTheme="majorBidi" w:hAnsiTheme="majorBidi" w:cstheme="majorBidi"/>
        </w:rPr>
        <w:t xml:space="preserve"> alive with irreversible renal failure face the elevated risk of death of CKD-patients.</w:t>
      </w:r>
    </w:p>
    <w:p w14:paraId="7F61F7A4" w14:textId="77777777" w:rsidR="00A4788F" w:rsidRPr="00042419" w:rsidRDefault="00A4788F" w:rsidP="00A4788F">
      <w:pPr>
        <w:spacing w:line="360" w:lineRule="auto"/>
        <w:jc w:val="both"/>
        <w:rPr>
          <w:rFonts w:asciiTheme="majorBidi" w:hAnsiTheme="majorBidi" w:cstheme="majorBidi"/>
        </w:rPr>
      </w:pPr>
      <w:r w:rsidRPr="00042419">
        <w:rPr>
          <w:rFonts w:asciiTheme="majorBidi" w:hAnsiTheme="majorBidi" w:cstheme="majorBidi"/>
        </w:rPr>
        <w:t xml:space="preserve">A recent body of evidence, with which our group of experts agreed, suggests that AKI and CKD are closely linked and interconnected, whereby CKD is a risk factor for experiencing subsequent AKI and AKI is a promoter or instigator of CKD. It was, therefore, considered important to capture the fact that AKI is not a ‘self-limited process’ and that patients with recovered renal function post-AKI are at risk of adverse renal outcomes and of developing CKD. </w:t>
      </w:r>
    </w:p>
    <w:p w14:paraId="2E02A84C" w14:textId="0C52F043"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 xml:space="preserve">In our literature searches to identify evidence of the impact of AKI on the development of CKD and on long term survival, we looked for studies that would control for the confounding impact of comorbidities as stringently as possible as we aimed to estimate the causal effect of AKI on subsequent outcomes. The US study by </w:t>
      </w:r>
      <w:proofErr w:type="spellStart"/>
      <w:r w:rsidRPr="00042419">
        <w:rPr>
          <w:rFonts w:asciiTheme="majorBidi" w:hAnsiTheme="majorBidi" w:cstheme="majorBidi"/>
        </w:rPr>
        <w:t>Bucaloiu</w:t>
      </w:r>
      <w:proofErr w:type="spellEnd"/>
      <w:r w:rsidRPr="00042419">
        <w:rPr>
          <w:rFonts w:asciiTheme="majorBidi" w:hAnsiTheme="majorBidi" w:cstheme="majorBidi"/>
        </w:rPr>
        <w:t xml:space="preserve"> 2012</w:t>
      </w:r>
      <w:r w:rsidR="00A83123" w:rsidRPr="00A83123">
        <w:rPr>
          <w:rFonts w:asciiTheme="majorBidi" w:hAnsiTheme="majorBidi" w:cstheme="majorBidi"/>
          <w:noProof/>
          <w:vertAlign w:val="superscript"/>
        </w:rPr>
        <w:t>130</w:t>
      </w:r>
      <w:r w:rsidRPr="00042419">
        <w:rPr>
          <w:rFonts w:asciiTheme="majorBidi" w:hAnsiTheme="majorBidi" w:cstheme="majorBidi"/>
        </w:rPr>
        <w:t xml:space="preserve"> was selected as it compared outcomes of patients with hospital-</w:t>
      </w:r>
      <w:r w:rsidR="00837CD7" w:rsidRPr="00042419">
        <w:rPr>
          <w:rFonts w:asciiTheme="majorBidi" w:hAnsiTheme="majorBidi" w:cstheme="majorBidi"/>
        </w:rPr>
        <w:t>associated</w:t>
      </w:r>
      <w:r w:rsidRPr="00042419">
        <w:rPr>
          <w:rFonts w:asciiTheme="majorBidi" w:hAnsiTheme="majorBidi" w:cstheme="majorBidi"/>
        </w:rPr>
        <w:t xml:space="preserve"> AKI (with recovered renal function) against a non-AKI patient population matched for a wide range of relevant clinical and demographic characteristics. 1,610 patients with AKI and 3,652 without were followed up from 90 days post-discharge to approximately 6 years. A limitation of this study is that the propensity </w:t>
      </w:r>
      <w:proofErr w:type="gramStart"/>
      <w:r w:rsidRPr="00042419">
        <w:rPr>
          <w:rFonts w:asciiTheme="majorBidi" w:hAnsiTheme="majorBidi" w:cstheme="majorBidi"/>
        </w:rPr>
        <w:t>score</w:t>
      </w:r>
      <w:proofErr w:type="gramEnd"/>
      <w:r w:rsidRPr="00042419">
        <w:rPr>
          <w:rFonts w:asciiTheme="majorBidi" w:hAnsiTheme="majorBidi" w:cstheme="majorBidi"/>
        </w:rPr>
        <w:t xml:space="preserve"> matching process excluded the most comorbid patients due to a lack of sufficiently closely matching controls, and the study excluded patients with impaired kidney function prior to hospitalisation. This evidence was used to inform the increased risk of death and the increased </w:t>
      </w:r>
      <w:r w:rsidRPr="00042419">
        <w:rPr>
          <w:rFonts w:asciiTheme="majorBidi" w:hAnsiTheme="majorBidi" w:cstheme="majorBidi"/>
        </w:rPr>
        <w:lastRenderedPageBreak/>
        <w:t xml:space="preserve">risk of developing CKD in patients with recovered renal function after an AKI. Relevant parameters are shown in </w:t>
      </w:r>
      <w:r w:rsidR="00EF4C1C" w:rsidRPr="00EF4C1C">
        <w:rPr>
          <w:rFonts w:asciiTheme="majorBidi" w:hAnsiTheme="majorBidi" w:cstheme="majorBidi"/>
        </w:rPr>
        <w:t xml:space="preserve">Table </w:t>
      </w:r>
      <w:r w:rsidR="00EF4C1C" w:rsidRPr="00EF4C1C">
        <w:rPr>
          <w:rFonts w:asciiTheme="majorBidi" w:hAnsiTheme="majorBidi" w:cstheme="majorBidi"/>
          <w:iCs/>
          <w:noProof/>
        </w:rPr>
        <w:t>28</w:t>
      </w:r>
      <w:r w:rsidRPr="00042419">
        <w:rPr>
          <w:rFonts w:asciiTheme="majorBidi" w:hAnsiTheme="majorBidi" w:cstheme="majorBidi"/>
        </w:rPr>
        <w:t xml:space="preserve">. </w:t>
      </w:r>
    </w:p>
    <w:p w14:paraId="36FF2947" w14:textId="25B562FD" w:rsidR="00A4788F" w:rsidRPr="00042419" w:rsidRDefault="00A4788F" w:rsidP="00A4788F">
      <w:pPr>
        <w:spacing w:line="360" w:lineRule="auto"/>
        <w:jc w:val="both"/>
        <w:rPr>
          <w:rFonts w:asciiTheme="majorBidi" w:hAnsiTheme="majorBidi" w:cstheme="majorBidi"/>
        </w:rPr>
      </w:pPr>
      <w:r w:rsidRPr="00042419">
        <w:rPr>
          <w:rFonts w:asciiTheme="majorBidi" w:hAnsiTheme="majorBidi" w:cstheme="majorBidi"/>
        </w:rPr>
        <w:t xml:space="preserve">There are </w:t>
      </w:r>
      <w:r w:rsidR="00EF4C1C" w:rsidRPr="00042419">
        <w:rPr>
          <w:rFonts w:asciiTheme="majorBidi" w:hAnsiTheme="majorBidi" w:cstheme="majorBidi"/>
        </w:rPr>
        <w:t>several</w:t>
      </w:r>
      <w:r w:rsidRPr="00042419">
        <w:rPr>
          <w:rFonts w:asciiTheme="majorBidi" w:hAnsiTheme="majorBidi" w:cstheme="majorBidi"/>
        </w:rPr>
        <w:t xml:space="preserve"> limitations to the approach taken to reflect the long-term implications of AKI within the model: </w:t>
      </w:r>
    </w:p>
    <w:p w14:paraId="75DF4F13" w14:textId="42ACD73A" w:rsidR="00A4788F" w:rsidRPr="00042419" w:rsidRDefault="00A4788F" w:rsidP="005A3BE6">
      <w:pPr>
        <w:pStyle w:val="ListParagraph"/>
        <w:numPr>
          <w:ilvl w:val="0"/>
          <w:numId w:val="41"/>
        </w:numPr>
        <w:spacing w:after="120" w:line="360" w:lineRule="auto"/>
        <w:jc w:val="both"/>
        <w:rPr>
          <w:rFonts w:asciiTheme="majorBidi" w:hAnsiTheme="majorBidi" w:cstheme="majorBidi"/>
        </w:rPr>
      </w:pPr>
      <w:r w:rsidRPr="00042419">
        <w:rPr>
          <w:rFonts w:asciiTheme="majorBidi" w:hAnsiTheme="majorBidi" w:cstheme="majorBidi"/>
        </w:rPr>
        <w:t>The CARBAR data will have included patients who experienced AKI and</w:t>
      </w:r>
      <w:r w:rsidR="00EF4C1C">
        <w:rPr>
          <w:rFonts w:asciiTheme="majorBidi" w:hAnsiTheme="majorBidi" w:cstheme="majorBidi"/>
        </w:rPr>
        <w:t>,</w:t>
      </w:r>
      <w:r w:rsidRPr="00042419">
        <w:rPr>
          <w:rFonts w:asciiTheme="majorBidi" w:hAnsiTheme="majorBidi" w:cstheme="majorBidi"/>
        </w:rPr>
        <w:t xml:space="preserve"> therefore</w:t>
      </w:r>
      <w:r w:rsidR="00EF4C1C">
        <w:rPr>
          <w:rFonts w:asciiTheme="majorBidi" w:hAnsiTheme="majorBidi" w:cstheme="majorBidi"/>
        </w:rPr>
        <w:t>,</w:t>
      </w:r>
      <w:r w:rsidRPr="00042419">
        <w:rPr>
          <w:rFonts w:asciiTheme="majorBidi" w:hAnsiTheme="majorBidi" w:cstheme="majorBidi"/>
        </w:rPr>
        <w:t xml:space="preserve"> including additional mortality risk associated with AKI and CKD development is likely to exaggerate mortality risk in the model</w:t>
      </w:r>
      <w:r w:rsidR="00EF4C1C">
        <w:rPr>
          <w:rFonts w:asciiTheme="majorBidi" w:hAnsiTheme="majorBidi" w:cstheme="majorBidi"/>
        </w:rPr>
        <w:t>.</w:t>
      </w:r>
    </w:p>
    <w:p w14:paraId="12E97448" w14:textId="271899B9" w:rsidR="00A4788F" w:rsidRPr="00042419" w:rsidRDefault="00A4788F" w:rsidP="00A83123">
      <w:pPr>
        <w:pStyle w:val="ListParagraph"/>
        <w:numPr>
          <w:ilvl w:val="0"/>
          <w:numId w:val="41"/>
        </w:numPr>
        <w:spacing w:after="120" w:line="360" w:lineRule="auto"/>
        <w:jc w:val="both"/>
        <w:rPr>
          <w:rFonts w:asciiTheme="majorBidi" w:hAnsiTheme="majorBidi" w:cstheme="majorBidi"/>
        </w:rPr>
      </w:pPr>
      <w:r w:rsidRPr="00042419">
        <w:rPr>
          <w:rFonts w:asciiTheme="majorBidi" w:hAnsiTheme="majorBidi" w:cstheme="majorBidi"/>
        </w:rPr>
        <w:t>The risk of CKD development is likely to be higher than estimated from Bucaloiu</w:t>
      </w:r>
      <w:r w:rsidR="00A83123" w:rsidRPr="00A83123">
        <w:rPr>
          <w:rFonts w:asciiTheme="majorBidi" w:hAnsiTheme="majorBidi" w:cstheme="majorBidi"/>
          <w:noProof/>
          <w:vertAlign w:val="superscript"/>
        </w:rPr>
        <w:t>130</w:t>
      </w:r>
      <w:r w:rsidRPr="00042419">
        <w:rPr>
          <w:rFonts w:asciiTheme="majorBidi" w:hAnsiTheme="majorBidi" w:cstheme="majorBidi"/>
        </w:rPr>
        <w:t xml:space="preserve"> in the highly comorbid patient group considered within the HVCS</w:t>
      </w:r>
      <w:r w:rsidR="00EF4C1C">
        <w:rPr>
          <w:rFonts w:asciiTheme="majorBidi" w:hAnsiTheme="majorBidi" w:cstheme="majorBidi"/>
        </w:rPr>
        <w:t>.</w:t>
      </w:r>
    </w:p>
    <w:p w14:paraId="211EA2AF" w14:textId="227DD7CE" w:rsidR="00A4788F" w:rsidRPr="00042419" w:rsidRDefault="00A4788F" w:rsidP="005A3BE6">
      <w:pPr>
        <w:pStyle w:val="ListParagraph"/>
        <w:numPr>
          <w:ilvl w:val="0"/>
          <w:numId w:val="41"/>
        </w:numPr>
        <w:spacing w:after="120" w:line="360" w:lineRule="auto"/>
        <w:jc w:val="both"/>
        <w:rPr>
          <w:rFonts w:asciiTheme="majorBidi" w:hAnsiTheme="majorBidi" w:cstheme="majorBidi"/>
        </w:rPr>
      </w:pPr>
      <w:r w:rsidRPr="00042419">
        <w:rPr>
          <w:rFonts w:asciiTheme="majorBidi" w:hAnsiTheme="majorBidi" w:cstheme="majorBidi"/>
        </w:rPr>
        <w:t>The hazard ratios on mortality are applied multiplicatively despite the much higher baseline risk of death in the patient population considered within the HVCS</w:t>
      </w:r>
      <w:r w:rsidR="00A86D87">
        <w:rPr>
          <w:rFonts w:asciiTheme="majorBidi" w:hAnsiTheme="majorBidi" w:cstheme="majorBidi"/>
        </w:rPr>
        <w:t>.</w:t>
      </w:r>
    </w:p>
    <w:p w14:paraId="2F53D3B7" w14:textId="77777777" w:rsidR="00A4788F" w:rsidRPr="00042419" w:rsidRDefault="00A4788F" w:rsidP="00A4788F">
      <w:pPr>
        <w:spacing w:line="360" w:lineRule="auto"/>
        <w:jc w:val="both"/>
        <w:rPr>
          <w:rFonts w:asciiTheme="majorBidi" w:hAnsiTheme="majorBidi" w:cstheme="majorBidi"/>
        </w:rPr>
      </w:pPr>
      <w:r w:rsidRPr="00042419">
        <w:rPr>
          <w:rFonts w:asciiTheme="majorBidi" w:hAnsiTheme="majorBidi" w:cstheme="majorBidi"/>
        </w:rPr>
        <w:t xml:space="preserve">Scenarios are explored to address each of these assumptions in turn: </w:t>
      </w:r>
    </w:p>
    <w:p w14:paraId="3DEDD98A" w14:textId="47B6604D" w:rsidR="00A4788F" w:rsidRPr="00042419" w:rsidRDefault="00A4788F" w:rsidP="00A83123">
      <w:pPr>
        <w:pStyle w:val="ListParagraph"/>
        <w:numPr>
          <w:ilvl w:val="0"/>
          <w:numId w:val="42"/>
        </w:numPr>
        <w:spacing w:after="120" w:line="360" w:lineRule="auto"/>
        <w:jc w:val="both"/>
        <w:rPr>
          <w:rFonts w:asciiTheme="majorBidi" w:hAnsiTheme="majorBidi" w:cstheme="majorBidi"/>
        </w:rPr>
      </w:pPr>
      <w:r w:rsidRPr="00042419">
        <w:rPr>
          <w:rFonts w:asciiTheme="majorBidi" w:hAnsiTheme="majorBidi" w:cstheme="majorBidi"/>
        </w:rPr>
        <w:t xml:space="preserve">CARBAR mortality rate reduced by 10% reflecting an assumed AKI rate of 20% and an assumed excess mortality associated with AKI of 1.48 (95% CI 1.19, 1.82) based on </w:t>
      </w:r>
      <w:proofErr w:type="spellStart"/>
      <w:r w:rsidRPr="00042419">
        <w:rPr>
          <w:rFonts w:asciiTheme="majorBidi" w:hAnsiTheme="majorBidi" w:cstheme="majorBidi"/>
        </w:rPr>
        <w:t>Bucaloiu</w:t>
      </w:r>
      <w:proofErr w:type="spellEnd"/>
      <w:r w:rsidRPr="00042419">
        <w:rPr>
          <w:rFonts w:asciiTheme="majorBidi" w:hAnsiTheme="majorBidi" w:cstheme="majorBidi"/>
        </w:rPr>
        <w:t xml:space="preserve"> 2012</w:t>
      </w:r>
      <w:r w:rsidR="00AC39D8">
        <w:rPr>
          <w:rFonts w:asciiTheme="majorBidi" w:hAnsiTheme="majorBidi" w:cstheme="majorBidi"/>
        </w:rPr>
        <w:t>.</w:t>
      </w:r>
      <w:r w:rsidR="00A83123" w:rsidRPr="00A83123">
        <w:rPr>
          <w:rFonts w:asciiTheme="majorBidi" w:hAnsiTheme="majorBidi" w:cstheme="majorBidi"/>
          <w:noProof/>
          <w:vertAlign w:val="superscript"/>
        </w:rPr>
        <w:t>130</w:t>
      </w:r>
    </w:p>
    <w:p w14:paraId="68BF569A" w14:textId="0F2BDB73" w:rsidR="00A4788F" w:rsidRPr="00042419" w:rsidRDefault="00A4788F" w:rsidP="005A3BE6">
      <w:pPr>
        <w:pStyle w:val="ListParagraph"/>
        <w:numPr>
          <w:ilvl w:val="0"/>
          <w:numId w:val="42"/>
        </w:numPr>
        <w:spacing w:after="120" w:line="360" w:lineRule="auto"/>
        <w:jc w:val="both"/>
        <w:rPr>
          <w:rFonts w:asciiTheme="majorBidi" w:hAnsiTheme="majorBidi" w:cstheme="majorBidi"/>
        </w:rPr>
      </w:pPr>
      <w:r w:rsidRPr="00042419">
        <w:rPr>
          <w:rFonts w:asciiTheme="majorBidi" w:hAnsiTheme="majorBidi" w:cstheme="majorBidi"/>
        </w:rPr>
        <w:t xml:space="preserve">Patients in HVCS face double risk of CKD compared to patients in </w:t>
      </w:r>
      <w:proofErr w:type="spellStart"/>
      <w:r w:rsidRPr="00042419">
        <w:rPr>
          <w:rFonts w:asciiTheme="majorBidi" w:hAnsiTheme="majorBidi" w:cstheme="majorBidi"/>
        </w:rPr>
        <w:t>Bucaloiu</w:t>
      </w:r>
      <w:proofErr w:type="spellEnd"/>
      <w:r w:rsidRPr="00042419">
        <w:rPr>
          <w:rFonts w:asciiTheme="majorBidi" w:hAnsiTheme="majorBidi" w:cstheme="majorBidi"/>
        </w:rPr>
        <w:t xml:space="preserve"> 2012</w:t>
      </w:r>
      <w:r w:rsidR="00AC39D8">
        <w:rPr>
          <w:rFonts w:asciiTheme="majorBidi" w:hAnsiTheme="majorBidi" w:cstheme="majorBidi"/>
        </w:rPr>
        <w:t>.</w:t>
      </w:r>
      <w:r w:rsidR="00AC39D8" w:rsidRPr="00042419">
        <w:rPr>
          <w:rFonts w:asciiTheme="majorBidi" w:hAnsiTheme="majorBidi" w:cstheme="majorBidi"/>
        </w:rPr>
        <w:t xml:space="preserve"> </w:t>
      </w:r>
    </w:p>
    <w:p w14:paraId="0F6A3920" w14:textId="208E78EF" w:rsidR="00A4788F" w:rsidRPr="00042419" w:rsidRDefault="00A4788F" w:rsidP="005A3BE6">
      <w:pPr>
        <w:pStyle w:val="ListParagraph"/>
        <w:numPr>
          <w:ilvl w:val="0"/>
          <w:numId w:val="42"/>
        </w:numPr>
        <w:spacing w:after="120" w:line="360" w:lineRule="auto"/>
        <w:jc w:val="both"/>
        <w:rPr>
          <w:rFonts w:asciiTheme="majorBidi" w:hAnsiTheme="majorBidi" w:cstheme="majorBidi"/>
        </w:rPr>
      </w:pPr>
      <w:r w:rsidRPr="00042419">
        <w:rPr>
          <w:rFonts w:asciiTheme="majorBidi" w:hAnsiTheme="majorBidi" w:cstheme="majorBidi"/>
        </w:rPr>
        <w:t xml:space="preserve">Patients in HVCS face absolute increase in mortality risk observed in </w:t>
      </w:r>
      <w:proofErr w:type="spellStart"/>
      <w:r w:rsidRPr="00042419">
        <w:rPr>
          <w:rFonts w:asciiTheme="majorBidi" w:hAnsiTheme="majorBidi" w:cstheme="majorBidi"/>
        </w:rPr>
        <w:t>Bucaloiu</w:t>
      </w:r>
      <w:proofErr w:type="spellEnd"/>
      <w:r w:rsidRPr="00042419">
        <w:rPr>
          <w:rFonts w:asciiTheme="majorBidi" w:hAnsiTheme="majorBidi" w:cstheme="majorBidi"/>
        </w:rPr>
        <w:t xml:space="preserve"> 2012</w:t>
      </w:r>
      <w:r w:rsidR="00AC39D8">
        <w:rPr>
          <w:rFonts w:asciiTheme="majorBidi" w:hAnsiTheme="majorBidi" w:cstheme="majorBidi"/>
        </w:rPr>
        <w:t>.</w:t>
      </w:r>
    </w:p>
    <w:p w14:paraId="791E38AB" w14:textId="3379CDA4" w:rsidR="00A4788F" w:rsidRPr="00042419" w:rsidRDefault="00A4788F" w:rsidP="005A3BE6">
      <w:pPr>
        <w:pStyle w:val="ListParagraph"/>
        <w:numPr>
          <w:ilvl w:val="0"/>
          <w:numId w:val="42"/>
        </w:numPr>
        <w:spacing w:after="120" w:line="360" w:lineRule="auto"/>
        <w:jc w:val="both"/>
        <w:rPr>
          <w:rFonts w:asciiTheme="majorBidi" w:hAnsiTheme="majorBidi" w:cstheme="majorBidi"/>
        </w:rPr>
      </w:pPr>
      <w:proofErr w:type="gramStart"/>
      <w:r w:rsidRPr="00042419">
        <w:rPr>
          <w:rFonts w:asciiTheme="majorBidi" w:hAnsiTheme="majorBidi" w:cstheme="majorBidi"/>
        </w:rPr>
        <w:t>All of</w:t>
      </w:r>
      <w:proofErr w:type="gramEnd"/>
      <w:r w:rsidRPr="00042419">
        <w:rPr>
          <w:rFonts w:asciiTheme="majorBidi" w:hAnsiTheme="majorBidi" w:cstheme="majorBidi"/>
        </w:rPr>
        <w:t xml:space="preserve"> the above applied simultaneously</w:t>
      </w:r>
      <w:r w:rsidR="00AC39D8">
        <w:rPr>
          <w:rFonts w:asciiTheme="majorBidi" w:hAnsiTheme="majorBidi" w:cstheme="majorBidi"/>
        </w:rPr>
        <w:t>.</w:t>
      </w:r>
    </w:p>
    <w:p w14:paraId="1770F33B" w14:textId="77777777" w:rsidR="00A4788F" w:rsidRPr="00042419" w:rsidRDefault="00A4788F" w:rsidP="00A4788F">
      <w:pPr>
        <w:spacing w:line="360" w:lineRule="auto"/>
        <w:rPr>
          <w:rFonts w:asciiTheme="majorBidi" w:hAnsiTheme="majorBidi" w:cstheme="majorBidi"/>
        </w:rPr>
      </w:pPr>
      <w:r w:rsidRPr="00042419">
        <w:rPr>
          <w:rFonts w:asciiTheme="majorBidi" w:hAnsiTheme="majorBidi" w:cstheme="majorBidi"/>
        </w:rPr>
        <w:t xml:space="preserve">We did not account for life years accrued within the first 30 days in the model as these were expected to have a marginal effect on the model results. </w:t>
      </w:r>
    </w:p>
    <w:p w14:paraId="632FE2B1" w14:textId="77777777" w:rsidR="00A4788F" w:rsidRPr="00042419" w:rsidRDefault="00A4788F" w:rsidP="00A4788F">
      <w:pPr>
        <w:rPr>
          <w:rFonts w:asciiTheme="majorBidi" w:hAnsiTheme="majorBidi" w:cstheme="majorBidi"/>
          <w:b/>
        </w:rPr>
      </w:pPr>
      <w:r w:rsidRPr="00042419">
        <w:rPr>
          <w:rFonts w:asciiTheme="majorBidi" w:hAnsiTheme="majorBidi" w:cstheme="majorBidi"/>
          <w:b/>
          <w:i/>
          <w:iCs/>
        </w:rPr>
        <w:br w:type="page"/>
      </w:r>
    </w:p>
    <w:p w14:paraId="3233F24C" w14:textId="77777777" w:rsidR="00DC3933" w:rsidRDefault="00DC3933" w:rsidP="009E265F">
      <w:pPr>
        <w:pStyle w:val="table"/>
        <w:sectPr w:rsidR="00DC3933" w:rsidSect="00A4788F">
          <w:pgSz w:w="11906" w:h="16838"/>
          <w:pgMar w:top="1440" w:right="1440" w:bottom="1440" w:left="1440" w:header="709" w:footer="709" w:gutter="0"/>
          <w:cols w:space="708"/>
          <w:docGrid w:linePitch="360"/>
        </w:sectPr>
      </w:pPr>
      <w:bookmarkStart w:id="425" w:name="_Ref77949027"/>
      <w:bookmarkStart w:id="426" w:name="_Toc83589983"/>
    </w:p>
    <w:p w14:paraId="19FDDA9B" w14:textId="71216052" w:rsidR="00A4788F" w:rsidRDefault="00A4788F" w:rsidP="009E265F">
      <w:pPr>
        <w:pStyle w:val="table"/>
      </w:pPr>
      <w:bookmarkStart w:id="427" w:name="_Toc86419005"/>
      <w:r w:rsidRPr="00442159">
        <w:lastRenderedPageBreak/>
        <w:t xml:space="preserve">Table </w:t>
      </w:r>
      <w:r w:rsidR="00F10F0A">
        <w:rPr>
          <w:noProof/>
        </w:rPr>
        <w:t>28</w:t>
      </w:r>
      <w:bookmarkEnd w:id="425"/>
      <w:r w:rsidRPr="00442159">
        <w:t xml:space="preserve">: </w:t>
      </w:r>
      <w:r>
        <w:t>Post-</w:t>
      </w:r>
      <w:proofErr w:type="gramStart"/>
      <w:r>
        <w:t>30 day</w:t>
      </w:r>
      <w:proofErr w:type="gramEnd"/>
      <w:r>
        <w:t xml:space="preserve"> outcomes</w:t>
      </w:r>
      <w:r w:rsidRPr="006E238F">
        <w:t xml:space="preserve"> for patients with history of AKI</w:t>
      </w:r>
      <w:bookmarkEnd w:id="426"/>
      <w:bookmarkEnd w:id="427"/>
      <w:r w:rsidRPr="006E238F">
        <w:t xml:space="preserve"> </w:t>
      </w:r>
    </w:p>
    <w:tbl>
      <w:tblPr>
        <w:tblStyle w:val="TableGrid"/>
        <w:tblpPr w:leftFromText="180" w:rightFromText="180" w:vertAnchor="text" w:horzAnchor="margin" w:tblpY="323"/>
        <w:tblW w:w="13715" w:type="dxa"/>
        <w:tblLook w:val="04A0" w:firstRow="1" w:lastRow="0" w:firstColumn="1" w:lastColumn="0" w:noHBand="0" w:noVBand="1"/>
      </w:tblPr>
      <w:tblGrid>
        <w:gridCol w:w="661"/>
        <w:gridCol w:w="2329"/>
        <w:gridCol w:w="1686"/>
        <w:gridCol w:w="4593"/>
        <w:gridCol w:w="1247"/>
        <w:gridCol w:w="1466"/>
        <w:gridCol w:w="1733"/>
      </w:tblGrid>
      <w:tr w:rsidR="00956BFE" w:rsidRPr="004A4B7C" w14:paraId="490DBE52" w14:textId="77777777" w:rsidTr="00800B9C">
        <w:tc>
          <w:tcPr>
            <w:tcW w:w="661" w:type="dxa"/>
          </w:tcPr>
          <w:p w14:paraId="20A0FA48"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Site</w:t>
            </w:r>
          </w:p>
        </w:tc>
        <w:tc>
          <w:tcPr>
            <w:tcW w:w="2329" w:type="dxa"/>
          </w:tcPr>
          <w:p w14:paraId="5AAE667C"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Pathogen / mechanism subgroup</w:t>
            </w:r>
          </w:p>
        </w:tc>
        <w:tc>
          <w:tcPr>
            <w:tcW w:w="1686" w:type="dxa"/>
          </w:tcPr>
          <w:p w14:paraId="6F9E8414"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Parameter name</w:t>
            </w:r>
          </w:p>
        </w:tc>
        <w:tc>
          <w:tcPr>
            <w:tcW w:w="4593" w:type="dxa"/>
          </w:tcPr>
          <w:p w14:paraId="2F3DD5B9"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Description</w:t>
            </w:r>
          </w:p>
        </w:tc>
        <w:tc>
          <w:tcPr>
            <w:tcW w:w="1247" w:type="dxa"/>
          </w:tcPr>
          <w:p w14:paraId="723CE7C1"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Value</w:t>
            </w:r>
          </w:p>
        </w:tc>
        <w:tc>
          <w:tcPr>
            <w:tcW w:w="1466" w:type="dxa"/>
          </w:tcPr>
          <w:p w14:paraId="2593D73E"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Uncertainty (measure)</w:t>
            </w:r>
          </w:p>
        </w:tc>
        <w:tc>
          <w:tcPr>
            <w:tcW w:w="1733" w:type="dxa"/>
          </w:tcPr>
          <w:p w14:paraId="33B53061"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Source</w:t>
            </w:r>
          </w:p>
        </w:tc>
      </w:tr>
      <w:tr w:rsidR="00956BFE" w:rsidRPr="004A4B7C" w14:paraId="26C07F82" w14:textId="77777777" w:rsidTr="00800B9C">
        <w:tc>
          <w:tcPr>
            <w:tcW w:w="661" w:type="dxa"/>
          </w:tcPr>
          <w:p w14:paraId="2F4B3BC3"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2329" w:type="dxa"/>
          </w:tcPr>
          <w:p w14:paraId="744077DC"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1686" w:type="dxa"/>
          </w:tcPr>
          <w:p w14:paraId="684332D3" w14:textId="77777777" w:rsidR="00956BFE" w:rsidRPr="004A4B7C" w:rsidRDefault="00956BFE" w:rsidP="004A4B7C">
            <w:pPr>
              <w:rPr>
                <w:rFonts w:asciiTheme="majorBidi" w:hAnsiTheme="majorBidi" w:cstheme="majorBidi"/>
                <w:sz w:val="20"/>
                <w:szCs w:val="20"/>
              </w:rPr>
            </w:pPr>
            <w:proofErr w:type="spellStart"/>
            <w:r w:rsidRPr="004A4B7C">
              <w:rPr>
                <w:rFonts w:asciiTheme="majorBidi" w:hAnsiTheme="majorBidi" w:cstheme="majorBidi"/>
                <w:sz w:val="20"/>
                <w:szCs w:val="20"/>
              </w:rPr>
              <w:t>TPnoAKItoCKD</w:t>
            </w:r>
            <w:proofErr w:type="spellEnd"/>
          </w:p>
        </w:tc>
        <w:tc>
          <w:tcPr>
            <w:tcW w:w="4593" w:type="dxa"/>
          </w:tcPr>
          <w:p w14:paraId="7501A4E3"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1-year absolute probability of experiencing CKD in non-AKI patients </w:t>
            </w:r>
          </w:p>
          <w:p w14:paraId="5B1F894E"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Approach to computation: baseline risk of CKD development in non-AKI: 1218 events over a median follow-up of 4.3 years in 3652 individuals (=1218</w:t>
            </w:r>
            <w:proofErr w:type="gramStart"/>
            <w:r w:rsidRPr="004A4B7C">
              <w:rPr>
                <w:rFonts w:asciiTheme="majorBidi" w:hAnsiTheme="majorBidi" w:cstheme="majorBidi"/>
                <w:sz w:val="20"/>
                <w:szCs w:val="20"/>
              </w:rPr>
              <w:t>/(</w:t>
            </w:r>
            <w:proofErr w:type="gramEnd"/>
            <w:r w:rsidRPr="004A4B7C">
              <w:rPr>
                <w:rFonts w:asciiTheme="majorBidi" w:hAnsiTheme="majorBidi" w:cstheme="majorBidi"/>
                <w:sz w:val="20"/>
                <w:szCs w:val="20"/>
              </w:rPr>
              <w:t>4.3x3652)).</w:t>
            </w:r>
          </w:p>
          <w:p w14:paraId="63E36474" w14:textId="77777777" w:rsidR="00956BFE" w:rsidRPr="004A4B7C" w:rsidRDefault="00956BFE" w:rsidP="004A4B7C">
            <w:pPr>
              <w:rPr>
                <w:rFonts w:asciiTheme="majorBidi" w:hAnsiTheme="majorBidi" w:cstheme="majorBidi"/>
                <w:sz w:val="20"/>
                <w:szCs w:val="20"/>
              </w:rPr>
            </w:pPr>
          </w:p>
        </w:tc>
        <w:tc>
          <w:tcPr>
            <w:tcW w:w="1247" w:type="dxa"/>
          </w:tcPr>
          <w:p w14:paraId="25919E4B"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0.078</w:t>
            </w:r>
          </w:p>
        </w:tc>
        <w:tc>
          <w:tcPr>
            <w:tcW w:w="1466" w:type="dxa"/>
          </w:tcPr>
          <w:p w14:paraId="5E726927"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SE for baseline risk assumed 10% of mean. </w:t>
            </w:r>
          </w:p>
        </w:tc>
        <w:tc>
          <w:tcPr>
            <w:tcW w:w="1733" w:type="dxa"/>
          </w:tcPr>
          <w:p w14:paraId="6638E910" w14:textId="174D9796" w:rsidR="00956BFE" w:rsidRPr="004A4B7C" w:rsidRDefault="00956BFE" w:rsidP="004A4B7C">
            <w:pPr>
              <w:rPr>
                <w:rFonts w:asciiTheme="majorBidi" w:hAnsiTheme="majorBidi" w:cstheme="majorBidi"/>
                <w:sz w:val="20"/>
                <w:szCs w:val="20"/>
              </w:rPr>
            </w:pP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w:t>
            </w:r>
            <w:r w:rsidR="00A83123" w:rsidRPr="004A4B7C">
              <w:rPr>
                <w:rFonts w:asciiTheme="majorBidi" w:hAnsiTheme="majorBidi" w:cstheme="majorBidi"/>
                <w:noProof/>
                <w:sz w:val="20"/>
                <w:szCs w:val="20"/>
                <w:vertAlign w:val="superscript"/>
              </w:rPr>
              <w:t>130</w:t>
            </w:r>
          </w:p>
          <w:p w14:paraId="3051FA3B" w14:textId="4AC21A1F"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w:t>
            </w:r>
            <w:proofErr w:type="gramStart"/>
            <w:r w:rsidRPr="004A4B7C">
              <w:rPr>
                <w:rFonts w:asciiTheme="majorBidi" w:hAnsiTheme="majorBidi" w:cstheme="majorBidi"/>
                <w:sz w:val="20"/>
                <w:szCs w:val="20"/>
              </w:rPr>
              <w:t>note</w:t>
            </w:r>
            <w:proofErr w:type="gramEnd"/>
            <w:r w:rsidRPr="004A4B7C">
              <w:rPr>
                <w:rFonts w:asciiTheme="majorBidi" w:hAnsiTheme="majorBidi" w:cstheme="majorBidi"/>
                <w:sz w:val="20"/>
                <w:szCs w:val="20"/>
              </w:rPr>
              <w:t xml:space="preserve"> that these probabilities are assumed to apply from the second cycle onwards as </w:t>
            </w: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measured outcomes from 90 days post-discharge) </w:t>
            </w:r>
          </w:p>
          <w:p w14:paraId="53F98718" w14:textId="77777777" w:rsidR="00956BFE" w:rsidRPr="004A4B7C" w:rsidRDefault="00956BFE" w:rsidP="004A4B7C">
            <w:pPr>
              <w:rPr>
                <w:rFonts w:asciiTheme="majorBidi" w:hAnsiTheme="majorBidi" w:cstheme="majorBidi"/>
                <w:sz w:val="20"/>
                <w:szCs w:val="20"/>
              </w:rPr>
            </w:pPr>
          </w:p>
        </w:tc>
      </w:tr>
      <w:tr w:rsidR="00956BFE" w:rsidRPr="004A4B7C" w14:paraId="68FC3EE2" w14:textId="77777777" w:rsidTr="00800B9C">
        <w:tc>
          <w:tcPr>
            <w:tcW w:w="661" w:type="dxa"/>
          </w:tcPr>
          <w:p w14:paraId="41E86542"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2329" w:type="dxa"/>
          </w:tcPr>
          <w:p w14:paraId="0B817650"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1686" w:type="dxa"/>
          </w:tcPr>
          <w:p w14:paraId="00A48CAB" w14:textId="77777777" w:rsidR="00956BFE" w:rsidRPr="004A4B7C" w:rsidRDefault="00956BFE" w:rsidP="004A4B7C">
            <w:pPr>
              <w:rPr>
                <w:rFonts w:asciiTheme="majorBidi" w:hAnsiTheme="majorBidi" w:cstheme="majorBidi"/>
                <w:sz w:val="20"/>
                <w:szCs w:val="20"/>
              </w:rPr>
            </w:pPr>
            <w:proofErr w:type="spellStart"/>
            <w:r w:rsidRPr="004A4B7C">
              <w:rPr>
                <w:rFonts w:asciiTheme="majorBidi" w:hAnsiTheme="majorBidi" w:cstheme="majorBidi"/>
                <w:sz w:val="20"/>
                <w:szCs w:val="20"/>
              </w:rPr>
              <w:t>TPAKItoCKD</w:t>
            </w:r>
            <w:proofErr w:type="spellEnd"/>
          </w:p>
        </w:tc>
        <w:tc>
          <w:tcPr>
            <w:tcW w:w="4593" w:type="dxa"/>
          </w:tcPr>
          <w:p w14:paraId="43B5390A"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1-year absolute probability of experiencing CKD in post-AKI patients with recovered renal function </w:t>
            </w:r>
          </w:p>
          <w:p w14:paraId="1A5A01F6"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Approach to computation: baseline risk of CKD development in non-AKI (0.078) multiplied by adjusted HR 1.91 (95% CI 1.75 – 2.09).</w:t>
            </w:r>
          </w:p>
        </w:tc>
        <w:tc>
          <w:tcPr>
            <w:tcW w:w="1247" w:type="dxa"/>
          </w:tcPr>
          <w:p w14:paraId="0A0A0AB2"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0.143</w:t>
            </w:r>
          </w:p>
        </w:tc>
        <w:tc>
          <w:tcPr>
            <w:tcW w:w="1466" w:type="dxa"/>
          </w:tcPr>
          <w:p w14:paraId="3E48F75A"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SE around HR of CKD development: 0.087, se for baseline risk assumed 10% of mean. </w:t>
            </w:r>
          </w:p>
        </w:tc>
        <w:tc>
          <w:tcPr>
            <w:tcW w:w="1733" w:type="dxa"/>
          </w:tcPr>
          <w:p w14:paraId="5CC6EAC0" w14:textId="77777777" w:rsidR="00CF2F84" w:rsidRPr="004A4B7C" w:rsidRDefault="00CF2F84" w:rsidP="00CF2F84">
            <w:pPr>
              <w:rPr>
                <w:rFonts w:asciiTheme="majorBidi" w:hAnsiTheme="majorBidi" w:cstheme="majorBidi"/>
                <w:sz w:val="20"/>
                <w:szCs w:val="20"/>
              </w:rPr>
            </w:pP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w:t>
            </w:r>
            <w:r w:rsidRPr="004A4B7C">
              <w:rPr>
                <w:rFonts w:asciiTheme="majorBidi" w:hAnsiTheme="majorBidi" w:cstheme="majorBidi"/>
                <w:noProof/>
                <w:sz w:val="20"/>
                <w:szCs w:val="20"/>
                <w:vertAlign w:val="superscript"/>
              </w:rPr>
              <w:t>130</w:t>
            </w:r>
          </w:p>
          <w:p w14:paraId="10460360" w14:textId="77777777" w:rsidR="00956BFE" w:rsidRPr="004A4B7C" w:rsidRDefault="00956BFE" w:rsidP="004A4B7C">
            <w:pPr>
              <w:rPr>
                <w:rFonts w:asciiTheme="majorBidi" w:hAnsiTheme="majorBidi" w:cstheme="majorBidi"/>
                <w:sz w:val="20"/>
                <w:szCs w:val="20"/>
              </w:rPr>
            </w:pPr>
          </w:p>
        </w:tc>
      </w:tr>
      <w:tr w:rsidR="00956BFE" w:rsidRPr="004A4B7C" w14:paraId="7374D0F0" w14:textId="77777777" w:rsidTr="00800B9C">
        <w:tc>
          <w:tcPr>
            <w:tcW w:w="661" w:type="dxa"/>
          </w:tcPr>
          <w:p w14:paraId="3005491B"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2329" w:type="dxa"/>
          </w:tcPr>
          <w:p w14:paraId="55D264F4"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1686" w:type="dxa"/>
          </w:tcPr>
          <w:p w14:paraId="0377BDCF" w14:textId="77777777" w:rsidR="00956BFE" w:rsidRPr="004A4B7C" w:rsidRDefault="00956BFE" w:rsidP="004A4B7C">
            <w:pPr>
              <w:rPr>
                <w:rFonts w:asciiTheme="majorBidi" w:hAnsiTheme="majorBidi" w:cstheme="majorBidi"/>
                <w:sz w:val="20"/>
                <w:szCs w:val="20"/>
              </w:rPr>
            </w:pPr>
            <w:proofErr w:type="spellStart"/>
            <w:r w:rsidRPr="004A4B7C">
              <w:rPr>
                <w:rFonts w:asciiTheme="majorBidi" w:hAnsiTheme="majorBidi" w:cstheme="majorBidi"/>
                <w:sz w:val="20"/>
                <w:szCs w:val="20"/>
              </w:rPr>
              <w:t>AKIodeath</w:t>
            </w:r>
            <w:proofErr w:type="spellEnd"/>
          </w:p>
        </w:tc>
        <w:tc>
          <w:tcPr>
            <w:tcW w:w="4593" w:type="dxa"/>
          </w:tcPr>
          <w:p w14:paraId="23B96785"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1-year probability of death in post-AKI patients with recovered renal function  </w:t>
            </w:r>
          </w:p>
          <w:p w14:paraId="1AC5316F"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Derived by multiplying the mortality from CARBAR by the HR of excess death adjusted for de novo CKD development from </w:t>
            </w: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 1.18 (95% CI 0.95- 1.46) </w:t>
            </w:r>
          </w:p>
        </w:tc>
        <w:tc>
          <w:tcPr>
            <w:tcW w:w="1247" w:type="dxa"/>
          </w:tcPr>
          <w:p w14:paraId="1A063A2E"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1.18 * mortality rate in non-AKI</w:t>
            </w:r>
          </w:p>
        </w:tc>
        <w:tc>
          <w:tcPr>
            <w:tcW w:w="1466" w:type="dxa"/>
          </w:tcPr>
          <w:p w14:paraId="7BF2BBCB" w14:textId="0747CC25" w:rsidR="00956BFE" w:rsidRPr="004A4B7C" w:rsidRDefault="00774411" w:rsidP="004A4B7C">
            <w:pPr>
              <w:rPr>
                <w:rFonts w:asciiTheme="majorBidi" w:hAnsiTheme="majorBidi" w:cstheme="majorBidi"/>
                <w:sz w:val="20"/>
                <w:szCs w:val="20"/>
              </w:rPr>
            </w:pPr>
            <w:r>
              <w:rPr>
                <w:rFonts w:asciiTheme="majorBidi" w:hAnsiTheme="majorBidi" w:cstheme="majorBidi"/>
                <w:sz w:val="20"/>
                <w:szCs w:val="20"/>
              </w:rPr>
              <w:t>SE</w:t>
            </w:r>
            <w:r w:rsidR="00956BFE" w:rsidRPr="004A4B7C">
              <w:rPr>
                <w:rFonts w:asciiTheme="majorBidi" w:hAnsiTheme="majorBidi" w:cstheme="majorBidi"/>
                <w:sz w:val="20"/>
                <w:szCs w:val="20"/>
              </w:rPr>
              <w:t xml:space="preserve"> 0.119 for HR</w:t>
            </w:r>
          </w:p>
        </w:tc>
        <w:tc>
          <w:tcPr>
            <w:tcW w:w="1733" w:type="dxa"/>
          </w:tcPr>
          <w:p w14:paraId="5628BCDD" w14:textId="77777777" w:rsidR="00CF2F84" w:rsidRPr="004A4B7C" w:rsidRDefault="00CF2F84" w:rsidP="00CF2F84">
            <w:pPr>
              <w:rPr>
                <w:rFonts w:asciiTheme="majorBidi" w:hAnsiTheme="majorBidi" w:cstheme="majorBidi"/>
                <w:sz w:val="20"/>
                <w:szCs w:val="20"/>
              </w:rPr>
            </w:pP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w:t>
            </w:r>
            <w:r w:rsidRPr="004A4B7C">
              <w:rPr>
                <w:rFonts w:asciiTheme="majorBidi" w:hAnsiTheme="majorBidi" w:cstheme="majorBidi"/>
                <w:noProof/>
                <w:sz w:val="20"/>
                <w:szCs w:val="20"/>
                <w:vertAlign w:val="superscript"/>
              </w:rPr>
              <w:t>130</w:t>
            </w:r>
          </w:p>
          <w:p w14:paraId="2A1B46B8" w14:textId="77777777" w:rsidR="00956BFE" w:rsidRPr="004A4B7C" w:rsidRDefault="00956BFE" w:rsidP="004A4B7C">
            <w:pPr>
              <w:rPr>
                <w:rFonts w:asciiTheme="majorBidi" w:hAnsiTheme="majorBidi" w:cstheme="majorBidi"/>
                <w:sz w:val="20"/>
                <w:szCs w:val="20"/>
              </w:rPr>
            </w:pPr>
          </w:p>
        </w:tc>
      </w:tr>
      <w:tr w:rsidR="00956BFE" w:rsidRPr="004A4B7C" w14:paraId="11029890" w14:textId="77777777" w:rsidTr="00800B9C">
        <w:tc>
          <w:tcPr>
            <w:tcW w:w="661" w:type="dxa"/>
          </w:tcPr>
          <w:p w14:paraId="63808E0E"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2329" w:type="dxa"/>
          </w:tcPr>
          <w:p w14:paraId="55D6AD7D"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All</w:t>
            </w:r>
          </w:p>
        </w:tc>
        <w:tc>
          <w:tcPr>
            <w:tcW w:w="1686" w:type="dxa"/>
          </w:tcPr>
          <w:p w14:paraId="27CA7EA9" w14:textId="77777777" w:rsidR="00956BFE" w:rsidRPr="004A4B7C" w:rsidRDefault="00956BFE" w:rsidP="004A4B7C">
            <w:pPr>
              <w:rPr>
                <w:rFonts w:asciiTheme="majorBidi" w:hAnsiTheme="majorBidi" w:cstheme="majorBidi"/>
                <w:sz w:val="20"/>
                <w:szCs w:val="20"/>
              </w:rPr>
            </w:pPr>
            <w:proofErr w:type="spellStart"/>
            <w:r w:rsidRPr="004A4B7C">
              <w:rPr>
                <w:rFonts w:asciiTheme="majorBidi" w:hAnsiTheme="majorBidi" w:cstheme="majorBidi"/>
                <w:sz w:val="20"/>
                <w:szCs w:val="20"/>
              </w:rPr>
              <w:t>TPCKDtodeath</w:t>
            </w:r>
            <w:proofErr w:type="spellEnd"/>
          </w:p>
        </w:tc>
        <w:tc>
          <w:tcPr>
            <w:tcW w:w="4593" w:type="dxa"/>
          </w:tcPr>
          <w:p w14:paraId="1E69E29A"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1-year probability of death in CKD patients </w:t>
            </w:r>
          </w:p>
          <w:p w14:paraId="5F26F32D"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 xml:space="preserve">Derived by multiplying AKI mortality by the HR of excess death in CKD patients compared to AKI patients in </w:t>
            </w: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 3.65 (95% CI 2.42, 5.52)</w:t>
            </w:r>
          </w:p>
          <w:p w14:paraId="228C4EC3" w14:textId="77777777" w:rsidR="00956BFE" w:rsidRPr="004A4B7C" w:rsidRDefault="00956BFE" w:rsidP="004A4B7C">
            <w:pPr>
              <w:rPr>
                <w:rFonts w:asciiTheme="majorBidi" w:hAnsiTheme="majorBidi" w:cstheme="majorBidi"/>
                <w:sz w:val="20"/>
                <w:szCs w:val="20"/>
              </w:rPr>
            </w:pPr>
          </w:p>
          <w:p w14:paraId="7BB642E9" w14:textId="77777777" w:rsidR="00956BFE" w:rsidRPr="004A4B7C" w:rsidRDefault="00956BFE" w:rsidP="004A4B7C">
            <w:pPr>
              <w:rPr>
                <w:rFonts w:asciiTheme="majorBidi" w:hAnsiTheme="majorBidi" w:cstheme="majorBidi"/>
                <w:sz w:val="20"/>
                <w:szCs w:val="20"/>
              </w:rPr>
            </w:pPr>
          </w:p>
        </w:tc>
        <w:tc>
          <w:tcPr>
            <w:tcW w:w="1247" w:type="dxa"/>
          </w:tcPr>
          <w:p w14:paraId="1A31EE11" w14:textId="77777777" w:rsidR="00956BFE" w:rsidRPr="004A4B7C" w:rsidRDefault="00956BFE" w:rsidP="004A4B7C">
            <w:pPr>
              <w:rPr>
                <w:rFonts w:asciiTheme="majorBidi" w:hAnsiTheme="majorBidi" w:cstheme="majorBidi"/>
                <w:sz w:val="20"/>
                <w:szCs w:val="20"/>
              </w:rPr>
            </w:pPr>
            <w:r w:rsidRPr="004A4B7C">
              <w:rPr>
                <w:rFonts w:asciiTheme="majorBidi" w:hAnsiTheme="majorBidi" w:cstheme="majorBidi"/>
                <w:sz w:val="20"/>
                <w:szCs w:val="20"/>
              </w:rPr>
              <w:t>3.65 * mortality rate in AKI</w:t>
            </w:r>
          </w:p>
        </w:tc>
        <w:tc>
          <w:tcPr>
            <w:tcW w:w="1466" w:type="dxa"/>
          </w:tcPr>
          <w:p w14:paraId="0886BAC0" w14:textId="38A95ECD" w:rsidR="00956BFE" w:rsidRPr="004A4B7C" w:rsidRDefault="00774411" w:rsidP="004A4B7C">
            <w:pPr>
              <w:rPr>
                <w:rFonts w:asciiTheme="majorBidi" w:hAnsiTheme="majorBidi" w:cstheme="majorBidi"/>
                <w:sz w:val="20"/>
                <w:szCs w:val="20"/>
              </w:rPr>
            </w:pPr>
            <w:r>
              <w:rPr>
                <w:rFonts w:asciiTheme="majorBidi" w:hAnsiTheme="majorBidi" w:cstheme="majorBidi"/>
                <w:sz w:val="20"/>
                <w:szCs w:val="20"/>
              </w:rPr>
              <w:t>SE</w:t>
            </w:r>
            <w:r w:rsidR="00956BFE" w:rsidRPr="004A4B7C">
              <w:rPr>
                <w:rFonts w:asciiTheme="majorBidi" w:hAnsiTheme="majorBidi" w:cstheme="majorBidi"/>
                <w:sz w:val="20"/>
                <w:szCs w:val="20"/>
              </w:rPr>
              <w:t xml:space="preserve"> 0.783 for HR</w:t>
            </w:r>
          </w:p>
        </w:tc>
        <w:tc>
          <w:tcPr>
            <w:tcW w:w="1733" w:type="dxa"/>
          </w:tcPr>
          <w:p w14:paraId="73E24073" w14:textId="77777777" w:rsidR="00CF2F84" w:rsidRPr="004A4B7C" w:rsidRDefault="00CF2F84" w:rsidP="00CF2F84">
            <w:pPr>
              <w:rPr>
                <w:rFonts w:asciiTheme="majorBidi" w:hAnsiTheme="majorBidi" w:cstheme="majorBidi"/>
                <w:sz w:val="20"/>
                <w:szCs w:val="20"/>
              </w:rPr>
            </w:pPr>
            <w:proofErr w:type="spellStart"/>
            <w:r w:rsidRPr="004A4B7C">
              <w:rPr>
                <w:rFonts w:asciiTheme="majorBidi" w:hAnsiTheme="majorBidi" w:cstheme="majorBidi"/>
                <w:sz w:val="20"/>
                <w:szCs w:val="20"/>
              </w:rPr>
              <w:t>Bucaloiu</w:t>
            </w:r>
            <w:proofErr w:type="spellEnd"/>
            <w:r w:rsidRPr="004A4B7C">
              <w:rPr>
                <w:rFonts w:asciiTheme="majorBidi" w:hAnsiTheme="majorBidi" w:cstheme="majorBidi"/>
                <w:sz w:val="20"/>
                <w:szCs w:val="20"/>
              </w:rPr>
              <w:t xml:space="preserve"> 2012</w:t>
            </w:r>
            <w:r w:rsidRPr="004A4B7C">
              <w:rPr>
                <w:rFonts w:asciiTheme="majorBidi" w:hAnsiTheme="majorBidi" w:cstheme="majorBidi"/>
                <w:noProof/>
                <w:sz w:val="20"/>
                <w:szCs w:val="20"/>
                <w:vertAlign w:val="superscript"/>
              </w:rPr>
              <w:t>130</w:t>
            </w:r>
          </w:p>
          <w:p w14:paraId="33B7108C" w14:textId="77777777" w:rsidR="00956BFE" w:rsidRPr="004A4B7C" w:rsidRDefault="00956BFE" w:rsidP="004A4B7C">
            <w:pPr>
              <w:rPr>
                <w:rFonts w:asciiTheme="majorBidi" w:hAnsiTheme="majorBidi" w:cstheme="majorBidi"/>
                <w:sz w:val="20"/>
                <w:szCs w:val="20"/>
              </w:rPr>
            </w:pPr>
          </w:p>
        </w:tc>
      </w:tr>
    </w:tbl>
    <w:p w14:paraId="3AB82AF3" w14:textId="77777777" w:rsidR="00A4788F" w:rsidRDefault="00A4788F" w:rsidP="00A4788F"/>
    <w:p w14:paraId="5DCC3FB1" w14:textId="54DF1E06" w:rsidR="00DC3933" w:rsidRDefault="00774411" w:rsidP="00774411">
      <w:pPr>
        <w:pStyle w:val="EEPRUtextundertables"/>
        <w:sectPr w:rsidR="00DC3933" w:rsidSect="00DC3933">
          <w:pgSz w:w="16838" w:h="11906" w:orient="landscape"/>
          <w:pgMar w:top="1440" w:right="1440" w:bottom="1440" w:left="1440" w:header="709" w:footer="709" w:gutter="0"/>
          <w:cols w:space="708"/>
          <w:docGrid w:linePitch="360"/>
        </w:sectPr>
      </w:pPr>
      <w:r>
        <w:t>AKI, acute kidney injury; CKD, chronic kidney disease; HR, hazard ratio; SE, standard error</w:t>
      </w:r>
    </w:p>
    <w:p w14:paraId="4654806C" w14:textId="1F4D22D6" w:rsidR="00A4788F" w:rsidRPr="00042419" w:rsidRDefault="00C67B00" w:rsidP="00794B4E">
      <w:pPr>
        <w:pStyle w:val="EEPRUnumberedlevel4"/>
        <w:ind w:left="2127"/>
      </w:pPr>
      <w:r>
        <w:lastRenderedPageBreak/>
        <w:tab/>
      </w:r>
      <w:r>
        <w:tab/>
      </w:r>
      <w:bookmarkStart w:id="428" w:name="_Toc87463044"/>
      <w:proofErr w:type="gramStart"/>
      <w:r w:rsidR="00F1720A">
        <w:t>7.2.3.</w:t>
      </w:r>
      <w:r w:rsidR="00EC4036">
        <w:t>7</w:t>
      </w:r>
      <w:r>
        <w:t xml:space="preserve">  </w:t>
      </w:r>
      <w:r w:rsidR="00EC4036">
        <w:tab/>
      </w:r>
      <w:proofErr w:type="gramEnd"/>
      <w:r w:rsidR="00A4788F" w:rsidRPr="00042419">
        <w:t>Health-related quality of life</w:t>
      </w:r>
      <w:bookmarkEnd w:id="428"/>
      <w:r w:rsidR="00A4788F" w:rsidRPr="00042419">
        <w:t xml:space="preserve"> </w:t>
      </w:r>
    </w:p>
    <w:p w14:paraId="4D43E3F2" w14:textId="2AE728CC" w:rsidR="00B4019B" w:rsidRDefault="00A4788F" w:rsidP="00A4788F">
      <w:pPr>
        <w:spacing w:after="0" w:line="360" w:lineRule="auto"/>
        <w:jc w:val="both"/>
        <w:rPr>
          <w:rFonts w:asciiTheme="majorBidi" w:hAnsiTheme="majorBidi" w:cstheme="majorBidi"/>
        </w:rPr>
      </w:pPr>
      <w:r w:rsidRPr="00042419">
        <w:rPr>
          <w:rFonts w:asciiTheme="majorBidi" w:hAnsiTheme="majorBidi" w:cstheme="majorBidi"/>
        </w:rPr>
        <w:t xml:space="preserve">We do not model the </w:t>
      </w:r>
      <w:proofErr w:type="spellStart"/>
      <w:r w:rsidRPr="00042419">
        <w:rPr>
          <w:rFonts w:asciiTheme="majorBidi" w:hAnsiTheme="majorBidi" w:cstheme="majorBidi"/>
        </w:rPr>
        <w:t>HRQoL</w:t>
      </w:r>
      <w:proofErr w:type="spellEnd"/>
      <w:r w:rsidRPr="00042419">
        <w:rPr>
          <w:rFonts w:asciiTheme="majorBidi" w:hAnsiTheme="majorBidi" w:cstheme="majorBidi"/>
        </w:rPr>
        <w:t xml:space="preserve"> implications of the infection as these are expected to be short-lived and, therefore, are not expected to impact substantively on the model results. However, to quality-adjust the life expectancy estimates accurately, we did consider it important to reflect the underlying comorbidities of the patients within the HVCS. We did not identify any relevant utility data from existing models, most of which assumed that post-infection patients would return to the </w:t>
      </w:r>
      <w:proofErr w:type="spellStart"/>
      <w:r w:rsidRPr="00042419">
        <w:rPr>
          <w:rFonts w:asciiTheme="majorBidi" w:hAnsiTheme="majorBidi" w:cstheme="majorBidi"/>
        </w:rPr>
        <w:t>HRQoL</w:t>
      </w:r>
      <w:proofErr w:type="spellEnd"/>
      <w:r w:rsidRPr="00042419">
        <w:rPr>
          <w:rFonts w:asciiTheme="majorBidi" w:hAnsiTheme="majorBidi" w:cstheme="majorBidi"/>
        </w:rPr>
        <w:t xml:space="preserve"> of the general population. Therefore, we conducted a review of utility studies that provide evidence according to the </w:t>
      </w:r>
      <w:proofErr w:type="spellStart"/>
      <w:r w:rsidRPr="00042419">
        <w:rPr>
          <w:rFonts w:asciiTheme="majorBidi" w:hAnsiTheme="majorBidi" w:cstheme="majorBidi"/>
        </w:rPr>
        <w:t>Charlson</w:t>
      </w:r>
      <w:proofErr w:type="spellEnd"/>
      <w:r w:rsidRPr="00042419">
        <w:rPr>
          <w:rFonts w:asciiTheme="majorBidi" w:hAnsiTheme="majorBidi" w:cstheme="majorBidi"/>
        </w:rPr>
        <w:t xml:space="preserve"> Comorbidity Index (CCI). The CCI is a summary score of </w:t>
      </w:r>
      <w:proofErr w:type="gramStart"/>
      <w:r w:rsidRPr="00042419">
        <w:rPr>
          <w:rFonts w:asciiTheme="majorBidi" w:hAnsiTheme="majorBidi" w:cstheme="majorBidi"/>
        </w:rPr>
        <w:t>comorbidity</w:t>
      </w:r>
      <w:proofErr w:type="gramEnd"/>
      <w:r w:rsidRPr="00042419">
        <w:rPr>
          <w:rFonts w:asciiTheme="majorBidi" w:hAnsiTheme="majorBidi" w:cstheme="majorBidi"/>
        </w:rPr>
        <w:t xml:space="preserve"> based on 17 included comorbidities. The comorbidities considered in the CCI have been selected and then weighted based on their ability to predict 1-year mortality among hospitalised patients. Importantly, the CCI is reported within the CARBAR study for patients with infections caused by carbapenem resistant organisms, allowing utility values presented by CCI score to be re-weighted to reflect the CCI scores in a population </w:t>
      </w:r>
      <w:proofErr w:type="gramStart"/>
      <w:r w:rsidRPr="00042419">
        <w:rPr>
          <w:rFonts w:asciiTheme="majorBidi" w:hAnsiTheme="majorBidi" w:cstheme="majorBidi"/>
        </w:rPr>
        <w:t>similar to</w:t>
      </w:r>
      <w:proofErr w:type="gramEnd"/>
      <w:r w:rsidRPr="00042419">
        <w:rPr>
          <w:rFonts w:asciiTheme="majorBidi" w:hAnsiTheme="majorBidi" w:cstheme="majorBidi"/>
        </w:rPr>
        <w:t xml:space="preserve"> that included in our HVCS</w:t>
      </w:r>
      <w:r w:rsidR="00B4019B">
        <w:rPr>
          <w:rFonts w:asciiTheme="majorBidi" w:hAnsiTheme="majorBidi" w:cstheme="majorBidi"/>
        </w:rPr>
        <w:t>s</w:t>
      </w:r>
      <w:r w:rsidRPr="00042419">
        <w:rPr>
          <w:rFonts w:asciiTheme="majorBidi" w:hAnsiTheme="majorBidi" w:cstheme="majorBidi"/>
        </w:rPr>
        <w:t xml:space="preserve">. The methods for this review are described </w:t>
      </w:r>
      <w:r w:rsidRPr="00A80C2B">
        <w:rPr>
          <w:rFonts w:asciiTheme="majorBidi" w:hAnsiTheme="majorBidi" w:cstheme="majorBidi"/>
          <w:color w:val="000000" w:themeColor="text1"/>
        </w:rPr>
        <w:t xml:space="preserve">in Appendix </w:t>
      </w:r>
      <w:r w:rsidR="00A80C2B" w:rsidRPr="00A80C2B">
        <w:rPr>
          <w:rFonts w:asciiTheme="majorBidi" w:hAnsiTheme="majorBidi" w:cstheme="majorBidi"/>
          <w:color w:val="000000" w:themeColor="text1"/>
        </w:rPr>
        <w:t>12</w:t>
      </w:r>
      <w:r w:rsidRPr="00A80C2B">
        <w:rPr>
          <w:rFonts w:asciiTheme="majorBidi" w:hAnsiTheme="majorBidi" w:cstheme="majorBidi"/>
          <w:color w:val="000000" w:themeColor="text1"/>
        </w:rPr>
        <w:t xml:space="preserve">. </w:t>
      </w:r>
      <w:r w:rsidR="00B4019B" w:rsidRPr="00A80C2B">
        <w:rPr>
          <w:rFonts w:asciiTheme="majorBidi" w:hAnsiTheme="majorBidi" w:cstheme="majorBidi"/>
          <w:color w:val="000000" w:themeColor="text1"/>
        </w:rPr>
        <w:t xml:space="preserve"> </w:t>
      </w:r>
      <w:r w:rsidRPr="00042419">
        <w:rPr>
          <w:rFonts w:asciiTheme="majorBidi" w:hAnsiTheme="majorBidi" w:cstheme="majorBidi"/>
        </w:rPr>
        <w:t>This identified two studies reporting utilities by CCI in the general population. Both studies were based on large national surveys in France and Germany and estimated the SF-6D based on the SF-36 and SF-12</w:t>
      </w:r>
      <w:r w:rsidR="00B4019B">
        <w:rPr>
          <w:rFonts w:asciiTheme="majorBidi" w:hAnsiTheme="majorBidi" w:cstheme="majorBidi"/>
        </w:rPr>
        <w:t>,</w:t>
      </w:r>
      <w:r w:rsidRPr="00042419">
        <w:rPr>
          <w:rFonts w:asciiTheme="majorBidi" w:hAnsiTheme="majorBidi" w:cstheme="majorBidi"/>
        </w:rPr>
        <w:t xml:space="preserve"> respectively.</w:t>
      </w:r>
      <w:r w:rsidR="004B4D1C" w:rsidRPr="004B4D1C">
        <w:rPr>
          <w:rFonts w:asciiTheme="majorBidi" w:hAnsiTheme="majorBidi" w:cstheme="majorBidi"/>
          <w:noProof/>
          <w:vertAlign w:val="superscript"/>
        </w:rPr>
        <w:t>131,132</w:t>
      </w:r>
      <w:r w:rsidRPr="00042419">
        <w:rPr>
          <w:rFonts w:asciiTheme="majorBidi" w:hAnsiTheme="majorBidi" w:cstheme="majorBidi"/>
        </w:rPr>
        <w:t xml:space="preserve"> The French study was chosen in preference to the German study as the latter controlled for </w:t>
      </w:r>
      <w:r w:rsidR="00B4019B" w:rsidRPr="00042419">
        <w:rPr>
          <w:rFonts w:asciiTheme="majorBidi" w:hAnsiTheme="majorBidi" w:cstheme="majorBidi"/>
        </w:rPr>
        <w:t>several</w:t>
      </w:r>
      <w:r w:rsidRPr="00042419">
        <w:rPr>
          <w:rFonts w:asciiTheme="majorBidi" w:hAnsiTheme="majorBidi" w:cstheme="majorBidi"/>
        </w:rPr>
        <w:t xml:space="preserve"> variables likely to be associated with CCI (pain level, socio-demographic </w:t>
      </w:r>
      <w:proofErr w:type="gramStart"/>
      <w:r w:rsidRPr="00042419">
        <w:rPr>
          <w:rFonts w:asciiTheme="majorBidi" w:hAnsiTheme="majorBidi" w:cstheme="majorBidi"/>
        </w:rPr>
        <w:t>variables</w:t>
      </w:r>
      <w:proofErr w:type="gramEnd"/>
      <w:r w:rsidRPr="00042419">
        <w:rPr>
          <w:rFonts w:asciiTheme="majorBidi" w:hAnsiTheme="majorBidi" w:cstheme="majorBidi"/>
        </w:rPr>
        <w:t xml:space="preserve"> and health behaviours). </w:t>
      </w:r>
    </w:p>
    <w:p w14:paraId="6AB812DB" w14:textId="77777777" w:rsidR="00B4019B" w:rsidRDefault="00B4019B" w:rsidP="00A4788F">
      <w:pPr>
        <w:spacing w:after="0" w:line="360" w:lineRule="auto"/>
        <w:jc w:val="both"/>
        <w:rPr>
          <w:rFonts w:asciiTheme="majorBidi" w:hAnsiTheme="majorBidi" w:cstheme="majorBidi"/>
        </w:rPr>
      </w:pPr>
    </w:p>
    <w:p w14:paraId="32CF8866" w14:textId="2979175D" w:rsidR="00A4788F" w:rsidRDefault="00B4019B" w:rsidP="00A83123">
      <w:pPr>
        <w:spacing w:after="0" w:line="360" w:lineRule="auto"/>
        <w:jc w:val="both"/>
        <w:rPr>
          <w:rFonts w:asciiTheme="majorBidi" w:hAnsiTheme="majorBidi" w:cstheme="majorBidi"/>
        </w:rPr>
      </w:pPr>
      <w:proofErr w:type="spellStart"/>
      <w:r>
        <w:rPr>
          <w:rFonts w:asciiTheme="majorBidi" w:hAnsiTheme="majorBidi" w:cstheme="majorBidi"/>
        </w:rPr>
        <w:t>HRQoL</w:t>
      </w:r>
      <w:proofErr w:type="spellEnd"/>
      <w:r w:rsidR="00A4788F" w:rsidRPr="00042419">
        <w:rPr>
          <w:rFonts w:asciiTheme="majorBidi" w:hAnsiTheme="majorBidi" w:cstheme="majorBidi"/>
        </w:rPr>
        <w:t xml:space="preserve"> values by CCI score are reported in </w:t>
      </w:r>
      <w:r w:rsidRPr="00B4019B">
        <w:rPr>
          <w:rFonts w:asciiTheme="majorBidi" w:hAnsiTheme="majorBidi" w:cstheme="majorBidi"/>
        </w:rPr>
        <w:t>Table 29</w:t>
      </w:r>
      <w:r w:rsidR="00A4788F" w:rsidRPr="00042419">
        <w:rPr>
          <w:rFonts w:asciiTheme="majorBidi" w:hAnsiTheme="majorBidi" w:cstheme="majorBidi"/>
        </w:rPr>
        <w:t xml:space="preserve">. These are weighted by the distribution of CCI scores observed in CARBAR, also shown in </w:t>
      </w:r>
      <w:r w:rsidRPr="00B4019B">
        <w:rPr>
          <w:rFonts w:asciiTheme="majorBidi" w:hAnsiTheme="majorBidi" w:cstheme="majorBidi"/>
        </w:rPr>
        <w:t xml:space="preserve">Table </w:t>
      </w:r>
      <w:r w:rsidRPr="00B4019B">
        <w:rPr>
          <w:rFonts w:asciiTheme="majorBidi" w:hAnsiTheme="majorBidi" w:cstheme="majorBidi"/>
          <w:noProof/>
        </w:rPr>
        <w:t>29</w:t>
      </w:r>
      <w:r w:rsidR="00A4788F" w:rsidRPr="00042419">
        <w:rPr>
          <w:rFonts w:asciiTheme="majorBidi" w:hAnsiTheme="majorBidi" w:cstheme="majorBidi"/>
        </w:rPr>
        <w:t xml:space="preserve">. This produced an overall weighted utility score of 0.66 for the CARBAR population based on their comorbidities, this is intended to reflect their long-term </w:t>
      </w:r>
      <w:proofErr w:type="spellStart"/>
      <w:r>
        <w:rPr>
          <w:rFonts w:asciiTheme="majorBidi" w:hAnsiTheme="majorBidi" w:cstheme="majorBidi"/>
        </w:rPr>
        <w:t>HRQoL</w:t>
      </w:r>
      <w:proofErr w:type="spellEnd"/>
      <w:r w:rsidR="00A4788F" w:rsidRPr="00042419">
        <w:rPr>
          <w:rFonts w:asciiTheme="majorBidi" w:hAnsiTheme="majorBidi" w:cstheme="majorBidi"/>
        </w:rPr>
        <w:t xml:space="preserve"> rather than the immediate impact of infection. This was used to compute a multiplicative reduction in </w:t>
      </w:r>
      <w:proofErr w:type="spellStart"/>
      <w:r w:rsidR="00A4788F" w:rsidRPr="00042419">
        <w:rPr>
          <w:rFonts w:asciiTheme="majorBidi" w:hAnsiTheme="majorBidi" w:cstheme="majorBidi"/>
        </w:rPr>
        <w:t>HRQoL</w:t>
      </w:r>
      <w:proofErr w:type="spellEnd"/>
      <w:r w:rsidR="00A4788F" w:rsidRPr="00042419">
        <w:rPr>
          <w:rFonts w:asciiTheme="majorBidi" w:hAnsiTheme="majorBidi" w:cstheme="majorBidi"/>
        </w:rPr>
        <w:t xml:space="preserve"> associated with comorbidities by comparing the CARBAR population to the general population (assumed to have a CCI score of 0). This resulted in a utility-multiplier of 0.66/0.73 = 0.90. This was applied to the age and gender-specific EQ-5D </w:t>
      </w:r>
      <w:proofErr w:type="spellStart"/>
      <w:r w:rsidR="00A4788F" w:rsidRPr="00042419">
        <w:rPr>
          <w:rFonts w:asciiTheme="majorBidi" w:hAnsiTheme="majorBidi" w:cstheme="majorBidi"/>
        </w:rPr>
        <w:t>HRQoL</w:t>
      </w:r>
      <w:proofErr w:type="spellEnd"/>
      <w:r w:rsidR="00A4788F" w:rsidRPr="00042419">
        <w:rPr>
          <w:rFonts w:asciiTheme="majorBidi" w:hAnsiTheme="majorBidi" w:cstheme="majorBidi"/>
        </w:rPr>
        <w:t xml:space="preserve"> </w:t>
      </w:r>
      <w:r>
        <w:rPr>
          <w:rFonts w:asciiTheme="majorBidi" w:hAnsiTheme="majorBidi" w:cstheme="majorBidi"/>
        </w:rPr>
        <w:t>weights</w:t>
      </w:r>
      <w:r w:rsidR="00A4788F" w:rsidRPr="00042419">
        <w:rPr>
          <w:rFonts w:asciiTheme="majorBidi" w:hAnsiTheme="majorBidi" w:cstheme="majorBidi"/>
        </w:rPr>
        <w:t xml:space="preserve"> of the general UK population. The latter were derived from a regression model estimated by Ara et al 2010</w:t>
      </w:r>
      <w:r w:rsidR="004B4D1C" w:rsidRPr="004B4D1C">
        <w:rPr>
          <w:rFonts w:asciiTheme="majorBidi" w:hAnsiTheme="majorBidi" w:cstheme="majorBidi"/>
          <w:noProof/>
          <w:vertAlign w:val="superscript"/>
        </w:rPr>
        <w:t>133</w:t>
      </w:r>
      <w:r w:rsidR="00A4788F" w:rsidRPr="00042419">
        <w:rPr>
          <w:rFonts w:asciiTheme="majorBidi" w:hAnsiTheme="majorBidi" w:cstheme="majorBidi"/>
        </w:rPr>
        <w:t xml:space="preserve"> using Health Survey for England (HSE) survey data for the years 2003 and 2006 (n = 26,679). This produced a baseline utility value of 0.73 for all patients. </w:t>
      </w:r>
    </w:p>
    <w:p w14:paraId="3394CFC7" w14:textId="77777777" w:rsidR="00EE4C38" w:rsidRPr="00042419" w:rsidRDefault="00EE4C38" w:rsidP="00A4788F">
      <w:pPr>
        <w:spacing w:after="0" w:line="360" w:lineRule="auto"/>
        <w:jc w:val="both"/>
        <w:rPr>
          <w:rFonts w:asciiTheme="majorBidi" w:hAnsiTheme="majorBidi" w:cstheme="majorBidi"/>
        </w:rPr>
      </w:pPr>
    </w:p>
    <w:p w14:paraId="4DB4BEFE" w14:textId="77777777" w:rsidR="00C67B00" w:rsidRDefault="00C67B00" w:rsidP="009E265F">
      <w:pPr>
        <w:pStyle w:val="table"/>
      </w:pPr>
      <w:bookmarkStart w:id="429" w:name="_Ref83561921"/>
      <w:bookmarkStart w:id="430" w:name="_Toc83589984"/>
    </w:p>
    <w:p w14:paraId="406FDAB9" w14:textId="77777777" w:rsidR="00C67B00" w:rsidRDefault="00C67B00" w:rsidP="009E265F">
      <w:pPr>
        <w:pStyle w:val="table"/>
      </w:pPr>
    </w:p>
    <w:p w14:paraId="52C9535B" w14:textId="77777777" w:rsidR="00C67B00" w:rsidRDefault="00C67B00" w:rsidP="009E265F">
      <w:pPr>
        <w:pStyle w:val="table"/>
      </w:pPr>
    </w:p>
    <w:p w14:paraId="718F8039" w14:textId="77777777" w:rsidR="00C67B00" w:rsidRDefault="00C67B00" w:rsidP="009E265F">
      <w:pPr>
        <w:pStyle w:val="table"/>
      </w:pPr>
    </w:p>
    <w:p w14:paraId="3F991F2B" w14:textId="77777777" w:rsidR="00C67B00" w:rsidRDefault="00C67B00" w:rsidP="009E265F">
      <w:pPr>
        <w:pStyle w:val="table"/>
      </w:pPr>
    </w:p>
    <w:p w14:paraId="694E02D3" w14:textId="77777777" w:rsidR="00C67B00" w:rsidRDefault="00C67B00" w:rsidP="009E265F">
      <w:pPr>
        <w:pStyle w:val="table"/>
      </w:pPr>
    </w:p>
    <w:p w14:paraId="58F05083" w14:textId="77777777" w:rsidR="00C67B00" w:rsidRDefault="00C67B00" w:rsidP="009E265F">
      <w:pPr>
        <w:pStyle w:val="table"/>
      </w:pPr>
    </w:p>
    <w:p w14:paraId="36AD7AC7" w14:textId="50F346FE" w:rsidR="00A4788F" w:rsidRDefault="00A4788F" w:rsidP="009E265F">
      <w:pPr>
        <w:pStyle w:val="table"/>
      </w:pPr>
      <w:bookmarkStart w:id="431" w:name="_Toc86419006"/>
      <w:r>
        <w:t xml:space="preserve">Table </w:t>
      </w:r>
      <w:r w:rsidR="00F10F0A">
        <w:rPr>
          <w:noProof/>
        </w:rPr>
        <w:t>29</w:t>
      </w:r>
      <w:bookmarkEnd w:id="429"/>
      <w:r>
        <w:t xml:space="preserve"> CCI-related </w:t>
      </w:r>
      <w:bookmarkEnd w:id="430"/>
      <w:proofErr w:type="spellStart"/>
      <w:r w:rsidR="00B4019B">
        <w:t>HRQoL</w:t>
      </w:r>
      <w:proofErr w:type="spellEnd"/>
      <w:r w:rsidR="00B4019B">
        <w:t xml:space="preserve"> weights</w:t>
      </w:r>
      <w:bookmarkEnd w:id="431"/>
    </w:p>
    <w:tbl>
      <w:tblPr>
        <w:tblStyle w:val="TableGrid1"/>
        <w:tblW w:w="5521" w:type="dxa"/>
        <w:tblInd w:w="3" w:type="dxa"/>
        <w:tblLook w:val="04A0" w:firstRow="1" w:lastRow="0" w:firstColumn="1" w:lastColumn="0" w:noHBand="0" w:noVBand="1"/>
      </w:tblPr>
      <w:tblGrid>
        <w:gridCol w:w="1199"/>
        <w:gridCol w:w="1677"/>
        <w:gridCol w:w="2645"/>
      </w:tblGrid>
      <w:tr w:rsidR="00A4788F" w:rsidRPr="004A4B7C" w14:paraId="612E5AAD" w14:textId="77777777" w:rsidTr="00794B4E">
        <w:trPr>
          <w:trHeight w:val="315"/>
        </w:trPr>
        <w:tc>
          <w:tcPr>
            <w:tcW w:w="1199" w:type="dxa"/>
          </w:tcPr>
          <w:p w14:paraId="542249E3"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CCI-score</w:t>
            </w:r>
          </w:p>
        </w:tc>
        <w:tc>
          <w:tcPr>
            <w:tcW w:w="1677" w:type="dxa"/>
          </w:tcPr>
          <w:p w14:paraId="42797570"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SF-6D score</w:t>
            </w:r>
          </w:p>
          <w:p w14:paraId="489B19B6" w14:textId="64FA1CCF" w:rsidR="00A4788F" w:rsidRPr="004A4B7C" w:rsidRDefault="00A4788F" w:rsidP="00C83FB7">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w:t>
            </w:r>
            <w:proofErr w:type="spellStart"/>
            <w:r w:rsidRPr="004A4B7C">
              <w:rPr>
                <w:rFonts w:ascii="Times New Roman" w:hAnsi="Times New Roman"/>
                <w:b w:val="0"/>
                <w:sz w:val="20"/>
                <w:szCs w:val="20"/>
              </w:rPr>
              <w:t>Hadjiat</w:t>
            </w:r>
            <w:proofErr w:type="spellEnd"/>
            <w:r w:rsidRPr="004A4B7C">
              <w:rPr>
                <w:rFonts w:ascii="Times New Roman" w:hAnsi="Times New Roman"/>
                <w:b w:val="0"/>
                <w:sz w:val="20"/>
                <w:szCs w:val="20"/>
              </w:rPr>
              <w:t xml:space="preserve"> 2018)</w:t>
            </w:r>
            <w:r w:rsidR="004B4D1C" w:rsidRPr="004B4D1C">
              <w:rPr>
                <w:rFonts w:ascii="Times New Roman" w:hAnsi="Times New Roman"/>
                <w:b w:val="0"/>
                <w:noProof/>
                <w:sz w:val="20"/>
                <w:szCs w:val="20"/>
                <w:vertAlign w:val="superscript"/>
              </w:rPr>
              <w:t>131</w:t>
            </w:r>
          </w:p>
        </w:tc>
        <w:tc>
          <w:tcPr>
            <w:tcW w:w="2645" w:type="dxa"/>
          </w:tcPr>
          <w:p w14:paraId="013634A9"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Proportion of people within each CCI score</w:t>
            </w:r>
          </w:p>
          <w:p w14:paraId="178EED32" w14:textId="56CB5161" w:rsidR="00A4788F" w:rsidRPr="004A4B7C" w:rsidRDefault="00A4788F" w:rsidP="00C83FB7">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(CARBAR)</w:t>
            </w:r>
            <w:r w:rsidR="00A83123" w:rsidRPr="004A4B7C">
              <w:rPr>
                <w:b w:val="0"/>
                <w:noProof/>
                <w:sz w:val="20"/>
                <w:szCs w:val="20"/>
                <w:vertAlign w:val="superscript"/>
              </w:rPr>
              <w:t>96</w:t>
            </w:r>
          </w:p>
        </w:tc>
      </w:tr>
      <w:tr w:rsidR="00A4788F" w:rsidRPr="004A4B7C" w14:paraId="2B3A25BC" w14:textId="77777777" w:rsidTr="00794B4E">
        <w:trPr>
          <w:trHeight w:val="315"/>
        </w:trPr>
        <w:tc>
          <w:tcPr>
            <w:tcW w:w="1199" w:type="dxa"/>
            <w:hideMark/>
          </w:tcPr>
          <w:p w14:paraId="4A597713"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CCI 0</w:t>
            </w:r>
          </w:p>
        </w:tc>
        <w:tc>
          <w:tcPr>
            <w:tcW w:w="1677" w:type="dxa"/>
            <w:hideMark/>
          </w:tcPr>
          <w:p w14:paraId="6539FC5A"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0.729</w:t>
            </w:r>
          </w:p>
        </w:tc>
        <w:tc>
          <w:tcPr>
            <w:tcW w:w="2645" w:type="dxa"/>
            <w:vAlign w:val="bottom"/>
          </w:tcPr>
          <w:p w14:paraId="7C92EA79"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20%</w:t>
            </w:r>
          </w:p>
        </w:tc>
      </w:tr>
      <w:tr w:rsidR="00A4788F" w:rsidRPr="004A4B7C" w14:paraId="4C2FBDA9" w14:textId="77777777" w:rsidTr="00794B4E">
        <w:trPr>
          <w:trHeight w:val="315"/>
        </w:trPr>
        <w:tc>
          <w:tcPr>
            <w:tcW w:w="1199" w:type="dxa"/>
            <w:hideMark/>
          </w:tcPr>
          <w:p w14:paraId="70C667D9"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CCI 1-2</w:t>
            </w:r>
          </w:p>
        </w:tc>
        <w:tc>
          <w:tcPr>
            <w:tcW w:w="1677" w:type="dxa"/>
            <w:hideMark/>
          </w:tcPr>
          <w:p w14:paraId="068AE5C6"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0.667</w:t>
            </w:r>
          </w:p>
        </w:tc>
        <w:tc>
          <w:tcPr>
            <w:tcW w:w="2645" w:type="dxa"/>
            <w:vAlign w:val="bottom"/>
          </w:tcPr>
          <w:p w14:paraId="199D8CD0"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31%</w:t>
            </w:r>
          </w:p>
        </w:tc>
      </w:tr>
      <w:tr w:rsidR="00A4788F" w:rsidRPr="004A4B7C" w14:paraId="45CA79C7" w14:textId="77777777" w:rsidTr="00794B4E">
        <w:trPr>
          <w:trHeight w:val="315"/>
        </w:trPr>
        <w:tc>
          <w:tcPr>
            <w:tcW w:w="1199" w:type="dxa"/>
            <w:hideMark/>
          </w:tcPr>
          <w:p w14:paraId="5E8BDBC7"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CCI 3-4</w:t>
            </w:r>
          </w:p>
        </w:tc>
        <w:tc>
          <w:tcPr>
            <w:tcW w:w="1677" w:type="dxa"/>
            <w:hideMark/>
          </w:tcPr>
          <w:p w14:paraId="367B43E6"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0.621</w:t>
            </w:r>
          </w:p>
        </w:tc>
        <w:tc>
          <w:tcPr>
            <w:tcW w:w="2645" w:type="dxa"/>
            <w:vAlign w:val="bottom"/>
          </w:tcPr>
          <w:p w14:paraId="31E8A9E5"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21%</w:t>
            </w:r>
          </w:p>
        </w:tc>
      </w:tr>
      <w:tr w:rsidR="00A4788F" w:rsidRPr="004A4B7C" w14:paraId="2F0D40A4" w14:textId="77777777" w:rsidTr="00794B4E">
        <w:trPr>
          <w:trHeight w:val="315"/>
        </w:trPr>
        <w:tc>
          <w:tcPr>
            <w:tcW w:w="1199" w:type="dxa"/>
            <w:hideMark/>
          </w:tcPr>
          <w:p w14:paraId="03AE9AFE" w14:textId="77777777" w:rsidR="00A4788F" w:rsidRPr="004A4B7C" w:rsidRDefault="00A4788F" w:rsidP="004A4B7C">
            <w:pPr>
              <w:pStyle w:val="EEPRUNumberedHeading"/>
              <w:numPr>
                <w:ilvl w:val="0"/>
                <w:numId w:val="0"/>
              </w:numPr>
              <w:spacing w:before="0"/>
              <w:rPr>
                <w:rFonts w:ascii="Times New Roman" w:hAnsi="Times New Roman"/>
                <w:b w:val="0"/>
                <w:sz w:val="20"/>
                <w:szCs w:val="20"/>
              </w:rPr>
            </w:pPr>
            <w:r w:rsidRPr="004A4B7C">
              <w:rPr>
                <w:rFonts w:ascii="Times New Roman" w:hAnsi="Times New Roman"/>
                <w:b w:val="0"/>
                <w:sz w:val="20"/>
                <w:szCs w:val="20"/>
              </w:rPr>
              <w:t>CCI 5+</w:t>
            </w:r>
          </w:p>
        </w:tc>
        <w:tc>
          <w:tcPr>
            <w:tcW w:w="1677" w:type="dxa"/>
            <w:hideMark/>
          </w:tcPr>
          <w:p w14:paraId="5C7CB1A0"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0.615</w:t>
            </w:r>
          </w:p>
        </w:tc>
        <w:tc>
          <w:tcPr>
            <w:tcW w:w="2645" w:type="dxa"/>
            <w:vAlign w:val="bottom"/>
          </w:tcPr>
          <w:p w14:paraId="36B73F89" w14:textId="77777777" w:rsidR="00A4788F" w:rsidRPr="004A4B7C" w:rsidRDefault="00A4788F" w:rsidP="004A4B7C">
            <w:pPr>
              <w:pStyle w:val="EEPRUNumberedHeading"/>
              <w:numPr>
                <w:ilvl w:val="0"/>
                <w:numId w:val="0"/>
              </w:numPr>
              <w:spacing w:before="0"/>
              <w:jc w:val="right"/>
              <w:rPr>
                <w:rFonts w:ascii="Times New Roman" w:hAnsi="Times New Roman"/>
                <w:b w:val="0"/>
                <w:sz w:val="20"/>
                <w:szCs w:val="20"/>
              </w:rPr>
            </w:pPr>
            <w:r w:rsidRPr="004A4B7C">
              <w:rPr>
                <w:rFonts w:ascii="Times New Roman" w:hAnsi="Times New Roman"/>
                <w:b w:val="0"/>
                <w:sz w:val="20"/>
                <w:szCs w:val="20"/>
              </w:rPr>
              <w:t>28%</w:t>
            </w:r>
          </w:p>
        </w:tc>
      </w:tr>
    </w:tbl>
    <w:p w14:paraId="6676180D" w14:textId="77777777" w:rsidR="00774411" w:rsidRDefault="00774411" w:rsidP="00774411">
      <w:pPr>
        <w:pStyle w:val="EEPRUtextundertables"/>
      </w:pPr>
      <w:r w:rsidRPr="0063696B">
        <w:t xml:space="preserve">CCI, </w:t>
      </w:r>
      <w:proofErr w:type="spellStart"/>
      <w:r w:rsidRPr="0063696B">
        <w:t>Charlson</w:t>
      </w:r>
      <w:proofErr w:type="spellEnd"/>
      <w:r w:rsidRPr="0063696B">
        <w:t xml:space="preserve"> Comorbidity Index</w:t>
      </w:r>
    </w:p>
    <w:p w14:paraId="2A758D33" w14:textId="77777777" w:rsidR="00A4788F" w:rsidRDefault="00A4788F" w:rsidP="00A4788F"/>
    <w:p w14:paraId="7AB6AB26" w14:textId="03FFF43D"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t xml:space="preserve">Patients who have recovered their renal function post AKI are not expected to experience further </w:t>
      </w:r>
      <w:r w:rsidR="00B4019B">
        <w:rPr>
          <w:rFonts w:asciiTheme="majorBidi" w:hAnsiTheme="majorBidi" w:cstheme="majorBidi"/>
        </w:rPr>
        <w:t xml:space="preserve">reductions in </w:t>
      </w:r>
      <w:proofErr w:type="spellStart"/>
      <w:r w:rsidR="00B4019B">
        <w:rPr>
          <w:rFonts w:asciiTheme="majorBidi" w:hAnsiTheme="majorBidi" w:cstheme="majorBidi"/>
        </w:rPr>
        <w:t>HRQoL</w:t>
      </w:r>
      <w:proofErr w:type="spellEnd"/>
      <w:r w:rsidR="00B4019B">
        <w:rPr>
          <w:rFonts w:asciiTheme="majorBidi" w:hAnsiTheme="majorBidi" w:cstheme="majorBidi"/>
        </w:rPr>
        <w:t xml:space="preserve"> (</w:t>
      </w:r>
      <w:r w:rsidRPr="00042419">
        <w:rPr>
          <w:rFonts w:asciiTheme="majorBidi" w:hAnsiTheme="majorBidi" w:cstheme="majorBidi"/>
        </w:rPr>
        <w:t>disutility</w:t>
      </w:r>
      <w:r w:rsidR="00B4019B">
        <w:rPr>
          <w:rFonts w:asciiTheme="majorBidi" w:hAnsiTheme="majorBidi" w:cstheme="majorBidi"/>
        </w:rPr>
        <w:t>)</w:t>
      </w:r>
      <w:r w:rsidRPr="00042419">
        <w:rPr>
          <w:rFonts w:asciiTheme="majorBidi" w:hAnsiTheme="majorBidi" w:cstheme="majorBidi"/>
        </w:rPr>
        <w:t xml:space="preserve"> unless they develop CKD. The </w:t>
      </w:r>
      <w:proofErr w:type="spellStart"/>
      <w:r w:rsidRPr="00042419">
        <w:rPr>
          <w:rFonts w:asciiTheme="majorBidi" w:hAnsiTheme="majorBidi" w:cstheme="majorBidi"/>
        </w:rPr>
        <w:t>HRQoL</w:t>
      </w:r>
      <w:proofErr w:type="spellEnd"/>
      <w:r w:rsidRPr="00042419">
        <w:rPr>
          <w:rFonts w:asciiTheme="majorBidi" w:hAnsiTheme="majorBidi" w:cstheme="majorBidi"/>
        </w:rPr>
        <w:t xml:space="preserve"> decrement applied to the CKD patients is computed using pooled estimates from a systematic review and meta-analysis by </w:t>
      </w:r>
      <w:proofErr w:type="spellStart"/>
      <w:r w:rsidRPr="00042419">
        <w:rPr>
          <w:rFonts w:asciiTheme="majorBidi" w:hAnsiTheme="majorBidi" w:cstheme="majorBidi"/>
        </w:rPr>
        <w:t>Wyld</w:t>
      </w:r>
      <w:proofErr w:type="spellEnd"/>
      <w:r w:rsidRPr="00042419">
        <w:rPr>
          <w:rFonts w:asciiTheme="majorBidi" w:hAnsiTheme="majorBidi" w:cstheme="majorBidi"/>
        </w:rPr>
        <w:t xml:space="preserve"> et al (2011).</w:t>
      </w:r>
      <w:r w:rsidR="004B4D1C" w:rsidRPr="004B4D1C">
        <w:rPr>
          <w:rFonts w:asciiTheme="majorBidi" w:hAnsiTheme="majorBidi" w:cstheme="majorBidi"/>
          <w:noProof/>
          <w:vertAlign w:val="superscript"/>
        </w:rPr>
        <w:t>134</w:t>
      </w:r>
      <w:r w:rsidRPr="00042419">
        <w:rPr>
          <w:rFonts w:asciiTheme="majorBidi" w:hAnsiTheme="majorBidi" w:cstheme="majorBidi"/>
        </w:rPr>
        <w:t xml:space="preserve"> The authors reported </w:t>
      </w:r>
      <w:proofErr w:type="spellStart"/>
      <w:r w:rsidR="00B4019B">
        <w:rPr>
          <w:rFonts w:asciiTheme="majorBidi" w:hAnsiTheme="majorBidi" w:cstheme="majorBidi"/>
        </w:rPr>
        <w:t>HRQoL</w:t>
      </w:r>
      <w:proofErr w:type="spellEnd"/>
      <w:r w:rsidR="00B4019B">
        <w:rPr>
          <w:rFonts w:asciiTheme="majorBidi" w:hAnsiTheme="majorBidi" w:cstheme="majorBidi"/>
        </w:rPr>
        <w:t xml:space="preserve"> </w:t>
      </w:r>
      <w:r w:rsidRPr="00042419">
        <w:rPr>
          <w:rFonts w:asciiTheme="majorBidi" w:hAnsiTheme="majorBidi" w:cstheme="majorBidi"/>
        </w:rPr>
        <w:t>decrements of 0.02 (-0.04, 0.09) for those in CKD pre-treatment and of 0.11 (0.08, 0.15) for those with CKD in dialysis –where the latter was estimated to represent 2% of the diagnosed CKD population based on UK data.</w:t>
      </w:r>
      <w:r w:rsidR="004B4D1C" w:rsidRPr="004B4D1C">
        <w:rPr>
          <w:rFonts w:asciiTheme="majorBidi" w:hAnsiTheme="majorBidi" w:cstheme="majorBidi"/>
          <w:noProof/>
          <w:vertAlign w:val="superscript"/>
        </w:rPr>
        <w:t>135</w:t>
      </w:r>
      <w:r w:rsidRPr="00042419">
        <w:rPr>
          <w:rFonts w:asciiTheme="majorBidi" w:hAnsiTheme="majorBidi" w:cstheme="majorBidi"/>
        </w:rPr>
        <w:t xml:space="preserve">  These were applied to the baseline utility value of 0.73 such that the utility of those with CKD pre-treatment was 0.71 and the utility of those with CKD in dialysis was 0.62. </w:t>
      </w:r>
    </w:p>
    <w:p w14:paraId="4CD0D7E6" w14:textId="77777777" w:rsidR="00A4788F" w:rsidRPr="00042419" w:rsidRDefault="00A4788F" w:rsidP="00A4788F">
      <w:pPr>
        <w:rPr>
          <w:rFonts w:asciiTheme="majorBidi" w:hAnsiTheme="majorBidi" w:cstheme="majorBidi"/>
        </w:rPr>
      </w:pPr>
    </w:p>
    <w:p w14:paraId="02F77F94" w14:textId="06610365" w:rsidR="00A4788F" w:rsidRPr="00042419" w:rsidRDefault="00F1720A" w:rsidP="00794B4E">
      <w:pPr>
        <w:pStyle w:val="EEPRUnumberedlevel4"/>
        <w:ind w:hanging="283"/>
      </w:pPr>
      <w:bookmarkStart w:id="432" w:name="_Toc87463045"/>
      <w:r>
        <w:t>7.2.3.</w:t>
      </w:r>
      <w:r w:rsidR="00EC4036">
        <w:t>8</w:t>
      </w:r>
      <w:r>
        <w:tab/>
      </w:r>
      <w:r w:rsidR="00A4788F" w:rsidRPr="00042419">
        <w:t>Resource use and costs</w:t>
      </w:r>
      <w:bookmarkEnd w:id="432"/>
      <w:r w:rsidR="00A4788F" w:rsidRPr="00042419">
        <w:t xml:space="preserve"> </w:t>
      </w:r>
    </w:p>
    <w:p w14:paraId="6BE60F41" w14:textId="3BDD9283" w:rsidR="00A4788F" w:rsidRPr="00042419" w:rsidRDefault="00A4788F" w:rsidP="00A4788F">
      <w:pPr>
        <w:spacing w:line="360" w:lineRule="auto"/>
        <w:rPr>
          <w:rFonts w:asciiTheme="majorBidi" w:hAnsiTheme="majorBidi" w:cstheme="majorBidi"/>
        </w:rPr>
      </w:pPr>
      <w:bookmarkStart w:id="433" w:name="_Ref77682417"/>
      <w:r w:rsidRPr="00042419">
        <w:rPr>
          <w:rFonts w:asciiTheme="majorBidi" w:hAnsiTheme="majorBidi" w:cstheme="majorBidi"/>
        </w:rPr>
        <w:t xml:space="preserve">The model includes costs relating to hospital stay, infection control during hospitalisation, AKI-related costs during hospitalisation, long-term costs associated with CKD and costs relating to use of existing AMs. The purchase price of </w:t>
      </w:r>
      <w:r w:rsidR="00FE2007">
        <w:rPr>
          <w:rFonts w:asciiTheme="majorBidi" w:hAnsiTheme="majorBidi" w:cstheme="majorBidi"/>
        </w:rPr>
        <w:t>CAZ-AVI</w:t>
      </w:r>
      <w:r w:rsidRPr="00042419">
        <w:rPr>
          <w:rFonts w:asciiTheme="majorBidi" w:hAnsiTheme="majorBidi" w:cstheme="majorBidi"/>
        </w:rPr>
        <w:t xml:space="preserve"> is not included in the costings as the objective of the value assessment is to inform the payment for </w:t>
      </w:r>
      <w:r w:rsidR="00FE2007">
        <w:rPr>
          <w:rFonts w:asciiTheme="majorBidi" w:hAnsiTheme="majorBidi" w:cstheme="majorBidi"/>
        </w:rPr>
        <w:t>CAZ-AVI</w:t>
      </w:r>
      <w:r w:rsidRPr="00042419">
        <w:rPr>
          <w:rFonts w:asciiTheme="majorBidi" w:hAnsiTheme="majorBidi" w:cstheme="majorBidi"/>
        </w:rPr>
        <w:t xml:space="preserve">. Costs relating to testing (for pathogen, resistance mechanism or AM susceptibility) were not included as, in the HVCS populations, these tests were expected to be conducted to the same degree regardless of the introduction of </w:t>
      </w:r>
      <w:r w:rsidR="00FE2007">
        <w:rPr>
          <w:rFonts w:asciiTheme="majorBidi" w:hAnsiTheme="majorBidi" w:cstheme="majorBidi"/>
        </w:rPr>
        <w:t>CAZ-AVI</w:t>
      </w:r>
      <w:r w:rsidRPr="00042419">
        <w:rPr>
          <w:rFonts w:asciiTheme="majorBidi" w:hAnsiTheme="majorBidi" w:cstheme="majorBidi"/>
        </w:rPr>
        <w:t xml:space="preserve">. </w:t>
      </w:r>
    </w:p>
    <w:p w14:paraId="73E41D2F" w14:textId="54260E47"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t xml:space="preserve">An important cost driver in the model is time spent in hospital. Data on time in hospital for patients according to their treatment pathway and outcomes are presented in </w:t>
      </w:r>
      <w:r w:rsidR="00DC2E3A" w:rsidRPr="00DC2E3A">
        <w:rPr>
          <w:rFonts w:asciiTheme="majorBidi" w:hAnsiTheme="majorBidi" w:cstheme="majorBidi"/>
        </w:rPr>
        <w:t>Table 30</w:t>
      </w:r>
      <w:r w:rsidRPr="00042419">
        <w:rPr>
          <w:rFonts w:asciiTheme="majorBidi" w:hAnsiTheme="majorBidi" w:cstheme="majorBidi"/>
        </w:rPr>
        <w:t xml:space="preserve">. As for 30-day mortality, we did not identify any studies in the MDS linking treatment susceptibility to duration or type of hospitalisation. This was, therefore, elicited as part of the structured expert elicitation exercise. </w:t>
      </w:r>
      <w:r w:rsidR="005B4EB8">
        <w:rPr>
          <w:rFonts w:asciiTheme="majorBidi" w:hAnsiTheme="majorBidi" w:cstheme="majorBidi"/>
        </w:rPr>
        <w:t>LOS</w:t>
      </w:r>
      <w:r w:rsidRPr="00042419">
        <w:rPr>
          <w:rFonts w:asciiTheme="majorBidi" w:hAnsiTheme="majorBidi" w:cstheme="majorBidi"/>
        </w:rPr>
        <w:t xml:space="preserve"> and the proportion of time spent in ICU or HDU was estimated conditional upon susceptibility for patients with </w:t>
      </w:r>
      <w:proofErr w:type="spellStart"/>
      <w:r w:rsidRPr="00042419">
        <w:rPr>
          <w:rFonts w:asciiTheme="majorBidi" w:hAnsiTheme="majorBidi" w:cstheme="majorBidi"/>
        </w:rPr>
        <w:t>cUTI</w:t>
      </w:r>
      <w:proofErr w:type="spellEnd"/>
      <w:r w:rsidRPr="00042419">
        <w:rPr>
          <w:rFonts w:asciiTheme="majorBidi" w:hAnsiTheme="majorBidi" w:cstheme="majorBidi"/>
        </w:rPr>
        <w:t xml:space="preserve"> and HAP/VAP separately. In the base case, all patients in the ES were assumed to spend 5 days in hospital prior to receipt of their microbiology results, the median wait reported in CARBAR.</w:t>
      </w:r>
      <w:r w:rsidR="00A83123" w:rsidRPr="00A83123">
        <w:rPr>
          <w:rFonts w:asciiTheme="majorBidi" w:hAnsiTheme="majorBidi" w:cstheme="majorBidi"/>
          <w:noProof/>
          <w:vertAlign w:val="superscript"/>
        </w:rPr>
        <w:t>96</w:t>
      </w:r>
      <w:r w:rsidRPr="00042419">
        <w:rPr>
          <w:rFonts w:asciiTheme="majorBidi" w:hAnsiTheme="majorBidi" w:cstheme="majorBidi"/>
        </w:rPr>
        <w:t xml:space="preserve"> </w:t>
      </w:r>
    </w:p>
    <w:p w14:paraId="11408C7D" w14:textId="18C56437" w:rsidR="00A4788F" w:rsidRPr="00042419" w:rsidRDefault="00A4788F" w:rsidP="00A83123">
      <w:pPr>
        <w:spacing w:line="360" w:lineRule="auto"/>
        <w:jc w:val="both"/>
        <w:rPr>
          <w:rFonts w:asciiTheme="majorBidi" w:hAnsiTheme="majorBidi" w:cstheme="majorBidi"/>
        </w:rPr>
      </w:pPr>
      <w:r w:rsidRPr="00042419">
        <w:rPr>
          <w:rFonts w:asciiTheme="majorBidi" w:hAnsiTheme="majorBidi" w:cstheme="majorBidi"/>
        </w:rPr>
        <w:lastRenderedPageBreak/>
        <w:t xml:space="preserve">The </w:t>
      </w:r>
      <w:r w:rsidR="005B4EB8">
        <w:rPr>
          <w:rFonts w:asciiTheme="majorBidi" w:hAnsiTheme="majorBidi" w:cstheme="majorBidi"/>
        </w:rPr>
        <w:t>LOS</w:t>
      </w:r>
      <w:r w:rsidRPr="00042419">
        <w:rPr>
          <w:rFonts w:asciiTheme="majorBidi" w:hAnsiTheme="majorBidi" w:cstheme="majorBidi"/>
        </w:rPr>
        <w:t xml:space="preserve"> for patients successfully treated in the ES was estimated from the </w:t>
      </w:r>
      <w:r w:rsidR="005B4EB8">
        <w:rPr>
          <w:rFonts w:asciiTheme="majorBidi" w:hAnsiTheme="majorBidi" w:cstheme="majorBidi"/>
        </w:rPr>
        <w:t>LOS</w:t>
      </w:r>
      <w:r w:rsidRPr="00042419">
        <w:rPr>
          <w:rFonts w:asciiTheme="majorBidi" w:hAnsiTheme="majorBidi" w:cstheme="majorBidi"/>
        </w:rPr>
        <w:t xml:space="preserve"> in patients who are susceptible to treatment in the MDS </w:t>
      </w:r>
      <w:r w:rsidR="00DC2E3A">
        <w:rPr>
          <w:rFonts w:asciiTheme="majorBidi" w:hAnsiTheme="majorBidi" w:cstheme="majorBidi"/>
        </w:rPr>
        <w:t>based on</w:t>
      </w:r>
      <w:r w:rsidRPr="00042419">
        <w:rPr>
          <w:rFonts w:asciiTheme="majorBidi" w:hAnsiTheme="majorBidi" w:cstheme="majorBidi"/>
        </w:rPr>
        <w:t xml:space="preserve"> structured expert elicitation, the time to receiving MDS from CARBAR</w:t>
      </w:r>
      <w:r w:rsidR="00A83123" w:rsidRPr="00A83123">
        <w:rPr>
          <w:rFonts w:asciiTheme="majorBidi" w:hAnsiTheme="majorBidi" w:cstheme="majorBidi"/>
          <w:noProof/>
          <w:vertAlign w:val="superscript"/>
        </w:rPr>
        <w:t>96</w:t>
      </w:r>
      <w:r w:rsidRPr="00042419">
        <w:rPr>
          <w:rFonts w:asciiTheme="majorBidi" w:hAnsiTheme="majorBidi" w:cstheme="majorBidi"/>
        </w:rPr>
        <w:t xml:space="preserve"> and the relative reduction in the </w:t>
      </w:r>
      <w:r w:rsidR="005B4EB8">
        <w:rPr>
          <w:rFonts w:asciiTheme="majorBidi" w:hAnsiTheme="majorBidi" w:cstheme="majorBidi"/>
        </w:rPr>
        <w:t>LOS</w:t>
      </w:r>
      <w:r w:rsidRPr="00042419">
        <w:rPr>
          <w:rFonts w:asciiTheme="majorBidi" w:hAnsiTheme="majorBidi" w:cstheme="majorBidi"/>
        </w:rPr>
        <w:t xml:space="preserve"> associated with receiving appropriate empiric treatment from </w:t>
      </w:r>
      <w:proofErr w:type="spellStart"/>
      <w:r w:rsidRPr="00042419">
        <w:rPr>
          <w:rFonts w:asciiTheme="majorBidi" w:hAnsiTheme="majorBidi" w:cstheme="majorBidi"/>
        </w:rPr>
        <w:t>Muscedere</w:t>
      </w:r>
      <w:proofErr w:type="spellEnd"/>
      <w:r w:rsidRPr="00042419">
        <w:rPr>
          <w:rFonts w:asciiTheme="majorBidi" w:hAnsiTheme="majorBidi" w:cstheme="majorBidi"/>
        </w:rPr>
        <w:t xml:space="preserve"> 2012.</w:t>
      </w:r>
      <w:r w:rsidR="00A83123" w:rsidRPr="00A83123">
        <w:rPr>
          <w:rFonts w:asciiTheme="majorBidi" w:hAnsiTheme="majorBidi" w:cstheme="majorBidi"/>
          <w:noProof/>
          <w:vertAlign w:val="superscript"/>
        </w:rPr>
        <w:t>102</w:t>
      </w:r>
      <w:r w:rsidRPr="00042419">
        <w:rPr>
          <w:rFonts w:asciiTheme="majorBidi" w:hAnsiTheme="majorBidi" w:cstheme="majorBidi"/>
        </w:rPr>
        <w:t xml:space="preserve"> </w:t>
      </w:r>
      <w:r w:rsidR="00DC2E3A">
        <w:rPr>
          <w:rFonts w:asciiTheme="majorBidi" w:hAnsiTheme="majorBidi" w:cstheme="majorBidi"/>
        </w:rPr>
        <w:t xml:space="preserve"> </w:t>
      </w:r>
      <w:r w:rsidRPr="00042419">
        <w:rPr>
          <w:rFonts w:asciiTheme="majorBidi" w:hAnsiTheme="majorBidi" w:cstheme="majorBidi"/>
        </w:rPr>
        <w:t xml:space="preserve">The proportion of time spent in the ICU for patients who received a treatment to which they are susceptible and who did not require further treatment was derived from </w:t>
      </w:r>
      <w:proofErr w:type="spellStart"/>
      <w:r w:rsidRPr="00042419">
        <w:rPr>
          <w:rFonts w:asciiTheme="majorBidi" w:hAnsiTheme="majorBidi" w:cstheme="majorBidi"/>
        </w:rPr>
        <w:t>Muscedere</w:t>
      </w:r>
      <w:proofErr w:type="spellEnd"/>
      <w:r w:rsidRPr="00042419">
        <w:rPr>
          <w:rFonts w:asciiTheme="majorBidi" w:hAnsiTheme="majorBidi" w:cstheme="majorBidi"/>
        </w:rPr>
        <w:t xml:space="preserve"> 2012.</w:t>
      </w:r>
      <w:r w:rsidR="00A83123" w:rsidRPr="00A83123">
        <w:rPr>
          <w:rFonts w:asciiTheme="majorBidi" w:hAnsiTheme="majorBidi" w:cstheme="majorBidi"/>
          <w:noProof/>
          <w:vertAlign w:val="superscript"/>
        </w:rPr>
        <w:t>102</w:t>
      </w:r>
      <w:r w:rsidRPr="00042419">
        <w:rPr>
          <w:rFonts w:asciiTheme="majorBidi" w:hAnsiTheme="majorBidi" w:cstheme="majorBidi"/>
        </w:rPr>
        <w:t xml:space="preserve"> </w:t>
      </w:r>
      <w:r w:rsidR="00DC2E3A">
        <w:rPr>
          <w:rFonts w:asciiTheme="majorBidi" w:hAnsiTheme="majorBidi" w:cstheme="majorBidi"/>
        </w:rPr>
        <w:t xml:space="preserve"> </w:t>
      </w:r>
      <w:r w:rsidRPr="00042419">
        <w:rPr>
          <w:rFonts w:asciiTheme="majorBidi" w:hAnsiTheme="majorBidi" w:cstheme="majorBidi"/>
        </w:rPr>
        <w:t>The study was conducted in 350 adult ICU patients with VAP (any pathogen and resistance profile) in Canada who received empiric treatment with meropenem or meropenem + ciprofloxacin. The study reported hospital and ICU LOS in patients who were susceptible to their empiric treatment and those who were not. Muscedere</w:t>
      </w:r>
      <w:r w:rsidR="00A83123" w:rsidRPr="00A83123">
        <w:rPr>
          <w:rFonts w:asciiTheme="majorBidi" w:hAnsiTheme="majorBidi" w:cstheme="majorBidi"/>
          <w:noProof/>
          <w:vertAlign w:val="superscript"/>
        </w:rPr>
        <w:t>102</w:t>
      </w:r>
      <w:r w:rsidRPr="00042419">
        <w:rPr>
          <w:rFonts w:asciiTheme="majorBidi" w:hAnsiTheme="majorBidi" w:cstheme="majorBidi"/>
        </w:rPr>
        <w:t xml:space="preserve"> was chosen as it was the only study identified in the </w:t>
      </w:r>
      <w:r w:rsidRPr="00C27EE8">
        <w:rPr>
          <w:rFonts w:asciiTheme="majorBidi" w:hAnsiTheme="majorBidi" w:cstheme="majorBidi"/>
        </w:rPr>
        <w:t xml:space="preserve">review in Section </w:t>
      </w:r>
      <w:r w:rsidR="00C27EE8" w:rsidRPr="00C27EE8">
        <w:rPr>
          <w:rFonts w:asciiTheme="majorBidi" w:hAnsiTheme="majorBidi" w:cstheme="majorBidi"/>
        </w:rPr>
        <w:t>4.6.2</w:t>
      </w:r>
      <w:r w:rsidRPr="00C27EE8">
        <w:rPr>
          <w:rFonts w:asciiTheme="majorBidi" w:hAnsiTheme="majorBidi" w:cstheme="majorBidi"/>
        </w:rPr>
        <w:t xml:space="preserve"> that </w:t>
      </w:r>
      <w:r w:rsidRPr="00042419">
        <w:rPr>
          <w:rFonts w:asciiTheme="majorBidi" w:hAnsiTheme="majorBidi" w:cstheme="majorBidi"/>
        </w:rPr>
        <w:t xml:space="preserve">reported LOS conditional upon </w:t>
      </w:r>
      <w:r w:rsidR="00DC2E3A">
        <w:rPr>
          <w:rFonts w:asciiTheme="majorBidi" w:hAnsiTheme="majorBidi" w:cstheme="majorBidi"/>
        </w:rPr>
        <w:t>AM</w:t>
      </w:r>
      <w:r w:rsidRPr="00042419">
        <w:rPr>
          <w:rFonts w:asciiTheme="majorBidi" w:hAnsiTheme="majorBidi" w:cstheme="majorBidi"/>
        </w:rPr>
        <w:t xml:space="preserve"> susceptibility in patients with HAP/VAP. The LOS reported by </w:t>
      </w:r>
      <w:proofErr w:type="spellStart"/>
      <w:r w:rsidRPr="00042419">
        <w:rPr>
          <w:rFonts w:asciiTheme="majorBidi" w:hAnsiTheme="majorBidi" w:cstheme="majorBidi"/>
        </w:rPr>
        <w:t>Muscedere</w:t>
      </w:r>
      <w:proofErr w:type="spellEnd"/>
      <w:r w:rsidRPr="00042419">
        <w:rPr>
          <w:rFonts w:asciiTheme="majorBidi" w:hAnsiTheme="majorBidi" w:cstheme="majorBidi"/>
        </w:rPr>
        <w:t xml:space="preserve"> 2012 was skewed. The mean LOS was derived by fitting a lognormal distribution to the reported median and interquartile range. The derived mean </w:t>
      </w:r>
      <w:r w:rsidR="005B4EB8">
        <w:rPr>
          <w:rFonts w:asciiTheme="majorBidi" w:hAnsiTheme="majorBidi" w:cstheme="majorBidi"/>
        </w:rPr>
        <w:t>LOS</w:t>
      </w:r>
      <w:r w:rsidRPr="00042419">
        <w:rPr>
          <w:rFonts w:asciiTheme="majorBidi" w:hAnsiTheme="majorBidi" w:cstheme="majorBidi"/>
        </w:rPr>
        <w:t xml:space="preserve"> in patients who received appropriate and inappropriate treatment (43.1 days and 85.7 days, respectively) were used to derive the relative reduction in the </w:t>
      </w:r>
      <w:r w:rsidR="005B4EB8">
        <w:rPr>
          <w:rFonts w:asciiTheme="majorBidi" w:hAnsiTheme="majorBidi" w:cstheme="majorBidi"/>
        </w:rPr>
        <w:t>LOS</w:t>
      </w:r>
      <w:r w:rsidRPr="00042419">
        <w:rPr>
          <w:rFonts w:asciiTheme="majorBidi" w:hAnsiTheme="majorBidi" w:cstheme="majorBidi"/>
        </w:rPr>
        <w:t xml:space="preserve"> associated with receiving appropriate treatment. The derived mean LOS and stay in ICU were used to derive the proportion of hospital stay that was spent in ICU. </w:t>
      </w:r>
    </w:p>
    <w:p w14:paraId="46623EDD" w14:textId="3AA35879" w:rsidR="00A4788F" w:rsidRPr="00042419" w:rsidRDefault="00A4788F" w:rsidP="00A83123">
      <w:pPr>
        <w:spacing w:line="360" w:lineRule="auto"/>
        <w:jc w:val="both"/>
        <w:rPr>
          <w:rFonts w:asciiTheme="majorBidi" w:hAnsiTheme="majorBidi" w:cstheme="majorBidi"/>
        </w:rPr>
        <w:sectPr w:rsidR="00A4788F" w:rsidRPr="00042419" w:rsidSect="00A4788F">
          <w:pgSz w:w="11906" w:h="16838"/>
          <w:pgMar w:top="1440" w:right="1440" w:bottom="1440" w:left="1440" w:header="709" w:footer="709" w:gutter="0"/>
          <w:cols w:space="708"/>
          <w:docGrid w:linePitch="360"/>
        </w:sectPr>
      </w:pPr>
      <w:bookmarkStart w:id="434" w:name="_Hlk83984036"/>
      <w:r w:rsidRPr="00042419">
        <w:rPr>
          <w:rFonts w:asciiTheme="majorBidi" w:hAnsiTheme="majorBidi" w:cstheme="majorBidi"/>
        </w:rPr>
        <w:t xml:space="preserve">The additional </w:t>
      </w:r>
      <w:r w:rsidR="00837CD7" w:rsidRPr="00042419">
        <w:rPr>
          <w:rFonts w:asciiTheme="majorBidi" w:hAnsiTheme="majorBidi" w:cstheme="majorBidi"/>
        </w:rPr>
        <w:t>hospitalisation</w:t>
      </w:r>
      <w:r w:rsidRPr="00042419">
        <w:rPr>
          <w:rFonts w:asciiTheme="majorBidi" w:hAnsiTheme="majorBidi" w:cstheme="majorBidi"/>
        </w:rPr>
        <w:t xml:space="preserve"> costs associated with in-hospital AKI are informed by estimates derived from </w:t>
      </w:r>
      <w:proofErr w:type="spellStart"/>
      <w:r w:rsidRPr="00042419">
        <w:rPr>
          <w:rFonts w:asciiTheme="majorBidi" w:hAnsiTheme="majorBidi" w:cstheme="majorBidi"/>
        </w:rPr>
        <w:t>Kolhe</w:t>
      </w:r>
      <w:proofErr w:type="spellEnd"/>
      <w:r w:rsidRPr="00042419">
        <w:rPr>
          <w:rFonts w:asciiTheme="majorBidi" w:hAnsiTheme="majorBidi" w:cstheme="majorBidi"/>
        </w:rPr>
        <w:t xml:space="preserve"> et al. 2014</w:t>
      </w:r>
      <w:r w:rsidR="00DC2E3A">
        <w:rPr>
          <w:rFonts w:asciiTheme="majorBidi" w:hAnsiTheme="majorBidi" w:cstheme="majorBidi"/>
        </w:rPr>
        <w:t>.</w:t>
      </w:r>
      <w:r w:rsidR="004B4D1C" w:rsidRPr="004B4D1C">
        <w:rPr>
          <w:rFonts w:asciiTheme="majorBidi" w:hAnsiTheme="majorBidi" w:cstheme="majorBidi"/>
          <w:noProof/>
          <w:vertAlign w:val="superscript"/>
        </w:rPr>
        <w:t>136</w:t>
      </w:r>
      <w:r w:rsidR="00DC2E3A">
        <w:rPr>
          <w:rFonts w:asciiTheme="majorBidi" w:hAnsiTheme="majorBidi" w:cstheme="majorBidi"/>
        </w:rPr>
        <w:t xml:space="preserve"> </w:t>
      </w:r>
      <w:r w:rsidRPr="00042419">
        <w:rPr>
          <w:rFonts w:asciiTheme="majorBidi" w:hAnsiTheme="majorBidi" w:cstheme="majorBidi"/>
        </w:rPr>
        <w:t xml:space="preserve">This study used the NHS costing system’s relative value units that capture cost information associated with several cost items including </w:t>
      </w:r>
      <w:r w:rsidR="005B4EB8">
        <w:rPr>
          <w:rFonts w:asciiTheme="majorBidi" w:hAnsiTheme="majorBidi" w:cstheme="majorBidi"/>
        </w:rPr>
        <w:t>LOS</w:t>
      </w:r>
      <w:r w:rsidRPr="00042419">
        <w:rPr>
          <w:rFonts w:asciiTheme="majorBidi" w:hAnsiTheme="majorBidi" w:cstheme="majorBidi"/>
        </w:rPr>
        <w:t xml:space="preserve"> </w:t>
      </w:r>
      <w:proofErr w:type="spellStart"/>
      <w:r w:rsidRPr="00042419">
        <w:rPr>
          <w:rFonts w:asciiTheme="majorBidi" w:hAnsiTheme="majorBidi" w:cstheme="majorBidi"/>
        </w:rPr>
        <w:t>on wards</w:t>
      </w:r>
      <w:proofErr w:type="spellEnd"/>
      <w:r w:rsidRPr="00042419">
        <w:rPr>
          <w:rFonts w:asciiTheme="majorBidi" w:hAnsiTheme="majorBidi" w:cstheme="majorBidi"/>
        </w:rPr>
        <w:t xml:space="preserve">, drugs, physiotherapy, </w:t>
      </w:r>
      <w:proofErr w:type="gramStart"/>
      <w:r w:rsidRPr="00042419">
        <w:rPr>
          <w:rFonts w:asciiTheme="majorBidi" w:hAnsiTheme="majorBidi" w:cstheme="majorBidi"/>
        </w:rPr>
        <w:t>radiology</w:t>
      </w:r>
      <w:proofErr w:type="gramEnd"/>
      <w:r w:rsidRPr="00042419">
        <w:rPr>
          <w:rFonts w:asciiTheme="majorBidi" w:hAnsiTheme="majorBidi" w:cstheme="majorBidi"/>
        </w:rPr>
        <w:t xml:space="preserve"> and medical staff costs. </w:t>
      </w:r>
      <w:r w:rsidR="00DC2E3A">
        <w:rPr>
          <w:rFonts w:asciiTheme="majorBidi" w:hAnsiTheme="majorBidi" w:cstheme="majorBidi"/>
        </w:rPr>
        <w:t xml:space="preserve"> </w:t>
      </w:r>
      <w:bookmarkEnd w:id="434"/>
      <w:r w:rsidRPr="00042419">
        <w:rPr>
          <w:rFonts w:asciiTheme="majorBidi" w:hAnsiTheme="majorBidi" w:cstheme="majorBidi"/>
        </w:rPr>
        <w:t xml:space="preserve">Unit costs were obtained from standard sources and in consultation with those suggested in the manufacturer </w:t>
      </w:r>
      <w:r w:rsidR="00837CD7" w:rsidRPr="00042419">
        <w:rPr>
          <w:rFonts w:asciiTheme="majorBidi" w:hAnsiTheme="majorBidi" w:cstheme="majorBidi"/>
        </w:rPr>
        <w:t>submissions</w:t>
      </w:r>
      <w:r w:rsidRPr="00042419">
        <w:rPr>
          <w:rFonts w:asciiTheme="majorBidi" w:hAnsiTheme="majorBidi" w:cstheme="majorBidi"/>
        </w:rPr>
        <w:t>. Where necessary</w:t>
      </w:r>
      <w:r w:rsidR="00DC2E3A">
        <w:rPr>
          <w:rFonts w:asciiTheme="majorBidi" w:hAnsiTheme="majorBidi" w:cstheme="majorBidi"/>
        </w:rPr>
        <w:t>,</w:t>
      </w:r>
      <w:r w:rsidRPr="00042419">
        <w:rPr>
          <w:rFonts w:asciiTheme="majorBidi" w:hAnsiTheme="majorBidi" w:cstheme="majorBidi"/>
        </w:rPr>
        <w:t xml:space="preserve"> costs were adjusted to 2019/2020 prices using standard sources.</w:t>
      </w:r>
      <w:r w:rsidR="004B4D1C" w:rsidRPr="004B4D1C">
        <w:rPr>
          <w:rFonts w:asciiTheme="majorBidi" w:hAnsiTheme="majorBidi" w:cstheme="majorBidi"/>
          <w:noProof/>
          <w:vertAlign w:val="superscript"/>
        </w:rPr>
        <w:t>137</w:t>
      </w:r>
      <w:r w:rsidRPr="00042419">
        <w:rPr>
          <w:rFonts w:asciiTheme="majorBidi" w:hAnsiTheme="majorBidi" w:cstheme="majorBidi"/>
        </w:rPr>
        <w:t xml:space="preserve"> The daily cost of </w:t>
      </w:r>
      <w:proofErr w:type="spellStart"/>
      <w:r w:rsidRPr="00042419">
        <w:rPr>
          <w:rFonts w:asciiTheme="majorBidi" w:hAnsiTheme="majorBidi" w:cstheme="majorBidi"/>
        </w:rPr>
        <w:t>cUTIs</w:t>
      </w:r>
      <w:proofErr w:type="spellEnd"/>
      <w:r w:rsidRPr="00042419">
        <w:rPr>
          <w:rFonts w:asciiTheme="majorBidi" w:hAnsiTheme="majorBidi" w:cstheme="majorBidi"/>
        </w:rPr>
        <w:t xml:space="preserve"> treated on general medical wards was derived from the weighted average cost of non-elective short stay for kidney or urinary tract infections with/without interventions (LA04H to LA04S). The daily cost of HAP/VAP treated on general medical wards was derived from the cost of non-elective short stay bronchopneumonia with or without interventions (DZ23H to DZ23N). The daily cost of ICU was assumed to be the weighted average cost of non-specific, general adult critical care (CCU01) with zero to six organs supported (XC01Z to XC07Z), assuming that ventilation cost is reflected in the organ support costs. The daily cost of HDU was assumed to be the weighted average cost of medical adult patients in critical care (CCU03) with zero to six organs supported (XC01Z to XC07Z). Weighting was based on the overall volume of each type of organ support reported for the NHS. The daily cost of isolation was derived from Knight et al 2018,</w:t>
      </w:r>
      <w:r w:rsidR="004B4D1C" w:rsidRPr="004B4D1C">
        <w:rPr>
          <w:rFonts w:asciiTheme="majorBidi" w:hAnsiTheme="majorBidi" w:cstheme="majorBidi"/>
          <w:noProof/>
          <w:vertAlign w:val="superscript"/>
        </w:rPr>
        <w:t>138</w:t>
      </w:r>
      <w:r w:rsidRPr="00042419">
        <w:rPr>
          <w:rFonts w:asciiTheme="majorBidi" w:hAnsiTheme="majorBidi" w:cstheme="majorBidi"/>
        </w:rPr>
        <w:t xml:space="preserve"> and included the cost of gloves, </w:t>
      </w:r>
      <w:proofErr w:type="gramStart"/>
      <w:r w:rsidRPr="00042419">
        <w:rPr>
          <w:rFonts w:asciiTheme="majorBidi" w:hAnsiTheme="majorBidi" w:cstheme="majorBidi"/>
        </w:rPr>
        <w:t>aprons</w:t>
      </w:r>
      <w:proofErr w:type="gramEnd"/>
      <w:r w:rsidRPr="00042419">
        <w:rPr>
          <w:rFonts w:asciiTheme="majorBidi" w:hAnsiTheme="majorBidi" w:cstheme="majorBidi"/>
        </w:rPr>
        <w:t xml:space="preserve"> and infectious waste stream. We assumed that all patients would be subject to isolation measures as they are either highly suspected of having or confirmed to have an MDR infection. One off costs of stock disposal are not included as these are assumed to apply equally to all patients. </w:t>
      </w:r>
    </w:p>
    <w:p w14:paraId="42126DF1" w14:textId="2A565C65" w:rsidR="00A4788F" w:rsidRPr="007E0A82" w:rsidRDefault="00A4788F" w:rsidP="009E265F">
      <w:pPr>
        <w:pStyle w:val="table"/>
      </w:pPr>
      <w:bookmarkStart w:id="435" w:name="_Ref83562334"/>
      <w:bookmarkStart w:id="436" w:name="_Toc83589985"/>
      <w:bookmarkStart w:id="437" w:name="_Toc86419007"/>
      <w:r w:rsidRPr="00A06A15">
        <w:lastRenderedPageBreak/>
        <w:t xml:space="preserve">Table </w:t>
      </w:r>
      <w:r w:rsidR="00F10F0A">
        <w:rPr>
          <w:noProof/>
        </w:rPr>
        <w:t>30</w:t>
      </w:r>
      <w:bookmarkEnd w:id="433"/>
      <w:bookmarkEnd w:id="435"/>
      <w:r w:rsidRPr="00A06A15">
        <w:t>: Hospitalisation duration and unit costs</w:t>
      </w:r>
      <w:bookmarkEnd w:id="436"/>
      <w:bookmarkEnd w:id="437"/>
      <w:r w:rsidRPr="00A06A15">
        <w:t xml:space="preserve"> </w:t>
      </w:r>
    </w:p>
    <w:tbl>
      <w:tblPr>
        <w:tblStyle w:val="TableGrid"/>
        <w:tblpPr w:leftFromText="180" w:rightFromText="180" w:vertAnchor="text" w:horzAnchor="margin" w:tblpY="323"/>
        <w:tblW w:w="14596" w:type="dxa"/>
        <w:tblLayout w:type="fixed"/>
        <w:tblLook w:val="04A0" w:firstRow="1" w:lastRow="0" w:firstColumn="1" w:lastColumn="0" w:noHBand="0" w:noVBand="1"/>
      </w:tblPr>
      <w:tblGrid>
        <w:gridCol w:w="1271"/>
        <w:gridCol w:w="2268"/>
        <w:gridCol w:w="4706"/>
        <w:gridCol w:w="1106"/>
        <w:gridCol w:w="2410"/>
        <w:gridCol w:w="2835"/>
      </w:tblGrid>
      <w:tr w:rsidR="00A4788F" w:rsidRPr="004A4B7C" w14:paraId="55267EA4" w14:textId="77777777" w:rsidTr="004A4B7C">
        <w:tc>
          <w:tcPr>
            <w:tcW w:w="1271" w:type="dxa"/>
          </w:tcPr>
          <w:p w14:paraId="58107F3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Site</w:t>
            </w:r>
          </w:p>
        </w:tc>
        <w:tc>
          <w:tcPr>
            <w:tcW w:w="2268" w:type="dxa"/>
          </w:tcPr>
          <w:p w14:paraId="0BEDDB9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Parameter name</w:t>
            </w:r>
          </w:p>
        </w:tc>
        <w:tc>
          <w:tcPr>
            <w:tcW w:w="4706" w:type="dxa"/>
          </w:tcPr>
          <w:p w14:paraId="3F0F066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Description</w:t>
            </w:r>
          </w:p>
        </w:tc>
        <w:tc>
          <w:tcPr>
            <w:tcW w:w="1106" w:type="dxa"/>
          </w:tcPr>
          <w:p w14:paraId="3E766F1F"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Value</w:t>
            </w:r>
          </w:p>
        </w:tc>
        <w:tc>
          <w:tcPr>
            <w:tcW w:w="2410" w:type="dxa"/>
          </w:tcPr>
          <w:p w14:paraId="6091C4D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Uncertainty (measure)</w:t>
            </w:r>
          </w:p>
        </w:tc>
        <w:tc>
          <w:tcPr>
            <w:tcW w:w="2835" w:type="dxa"/>
          </w:tcPr>
          <w:p w14:paraId="53393802"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Cs w:val="0"/>
                <w:sz w:val="20"/>
                <w:szCs w:val="20"/>
              </w:rPr>
              <w:t>Source (costing year)</w:t>
            </w:r>
          </w:p>
        </w:tc>
      </w:tr>
      <w:tr w:rsidR="00A4788F" w:rsidRPr="004A4B7C" w14:paraId="1DD09B6A" w14:textId="77777777" w:rsidTr="004A4B7C">
        <w:tc>
          <w:tcPr>
            <w:tcW w:w="1271" w:type="dxa"/>
            <w:shd w:val="clear" w:color="auto" w:fill="auto"/>
          </w:tcPr>
          <w:p w14:paraId="40D5323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4DF4639D"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los</w:t>
            </w:r>
            <w:r w:rsidRPr="004A4B7C">
              <w:rPr>
                <w:rFonts w:ascii="Times New Roman" w:hAnsi="Times New Roman" w:cs="Times New Roman"/>
                <w:b w:val="0"/>
                <w:sz w:val="20"/>
                <w:szCs w:val="20"/>
              </w:rPr>
              <w:t>_MDS_S</w:t>
            </w:r>
            <w:proofErr w:type="spellEnd"/>
          </w:p>
        </w:tc>
        <w:tc>
          <w:tcPr>
            <w:tcW w:w="4706" w:type="dxa"/>
            <w:shd w:val="clear" w:color="auto" w:fill="auto"/>
          </w:tcPr>
          <w:p w14:paraId="339E4CA3" w14:textId="543E6D78" w:rsidR="00A4788F" w:rsidRPr="004A4B7C" w:rsidRDefault="005B4EB8" w:rsidP="004A4B7C">
            <w:pPr>
              <w:pStyle w:val="EEPRUNumberedHeading"/>
              <w:numPr>
                <w:ilvl w:val="0"/>
                <w:numId w:val="0"/>
              </w:numPr>
              <w:spacing w:before="0"/>
              <w:rPr>
                <w:rFonts w:ascii="Times New Roman" w:eastAsiaTheme="minorHAnsi" w:hAnsi="Times New Roman" w:cs="Times New Roman"/>
                <w:b w:val="0"/>
                <w:bCs w:val="0"/>
                <w:sz w:val="20"/>
                <w:szCs w:val="20"/>
              </w:rPr>
            </w:pPr>
            <w:r>
              <w:rPr>
                <w:rFonts w:ascii="Times New Roman" w:eastAsiaTheme="minorHAnsi" w:hAnsi="Times New Roman" w:cs="Times New Roman"/>
                <w:b w:val="0"/>
                <w:bCs w:val="0"/>
                <w:sz w:val="20"/>
                <w:szCs w:val="20"/>
              </w:rPr>
              <w:t>LOS</w:t>
            </w:r>
            <w:r w:rsidR="00A4788F" w:rsidRPr="004A4B7C">
              <w:rPr>
                <w:rFonts w:ascii="Times New Roman" w:eastAsiaTheme="minorHAnsi" w:hAnsi="Times New Roman" w:cs="Times New Roman"/>
                <w:b w:val="0"/>
                <w:bCs w:val="0"/>
                <w:sz w:val="20"/>
                <w:szCs w:val="20"/>
              </w:rPr>
              <w:t xml:space="preserve"> following treatment in the MDS for </w:t>
            </w:r>
            <w:proofErr w:type="spellStart"/>
            <w:r w:rsidR="00A4788F" w:rsidRPr="004A4B7C">
              <w:rPr>
                <w:rFonts w:ascii="Times New Roman" w:eastAsiaTheme="minorHAnsi" w:hAnsi="Times New Roman" w:cs="Times New Roman"/>
                <w:b w:val="0"/>
                <w:bCs w:val="0"/>
                <w:sz w:val="20"/>
                <w:szCs w:val="20"/>
              </w:rPr>
              <w:t>cUTI</w:t>
            </w:r>
            <w:proofErr w:type="spellEnd"/>
            <w:r w:rsidR="00A4788F" w:rsidRPr="004A4B7C">
              <w:rPr>
                <w:rFonts w:ascii="Times New Roman" w:eastAsiaTheme="minorHAnsi" w:hAnsi="Times New Roman" w:cs="Times New Roman"/>
                <w:b w:val="0"/>
                <w:bCs w:val="0"/>
                <w:sz w:val="20"/>
                <w:szCs w:val="20"/>
              </w:rPr>
              <w:t xml:space="preserve"> patients who received a treatment to which they are susceptible (days)</w:t>
            </w:r>
          </w:p>
        </w:tc>
        <w:tc>
          <w:tcPr>
            <w:tcW w:w="1106" w:type="dxa"/>
            <w:shd w:val="clear" w:color="auto" w:fill="auto"/>
          </w:tcPr>
          <w:p w14:paraId="5AEED172"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12.9</w:t>
            </w:r>
          </w:p>
        </w:tc>
        <w:tc>
          <w:tcPr>
            <w:tcW w:w="2410" w:type="dxa"/>
            <w:shd w:val="clear" w:color="auto" w:fill="auto"/>
          </w:tcPr>
          <w:p w14:paraId="16E5E02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Lnorm</w:t>
            </w:r>
            <w:proofErr w:type="spellEnd"/>
            <w:r w:rsidRPr="004A4B7C">
              <w:rPr>
                <w:rFonts w:ascii="Times New Roman" w:eastAsiaTheme="minorHAnsi" w:hAnsi="Times New Roman" w:cs="Times New Roman"/>
                <w:b w:val="0"/>
                <w:bCs w:val="0"/>
                <w:sz w:val="20"/>
                <w:szCs w:val="20"/>
              </w:rPr>
              <w:t xml:space="preserve"> (2.507, 0.321)</w:t>
            </w:r>
          </w:p>
          <w:p w14:paraId="0BD4F49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95% CI: (6.54 to 23.02)</w:t>
            </w:r>
          </w:p>
        </w:tc>
        <w:tc>
          <w:tcPr>
            <w:tcW w:w="2835" w:type="dxa"/>
            <w:shd w:val="clear" w:color="auto" w:fill="auto"/>
          </w:tcPr>
          <w:p w14:paraId="03B6FB3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56C25A22" w14:textId="77777777" w:rsidTr="004A4B7C">
        <w:tc>
          <w:tcPr>
            <w:tcW w:w="1271" w:type="dxa"/>
            <w:shd w:val="clear" w:color="auto" w:fill="auto"/>
          </w:tcPr>
          <w:p w14:paraId="66E705F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47DC3051"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los</w:t>
            </w:r>
            <w:r w:rsidRPr="004A4B7C">
              <w:rPr>
                <w:rFonts w:ascii="Times New Roman" w:hAnsi="Times New Roman" w:cs="Times New Roman"/>
                <w:b w:val="0"/>
                <w:sz w:val="20"/>
                <w:szCs w:val="20"/>
              </w:rPr>
              <w:t>_MDS_</w:t>
            </w:r>
            <w:r w:rsidRPr="004A4B7C">
              <w:rPr>
                <w:rFonts w:ascii="Times New Roman" w:eastAsiaTheme="minorHAnsi" w:hAnsi="Times New Roman" w:cs="Times New Roman"/>
                <w:b w:val="0"/>
                <w:bCs w:val="0"/>
                <w:sz w:val="20"/>
                <w:szCs w:val="20"/>
              </w:rPr>
              <w:t>nonS</w:t>
            </w:r>
            <w:proofErr w:type="spellEnd"/>
          </w:p>
        </w:tc>
        <w:tc>
          <w:tcPr>
            <w:tcW w:w="4706" w:type="dxa"/>
            <w:shd w:val="clear" w:color="auto" w:fill="auto"/>
          </w:tcPr>
          <w:p w14:paraId="6536629F" w14:textId="17152DE1" w:rsidR="00A4788F" w:rsidRPr="004A4B7C" w:rsidRDefault="005B4EB8" w:rsidP="004A4B7C">
            <w:pPr>
              <w:pStyle w:val="EEPRUNumberedHeading"/>
              <w:numPr>
                <w:ilvl w:val="0"/>
                <w:numId w:val="0"/>
              </w:numPr>
              <w:spacing w:before="0"/>
              <w:rPr>
                <w:rFonts w:ascii="Times New Roman" w:eastAsiaTheme="minorHAnsi" w:hAnsi="Times New Roman" w:cs="Times New Roman"/>
                <w:b w:val="0"/>
                <w:bCs w:val="0"/>
                <w:sz w:val="20"/>
                <w:szCs w:val="20"/>
              </w:rPr>
            </w:pPr>
            <w:r>
              <w:rPr>
                <w:rFonts w:ascii="Times New Roman" w:eastAsiaTheme="minorHAnsi" w:hAnsi="Times New Roman" w:cs="Times New Roman"/>
                <w:b w:val="0"/>
                <w:bCs w:val="0"/>
                <w:sz w:val="20"/>
                <w:szCs w:val="20"/>
              </w:rPr>
              <w:t>LOS</w:t>
            </w:r>
            <w:r w:rsidR="00A4788F" w:rsidRPr="004A4B7C">
              <w:rPr>
                <w:rFonts w:ascii="Times New Roman" w:eastAsiaTheme="minorHAnsi" w:hAnsi="Times New Roman" w:cs="Times New Roman"/>
                <w:b w:val="0"/>
                <w:bCs w:val="0"/>
                <w:sz w:val="20"/>
                <w:szCs w:val="20"/>
              </w:rPr>
              <w:t xml:space="preserve"> following treatment in the MDS for </w:t>
            </w:r>
            <w:proofErr w:type="spellStart"/>
            <w:r w:rsidR="00A4788F" w:rsidRPr="004A4B7C">
              <w:rPr>
                <w:rFonts w:ascii="Times New Roman" w:eastAsiaTheme="minorHAnsi" w:hAnsi="Times New Roman" w:cs="Times New Roman"/>
                <w:b w:val="0"/>
                <w:bCs w:val="0"/>
                <w:sz w:val="20"/>
                <w:szCs w:val="20"/>
              </w:rPr>
              <w:t>cUTI</w:t>
            </w:r>
            <w:proofErr w:type="spellEnd"/>
            <w:r w:rsidR="00A4788F" w:rsidRPr="004A4B7C">
              <w:rPr>
                <w:rFonts w:ascii="Times New Roman" w:eastAsiaTheme="minorHAnsi" w:hAnsi="Times New Roman" w:cs="Times New Roman"/>
                <w:b w:val="0"/>
                <w:bCs w:val="0"/>
                <w:sz w:val="20"/>
                <w:szCs w:val="20"/>
              </w:rPr>
              <w:t xml:space="preserve"> patients who received a treatment to which they are not susceptible (days)</w:t>
            </w:r>
          </w:p>
        </w:tc>
        <w:tc>
          <w:tcPr>
            <w:tcW w:w="1106" w:type="dxa"/>
            <w:shd w:val="clear" w:color="auto" w:fill="auto"/>
          </w:tcPr>
          <w:p w14:paraId="72726DBD"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17.7</w:t>
            </w:r>
          </w:p>
        </w:tc>
        <w:tc>
          <w:tcPr>
            <w:tcW w:w="2410" w:type="dxa"/>
            <w:shd w:val="clear" w:color="auto" w:fill="auto"/>
          </w:tcPr>
          <w:p w14:paraId="2AE8CEC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Lnorm</w:t>
            </w:r>
            <w:proofErr w:type="spellEnd"/>
            <w:r w:rsidRPr="004A4B7C">
              <w:rPr>
                <w:rFonts w:ascii="Times New Roman" w:eastAsiaTheme="minorHAnsi" w:hAnsi="Times New Roman" w:cs="Times New Roman"/>
                <w:b w:val="0"/>
                <w:bCs w:val="0"/>
                <w:sz w:val="20"/>
                <w:szCs w:val="20"/>
              </w:rPr>
              <w:t xml:space="preserve"> (2.817, 0.334)</w:t>
            </w:r>
          </w:p>
          <w:p w14:paraId="4052013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95% CI: (8.68 to 32.2)</w:t>
            </w:r>
          </w:p>
        </w:tc>
        <w:tc>
          <w:tcPr>
            <w:tcW w:w="2835" w:type="dxa"/>
            <w:shd w:val="clear" w:color="auto" w:fill="auto"/>
          </w:tcPr>
          <w:p w14:paraId="250548B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317D60BA" w14:textId="77777777" w:rsidTr="004A4B7C">
        <w:tc>
          <w:tcPr>
            <w:tcW w:w="1271" w:type="dxa"/>
            <w:shd w:val="clear" w:color="auto" w:fill="auto"/>
          </w:tcPr>
          <w:p w14:paraId="7908AE2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5D0E0C45"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_ICU_</w:t>
            </w:r>
            <w:r w:rsidRPr="004A4B7C">
              <w:rPr>
                <w:rFonts w:ascii="Times New Roman" w:eastAsiaTheme="minorHAnsi" w:hAnsi="Times New Roman" w:cs="Times New Roman"/>
                <w:b w:val="0"/>
                <w:bCs w:val="0"/>
                <w:sz w:val="20"/>
                <w:szCs w:val="20"/>
              </w:rPr>
              <w:t>MDS_</w:t>
            </w:r>
            <w:r w:rsidRPr="004A4B7C">
              <w:rPr>
                <w:rFonts w:ascii="Times New Roman" w:hAnsi="Times New Roman" w:cs="Times New Roman"/>
                <w:b w:val="0"/>
                <w:sz w:val="20"/>
                <w:szCs w:val="20"/>
              </w:rPr>
              <w:t>S</w:t>
            </w:r>
            <w:proofErr w:type="spellEnd"/>
          </w:p>
        </w:tc>
        <w:tc>
          <w:tcPr>
            <w:tcW w:w="4706" w:type="dxa"/>
            <w:shd w:val="clear" w:color="auto" w:fill="auto"/>
          </w:tcPr>
          <w:p w14:paraId="7EF9A7E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Cs w:val="0"/>
                <w:sz w:val="20"/>
                <w:szCs w:val="20"/>
              </w:rPr>
            </w:pPr>
            <w:r w:rsidRPr="004A4B7C">
              <w:rPr>
                <w:rFonts w:ascii="Times New Roman" w:eastAsiaTheme="minorHAnsi" w:hAnsi="Times New Roman" w:cs="Times New Roman"/>
                <w:b w:val="0"/>
                <w:bCs w:val="0"/>
                <w:sz w:val="20"/>
                <w:szCs w:val="20"/>
              </w:rPr>
              <w:t xml:space="preserve">Proportion of time in hospital in ICU for </w:t>
            </w:r>
            <w:proofErr w:type="spellStart"/>
            <w:r w:rsidRPr="004A4B7C">
              <w:rPr>
                <w:rFonts w:ascii="Times New Roman" w:eastAsiaTheme="minorHAnsi" w:hAnsi="Times New Roman" w:cs="Times New Roman"/>
                <w:b w:val="0"/>
                <w:bCs w:val="0"/>
                <w:sz w:val="20"/>
                <w:szCs w:val="20"/>
              </w:rPr>
              <w:t>cUTI</w:t>
            </w:r>
            <w:proofErr w:type="spellEnd"/>
            <w:r w:rsidRPr="004A4B7C">
              <w:rPr>
                <w:rFonts w:ascii="Times New Roman" w:eastAsiaTheme="minorHAnsi" w:hAnsi="Times New Roman" w:cs="Times New Roman"/>
                <w:b w:val="0"/>
                <w:bCs w:val="0"/>
                <w:sz w:val="20"/>
                <w:szCs w:val="20"/>
              </w:rPr>
              <w:t xml:space="preserve"> patients who received a treatment to which they are susceptible </w:t>
            </w:r>
          </w:p>
        </w:tc>
        <w:tc>
          <w:tcPr>
            <w:tcW w:w="1106" w:type="dxa"/>
            <w:shd w:val="clear" w:color="auto" w:fill="auto"/>
          </w:tcPr>
          <w:p w14:paraId="4AAA4365"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0.150</w:t>
            </w:r>
          </w:p>
        </w:tc>
        <w:tc>
          <w:tcPr>
            <w:tcW w:w="2410" w:type="dxa"/>
            <w:shd w:val="clear" w:color="auto" w:fill="auto"/>
          </w:tcPr>
          <w:p w14:paraId="00E85FD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6DB0C4D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145F33FE" w14:textId="77777777" w:rsidTr="004A4B7C">
        <w:tc>
          <w:tcPr>
            <w:tcW w:w="1271" w:type="dxa"/>
            <w:shd w:val="clear" w:color="auto" w:fill="auto"/>
          </w:tcPr>
          <w:p w14:paraId="31F48A2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0D63BD34"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_ICU_</w:t>
            </w:r>
            <w:r w:rsidRPr="004A4B7C">
              <w:rPr>
                <w:rFonts w:ascii="Times New Roman" w:eastAsiaTheme="minorHAnsi" w:hAnsi="Times New Roman" w:cs="Times New Roman"/>
                <w:b w:val="0"/>
                <w:bCs w:val="0"/>
                <w:sz w:val="20"/>
                <w:szCs w:val="20"/>
              </w:rPr>
              <w:t>MDS_nonS</w:t>
            </w:r>
            <w:proofErr w:type="spellEnd"/>
          </w:p>
        </w:tc>
        <w:tc>
          <w:tcPr>
            <w:tcW w:w="4706" w:type="dxa"/>
            <w:shd w:val="clear" w:color="auto" w:fill="auto"/>
          </w:tcPr>
          <w:p w14:paraId="465E239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Proportion of time in hospital in ICU for </w:t>
            </w:r>
            <w:proofErr w:type="spellStart"/>
            <w:r w:rsidRPr="004A4B7C">
              <w:rPr>
                <w:rFonts w:ascii="Times New Roman" w:eastAsiaTheme="minorHAnsi" w:hAnsi="Times New Roman" w:cs="Times New Roman"/>
                <w:b w:val="0"/>
                <w:bCs w:val="0"/>
                <w:sz w:val="20"/>
                <w:szCs w:val="20"/>
              </w:rPr>
              <w:t>cUTI</w:t>
            </w:r>
            <w:proofErr w:type="spellEnd"/>
            <w:r w:rsidRPr="004A4B7C">
              <w:rPr>
                <w:rFonts w:ascii="Times New Roman" w:eastAsiaTheme="minorHAnsi" w:hAnsi="Times New Roman" w:cs="Times New Roman"/>
                <w:b w:val="0"/>
                <w:bCs w:val="0"/>
                <w:sz w:val="20"/>
                <w:szCs w:val="20"/>
              </w:rPr>
              <w:t xml:space="preserve"> patients who received a treatment to which they are not susceptible</w:t>
            </w:r>
          </w:p>
        </w:tc>
        <w:tc>
          <w:tcPr>
            <w:tcW w:w="1106" w:type="dxa"/>
            <w:shd w:val="clear" w:color="auto" w:fill="auto"/>
          </w:tcPr>
          <w:p w14:paraId="2489594A"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0.233</w:t>
            </w:r>
          </w:p>
        </w:tc>
        <w:tc>
          <w:tcPr>
            <w:tcW w:w="2410" w:type="dxa"/>
            <w:shd w:val="clear" w:color="auto" w:fill="auto"/>
          </w:tcPr>
          <w:p w14:paraId="44332D25"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7A57C64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70B9DC18" w14:textId="77777777" w:rsidTr="004A4B7C">
        <w:tc>
          <w:tcPr>
            <w:tcW w:w="1271" w:type="dxa"/>
            <w:shd w:val="clear" w:color="auto" w:fill="auto"/>
          </w:tcPr>
          <w:p w14:paraId="235A5DC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5CCC9892"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_HDU_</w:t>
            </w:r>
            <w:r w:rsidRPr="004A4B7C">
              <w:rPr>
                <w:rFonts w:ascii="Times New Roman" w:eastAsiaTheme="minorHAnsi" w:hAnsi="Times New Roman" w:cs="Times New Roman"/>
                <w:b w:val="0"/>
                <w:bCs w:val="0"/>
                <w:sz w:val="20"/>
                <w:szCs w:val="20"/>
              </w:rPr>
              <w:t>MDS_</w:t>
            </w:r>
            <w:r w:rsidRPr="004A4B7C">
              <w:rPr>
                <w:rFonts w:ascii="Times New Roman" w:hAnsi="Times New Roman" w:cs="Times New Roman"/>
                <w:b w:val="0"/>
                <w:sz w:val="20"/>
                <w:szCs w:val="20"/>
              </w:rPr>
              <w:t>S</w:t>
            </w:r>
            <w:proofErr w:type="spellEnd"/>
          </w:p>
        </w:tc>
        <w:tc>
          <w:tcPr>
            <w:tcW w:w="4706" w:type="dxa"/>
            <w:shd w:val="clear" w:color="auto" w:fill="auto"/>
          </w:tcPr>
          <w:p w14:paraId="30060DD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Proportion of time in hospital in HDU for </w:t>
            </w:r>
            <w:proofErr w:type="spellStart"/>
            <w:r w:rsidRPr="004A4B7C">
              <w:rPr>
                <w:rFonts w:ascii="Times New Roman" w:eastAsiaTheme="minorHAnsi" w:hAnsi="Times New Roman" w:cs="Times New Roman"/>
                <w:b w:val="0"/>
                <w:bCs w:val="0"/>
                <w:sz w:val="20"/>
                <w:szCs w:val="20"/>
              </w:rPr>
              <w:t>cUTI</w:t>
            </w:r>
            <w:proofErr w:type="spellEnd"/>
            <w:r w:rsidRPr="004A4B7C">
              <w:rPr>
                <w:rFonts w:ascii="Times New Roman" w:eastAsiaTheme="minorHAnsi" w:hAnsi="Times New Roman" w:cs="Times New Roman"/>
                <w:b w:val="0"/>
                <w:bCs w:val="0"/>
                <w:sz w:val="20"/>
                <w:szCs w:val="20"/>
              </w:rPr>
              <w:t xml:space="preserve"> patients who received a treatment to which they are susceptible </w:t>
            </w:r>
          </w:p>
        </w:tc>
        <w:tc>
          <w:tcPr>
            <w:tcW w:w="1106" w:type="dxa"/>
            <w:shd w:val="clear" w:color="auto" w:fill="auto"/>
          </w:tcPr>
          <w:p w14:paraId="734E44DA"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0.170</w:t>
            </w:r>
          </w:p>
        </w:tc>
        <w:tc>
          <w:tcPr>
            <w:tcW w:w="2410" w:type="dxa"/>
            <w:shd w:val="clear" w:color="auto" w:fill="auto"/>
          </w:tcPr>
          <w:p w14:paraId="1CB4452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4ACE8B1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00F913CC" w14:textId="77777777" w:rsidTr="004A4B7C">
        <w:tc>
          <w:tcPr>
            <w:tcW w:w="1271" w:type="dxa"/>
            <w:shd w:val="clear" w:color="auto" w:fill="auto"/>
          </w:tcPr>
          <w:p w14:paraId="253D8B84"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451E181A"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_HDU_</w:t>
            </w:r>
            <w:r w:rsidRPr="004A4B7C">
              <w:rPr>
                <w:rFonts w:ascii="Times New Roman" w:eastAsiaTheme="minorHAnsi" w:hAnsi="Times New Roman" w:cs="Times New Roman"/>
                <w:b w:val="0"/>
                <w:bCs w:val="0"/>
                <w:sz w:val="20"/>
                <w:szCs w:val="20"/>
              </w:rPr>
              <w:t>MDS_nonS</w:t>
            </w:r>
            <w:proofErr w:type="spellEnd"/>
          </w:p>
        </w:tc>
        <w:tc>
          <w:tcPr>
            <w:tcW w:w="4706" w:type="dxa"/>
            <w:shd w:val="clear" w:color="auto" w:fill="auto"/>
          </w:tcPr>
          <w:p w14:paraId="2E8F6C6C"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Proportion of time in hospital in HDU for </w:t>
            </w:r>
            <w:proofErr w:type="spellStart"/>
            <w:r w:rsidRPr="004A4B7C">
              <w:rPr>
                <w:rFonts w:ascii="Times New Roman" w:eastAsiaTheme="minorHAnsi" w:hAnsi="Times New Roman" w:cs="Times New Roman"/>
                <w:b w:val="0"/>
                <w:bCs w:val="0"/>
                <w:sz w:val="20"/>
                <w:szCs w:val="20"/>
              </w:rPr>
              <w:t>cUTI</w:t>
            </w:r>
            <w:proofErr w:type="spellEnd"/>
            <w:r w:rsidRPr="004A4B7C">
              <w:rPr>
                <w:rFonts w:ascii="Times New Roman" w:eastAsiaTheme="minorHAnsi" w:hAnsi="Times New Roman" w:cs="Times New Roman"/>
                <w:b w:val="0"/>
                <w:bCs w:val="0"/>
                <w:sz w:val="20"/>
                <w:szCs w:val="20"/>
              </w:rPr>
              <w:t xml:space="preserve"> patients who received a treatment to which they are not susceptible</w:t>
            </w:r>
          </w:p>
        </w:tc>
        <w:tc>
          <w:tcPr>
            <w:tcW w:w="1106" w:type="dxa"/>
            <w:shd w:val="clear" w:color="auto" w:fill="auto"/>
          </w:tcPr>
          <w:p w14:paraId="4F3F2FF1"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0.183</w:t>
            </w:r>
          </w:p>
        </w:tc>
        <w:tc>
          <w:tcPr>
            <w:tcW w:w="2410" w:type="dxa"/>
            <w:shd w:val="clear" w:color="auto" w:fill="auto"/>
          </w:tcPr>
          <w:p w14:paraId="461F200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331D2AA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52A12BDF" w14:textId="77777777" w:rsidTr="004A4B7C">
        <w:tc>
          <w:tcPr>
            <w:tcW w:w="1271" w:type="dxa"/>
            <w:shd w:val="clear" w:color="auto" w:fill="auto"/>
          </w:tcPr>
          <w:p w14:paraId="6E791A2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36ED27F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los_prior_ast</w:t>
            </w:r>
            <w:proofErr w:type="spellEnd"/>
          </w:p>
        </w:tc>
        <w:tc>
          <w:tcPr>
            <w:tcW w:w="4706" w:type="dxa"/>
            <w:shd w:val="clear" w:color="auto" w:fill="auto"/>
          </w:tcPr>
          <w:p w14:paraId="43239715"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highlight w:val="green"/>
              </w:rPr>
            </w:pPr>
            <w:r w:rsidRPr="004A4B7C">
              <w:rPr>
                <w:rFonts w:ascii="Times New Roman" w:eastAsiaTheme="minorHAnsi" w:hAnsi="Times New Roman" w:cs="Times New Roman"/>
                <w:b w:val="0"/>
                <w:bCs w:val="0"/>
                <w:sz w:val="20"/>
                <w:szCs w:val="20"/>
              </w:rPr>
              <w:t>Time from empiric treatment initiation to receiving microbiology results (days)</w:t>
            </w:r>
          </w:p>
        </w:tc>
        <w:tc>
          <w:tcPr>
            <w:tcW w:w="1106" w:type="dxa"/>
            <w:shd w:val="clear" w:color="auto" w:fill="auto"/>
          </w:tcPr>
          <w:p w14:paraId="4767E4BC"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highlight w:val="green"/>
              </w:rPr>
            </w:pPr>
            <w:r w:rsidRPr="004A4B7C">
              <w:rPr>
                <w:rFonts w:ascii="Times New Roman" w:eastAsiaTheme="minorHAnsi" w:hAnsi="Times New Roman" w:cs="Times New Roman"/>
                <w:b w:val="0"/>
                <w:bCs w:val="0"/>
                <w:sz w:val="20"/>
                <w:szCs w:val="20"/>
              </w:rPr>
              <w:t>5**</w:t>
            </w:r>
          </w:p>
        </w:tc>
        <w:tc>
          <w:tcPr>
            <w:tcW w:w="2410" w:type="dxa"/>
            <w:shd w:val="clear" w:color="auto" w:fill="auto"/>
          </w:tcPr>
          <w:p w14:paraId="77BECD8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highlight w:val="green"/>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6DE0581C" w14:textId="7A9D89B3" w:rsidR="00A4788F" w:rsidRPr="004A4B7C" w:rsidRDefault="00A4788F" w:rsidP="00C83FB7">
            <w:pPr>
              <w:pStyle w:val="EEPRUNumberedHeading"/>
              <w:numPr>
                <w:ilvl w:val="0"/>
                <w:numId w:val="0"/>
              </w:numPr>
              <w:spacing w:before="0"/>
              <w:rPr>
                <w:rFonts w:ascii="Times New Roman" w:eastAsiaTheme="minorHAnsi" w:hAnsi="Times New Roman" w:cs="Times New Roman"/>
                <w:b w:val="0"/>
                <w:bCs w:val="0"/>
                <w:sz w:val="20"/>
                <w:szCs w:val="20"/>
                <w:highlight w:val="green"/>
              </w:rPr>
            </w:pPr>
            <w:r w:rsidRPr="004A4B7C">
              <w:rPr>
                <w:rFonts w:ascii="Times New Roman" w:eastAsiaTheme="minorHAnsi" w:hAnsi="Times New Roman" w:cs="Times New Roman"/>
                <w:b w:val="0"/>
                <w:bCs w:val="0"/>
                <w:sz w:val="20"/>
                <w:szCs w:val="20"/>
              </w:rPr>
              <w:t>CARBAR</w:t>
            </w:r>
            <w:r w:rsidR="00A83123" w:rsidRPr="004A4B7C">
              <w:rPr>
                <w:rFonts w:ascii="Times New Roman" w:eastAsiaTheme="minorHAnsi" w:hAnsi="Times New Roman" w:cs="Times New Roman"/>
                <w:b w:val="0"/>
                <w:bCs w:val="0"/>
                <w:noProof/>
                <w:sz w:val="20"/>
                <w:szCs w:val="20"/>
                <w:vertAlign w:val="superscript"/>
              </w:rPr>
              <w:t>96</w:t>
            </w:r>
          </w:p>
        </w:tc>
      </w:tr>
      <w:tr w:rsidR="00A4788F" w:rsidRPr="004A4B7C" w14:paraId="458D69C5" w14:textId="77777777" w:rsidTr="004A4B7C">
        <w:tc>
          <w:tcPr>
            <w:tcW w:w="1271" w:type="dxa"/>
            <w:shd w:val="clear" w:color="auto" w:fill="auto"/>
          </w:tcPr>
          <w:p w14:paraId="0C1CF40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4DCAD7E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los_txsucc1</w:t>
            </w:r>
          </w:p>
        </w:tc>
        <w:tc>
          <w:tcPr>
            <w:tcW w:w="4706" w:type="dxa"/>
            <w:shd w:val="clear" w:color="auto" w:fill="auto"/>
          </w:tcPr>
          <w:p w14:paraId="79CABD6B" w14:textId="1EBDE340" w:rsidR="00A4788F" w:rsidRPr="004A4B7C" w:rsidRDefault="00A4788F" w:rsidP="00774411">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Relative reduction in </w:t>
            </w:r>
            <w:r w:rsidR="005B4EB8">
              <w:rPr>
                <w:rFonts w:ascii="Times New Roman" w:eastAsiaTheme="minorHAnsi" w:hAnsi="Times New Roman" w:cs="Times New Roman"/>
                <w:b w:val="0"/>
                <w:bCs w:val="0"/>
                <w:sz w:val="20"/>
                <w:szCs w:val="20"/>
              </w:rPr>
              <w:t>LOS</w:t>
            </w:r>
            <w:r w:rsidRPr="004A4B7C">
              <w:rPr>
                <w:rFonts w:ascii="Times New Roman" w:eastAsiaTheme="minorHAnsi" w:hAnsi="Times New Roman" w:cs="Times New Roman"/>
                <w:b w:val="0"/>
                <w:bCs w:val="0"/>
                <w:sz w:val="20"/>
                <w:szCs w:val="20"/>
              </w:rPr>
              <w:t xml:space="preserve"> for patients not requiring further treatment</w:t>
            </w:r>
          </w:p>
        </w:tc>
        <w:tc>
          <w:tcPr>
            <w:tcW w:w="1106" w:type="dxa"/>
            <w:shd w:val="clear" w:color="auto" w:fill="auto"/>
          </w:tcPr>
          <w:p w14:paraId="71D1AAA7"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0.503</w:t>
            </w:r>
          </w:p>
        </w:tc>
        <w:tc>
          <w:tcPr>
            <w:tcW w:w="2410" w:type="dxa"/>
            <w:shd w:val="clear" w:color="auto" w:fill="auto"/>
          </w:tcPr>
          <w:p w14:paraId="138CC16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19E371B2" w14:textId="4FD3FE56" w:rsidR="00A4788F" w:rsidRPr="004A4B7C" w:rsidRDefault="00A4788F" w:rsidP="00C83FB7">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Muscedere</w:t>
            </w:r>
            <w:proofErr w:type="spellEnd"/>
            <w:r w:rsidRPr="004A4B7C">
              <w:rPr>
                <w:rFonts w:ascii="Times New Roman" w:eastAsiaTheme="minorHAnsi" w:hAnsi="Times New Roman" w:cs="Times New Roman"/>
                <w:b w:val="0"/>
                <w:bCs w:val="0"/>
                <w:sz w:val="20"/>
                <w:szCs w:val="20"/>
              </w:rPr>
              <w:t xml:space="preserve"> 2012</w:t>
            </w:r>
            <w:r w:rsidR="00A83123" w:rsidRPr="004A4B7C">
              <w:rPr>
                <w:rFonts w:ascii="Times New Roman" w:eastAsiaTheme="minorHAnsi" w:hAnsi="Times New Roman" w:cs="Times New Roman"/>
                <w:b w:val="0"/>
                <w:bCs w:val="0"/>
                <w:noProof/>
                <w:sz w:val="20"/>
                <w:szCs w:val="20"/>
                <w:vertAlign w:val="superscript"/>
              </w:rPr>
              <w:t>102</w:t>
            </w:r>
          </w:p>
        </w:tc>
      </w:tr>
      <w:tr w:rsidR="00A4788F" w:rsidRPr="004A4B7C" w14:paraId="1D487A47" w14:textId="77777777" w:rsidTr="004A4B7C">
        <w:tc>
          <w:tcPr>
            <w:tcW w:w="1271" w:type="dxa"/>
            <w:shd w:val="clear" w:color="auto" w:fill="auto"/>
          </w:tcPr>
          <w:p w14:paraId="5D1F759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1AEE351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hAnsi="Times New Roman" w:cs="Times New Roman"/>
                <w:b w:val="0"/>
                <w:sz w:val="20"/>
                <w:szCs w:val="20"/>
              </w:rPr>
              <w:t>LOS_ES_success</w:t>
            </w:r>
            <w:proofErr w:type="spellEnd"/>
          </w:p>
        </w:tc>
        <w:tc>
          <w:tcPr>
            <w:tcW w:w="4706" w:type="dxa"/>
            <w:shd w:val="clear" w:color="auto" w:fill="auto"/>
          </w:tcPr>
          <w:p w14:paraId="3F76642E" w14:textId="75C3DE92" w:rsidR="00A4788F" w:rsidRPr="004A4B7C" w:rsidRDefault="005B4EB8" w:rsidP="004A4B7C">
            <w:pPr>
              <w:pStyle w:val="EEPRUNumberedHeading"/>
              <w:numPr>
                <w:ilvl w:val="0"/>
                <w:numId w:val="0"/>
              </w:numPr>
              <w:spacing w:before="0"/>
              <w:rPr>
                <w:rFonts w:ascii="Times New Roman" w:eastAsiaTheme="minorHAnsi" w:hAnsi="Times New Roman" w:cs="Times New Roman"/>
                <w:b w:val="0"/>
                <w:bCs w:val="0"/>
                <w:sz w:val="20"/>
                <w:szCs w:val="20"/>
              </w:rPr>
            </w:pPr>
            <w:r>
              <w:rPr>
                <w:rFonts w:ascii="Times New Roman" w:eastAsiaTheme="minorHAnsi" w:hAnsi="Times New Roman" w:cs="Times New Roman"/>
                <w:b w:val="0"/>
                <w:bCs w:val="0"/>
                <w:sz w:val="20"/>
                <w:szCs w:val="20"/>
              </w:rPr>
              <w:t>LOS</w:t>
            </w:r>
            <w:r w:rsidR="00A4788F" w:rsidRPr="004A4B7C">
              <w:rPr>
                <w:rFonts w:ascii="Times New Roman" w:eastAsiaTheme="minorHAnsi" w:hAnsi="Times New Roman" w:cs="Times New Roman"/>
                <w:b w:val="0"/>
                <w:bCs w:val="0"/>
                <w:sz w:val="20"/>
                <w:szCs w:val="20"/>
              </w:rPr>
              <w:t xml:space="preserve"> in empiric setting for patients not requiring further treatment (days)</w:t>
            </w:r>
          </w:p>
        </w:tc>
        <w:tc>
          <w:tcPr>
            <w:tcW w:w="1106" w:type="dxa"/>
            <w:shd w:val="clear" w:color="auto" w:fill="auto"/>
          </w:tcPr>
          <w:p w14:paraId="3BEE097C"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12.8</w:t>
            </w:r>
          </w:p>
        </w:tc>
        <w:tc>
          <w:tcPr>
            <w:tcW w:w="2410" w:type="dxa"/>
            <w:shd w:val="clear" w:color="auto" w:fill="auto"/>
          </w:tcPr>
          <w:p w14:paraId="35EEAC8B" w14:textId="763E7C73"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Assume uncertainty as </w:t>
            </w:r>
            <w:proofErr w:type="gramStart"/>
            <w:r w:rsidRPr="004A4B7C">
              <w:rPr>
                <w:rFonts w:ascii="Times New Roman" w:eastAsiaTheme="minorHAnsi" w:hAnsi="Times New Roman" w:cs="Times New Roman"/>
                <w:b w:val="0"/>
                <w:bCs w:val="0"/>
                <w:sz w:val="20"/>
                <w:szCs w:val="20"/>
              </w:rPr>
              <w:t xml:space="preserve">for  </w:t>
            </w:r>
            <w:r w:rsidR="005B4EB8">
              <w:rPr>
                <w:rFonts w:ascii="Times New Roman" w:eastAsiaTheme="minorHAnsi" w:hAnsi="Times New Roman" w:cs="Times New Roman"/>
                <w:b w:val="0"/>
                <w:bCs w:val="0"/>
                <w:sz w:val="20"/>
                <w:szCs w:val="20"/>
              </w:rPr>
              <w:t>LOS</w:t>
            </w:r>
            <w:proofErr w:type="gramEnd"/>
            <w:r w:rsidRPr="004A4B7C">
              <w:rPr>
                <w:rFonts w:ascii="Times New Roman" w:eastAsiaTheme="minorHAnsi" w:hAnsi="Times New Roman" w:cs="Times New Roman"/>
                <w:b w:val="0"/>
                <w:bCs w:val="0"/>
                <w:sz w:val="20"/>
                <w:szCs w:val="20"/>
              </w:rPr>
              <w:t xml:space="preserve"> HAPVAP_MDS_S, with fixed time to MDS (5 days) and relative reduction in LOS (0.503)</w:t>
            </w:r>
          </w:p>
        </w:tc>
        <w:tc>
          <w:tcPr>
            <w:tcW w:w="2835" w:type="dxa"/>
            <w:shd w:val="clear" w:color="auto" w:fill="auto"/>
          </w:tcPr>
          <w:p w14:paraId="205E29D0" w14:textId="7D7B8021"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Derived from structured expert elicitation and </w:t>
            </w:r>
            <w:proofErr w:type="spellStart"/>
            <w:r w:rsidRPr="004A4B7C">
              <w:rPr>
                <w:rFonts w:ascii="Times New Roman" w:eastAsiaTheme="minorHAnsi" w:hAnsi="Times New Roman" w:cs="Times New Roman"/>
                <w:b w:val="0"/>
                <w:bCs w:val="0"/>
                <w:sz w:val="20"/>
                <w:szCs w:val="20"/>
              </w:rPr>
              <w:t>Muscedere</w:t>
            </w:r>
            <w:proofErr w:type="spellEnd"/>
            <w:r w:rsidRPr="004A4B7C">
              <w:rPr>
                <w:rFonts w:ascii="Times New Roman" w:eastAsiaTheme="minorHAnsi" w:hAnsi="Times New Roman" w:cs="Times New Roman"/>
                <w:b w:val="0"/>
                <w:bCs w:val="0"/>
                <w:sz w:val="20"/>
                <w:szCs w:val="20"/>
              </w:rPr>
              <w:t xml:space="preserve"> 2012</w:t>
            </w:r>
            <w:r w:rsidR="00A83123" w:rsidRPr="004A4B7C">
              <w:rPr>
                <w:rFonts w:ascii="Times New Roman" w:eastAsiaTheme="minorHAnsi" w:hAnsi="Times New Roman" w:cs="Times New Roman"/>
                <w:b w:val="0"/>
                <w:bCs w:val="0"/>
                <w:noProof/>
                <w:sz w:val="20"/>
                <w:szCs w:val="20"/>
                <w:vertAlign w:val="superscript"/>
              </w:rPr>
              <w:t>102</w:t>
            </w:r>
          </w:p>
          <w:p w14:paraId="5776D7D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w:t>
            </w:r>
          </w:p>
          <w:p w14:paraId="0542632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
          <w:p w14:paraId="4797955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
        </w:tc>
      </w:tr>
      <w:tr w:rsidR="00A4788F" w:rsidRPr="004A4B7C" w14:paraId="134B61C9" w14:textId="77777777" w:rsidTr="004A4B7C">
        <w:tc>
          <w:tcPr>
            <w:tcW w:w="1271" w:type="dxa"/>
            <w:shd w:val="clear" w:color="auto" w:fill="auto"/>
          </w:tcPr>
          <w:p w14:paraId="0087C99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744C75F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p_</w:t>
            </w:r>
            <w:r w:rsidRPr="004A4B7C">
              <w:rPr>
                <w:rFonts w:ascii="Times New Roman" w:hAnsi="Times New Roman" w:cs="Times New Roman"/>
                <w:b w:val="0"/>
                <w:sz w:val="20"/>
                <w:szCs w:val="20"/>
              </w:rPr>
              <w:t>ICU_</w:t>
            </w:r>
            <w:r w:rsidRPr="004A4B7C">
              <w:rPr>
                <w:rFonts w:ascii="Times New Roman" w:eastAsiaTheme="minorHAnsi" w:hAnsi="Times New Roman" w:cs="Times New Roman"/>
                <w:b w:val="0"/>
                <w:bCs w:val="0"/>
                <w:sz w:val="20"/>
                <w:szCs w:val="20"/>
              </w:rPr>
              <w:t>tx_succ1</w:t>
            </w:r>
          </w:p>
        </w:tc>
        <w:tc>
          <w:tcPr>
            <w:tcW w:w="4706" w:type="dxa"/>
            <w:shd w:val="clear" w:color="auto" w:fill="auto"/>
          </w:tcPr>
          <w:p w14:paraId="3457ABE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time in ICU following receipt of empiric treatment for patients not requiring further treatment</w:t>
            </w:r>
          </w:p>
        </w:tc>
        <w:tc>
          <w:tcPr>
            <w:tcW w:w="1106" w:type="dxa"/>
            <w:shd w:val="clear" w:color="auto" w:fill="auto"/>
          </w:tcPr>
          <w:p w14:paraId="226B84E2"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0.300***</w:t>
            </w:r>
          </w:p>
        </w:tc>
        <w:tc>
          <w:tcPr>
            <w:tcW w:w="2410" w:type="dxa"/>
            <w:shd w:val="clear" w:color="auto" w:fill="auto"/>
          </w:tcPr>
          <w:p w14:paraId="11D5872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47AEADB9" w14:textId="5C23FD9A" w:rsidR="00A4788F" w:rsidRPr="004A4B7C" w:rsidRDefault="00A4788F" w:rsidP="00C83FB7">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Derived from </w:t>
            </w:r>
            <w:proofErr w:type="spellStart"/>
            <w:r w:rsidRPr="004A4B7C">
              <w:rPr>
                <w:rFonts w:ascii="Times New Roman" w:eastAsiaTheme="minorHAnsi" w:hAnsi="Times New Roman" w:cs="Times New Roman"/>
                <w:b w:val="0"/>
                <w:bCs w:val="0"/>
                <w:sz w:val="20"/>
                <w:szCs w:val="20"/>
              </w:rPr>
              <w:t>Muscedere</w:t>
            </w:r>
            <w:proofErr w:type="spellEnd"/>
            <w:r w:rsidRPr="004A4B7C">
              <w:rPr>
                <w:rFonts w:ascii="Times New Roman" w:eastAsiaTheme="minorHAnsi" w:hAnsi="Times New Roman" w:cs="Times New Roman"/>
                <w:b w:val="0"/>
                <w:bCs w:val="0"/>
                <w:sz w:val="20"/>
                <w:szCs w:val="20"/>
              </w:rPr>
              <w:t xml:space="preserve"> 2012</w:t>
            </w:r>
            <w:r w:rsidR="00A83123" w:rsidRPr="004A4B7C">
              <w:rPr>
                <w:rFonts w:ascii="Times New Roman" w:eastAsiaTheme="minorHAnsi" w:hAnsi="Times New Roman" w:cs="Times New Roman"/>
                <w:b w:val="0"/>
                <w:bCs w:val="0"/>
                <w:noProof/>
                <w:sz w:val="20"/>
                <w:szCs w:val="20"/>
                <w:vertAlign w:val="superscript"/>
              </w:rPr>
              <w:t>102</w:t>
            </w:r>
          </w:p>
        </w:tc>
      </w:tr>
      <w:tr w:rsidR="00A4788F" w:rsidRPr="004A4B7C" w14:paraId="0CF282FB" w14:textId="77777777" w:rsidTr="004A4B7C">
        <w:tc>
          <w:tcPr>
            <w:tcW w:w="1271" w:type="dxa"/>
            <w:shd w:val="clear" w:color="auto" w:fill="auto"/>
          </w:tcPr>
          <w:p w14:paraId="4DF30BC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0016934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los</w:t>
            </w:r>
            <w:r w:rsidRPr="004A4B7C">
              <w:rPr>
                <w:rFonts w:ascii="Times New Roman" w:hAnsi="Times New Roman" w:cs="Times New Roman"/>
                <w:b w:val="0"/>
                <w:sz w:val="20"/>
                <w:szCs w:val="20"/>
              </w:rPr>
              <w:t>_MDS_S</w:t>
            </w:r>
            <w:proofErr w:type="spellEnd"/>
          </w:p>
        </w:tc>
        <w:tc>
          <w:tcPr>
            <w:tcW w:w="4706" w:type="dxa"/>
            <w:shd w:val="clear" w:color="auto" w:fill="auto"/>
          </w:tcPr>
          <w:p w14:paraId="7D1CCC0D" w14:textId="563939E4" w:rsidR="00A4788F" w:rsidRPr="004A4B7C" w:rsidRDefault="005B4EB8" w:rsidP="004A4B7C">
            <w:pPr>
              <w:pStyle w:val="EEPRUNumberedHeading"/>
              <w:numPr>
                <w:ilvl w:val="0"/>
                <w:numId w:val="0"/>
              </w:numPr>
              <w:spacing w:before="0"/>
              <w:rPr>
                <w:rFonts w:ascii="Times New Roman" w:eastAsiaTheme="minorHAnsi" w:hAnsi="Times New Roman" w:cs="Times New Roman"/>
                <w:b w:val="0"/>
                <w:bCs w:val="0"/>
                <w:sz w:val="20"/>
                <w:szCs w:val="20"/>
              </w:rPr>
            </w:pPr>
            <w:r>
              <w:rPr>
                <w:rFonts w:ascii="Times New Roman" w:eastAsiaTheme="minorHAnsi" w:hAnsi="Times New Roman" w:cs="Times New Roman"/>
                <w:b w:val="0"/>
                <w:bCs w:val="0"/>
                <w:sz w:val="20"/>
                <w:szCs w:val="20"/>
              </w:rPr>
              <w:t>LOS</w:t>
            </w:r>
            <w:r w:rsidR="00A4788F" w:rsidRPr="004A4B7C">
              <w:rPr>
                <w:rFonts w:ascii="Times New Roman" w:eastAsiaTheme="minorHAnsi" w:hAnsi="Times New Roman" w:cs="Times New Roman"/>
                <w:b w:val="0"/>
                <w:bCs w:val="0"/>
                <w:sz w:val="20"/>
                <w:szCs w:val="20"/>
              </w:rPr>
              <w:t xml:space="preserve"> following treatment in the MDS for HAP/VAP patients who received a treatment to which they are susceptible (days)</w:t>
            </w:r>
          </w:p>
        </w:tc>
        <w:tc>
          <w:tcPr>
            <w:tcW w:w="1106" w:type="dxa"/>
            <w:shd w:val="clear" w:color="auto" w:fill="auto"/>
          </w:tcPr>
          <w:p w14:paraId="54CD16F1"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20.4</w:t>
            </w:r>
          </w:p>
        </w:tc>
        <w:tc>
          <w:tcPr>
            <w:tcW w:w="2410" w:type="dxa"/>
            <w:shd w:val="clear" w:color="auto" w:fill="auto"/>
          </w:tcPr>
          <w:p w14:paraId="5AF60BB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Lnorm</w:t>
            </w:r>
            <w:proofErr w:type="spellEnd"/>
            <w:r w:rsidRPr="004A4B7C">
              <w:rPr>
                <w:rFonts w:ascii="Times New Roman" w:eastAsiaTheme="minorHAnsi" w:hAnsi="Times New Roman" w:cs="Times New Roman"/>
                <w:b w:val="0"/>
                <w:bCs w:val="0"/>
                <w:sz w:val="20"/>
                <w:szCs w:val="20"/>
              </w:rPr>
              <w:t xml:space="preserve"> (2.971, 0.298)</w:t>
            </w:r>
          </w:p>
          <w:p w14:paraId="2C2C687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95% CI: (10.88 to 34.97)</w:t>
            </w:r>
          </w:p>
        </w:tc>
        <w:tc>
          <w:tcPr>
            <w:tcW w:w="2835" w:type="dxa"/>
            <w:shd w:val="clear" w:color="auto" w:fill="auto"/>
          </w:tcPr>
          <w:p w14:paraId="3EB04FC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Structured expert elicitation</w:t>
            </w:r>
          </w:p>
        </w:tc>
      </w:tr>
      <w:tr w:rsidR="00A4788F" w:rsidRPr="004A4B7C" w14:paraId="185A9F5A" w14:textId="77777777" w:rsidTr="004A4B7C">
        <w:tc>
          <w:tcPr>
            <w:tcW w:w="1271" w:type="dxa"/>
            <w:shd w:val="clear" w:color="auto" w:fill="auto"/>
          </w:tcPr>
          <w:p w14:paraId="4E97954C"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lastRenderedPageBreak/>
              <w:t>HAP/VAP</w:t>
            </w:r>
          </w:p>
        </w:tc>
        <w:tc>
          <w:tcPr>
            <w:tcW w:w="2268" w:type="dxa"/>
            <w:shd w:val="clear" w:color="auto" w:fill="auto"/>
          </w:tcPr>
          <w:p w14:paraId="284774B4"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los</w:t>
            </w:r>
            <w:r w:rsidRPr="004A4B7C">
              <w:rPr>
                <w:rFonts w:ascii="Times New Roman" w:hAnsi="Times New Roman" w:cs="Times New Roman"/>
                <w:b w:val="0"/>
                <w:sz w:val="20"/>
                <w:szCs w:val="20"/>
              </w:rPr>
              <w:t>_MDS_</w:t>
            </w:r>
            <w:r w:rsidRPr="004A4B7C">
              <w:rPr>
                <w:rFonts w:ascii="Times New Roman" w:eastAsiaTheme="minorHAnsi" w:hAnsi="Times New Roman" w:cs="Times New Roman"/>
                <w:b w:val="0"/>
                <w:bCs w:val="0"/>
                <w:sz w:val="20"/>
                <w:szCs w:val="20"/>
              </w:rPr>
              <w:t>nonS</w:t>
            </w:r>
            <w:proofErr w:type="spellEnd"/>
          </w:p>
        </w:tc>
        <w:tc>
          <w:tcPr>
            <w:tcW w:w="4706" w:type="dxa"/>
            <w:shd w:val="clear" w:color="auto" w:fill="auto"/>
          </w:tcPr>
          <w:p w14:paraId="5854ED0A" w14:textId="6C6ED23E" w:rsidR="00A4788F" w:rsidRPr="004A4B7C" w:rsidRDefault="005B4EB8" w:rsidP="004A4B7C">
            <w:pPr>
              <w:pStyle w:val="EEPRUNumberedHeading"/>
              <w:numPr>
                <w:ilvl w:val="0"/>
                <w:numId w:val="0"/>
              </w:numPr>
              <w:spacing w:before="0"/>
              <w:rPr>
                <w:rFonts w:ascii="Times New Roman" w:eastAsiaTheme="minorHAnsi" w:hAnsi="Times New Roman" w:cs="Times New Roman"/>
                <w:b w:val="0"/>
                <w:bCs w:val="0"/>
                <w:sz w:val="20"/>
                <w:szCs w:val="20"/>
              </w:rPr>
            </w:pPr>
            <w:r>
              <w:rPr>
                <w:rFonts w:ascii="Times New Roman" w:eastAsiaTheme="minorHAnsi" w:hAnsi="Times New Roman" w:cs="Times New Roman"/>
                <w:b w:val="0"/>
                <w:bCs w:val="0"/>
                <w:sz w:val="20"/>
                <w:szCs w:val="20"/>
              </w:rPr>
              <w:t>LOS</w:t>
            </w:r>
            <w:r w:rsidR="00A4788F" w:rsidRPr="004A4B7C">
              <w:rPr>
                <w:rFonts w:ascii="Times New Roman" w:eastAsiaTheme="minorHAnsi" w:hAnsi="Times New Roman" w:cs="Times New Roman"/>
                <w:b w:val="0"/>
                <w:bCs w:val="0"/>
                <w:sz w:val="20"/>
                <w:szCs w:val="20"/>
              </w:rPr>
              <w:t xml:space="preserve"> following treatment in the MDS for HAP/VAP patients who received a treatment to which they are not susceptible (days)</w:t>
            </w:r>
          </w:p>
        </w:tc>
        <w:tc>
          <w:tcPr>
            <w:tcW w:w="1106" w:type="dxa"/>
            <w:shd w:val="clear" w:color="auto" w:fill="auto"/>
          </w:tcPr>
          <w:p w14:paraId="4D1675B1"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24.3</w:t>
            </w:r>
          </w:p>
        </w:tc>
        <w:tc>
          <w:tcPr>
            <w:tcW w:w="2410" w:type="dxa"/>
            <w:shd w:val="clear" w:color="auto" w:fill="auto"/>
          </w:tcPr>
          <w:p w14:paraId="71ADF81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Lnorm</w:t>
            </w:r>
            <w:proofErr w:type="spellEnd"/>
            <w:r w:rsidRPr="004A4B7C">
              <w:rPr>
                <w:rFonts w:ascii="Times New Roman" w:eastAsiaTheme="minorHAnsi" w:hAnsi="Times New Roman" w:cs="Times New Roman"/>
                <w:b w:val="0"/>
                <w:bCs w:val="0"/>
                <w:sz w:val="20"/>
                <w:szCs w:val="20"/>
              </w:rPr>
              <w:t xml:space="preserve"> (3.118, 0.380)</w:t>
            </w:r>
          </w:p>
          <w:p w14:paraId="3A128C2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95% CI: (10.73 to 47.63)</w:t>
            </w:r>
          </w:p>
        </w:tc>
        <w:tc>
          <w:tcPr>
            <w:tcW w:w="2835" w:type="dxa"/>
            <w:shd w:val="clear" w:color="auto" w:fill="auto"/>
          </w:tcPr>
          <w:p w14:paraId="749878A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63D080E3" w14:textId="77777777" w:rsidTr="004A4B7C">
        <w:tc>
          <w:tcPr>
            <w:tcW w:w="1271" w:type="dxa"/>
            <w:shd w:val="clear" w:color="auto" w:fill="auto"/>
          </w:tcPr>
          <w:p w14:paraId="67A0082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01658C7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_ICU_</w:t>
            </w:r>
            <w:r w:rsidRPr="004A4B7C">
              <w:rPr>
                <w:rFonts w:ascii="Times New Roman" w:eastAsiaTheme="minorHAnsi" w:hAnsi="Times New Roman" w:cs="Times New Roman"/>
                <w:b w:val="0"/>
                <w:bCs w:val="0"/>
                <w:sz w:val="20"/>
                <w:szCs w:val="20"/>
              </w:rPr>
              <w:t>MDS_</w:t>
            </w:r>
            <w:r w:rsidRPr="004A4B7C">
              <w:rPr>
                <w:rFonts w:ascii="Times New Roman" w:hAnsi="Times New Roman" w:cs="Times New Roman"/>
                <w:b w:val="0"/>
                <w:sz w:val="20"/>
                <w:szCs w:val="20"/>
              </w:rPr>
              <w:t>S</w:t>
            </w:r>
            <w:proofErr w:type="spellEnd"/>
          </w:p>
        </w:tc>
        <w:tc>
          <w:tcPr>
            <w:tcW w:w="4706" w:type="dxa"/>
            <w:shd w:val="clear" w:color="auto" w:fill="auto"/>
          </w:tcPr>
          <w:p w14:paraId="2FC9C7CF"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Proportion of time in hospital in ICU for HAP/VAP patients who received a treatment to which they are susceptible </w:t>
            </w:r>
          </w:p>
        </w:tc>
        <w:tc>
          <w:tcPr>
            <w:tcW w:w="1106" w:type="dxa"/>
            <w:shd w:val="clear" w:color="auto" w:fill="auto"/>
          </w:tcPr>
          <w:p w14:paraId="6B03143C"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0.499</w:t>
            </w:r>
          </w:p>
        </w:tc>
        <w:tc>
          <w:tcPr>
            <w:tcW w:w="2410" w:type="dxa"/>
            <w:shd w:val="clear" w:color="auto" w:fill="auto"/>
          </w:tcPr>
          <w:p w14:paraId="702C247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687ECEC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Structured expert elicitation</w:t>
            </w:r>
          </w:p>
        </w:tc>
      </w:tr>
      <w:tr w:rsidR="00A4788F" w:rsidRPr="004A4B7C" w14:paraId="7E4EFABE" w14:textId="77777777" w:rsidTr="004A4B7C">
        <w:tc>
          <w:tcPr>
            <w:tcW w:w="1271" w:type="dxa"/>
            <w:shd w:val="clear" w:color="auto" w:fill="auto"/>
          </w:tcPr>
          <w:p w14:paraId="50ED6C5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3F612FD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_ICU_</w:t>
            </w:r>
            <w:r w:rsidRPr="004A4B7C">
              <w:rPr>
                <w:rFonts w:ascii="Times New Roman" w:eastAsiaTheme="minorHAnsi" w:hAnsi="Times New Roman" w:cs="Times New Roman"/>
                <w:b w:val="0"/>
                <w:bCs w:val="0"/>
                <w:sz w:val="20"/>
                <w:szCs w:val="20"/>
              </w:rPr>
              <w:t>MDS_nonS</w:t>
            </w:r>
            <w:proofErr w:type="spellEnd"/>
          </w:p>
        </w:tc>
        <w:tc>
          <w:tcPr>
            <w:tcW w:w="4706" w:type="dxa"/>
            <w:shd w:val="clear" w:color="auto" w:fill="auto"/>
          </w:tcPr>
          <w:p w14:paraId="0E7487AC"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time in hospital in ICU for HAP/VAP patients who received a treatment to which they are not susceptible</w:t>
            </w:r>
          </w:p>
        </w:tc>
        <w:tc>
          <w:tcPr>
            <w:tcW w:w="1106" w:type="dxa"/>
            <w:shd w:val="clear" w:color="auto" w:fill="auto"/>
          </w:tcPr>
          <w:p w14:paraId="2785990B"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0.589</w:t>
            </w:r>
          </w:p>
        </w:tc>
        <w:tc>
          <w:tcPr>
            <w:tcW w:w="2410" w:type="dxa"/>
            <w:shd w:val="clear" w:color="auto" w:fill="auto"/>
          </w:tcPr>
          <w:p w14:paraId="4B4D006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64146AB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Structured expert elicitation</w:t>
            </w:r>
          </w:p>
        </w:tc>
      </w:tr>
      <w:tr w:rsidR="00A4788F" w:rsidRPr="004A4B7C" w14:paraId="5C1A302D" w14:textId="77777777" w:rsidTr="004A4B7C">
        <w:tc>
          <w:tcPr>
            <w:tcW w:w="1271" w:type="dxa"/>
            <w:shd w:val="clear" w:color="auto" w:fill="auto"/>
          </w:tcPr>
          <w:p w14:paraId="36F64C6D"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21DEBFC0"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_HDU_</w:t>
            </w:r>
            <w:r w:rsidRPr="004A4B7C">
              <w:rPr>
                <w:rFonts w:ascii="Times New Roman" w:eastAsiaTheme="minorHAnsi" w:hAnsi="Times New Roman" w:cs="Times New Roman"/>
                <w:b w:val="0"/>
                <w:bCs w:val="0"/>
                <w:sz w:val="20"/>
                <w:szCs w:val="20"/>
              </w:rPr>
              <w:t>MDS_</w:t>
            </w:r>
            <w:r w:rsidRPr="004A4B7C">
              <w:rPr>
                <w:rFonts w:ascii="Times New Roman" w:hAnsi="Times New Roman" w:cs="Times New Roman"/>
                <w:b w:val="0"/>
                <w:sz w:val="20"/>
                <w:szCs w:val="20"/>
              </w:rPr>
              <w:t>S</w:t>
            </w:r>
            <w:proofErr w:type="spellEnd"/>
          </w:p>
        </w:tc>
        <w:tc>
          <w:tcPr>
            <w:tcW w:w="4706" w:type="dxa"/>
            <w:shd w:val="clear" w:color="auto" w:fill="auto"/>
          </w:tcPr>
          <w:p w14:paraId="796EED8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Proportion of time in hospital in HDU for HAP/VAP patients who received a treatment to which they are susceptible </w:t>
            </w:r>
          </w:p>
        </w:tc>
        <w:tc>
          <w:tcPr>
            <w:tcW w:w="1106" w:type="dxa"/>
            <w:shd w:val="clear" w:color="auto" w:fill="auto"/>
          </w:tcPr>
          <w:p w14:paraId="2F9B70DF"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0.149</w:t>
            </w:r>
          </w:p>
        </w:tc>
        <w:tc>
          <w:tcPr>
            <w:tcW w:w="2410" w:type="dxa"/>
            <w:shd w:val="clear" w:color="auto" w:fill="auto"/>
          </w:tcPr>
          <w:p w14:paraId="7945D53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07121772"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0BD41A05" w14:textId="77777777" w:rsidTr="004A4B7C">
        <w:tc>
          <w:tcPr>
            <w:tcW w:w="1271" w:type="dxa"/>
            <w:shd w:val="clear" w:color="auto" w:fill="auto"/>
          </w:tcPr>
          <w:p w14:paraId="73B71E4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5311E4F5"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p</w:t>
            </w:r>
            <w:r w:rsidRPr="004A4B7C">
              <w:rPr>
                <w:rFonts w:ascii="Times New Roman" w:hAnsi="Times New Roman" w:cs="Times New Roman"/>
                <w:b w:val="0"/>
                <w:sz w:val="20"/>
                <w:szCs w:val="20"/>
              </w:rPr>
              <w:t>_HDU_</w:t>
            </w:r>
            <w:r w:rsidRPr="004A4B7C">
              <w:rPr>
                <w:rFonts w:ascii="Times New Roman" w:eastAsiaTheme="minorHAnsi" w:hAnsi="Times New Roman" w:cs="Times New Roman"/>
                <w:b w:val="0"/>
                <w:bCs w:val="0"/>
                <w:sz w:val="20"/>
                <w:szCs w:val="20"/>
              </w:rPr>
              <w:t>MDS_nonS</w:t>
            </w:r>
            <w:proofErr w:type="spellEnd"/>
          </w:p>
        </w:tc>
        <w:tc>
          <w:tcPr>
            <w:tcW w:w="4706" w:type="dxa"/>
            <w:shd w:val="clear" w:color="auto" w:fill="auto"/>
          </w:tcPr>
          <w:p w14:paraId="7089706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Proportion of time in hospital in HDU for HAP/VAP patients who received a treatment to which they are not susceptible</w:t>
            </w:r>
          </w:p>
        </w:tc>
        <w:tc>
          <w:tcPr>
            <w:tcW w:w="1106" w:type="dxa"/>
            <w:shd w:val="clear" w:color="auto" w:fill="auto"/>
          </w:tcPr>
          <w:p w14:paraId="63A93039"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0.172</w:t>
            </w:r>
          </w:p>
        </w:tc>
        <w:tc>
          <w:tcPr>
            <w:tcW w:w="2410" w:type="dxa"/>
            <w:shd w:val="clear" w:color="auto" w:fill="auto"/>
          </w:tcPr>
          <w:p w14:paraId="6CABE5A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1995330C"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Structured expert elicitation </w:t>
            </w:r>
          </w:p>
        </w:tc>
      </w:tr>
      <w:tr w:rsidR="00A4788F" w:rsidRPr="004A4B7C" w14:paraId="011DB347" w14:textId="77777777" w:rsidTr="004A4B7C">
        <w:tc>
          <w:tcPr>
            <w:tcW w:w="1271" w:type="dxa"/>
          </w:tcPr>
          <w:p w14:paraId="62F6F04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All</w:t>
            </w:r>
          </w:p>
        </w:tc>
        <w:tc>
          <w:tcPr>
            <w:tcW w:w="2268" w:type="dxa"/>
          </w:tcPr>
          <w:p w14:paraId="366DCCE8"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c_</w:t>
            </w:r>
            <w:r w:rsidRPr="004A4B7C">
              <w:rPr>
                <w:rFonts w:ascii="Times New Roman" w:hAnsi="Times New Roman" w:cs="Times New Roman"/>
                <w:b w:val="0"/>
                <w:sz w:val="20"/>
                <w:szCs w:val="20"/>
              </w:rPr>
              <w:t>AKI</w:t>
            </w:r>
            <w:proofErr w:type="spellEnd"/>
          </w:p>
        </w:tc>
        <w:tc>
          <w:tcPr>
            <w:tcW w:w="4706" w:type="dxa"/>
          </w:tcPr>
          <w:p w14:paraId="2D5AC1B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Increase in in-hospital cost associated with experiencing an AKI</w:t>
            </w:r>
          </w:p>
        </w:tc>
        <w:tc>
          <w:tcPr>
            <w:tcW w:w="1106" w:type="dxa"/>
          </w:tcPr>
          <w:p w14:paraId="0DC55BE0" w14:textId="77777777" w:rsidR="00A4788F" w:rsidRPr="004A4B7C" w:rsidRDefault="00A4788F" w:rsidP="004A4B7C">
            <w:pPr>
              <w:pStyle w:val="EEPRUNumberedHeading"/>
              <w:numPr>
                <w:ilvl w:val="0"/>
                <w:numId w:val="0"/>
              </w:numPr>
              <w:spacing w:before="0"/>
              <w:jc w:val="right"/>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£5,138  </w:t>
            </w:r>
          </w:p>
        </w:tc>
        <w:tc>
          <w:tcPr>
            <w:tcW w:w="2410" w:type="dxa"/>
          </w:tcPr>
          <w:p w14:paraId="6762592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(4,724 – 5,548)</w:t>
            </w:r>
          </w:p>
        </w:tc>
        <w:tc>
          <w:tcPr>
            <w:tcW w:w="2835" w:type="dxa"/>
          </w:tcPr>
          <w:p w14:paraId="4303BAAF" w14:textId="50A154C5" w:rsidR="00A4788F" w:rsidRPr="004A4B7C" w:rsidRDefault="00A4788F" w:rsidP="00C83FB7">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Kolhe</w:t>
            </w:r>
            <w:proofErr w:type="spellEnd"/>
            <w:r w:rsidRPr="004A4B7C">
              <w:rPr>
                <w:rFonts w:ascii="Times New Roman" w:eastAsiaTheme="minorHAnsi" w:hAnsi="Times New Roman" w:cs="Times New Roman"/>
                <w:b w:val="0"/>
                <w:bCs w:val="0"/>
                <w:sz w:val="20"/>
                <w:szCs w:val="20"/>
              </w:rPr>
              <w:t xml:space="preserve"> 2014</w:t>
            </w:r>
            <w:r w:rsidR="004B4D1C" w:rsidRPr="004B4D1C">
              <w:rPr>
                <w:rFonts w:ascii="Times New Roman" w:eastAsiaTheme="minorHAnsi" w:hAnsi="Times New Roman" w:cs="Times New Roman"/>
                <w:b w:val="0"/>
                <w:bCs w:val="0"/>
                <w:noProof/>
                <w:sz w:val="20"/>
                <w:szCs w:val="20"/>
                <w:vertAlign w:val="superscript"/>
              </w:rPr>
              <w:t>136</w:t>
            </w:r>
            <w:r w:rsidRPr="004A4B7C">
              <w:rPr>
                <w:rFonts w:ascii="Times New Roman" w:eastAsiaTheme="minorHAnsi" w:hAnsi="Times New Roman" w:cs="Times New Roman"/>
                <w:b w:val="0"/>
                <w:bCs w:val="0"/>
                <w:sz w:val="20"/>
                <w:szCs w:val="20"/>
              </w:rPr>
              <w:t xml:space="preserve"> (2008 prices updated to 2019)</w:t>
            </w:r>
          </w:p>
        </w:tc>
      </w:tr>
      <w:tr w:rsidR="00A4788F" w:rsidRPr="004A4B7C" w14:paraId="017FFAB4" w14:textId="77777777" w:rsidTr="004A4B7C">
        <w:tc>
          <w:tcPr>
            <w:tcW w:w="1271" w:type="dxa"/>
            <w:shd w:val="clear" w:color="auto" w:fill="auto"/>
          </w:tcPr>
          <w:p w14:paraId="6B736D4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cUTI</w:t>
            </w:r>
            <w:proofErr w:type="spellEnd"/>
          </w:p>
        </w:tc>
        <w:tc>
          <w:tcPr>
            <w:tcW w:w="2268" w:type="dxa"/>
            <w:shd w:val="clear" w:color="auto" w:fill="auto"/>
          </w:tcPr>
          <w:p w14:paraId="463334E0"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c_genward</w:t>
            </w:r>
            <w:proofErr w:type="spellEnd"/>
          </w:p>
        </w:tc>
        <w:tc>
          <w:tcPr>
            <w:tcW w:w="4706" w:type="dxa"/>
            <w:shd w:val="clear" w:color="auto" w:fill="auto"/>
          </w:tcPr>
          <w:p w14:paraId="358047B9"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 xml:space="preserve">Unit cost per day for </w:t>
            </w:r>
            <w:proofErr w:type="spellStart"/>
            <w:r w:rsidRPr="004A4B7C">
              <w:rPr>
                <w:rFonts w:ascii="Times New Roman" w:eastAsiaTheme="minorHAnsi" w:hAnsi="Times New Roman" w:cs="Times New Roman"/>
                <w:b w:val="0"/>
                <w:bCs w:val="0"/>
                <w:sz w:val="20"/>
                <w:szCs w:val="20"/>
              </w:rPr>
              <w:t>cUTI</w:t>
            </w:r>
            <w:proofErr w:type="spellEnd"/>
            <w:r w:rsidRPr="004A4B7C">
              <w:rPr>
                <w:rFonts w:ascii="Times New Roman" w:eastAsiaTheme="minorHAnsi" w:hAnsi="Times New Roman" w:cs="Times New Roman"/>
                <w:b w:val="0"/>
                <w:bCs w:val="0"/>
                <w:sz w:val="20"/>
                <w:szCs w:val="20"/>
              </w:rPr>
              <w:t xml:space="preserve"> patient on general ward</w:t>
            </w:r>
          </w:p>
        </w:tc>
        <w:tc>
          <w:tcPr>
            <w:tcW w:w="1106" w:type="dxa"/>
            <w:shd w:val="clear" w:color="auto" w:fill="auto"/>
          </w:tcPr>
          <w:p w14:paraId="154C4F96"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bCs w:val="0"/>
                <w:sz w:val="20"/>
                <w:szCs w:val="20"/>
              </w:rPr>
            </w:pPr>
            <w:r w:rsidRPr="004A4B7C">
              <w:rPr>
                <w:rFonts w:ascii="Times New Roman" w:hAnsi="Times New Roman" w:cs="Times New Roman"/>
                <w:b w:val="0"/>
                <w:bCs w:val="0"/>
                <w:sz w:val="20"/>
                <w:szCs w:val="20"/>
              </w:rPr>
              <w:t>£687.08</w:t>
            </w:r>
          </w:p>
        </w:tc>
        <w:tc>
          <w:tcPr>
            <w:tcW w:w="2410" w:type="dxa"/>
            <w:shd w:val="clear" w:color="auto" w:fill="auto"/>
          </w:tcPr>
          <w:p w14:paraId="2B95FCF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34176B6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NHS reference costs</w:t>
            </w:r>
          </w:p>
        </w:tc>
      </w:tr>
      <w:tr w:rsidR="00A4788F" w:rsidRPr="004A4B7C" w14:paraId="127FE98E" w14:textId="77777777" w:rsidTr="004A4B7C">
        <w:tc>
          <w:tcPr>
            <w:tcW w:w="1271" w:type="dxa"/>
            <w:shd w:val="clear" w:color="auto" w:fill="auto"/>
          </w:tcPr>
          <w:p w14:paraId="25C18C48"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HAP/VAP</w:t>
            </w:r>
          </w:p>
        </w:tc>
        <w:tc>
          <w:tcPr>
            <w:tcW w:w="2268" w:type="dxa"/>
            <w:shd w:val="clear" w:color="auto" w:fill="auto"/>
          </w:tcPr>
          <w:p w14:paraId="0D2F652D"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c_genward</w:t>
            </w:r>
            <w:proofErr w:type="spellEnd"/>
          </w:p>
        </w:tc>
        <w:tc>
          <w:tcPr>
            <w:tcW w:w="4706" w:type="dxa"/>
            <w:shd w:val="clear" w:color="auto" w:fill="auto"/>
          </w:tcPr>
          <w:p w14:paraId="6E49251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Unit cost per day for HAP/VAP patient on general ward</w:t>
            </w:r>
          </w:p>
        </w:tc>
        <w:tc>
          <w:tcPr>
            <w:tcW w:w="1106" w:type="dxa"/>
            <w:shd w:val="clear" w:color="auto" w:fill="auto"/>
          </w:tcPr>
          <w:p w14:paraId="07217662"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bCs w:val="0"/>
                <w:sz w:val="20"/>
                <w:szCs w:val="20"/>
              </w:rPr>
            </w:pPr>
            <w:r w:rsidRPr="004A4B7C">
              <w:rPr>
                <w:rFonts w:ascii="Times New Roman" w:hAnsi="Times New Roman" w:cs="Times New Roman"/>
                <w:b w:val="0"/>
                <w:bCs w:val="0"/>
                <w:sz w:val="20"/>
                <w:szCs w:val="20"/>
              </w:rPr>
              <w:t>£870.51</w:t>
            </w:r>
          </w:p>
        </w:tc>
        <w:tc>
          <w:tcPr>
            <w:tcW w:w="2410" w:type="dxa"/>
            <w:shd w:val="clear" w:color="auto" w:fill="auto"/>
          </w:tcPr>
          <w:p w14:paraId="29C74952"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5D549FB6"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NHS reference costs</w:t>
            </w:r>
          </w:p>
        </w:tc>
      </w:tr>
      <w:tr w:rsidR="00A4788F" w:rsidRPr="004A4B7C" w14:paraId="5A5AD7BC" w14:textId="77777777" w:rsidTr="004A4B7C">
        <w:tc>
          <w:tcPr>
            <w:tcW w:w="1271" w:type="dxa"/>
            <w:shd w:val="clear" w:color="auto" w:fill="auto"/>
          </w:tcPr>
          <w:p w14:paraId="502F974B"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All</w:t>
            </w:r>
          </w:p>
        </w:tc>
        <w:tc>
          <w:tcPr>
            <w:tcW w:w="2268" w:type="dxa"/>
            <w:shd w:val="clear" w:color="auto" w:fill="auto"/>
          </w:tcPr>
          <w:p w14:paraId="4CCC069D"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c_</w:t>
            </w:r>
            <w:r w:rsidRPr="004A4B7C">
              <w:rPr>
                <w:rFonts w:ascii="Times New Roman" w:hAnsi="Times New Roman" w:cs="Times New Roman"/>
                <w:b w:val="0"/>
                <w:sz w:val="20"/>
                <w:szCs w:val="20"/>
              </w:rPr>
              <w:t>ICU</w:t>
            </w:r>
            <w:proofErr w:type="spellEnd"/>
          </w:p>
        </w:tc>
        <w:tc>
          <w:tcPr>
            <w:tcW w:w="4706" w:type="dxa"/>
            <w:shd w:val="clear" w:color="auto" w:fill="auto"/>
          </w:tcPr>
          <w:p w14:paraId="4A26A43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Unit cost per day for person in ICU</w:t>
            </w:r>
          </w:p>
        </w:tc>
        <w:tc>
          <w:tcPr>
            <w:tcW w:w="1106" w:type="dxa"/>
            <w:shd w:val="clear" w:color="auto" w:fill="auto"/>
          </w:tcPr>
          <w:p w14:paraId="47773430"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bCs w:val="0"/>
                <w:sz w:val="20"/>
                <w:szCs w:val="20"/>
              </w:rPr>
            </w:pPr>
            <w:r w:rsidRPr="004A4B7C">
              <w:rPr>
                <w:rFonts w:ascii="Times New Roman" w:hAnsi="Times New Roman" w:cs="Times New Roman"/>
                <w:b w:val="0"/>
                <w:bCs w:val="0"/>
                <w:sz w:val="20"/>
                <w:szCs w:val="20"/>
              </w:rPr>
              <w:t>£1,689.09</w:t>
            </w:r>
          </w:p>
        </w:tc>
        <w:tc>
          <w:tcPr>
            <w:tcW w:w="2410" w:type="dxa"/>
            <w:shd w:val="clear" w:color="auto" w:fill="auto"/>
          </w:tcPr>
          <w:p w14:paraId="4319FD9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57224FC3"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Derived from NHS reference costs and CARBAR</w:t>
            </w:r>
          </w:p>
        </w:tc>
      </w:tr>
      <w:tr w:rsidR="00A4788F" w:rsidRPr="004A4B7C" w14:paraId="2871315A" w14:textId="77777777" w:rsidTr="004A4B7C">
        <w:tc>
          <w:tcPr>
            <w:tcW w:w="1271" w:type="dxa"/>
            <w:shd w:val="clear" w:color="auto" w:fill="auto"/>
          </w:tcPr>
          <w:p w14:paraId="6A1336B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All</w:t>
            </w:r>
          </w:p>
        </w:tc>
        <w:tc>
          <w:tcPr>
            <w:tcW w:w="2268" w:type="dxa"/>
            <w:shd w:val="clear" w:color="auto" w:fill="auto"/>
          </w:tcPr>
          <w:p w14:paraId="7E26E823" w14:textId="77777777" w:rsidR="00A4788F" w:rsidRPr="004A4B7C" w:rsidRDefault="00A4788F" w:rsidP="004A4B7C">
            <w:pPr>
              <w:pStyle w:val="EEPRUNumberedHeading"/>
              <w:numPr>
                <w:ilvl w:val="0"/>
                <w:numId w:val="0"/>
              </w:numPr>
              <w:spacing w:before="0"/>
              <w:rPr>
                <w:rFonts w:ascii="Times New Roman" w:hAnsi="Times New Roman" w:cs="Times New Roman"/>
                <w:b w:val="0"/>
                <w:sz w:val="20"/>
                <w:szCs w:val="20"/>
              </w:rPr>
            </w:pPr>
            <w:proofErr w:type="spellStart"/>
            <w:r w:rsidRPr="004A4B7C">
              <w:rPr>
                <w:rFonts w:ascii="Times New Roman" w:eastAsiaTheme="minorHAnsi" w:hAnsi="Times New Roman" w:cs="Times New Roman"/>
                <w:b w:val="0"/>
                <w:bCs w:val="0"/>
                <w:sz w:val="20"/>
                <w:szCs w:val="20"/>
              </w:rPr>
              <w:t>c_</w:t>
            </w:r>
            <w:r w:rsidRPr="004A4B7C">
              <w:rPr>
                <w:rFonts w:ascii="Times New Roman" w:hAnsi="Times New Roman" w:cs="Times New Roman"/>
                <w:b w:val="0"/>
                <w:sz w:val="20"/>
                <w:szCs w:val="20"/>
              </w:rPr>
              <w:t>HDU</w:t>
            </w:r>
            <w:proofErr w:type="spellEnd"/>
          </w:p>
        </w:tc>
        <w:tc>
          <w:tcPr>
            <w:tcW w:w="4706" w:type="dxa"/>
            <w:shd w:val="clear" w:color="auto" w:fill="auto"/>
          </w:tcPr>
          <w:p w14:paraId="35A488D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Unit cost per day for HDU</w:t>
            </w:r>
          </w:p>
        </w:tc>
        <w:tc>
          <w:tcPr>
            <w:tcW w:w="1106" w:type="dxa"/>
            <w:shd w:val="clear" w:color="auto" w:fill="auto"/>
          </w:tcPr>
          <w:p w14:paraId="042373C2"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bCs w:val="0"/>
                <w:sz w:val="20"/>
                <w:szCs w:val="20"/>
              </w:rPr>
            </w:pPr>
            <w:r w:rsidRPr="004A4B7C">
              <w:rPr>
                <w:rFonts w:ascii="Times New Roman" w:hAnsi="Times New Roman" w:cs="Times New Roman"/>
                <w:b w:val="0"/>
                <w:bCs w:val="0"/>
                <w:sz w:val="20"/>
                <w:szCs w:val="20"/>
              </w:rPr>
              <w:t>£1,299.67</w:t>
            </w:r>
          </w:p>
        </w:tc>
        <w:tc>
          <w:tcPr>
            <w:tcW w:w="2410" w:type="dxa"/>
            <w:shd w:val="clear" w:color="auto" w:fill="auto"/>
          </w:tcPr>
          <w:p w14:paraId="5F1C9B69"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shd w:val="clear" w:color="auto" w:fill="auto"/>
          </w:tcPr>
          <w:p w14:paraId="6783055A"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NHS reference costs</w:t>
            </w:r>
          </w:p>
        </w:tc>
      </w:tr>
      <w:tr w:rsidR="00A4788F" w:rsidRPr="004A4B7C" w14:paraId="34F12F92" w14:textId="77777777" w:rsidTr="004A4B7C">
        <w:tc>
          <w:tcPr>
            <w:tcW w:w="1271" w:type="dxa"/>
          </w:tcPr>
          <w:p w14:paraId="197F1381"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All</w:t>
            </w:r>
          </w:p>
        </w:tc>
        <w:tc>
          <w:tcPr>
            <w:tcW w:w="2268" w:type="dxa"/>
          </w:tcPr>
          <w:p w14:paraId="3B1BEC1E"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proofErr w:type="spellStart"/>
            <w:r w:rsidRPr="004A4B7C">
              <w:rPr>
                <w:rFonts w:ascii="Times New Roman" w:eastAsiaTheme="minorHAnsi" w:hAnsi="Times New Roman" w:cs="Times New Roman"/>
                <w:b w:val="0"/>
                <w:bCs w:val="0"/>
                <w:sz w:val="20"/>
                <w:szCs w:val="20"/>
              </w:rPr>
              <w:t>c_Isolation</w:t>
            </w:r>
            <w:proofErr w:type="spellEnd"/>
          </w:p>
        </w:tc>
        <w:tc>
          <w:tcPr>
            <w:tcW w:w="4706" w:type="dxa"/>
          </w:tcPr>
          <w:p w14:paraId="393E13D7"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Daily cost of isolation</w:t>
            </w:r>
          </w:p>
        </w:tc>
        <w:tc>
          <w:tcPr>
            <w:tcW w:w="1106" w:type="dxa"/>
          </w:tcPr>
          <w:p w14:paraId="1D8BE9E3" w14:textId="77777777" w:rsidR="00A4788F" w:rsidRPr="004A4B7C" w:rsidRDefault="00A4788F" w:rsidP="004A4B7C">
            <w:pPr>
              <w:pStyle w:val="EEPRUNumberedHeading"/>
              <w:numPr>
                <w:ilvl w:val="0"/>
                <w:numId w:val="0"/>
              </w:numPr>
              <w:spacing w:before="0"/>
              <w:jc w:val="right"/>
              <w:rPr>
                <w:rFonts w:ascii="Times New Roman" w:hAnsi="Times New Roman" w:cs="Times New Roman"/>
                <w:b w:val="0"/>
                <w:bCs w:val="0"/>
                <w:sz w:val="20"/>
                <w:szCs w:val="20"/>
              </w:rPr>
            </w:pPr>
            <w:r w:rsidRPr="004A4B7C">
              <w:rPr>
                <w:rFonts w:ascii="Times New Roman" w:hAnsi="Times New Roman" w:cs="Times New Roman"/>
                <w:b w:val="0"/>
                <w:bCs w:val="0"/>
                <w:sz w:val="20"/>
                <w:szCs w:val="20"/>
              </w:rPr>
              <w:t>£21.96</w:t>
            </w:r>
          </w:p>
        </w:tc>
        <w:tc>
          <w:tcPr>
            <w:tcW w:w="2410" w:type="dxa"/>
          </w:tcPr>
          <w:p w14:paraId="1B986795" w14:textId="77777777" w:rsidR="00A4788F" w:rsidRPr="004A4B7C" w:rsidRDefault="00A4788F" w:rsidP="004A4B7C">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NA</w:t>
            </w:r>
          </w:p>
        </w:tc>
        <w:tc>
          <w:tcPr>
            <w:tcW w:w="2835" w:type="dxa"/>
          </w:tcPr>
          <w:p w14:paraId="40CA88DC" w14:textId="1A609924" w:rsidR="00A4788F" w:rsidRPr="004A4B7C" w:rsidRDefault="00A4788F" w:rsidP="00C83FB7">
            <w:pPr>
              <w:pStyle w:val="EEPRUNumberedHeading"/>
              <w:numPr>
                <w:ilvl w:val="0"/>
                <w:numId w:val="0"/>
              </w:numPr>
              <w:spacing w:before="0"/>
              <w:rPr>
                <w:rFonts w:ascii="Times New Roman" w:eastAsiaTheme="minorHAnsi" w:hAnsi="Times New Roman" w:cs="Times New Roman"/>
                <w:b w:val="0"/>
                <w:bCs w:val="0"/>
                <w:sz w:val="20"/>
                <w:szCs w:val="20"/>
              </w:rPr>
            </w:pPr>
            <w:r w:rsidRPr="004A4B7C">
              <w:rPr>
                <w:rFonts w:ascii="Times New Roman" w:eastAsiaTheme="minorHAnsi" w:hAnsi="Times New Roman" w:cs="Times New Roman"/>
                <w:b w:val="0"/>
                <w:bCs w:val="0"/>
                <w:sz w:val="20"/>
                <w:szCs w:val="20"/>
              </w:rPr>
              <w:t>Knight 2018</w:t>
            </w:r>
            <w:r w:rsidR="004B4D1C" w:rsidRPr="004B4D1C">
              <w:rPr>
                <w:rFonts w:ascii="Times New Roman" w:eastAsiaTheme="minorHAnsi" w:hAnsi="Times New Roman" w:cs="Times New Roman"/>
                <w:b w:val="0"/>
                <w:bCs w:val="0"/>
                <w:noProof/>
                <w:sz w:val="20"/>
                <w:szCs w:val="20"/>
                <w:vertAlign w:val="superscript"/>
              </w:rPr>
              <w:t>138</w:t>
            </w:r>
          </w:p>
        </w:tc>
      </w:tr>
    </w:tbl>
    <w:p w14:paraId="31638992" w14:textId="72847C5F" w:rsidR="00774411" w:rsidRDefault="00774411" w:rsidP="00774411">
      <w:pPr>
        <w:pStyle w:val="EEPRUtextundertables"/>
      </w:pPr>
      <w:r>
        <w:t xml:space="preserve">Abbreviations: AKI, acute kidney injury; </w:t>
      </w:r>
      <w:proofErr w:type="spellStart"/>
      <w:r>
        <w:t>cUTI</w:t>
      </w:r>
      <w:proofErr w:type="spellEnd"/>
      <w:r>
        <w:t xml:space="preserve">, complicated urinary tract infection; HAP/VAP, hospital-acquired </w:t>
      </w:r>
      <w:proofErr w:type="gramStart"/>
      <w:r>
        <w:t>pneumonia</w:t>
      </w:r>
      <w:proofErr w:type="gramEnd"/>
      <w:r>
        <w:t xml:space="preserve"> or ventilator-associated pneumonia; HDU, high dependency unit; ICU, intensive care unit; </w:t>
      </w:r>
      <w:r w:rsidR="005B4EB8">
        <w:t>LOS</w:t>
      </w:r>
      <w:r>
        <w:t>, length of stay; MDS, microbiology-directed setting</w:t>
      </w:r>
    </w:p>
    <w:p w14:paraId="23BAD11A" w14:textId="77777777" w:rsidR="00A4788F" w:rsidRPr="00C27EE8" w:rsidRDefault="00A4788F" w:rsidP="00A4788F">
      <w:pPr>
        <w:rPr>
          <w:rFonts w:asciiTheme="majorBidi" w:hAnsiTheme="majorBidi" w:cstheme="majorBidi"/>
          <w:sz w:val="20"/>
          <w:szCs w:val="20"/>
        </w:rPr>
      </w:pPr>
      <w:r w:rsidRPr="00C27EE8">
        <w:rPr>
          <w:rFonts w:asciiTheme="majorBidi" w:hAnsiTheme="majorBidi" w:cstheme="majorBidi"/>
          <w:sz w:val="20"/>
          <w:szCs w:val="20"/>
        </w:rPr>
        <w:t xml:space="preserve">* Uncertainty around the proportion of time spent in ICU and HDU was not elicited to limit participant burden. </w:t>
      </w:r>
    </w:p>
    <w:p w14:paraId="2C4D23AD" w14:textId="77777777" w:rsidR="006E78D8" w:rsidRPr="00C27EE8" w:rsidRDefault="00A4788F" w:rsidP="006E78D8">
      <w:pPr>
        <w:rPr>
          <w:rFonts w:asciiTheme="majorBidi" w:hAnsiTheme="majorBidi" w:cstheme="majorBidi"/>
          <w:sz w:val="20"/>
          <w:szCs w:val="20"/>
        </w:rPr>
      </w:pPr>
      <w:r w:rsidRPr="00C27EE8">
        <w:rPr>
          <w:rFonts w:asciiTheme="majorBidi" w:hAnsiTheme="majorBidi" w:cstheme="majorBidi"/>
          <w:sz w:val="20"/>
          <w:szCs w:val="20"/>
        </w:rPr>
        <w:t xml:space="preserve">** The distribution of time spent in ICU/HDU and on a general ward were assumed to be as per the MDS for patients receiving a treatment to which they were susceptible. </w:t>
      </w:r>
    </w:p>
    <w:p w14:paraId="533218D5" w14:textId="7BE21BB0" w:rsidR="00A4788F" w:rsidRPr="00C27EE8" w:rsidRDefault="00A4788F" w:rsidP="006E78D8">
      <w:pPr>
        <w:rPr>
          <w:rFonts w:asciiTheme="majorBidi" w:hAnsiTheme="majorBidi" w:cstheme="majorBidi"/>
          <w:sz w:val="20"/>
          <w:szCs w:val="20"/>
        </w:rPr>
      </w:pPr>
      <w:r w:rsidRPr="00C27EE8">
        <w:rPr>
          <w:rFonts w:asciiTheme="majorBidi" w:hAnsiTheme="majorBidi" w:cstheme="majorBidi"/>
          <w:sz w:val="20"/>
          <w:szCs w:val="20"/>
        </w:rPr>
        <w:t xml:space="preserve">*** No information on time spent in HDU reported, the ratio of the proportion of time spent in HDU to time spent in ICU was therefore assumed to be as per the MDS for patients receiving a treatment to which they were susceptible. </w:t>
      </w:r>
    </w:p>
    <w:p w14:paraId="43EF81B7" w14:textId="77777777" w:rsidR="00A4788F" w:rsidRDefault="00A4788F" w:rsidP="00A4788F">
      <w:pPr>
        <w:sectPr w:rsidR="00A4788F" w:rsidSect="00A4788F">
          <w:pgSz w:w="16838" w:h="11906" w:orient="landscape"/>
          <w:pgMar w:top="1440" w:right="1440" w:bottom="1440" w:left="1440" w:header="709" w:footer="709" w:gutter="0"/>
          <w:cols w:space="708"/>
          <w:docGrid w:linePitch="360"/>
        </w:sectPr>
      </w:pPr>
    </w:p>
    <w:p w14:paraId="59990748" w14:textId="217718A3"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lastRenderedPageBreak/>
        <w:t xml:space="preserve">Following discharge, patients’ long-term costs are determined by their health state. Patients alive without a history of AKI, or with recovered renal function, experience no further costs.  Patients with irreversible renal failure (i.e., CKD) face a weighted average cost that reflects the CKD-severity distribution in England and requirement for dialysis. Kerr et al </w:t>
      </w:r>
      <w:proofErr w:type="gramStart"/>
      <w:r w:rsidRPr="00042419">
        <w:rPr>
          <w:rFonts w:asciiTheme="majorBidi" w:hAnsiTheme="majorBidi" w:cstheme="majorBidi"/>
        </w:rPr>
        <w:t>2012</w:t>
      </w:r>
      <w:r w:rsidR="004B4D1C" w:rsidRPr="004B4D1C">
        <w:rPr>
          <w:rFonts w:asciiTheme="majorBidi" w:hAnsiTheme="majorBidi" w:cstheme="majorBidi"/>
          <w:noProof/>
          <w:vertAlign w:val="superscript"/>
        </w:rPr>
        <w:t>135</w:t>
      </w:r>
      <w:r w:rsidRPr="00042419">
        <w:rPr>
          <w:rFonts w:asciiTheme="majorBidi" w:hAnsiTheme="majorBidi" w:cstheme="majorBidi"/>
        </w:rPr>
        <w:t xml:space="preserve">  estimated</w:t>
      </w:r>
      <w:proofErr w:type="gramEnd"/>
      <w:r w:rsidRPr="00042419">
        <w:rPr>
          <w:rFonts w:asciiTheme="majorBidi" w:hAnsiTheme="majorBidi" w:cstheme="majorBidi"/>
        </w:rPr>
        <w:t xml:space="preserve"> the annual per patient NHS expenditure on CKD direct care, dialysis and transplants. The mean annual cost of direct CKD care per patient not on dialysis (that is anti-hypertensive drugs, primary care tests and consultations, nephrology consultations and cost due to excess incidence of cardiovascular events) was estimated at £278, whilst the annual cost of CKD-related care for a patient on dialysis was estimated at £31,933. </w:t>
      </w:r>
      <w:r w:rsidR="006E78D8" w:rsidRPr="00042419">
        <w:rPr>
          <w:rFonts w:asciiTheme="majorBidi" w:hAnsiTheme="majorBidi" w:cstheme="majorBidi"/>
        </w:rPr>
        <w:t xml:space="preserve"> </w:t>
      </w:r>
      <w:r w:rsidRPr="00042419">
        <w:rPr>
          <w:rFonts w:asciiTheme="majorBidi" w:hAnsiTheme="majorBidi" w:cstheme="majorBidi"/>
        </w:rPr>
        <w:t xml:space="preserve">As for </w:t>
      </w:r>
      <w:proofErr w:type="spellStart"/>
      <w:r w:rsidR="00DC2E3A">
        <w:rPr>
          <w:rFonts w:asciiTheme="majorBidi" w:hAnsiTheme="majorBidi" w:cstheme="majorBidi"/>
        </w:rPr>
        <w:t>HRQoL</w:t>
      </w:r>
      <w:proofErr w:type="spellEnd"/>
      <w:r w:rsidRPr="00042419">
        <w:rPr>
          <w:rFonts w:asciiTheme="majorBidi" w:hAnsiTheme="majorBidi" w:cstheme="majorBidi"/>
        </w:rPr>
        <w:t>, 2% of the diagnosed CKD population were estimated to be receiving dialysis based on UK data.</w:t>
      </w:r>
      <w:r w:rsidR="004B4D1C" w:rsidRPr="004B4D1C">
        <w:rPr>
          <w:rFonts w:asciiTheme="majorBidi" w:hAnsiTheme="majorBidi" w:cstheme="majorBidi"/>
          <w:noProof/>
          <w:vertAlign w:val="superscript"/>
        </w:rPr>
        <w:t>135</w:t>
      </w:r>
      <w:r w:rsidRPr="00042419">
        <w:rPr>
          <w:rFonts w:asciiTheme="majorBidi" w:hAnsiTheme="majorBidi" w:cstheme="majorBidi"/>
        </w:rPr>
        <w:t xml:space="preserve"> The clinical advisors to EEPRU for this project indicated that this may be an </w:t>
      </w:r>
      <w:proofErr w:type="gramStart"/>
      <w:r w:rsidRPr="00042419">
        <w:rPr>
          <w:rFonts w:asciiTheme="majorBidi" w:hAnsiTheme="majorBidi" w:cstheme="majorBidi"/>
        </w:rPr>
        <w:t>overestimate</w:t>
      </w:r>
      <w:proofErr w:type="gramEnd"/>
      <w:r w:rsidRPr="00042419">
        <w:rPr>
          <w:rFonts w:asciiTheme="majorBidi" w:hAnsiTheme="majorBidi" w:cstheme="majorBidi"/>
        </w:rPr>
        <w:t xml:space="preserve"> but use of a lower value is unlikely to substantively change the results of the modelling.  Our clinical advisors expected that</w:t>
      </w:r>
      <w:r w:rsidR="00DC2E3A">
        <w:rPr>
          <w:rFonts w:asciiTheme="majorBidi" w:hAnsiTheme="majorBidi" w:cstheme="majorBidi"/>
        </w:rPr>
        <w:t>,</w:t>
      </w:r>
      <w:r w:rsidRPr="00042419">
        <w:rPr>
          <w:rFonts w:asciiTheme="majorBidi" w:hAnsiTheme="majorBidi" w:cstheme="majorBidi"/>
        </w:rPr>
        <w:t xml:space="preserve"> in the highly comorbid group considered within the HVCS</w:t>
      </w:r>
      <w:r w:rsidR="00DC2E3A">
        <w:rPr>
          <w:rFonts w:asciiTheme="majorBidi" w:hAnsiTheme="majorBidi" w:cstheme="majorBidi"/>
        </w:rPr>
        <w:t>s</w:t>
      </w:r>
      <w:r w:rsidRPr="00042419">
        <w:rPr>
          <w:rFonts w:asciiTheme="majorBidi" w:hAnsiTheme="majorBidi" w:cstheme="majorBidi"/>
        </w:rPr>
        <w:t>, transplant</w:t>
      </w:r>
      <w:r w:rsidR="00DC2E3A">
        <w:rPr>
          <w:rFonts w:asciiTheme="majorBidi" w:hAnsiTheme="majorBidi" w:cstheme="majorBidi"/>
        </w:rPr>
        <w:t>ation</w:t>
      </w:r>
      <w:r w:rsidRPr="00042419">
        <w:rPr>
          <w:rFonts w:asciiTheme="majorBidi" w:hAnsiTheme="majorBidi" w:cstheme="majorBidi"/>
        </w:rPr>
        <w:t xml:space="preserve"> would be rare, </w:t>
      </w:r>
      <w:r w:rsidR="00DC2E3A">
        <w:rPr>
          <w:rFonts w:asciiTheme="majorBidi" w:hAnsiTheme="majorBidi" w:cstheme="majorBidi"/>
        </w:rPr>
        <w:t xml:space="preserve">so </w:t>
      </w:r>
      <w:r w:rsidRPr="00042419">
        <w:rPr>
          <w:rFonts w:asciiTheme="majorBidi" w:hAnsiTheme="majorBidi" w:cstheme="majorBidi"/>
        </w:rPr>
        <w:t>the costs of transplant</w:t>
      </w:r>
      <w:r w:rsidR="00DC2E3A">
        <w:rPr>
          <w:rFonts w:asciiTheme="majorBidi" w:hAnsiTheme="majorBidi" w:cstheme="majorBidi"/>
        </w:rPr>
        <w:t>ation</w:t>
      </w:r>
      <w:r w:rsidRPr="00042419">
        <w:rPr>
          <w:rFonts w:asciiTheme="majorBidi" w:hAnsiTheme="majorBidi" w:cstheme="majorBidi"/>
        </w:rPr>
        <w:t xml:space="preserve"> were not</w:t>
      </w:r>
      <w:r w:rsidR="00DC2E3A">
        <w:rPr>
          <w:rFonts w:asciiTheme="majorBidi" w:hAnsiTheme="majorBidi" w:cstheme="majorBidi"/>
        </w:rPr>
        <w:t xml:space="preserve"> </w:t>
      </w:r>
      <w:r w:rsidRPr="00042419">
        <w:rPr>
          <w:rFonts w:asciiTheme="majorBidi" w:hAnsiTheme="majorBidi" w:cstheme="majorBidi"/>
        </w:rPr>
        <w:t>included in the CKD cost estimates. This results in a weighted average cost of CKD of £911 per annum in 2019/20 prices.</w:t>
      </w:r>
    </w:p>
    <w:p w14:paraId="5EB939DC" w14:textId="77777777" w:rsidR="00A4788F" w:rsidRPr="00042419" w:rsidRDefault="00A4788F" w:rsidP="00A4788F">
      <w:pPr>
        <w:spacing w:line="360" w:lineRule="auto"/>
        <w:jc w:val="both"/>
        <w:rPr>
          <w:rFonts w:asciiTheme="majorBidi" w:hAnsiTheme="majorBidi" w:cstheme="majorBidi"/>
        </w:rPr>
      </w:pPr>
    </w:p>
    <w:p w14:paraId="02ED8B8F" w14:textId="05F33AA4"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t xml:space="preserve">We did not include differential rates of discharge to long-term care facilities in the base case analysis as no evidence was found comparing UK usage of care amongst those with and without AKI that adjusted for differences between patients with and without AKI. </w:t>
      </w:r>
      <w:r w:rsidR="00DC2E3A">
        <w:rPr>
          <w:rFonts w:asciiTheme="majorBidi" w:hAnsiTheme="majorBidi" w:cstheme="majorBidi"/>
        </w:rPr>
        <w:t xml:space="preserve"> </w:t>
      </w:r>
      <w:r w:rsidRPr="00042419">
        <w:rPr>
          <w:rFonts w:asciiTheme="majorBidi" w:hAnsiTheme="majorBidi" w:cstheme="majorBidi"/>
        </w:rPr>
        <w:t xml:space="preserve">US data suggest that AKI is associated with an elevated risk of discharge to long-term care even with adjustment for other predictive factors. </w:t>
      </w:r>
      <w:proofErr w:type="spellStart"/>
      <w:r w:rsidRPr="00042419">
        <w:rPr>
          <w:rFonts w:asciiTheme="majorBidi" w:hAnsiTheme="majorBidi" w:cstheme="majorBidi"/>
        </w:rPr>
        <w:t>Liangos</w:t>
      </w:r>
      <w:proofErr w:type="spellEnd"/>
      <w:r w:rsidRPr="00042419">
        <w:rPr>
          <w:rFonts w:asciiTheme="majorBidi" w:hAnsiTheme="majorBidi" w:cstheme="majorBidi"/>
        </w:rPr>
        <w:t xml:space="preserve"> 2006 found that 8.9% of patients without AKI will be discharged to long-term care and this is elevated to 17.8% in those with an AKI (reflecting an adjusted odds ratio of 2.2 (95% CI 2.1, 2.2)). We combine this with information on the costs of long-term care and model a scenario based on this. We use a weekly cost of £1,049 (average of private sector nursing home, and local-authority own-provision residential care for older people,</w:t>
      </w:r>
      <w:r w:rsidR="004B4D1C" w:rsidRPr="004B4D1C">
        <w:rPr>
          <w:rFonts w:asciiTheme="majorBidi" w:hAnsiTheme="majorBidi" w:cstheme="majorBidi"/>
          <w:noProof/>
          <w:vertAlign w:val="superscript"/>
        </w:rPr>
        <w:t>137</w:t>
      </w:r>
      <w:r w:rsidRPr="00042419">
        <w:rPr>
          <w:rFonts w:asciiTheme="majorBidi" w:hAnsiTheme="majorBidi" w:cstheme="majorBidi"/>
        </w:rPr>
        <w:t xml:space="preserve">) and apply this for the lifetime of the patient. This is likely to be an overestimate as some patients may be discharged from long-term care and the full cost of this care may not fall on the NHS / PSS budgets. </w:t>
      </w:r>
    </w:p>
    <w:p w14:paraId="6E0FB03B" w14:textId="77777777" w:rsidR="00A4788F" w:rsidRPr="00042419" w:rsidRDefault="00A4788F" w:rsidP="00A4788F">
      <w:pPr>
        <w:spacing w:after="0" w:line="360" w:lineRule="auto"/>
        <w:jc w:val="both"/>
        <w:rPr>
          <w:rFonts w:asciiTheme="majorBidi" w:hAnsiTheme="majorBidi" w:cstheme="majorBidi"/>
        </w:rPr>
      </w:pPr>
    </w:p>
    <w:p w14:paraId="6AE8CBFB" w14:textId="77777777"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 xml:space="preserve">We did not include the cost of end of life or palliative care as this was considered unlikely to substantively influence model outcomes. </w:t>
      </w:r>
    </w:p>
    <w:p w14:paraId="6A57B913" w14:textId="77777777" w:rsidR="00881470" w:rsidRPr="00042419" w:rsidRDefault="00881470" w:rsidP="00881470">
      <w:pPr>
        <w:spacing w:after="0" w:line="360" w:lineRule="auto"/>
        <w:jc w:val="both"/>
        <w:rPr>
          <w:rFonts w:asciiTheme="majorBidi" w:hAnsiTheme="majorBidi" w:cstheme="majorBidi"/>
        </w:rPr>
      </w:pPr>
    </w:p>
    <w:p w14:paraId="430018E3" w14:textId="5FEFAF51"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t>Drug acquisition costs were based on the cost of the daily dose derived from published sources</w:t>
      </w:r>
      <w:r w:rsidR="003024D6">
        <w:rPr>
          <w:rFonts w:asciiTheme="majorBidi" w:hAnsiTheme="majorBidi" w:cstheme="majorBidi"/>
        </w:rPr>
        <w:t>,</w:t>
      </w:r>
      <w:r w:rsidR="004B4D1C" w:rsidRPr="004B4D1C">
        <w:rPr>
          <w:rFonts w:asciiTheme="majorBidi" w:hAnsiTheme="majorBidi" w:cstheme="majorBidi"/>
          <w:noProof/>
          <w:vertAlign w:val="superscript"/>
        </w:rPr>
        <w:t>103,139</w:t>
      </w:r>
      <w:r w:rsidR="00881470" w:rsidRPr="00042419">
        <w:rPr>
          <w:rFonts w:asciiTheme="majorBidi" w:hAnsiTheme="majorBidi" w:cstheme="majorBidi"/>
        </w:rPr>
        <w:t xml:space="preserve"> </w:t>
      </w:r>
      <w:r w:rsidRPr="00042419">
        <w:rPr>
          <w:rFonts w:asciiTheme="majorBidi" w:hAnsiTheme="majorBidi" w:cstheme="majorBidi"/>
        </w:rPr>
        <w:t>the daily doses reported by WHO Collaboration Centre for Drug Statistics Methodology</w:t>
      </w:r>
      <w:r w:rsidR="00A83123" w:rsidRPr="00A83123">
        <w:rPr>
          <w:rFonts w:asciiTheme="majorBidi" w:hAnsiTheme="majorBidi" w:cstheme="majorBidi"/>
          <w:noProof/>
          <w:vertAlign w:val="superscript"/>
        </w:rPr>
        <w:t>13</w:t>
      </w:r>
      <w:r w:rsidRPr="00042419">
        <w:rPr>
          <w:rFonts w:asciiTheme="majorBidi" w:hAnsiTheme="majorBidi" w:cstheme="majorBidi"/>
        </w:rPr>
        <w:t xml:space="preserve"> and the treatment duration derived from published literature</w:t>
      </w:r>
      <w:r w:rsidR="002C3F8A">
        <w:rPr>
          <w:rFonts w:asciiTheme="majorBidi" w:hAnsiTheme="majorBidi" w:cstheme="majorBidi"/>
        </w:rPr>
        <w:t>.</w:t>
      </w:r>
      <w:r w:rsidR="004B4D1C" w:rsidRPr="004B4D1C">
        <w:rPr>
          <w:rFonts w:asciiTheme="majorBidi" w:hAnsiTheme="majorBidi" w:cstheme="majorBidi"/>
          <w:noProof/>
          <w:vertAlign w:val="superscript"/>
        </w:rPr>
        <w:t>105,106,116,139</w:t>
      </w:r>
      <w:r w:rsidRPr="00042419">
        <w:rPr>
          <w:rFonts w:asciiTheme="majorBidi" w:hAnsiTheme="majorBidi" w:cstheme="majorBidi"/>
        </w:rPr>
        <w:t xml:space="preserve"> When more than one formulation or pack size was available, we based costs on the largest pack size and IV formulations. When the treatment duration was provided as a range, we used the longest duration, to reflect the high severity of infections. When more than one </w:t>
      </w:r>
      <w:r w:rsidR="00161C00">
        <w:rPr>
          <w:rFonts w:asciiTheme="majorBidi" w:hAnsiTheme="majorBidi" w:cstheme="majorBidi"/>
        </w:rPr>
        <w:t>AM</w:t>
      </w:r>
      <w:r w:rsidRPr="00042419">
        <w:rPr>
          <w:rFonts w:asciiTheme="majorBidi" w:hAnsiTheme="majorBidi" w:cstheme="majorBidi"/>
        </w:rPr>
        <w:t xml:space="preserve"> was available for treatment in a particular setting (</w:t>
      </w:r>
      <w:r w:rsidR="003024D6" w:rsidRPr="00042419">
        <w:rPr>
          <w:rFonts w:asciiTheme="majorBidi" w:hAnsiTheme="majorBidi" w:cstheme="majorBidi"/>
        </w:rPr>
        <w:t>e.g.,</w:t>
      </w:r>
      <w:r w:rsidRPr="00042419">
        <w:rPr>
          <w:rFonts w:asciiTheme="majorBidi" w:hAnsiTheme="majorBidi" w:cstheme="majorBidi"/>
        </w:rPr>
        <w:t xml:space="preserve"> colistin or </w:t>
      </w:r>
      <w:proofErr w:type="spellStart"/>
      <w:r w:rsidRPr="00042419">
        <w:rPr>
          <w:rFonts w:asciiTheme="majorBidi" w:hAnsiTheme="majorBidi" w:cstheme="majorBidi"/>
        </w:rPr>
        <w:lastRenderedPageBreak/>
        <w:t>aminoglycocides</w:t>
      </w:r>
      <w:proofErr w:type="spellEnd"/>
      <w:r w:rsidRPr="00042419">
        <w:rPr>
          <w:rFonts w:asciiTheme="majorBidi" w:hAnsiTheme="majorBidi" w:cstheme="majorBidi"/>
        </w:rPr>
        <w:t xml:space="preserve"> for the treatment of HAP/VAP in MDS), the most expensive treatment was chosen to reflect that often combination or higher doses of therapy may be used. In the ES</w:t>
      </w:r>
      <w:r w:rsidR="003024D6">
        <w:rPr>
          <w:rFonts w:asciiTheme="majorBidi" w:hAnsiTheme="majorBidi" w:cstheme="majorBidi"/>
        </w:rPr>
        <w:t>,</w:t>
      </w:r>
      <w:r w:rsidRPr="00042419">
        <w:rPr>
          <w:rFonts w:asciiTheme="majorBidi" w:hAnsiTheme="majorBidi" w:cstheme="majorBidi"/>
        </w:rPr>
        <w:t xml:space="preserve"> patients who require a treatment switch following availability of their susceptibility results are assumed to receive 5 days of treatment, whereas those who do not require a treatment switch receive the full course. </w:t>
      </w:r>
    </w:p>
    <w:p w14:paraId="75C781EC" w14:textId="77777777" w:rsidR="00A4788F" w:rsidRPr="00042419" w:rsidRDefault="00A4788F" w:rsidP="00A4788F">
      <w:pPr>
        <w:spacing w:line="360" w:lineRule="auto"/>
        <w:jc w:val="both"/>
        <w:rPr>
          <w:rFonts w:asciiTheme="majorBidi" w:hAnsiTheme="majorBidi" w:cstheme="majorBidi"/>
        </w:rPr>
      </w:pPr>
    </w:p>
    <w:p w14:paraId="01D02330" w14:textId="100CD577" w:rsidR="00A4788F" w:rsidRPr="00042419" w:rsidRDefault="00A4788F" w:rsidP="00A4788F">
      <w:pPr>
        <w:spacing w:line="360" w:lineRule="auto"/>
        <w:rPr>
          <w:rFonts w:asciiTheme="majorBidi" w:hAnsiTheme="majorBidi" w:cstheme="majorBidi"/>
        </w:rPr>
      </w:pPr>
      <w:r w:rsidRPr="00042419">
        <w:rPr>
          <w:rFonts w:asciiTheme="majorBidi" w:hAnsiTheme="majorBidi" w:cstheme="majorBidi"/>
        </w:rPr>
        <w:t xml:space="preserve">The unit cost of all comparators is </w:t>
      </w:r>
      <w:r w:rsidRPr="00A80C2B">
        <w:rPr>
          <w:rFonts w:asciiTheme="majorBidi" w:hAnsiTheme="majorBidi" w:cstheme="majorBidi"/>
          <w:color w:val="000000" w:themeColor="text1"/>
        </w:rPr>
        <w:t xml:space="preserve">shown in Appendix </w:t>
      </w:r>
      <w:r w:rsidR="00A80C2B" w:rsidRPr="00A80C2B">
        <w:rPr>
          <w:rFonts w:asciiTheme="majorBidi" w:hAnsiTheme="majorBidi" w:cstheme="majorBidi"/>
          <w:color w:val="000000" w:themeColor="text1"/>
        </w:rPr>
        <w:t>14</w:t>
      </w:r>
      <w:r w:rsidRPr="00A80C2B">
        <w:rPr>
          <w:rFonts w:asciiTheme="majorBidi" w:hAnsiTheme="majorBidi" w:cstheme="majorBidi"/>
          <w:color w:val="000000" w:themeColor="text1"/>
        </w:rPr>
        <w:t xml:space="preserve">. The drug </w:t>
      </w:r>
      <w:r w:rsidRPr="00042419">
        <w:rPr>
          <w:rFonts w:asciiTheme="majorBidi" w:hAnsiTheme="majorBidi" w:cstheme="majorBidi"/>
        </w:rPr>
        <w:t xml:space="preserve">acquisition costs used in the model are summarised in </w:t>
      </w:r>
      <w:r w:rsidR="003024D6" w:rsidRPr="003024D6">
        <w:rPr>
          <w:rFonts w:asciiTheme="majorBidi" w:hAnsiTheme="majorBidi" w:cstheme="majorBidi"/>
        </w:rPr>
        <w:t xml:space="preserve">Table </w:t>
      </w:r>
      <w:r w:rsidR="003024D6" w:rsidRPr="003024D6">
        <w:rPr>
          <w:rFonts w:asciiTheme="majorBidi" w:hAnsiTheme="majorBidi" w:cstheme="majorBidi"/>
          <w:bCs/>
          <w:noProof/>
          <w:color w:val="000000" w:themeColor="text1"/>
          <w:szCs w:val="18"/>
        </w:rPr>
        <w:t>31</w:t>
      </w:r>
      <w:r w:rsidRPr="00042419">
        <w:rPr>
          <w:rFonts w:asciiTheme="majorBidi" w:hAnsiTheme="majorBidi" w:cstheme="majorBidi"/>
        </w:rPr>
        <w:t>.</w:t>
      </w:r>
    </w:p>
    <w:p w14:paraId="28E2A402" w14:textId="5D5C0564" w:rsidR="00A4788F" w:rsidRPr="003024D6" w:rsidRDefault="00A4788F" w:rsidP="009E265F">
      <w:pPr>
        <w:pStyle w:val="table"/>
      </w:pPr>
      <w:bookmarkStart w:id="438" w:name="_Ref83644025"/>
      <w:bookmarkStart w:id="439" w:name="_Toc86419008"/>
      <w:r w:rsidRPr="003024D6">
        <w:t xml:space="preserve">Table </w:t>
      </w:r>
      <w:r w:rsidR="00F10F0A">
        <w:rPr>
          <w:bCs/>
          <w:noProof/>
          <w:color w:val="000000" w:themeColor="text1"/>
          <w:szCs w:val="18"/>
        </w:rPr>
        <w:t>31</w:t>
      </w:r>
      <w:bookmarkEnd w:id="438"/>
      <w:r w:rsidRPr="003024D6">
        <w:t>. Drug acquisition cost for a full course of treatment, or five days of treatment while awaiting sensitivity results in ES.</w:t>
      </w:r>
      <w:bookmarkEnd w:id="439"/>
    </w:p>
    <w:tbl>
      <w:tblPr>
        <w:tblStyle w:val="TableGrid7"/>
        <w:tblW w:w="0" w:type="auto"/>
        <w:tblLayout w:type="fixed"/>
        <w:tblLook w:val="04A0" w:firstRow="1" w:lastRow="0" w:firstColumn="1" w:lastColumn="0" w:noHBand="0" w:noVBand="1"/>
      </w:tblPr>
      <w:tblGrid>
        <w:gridCol w:w="1129"/>
        <w:gridCol w:w="1843"/>
        <w:gridCol w:w="1701"/>
        <w:gridCol w:w="1843"/>
        <w:gridCol w:w="1417"/>
        <w:gridCol w:w="1083"/>
      </w:tblGrid>
      <w:tr w:rsidR="00A4788F" w:rsidRPr="004A4B7C" w14:paraId="4389A42C" w14:textId="77777777" w:rsidTr="00A4788F">
        <w:tc>
          <w:tcPr>
            <w:tcW w:w="1129" w:type="dxa"/>
          </w:tcPr>
          <w:p w14:paraId="28277CCC" w14:textId="77777777" w:rsidR="00A4788F" w:rsidRPr="004A4B7C" w:rsidRDefault="00A4788F" w:rsidP="004A4B7C">
            <w:pPr>
              <w:rPr>
                <w:rFonts w:asciiTheme="majorBidi" w:hAnsiTheme="majorBidi" w:cstheme="majorBidi"/>
                <w:sz w:val="20"/>
                <w:szCs w:val="20"/>
              </w:rPr>
            </w:pPr>
          </w:p>
        </w:tc>
        <w:tc>
          <w:tcPr>
            <w:tcW w:w="1843" w:type="dxa"/>
          </w:tcPr>
          <w:p w14:paraId="0DEB655F"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 xml:space="preserve">Colistin/ </w:t>
            </w:r>
            <w:proofErr w:type="spellStart"/>
            <w:r w:rsidRPr="004A4B7C">
              <w:rPr>
                <w:rFonts w:asciiTheme="majorBidi" w:hAnsiTheme="majorBidi" w:cstheme="majorBidi"/>
                <w:color w:val="000000"/>
                <w:sz w:val="20"/>
                <w:szCs w:val="20"/>
              </w:rPr>
              <w:t>aminoglycocide</w:t>
            </w:r>
            <w:proofErr w:type="spellEnd"/>
            <w:r w:rsidRPr="004A4B7C">
              <w:rPr>
                <w:rFonts w:asciiTheme="majorBidi" w:hAnsiTheme="majorBidi" w:cstheme="majorBidi"/>
                <w:color w:val="000000"/>
                <w:sz w:val="20"/>
                <w:szCs w:val="20"/>
              </w:rPr>
              <w:t>-based treatment in ES</w:t>
            </w:r>
          </w:p>
        </w:tc>
        <w:tc>
          <w:tcPr>
            <w:tcW w:w="1701" w:type="dxa"/>
          </w:tcPr>
          <w:p w14:paraId="1A9C9706" w14:textId="77777777" w:rsidR="00A4788F" w:rsidRPr="004A4B7C" w:rsidRDefault="00A4788F" w:rsidP="004A4B7C">
            <w:pPr>
              <w:rPr>
                <w:rFonts w:asciiTheme="majorBidi" w:hAnsiTheme="majorBidi" w:cstheme="majorBidi"/>
                <w:sz w:val="20"/>
                <w:szCs w:val="20"/>
              </w:rPr>
            </w:pPr>
            <w:proofErr w:type="spellStart"/>
            <w:r w:rsidRPr="004A4B7C">
              <w:rPr>
                <w:rFonts w:asciiTheme="majorBidi" w:hAnsiTheme="majorBidi" w:cstheme="majorBidi"/>
                <w:color w:val="000000"/>
                <w:sz w:val="20"/>
                <w:szCs w:val="20"/>
              </w:rPr>
              <w:t>nca</w:t>
            </w:r>
            <w:proofErr w:type="spellEnd"/>
            <w:r w:rsidRPr="004A4B7C">
              <w:rPr>
                <w:rFonts w:asciiTheme="majorBidi" w:hAnsiTheme="majorBidi" w:cstheme="majorBidi"/>
                <w:color w:val="000000"/>
                <w:sz w:val="20"/>
                <w:szCs w:val="20"/>
              </w:rPr>
              <w:t>-based ES</w:t>
            </w:r>
          </w:p>
        </w:tc>
        <w:tc>
          <w:tcPr>
            <w:tcW w:w="1843" w:type="dxa"/>
          </w:tcPr>
          <w:p w14:paraId="045A8CC9"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 xml:space="preserve">Colistin/ </w:t>
            </w:r>
            <w:proofErr w:type="spellStart"/>
            <w:r w:rsidRPr="004A4B7C">
              <w:rPr>
                <w:rFonts w:asciiTheme="majorBidi" w:hAnsiTheme="majorBidi" w:cstheme="majorBidi"/>
                <w:color w:val="000000"/>
                <w:sz w:val="20"/>
                <w:szCs w:val="20"/>
              </w:rPr>
              <w:t>aminoglycocide</w:t>
            </w:r>
            <w:proofErr w:type="spellEnd"/>
            <w:r w:rsidRPr="004A4B7C">
              <w:rPr>
                <w:rFonts w:asciiTheme="majorBidi" w:hAnsiTheme="majorBidi" w:cstheme="majorBidi"/>
                <w:color w:val="000000"/>
                <w:sz w:val="20"/>
                <w:szCs w:val="20"/>
              </w:rPr>
              <w:t>-based treatment in MDS</w:t>
            </w:r>
          </w:p>
        </w:tc>
        <w:tc>
          <w:tcPr>
            <w:tcW w:w="1417" w:type="dxa"/>
          </w:tcPr>
          <w:p w14:paraId="20D7B910" w14:textId="77777777" w:rsidR="00A4788F" w:rsidRPr="004A4B7C" w:rsidRDefault="00A4788F" w:rsidP="004A4B7C">
            <w:pPr>
              <w:rPr>
                <w:rFonts w:asciiTheme="majorBidi" w:hAnsiTheme="majorBidi" w:cstheme="majorBidi"/>
                <w:sz w:val="20"/>
                <w:szCs w:val="20"/>
              </w:rPr>
            </w:pPr>
            <w:proofErr w:type="spellStart"/>
            <w:r w:rsidRPr="004A4B7C">
              <w:rPr>
                <w:rFonts w:asciiTheme="majorBidi" w:hAnsiTheme="majorBidi" w:cstheme="majorBidi"/>
                <w:color w:val="000000"/>
                <w:sz w:val="20"/>
                <w:szCs w:val="20"/>
              </w:rPr>
              <w:t>nca</w:t>
            </w:r>
            <w:proofErr w:type="spellEnd"/>
            <w:r w:rsidRPr="004A4B7C">
              <w:rPr>
                <w:rFonts w:asciiTheme="majorBidi" w:hAnsiTheme="majorBidi" w:cstheme="majorBidi"/>
                <w:color w:val="000000"/>
                <w:sz w:val="20"/>
                <w:szCs w:val="20"/>
              </w:rPr>
              <w:t>-based MDS</w:t>
            </w:r>
          </w:p>
        </w:tc>
        <w:tc>
          <w:tcPr>
            <w:tcW w:w="1083" w:type="dxa"/>
          </w:tcPr>
          <w:p w14:paraId="0EE35D94"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Salvage</w:t>
            </w:r>
          </w:p>
        </w:tc>
      </w:tr>
      <w:tr w:rsidR="00A4788F" w:rsidRPr="004A4B7C" w14:paraId="5F7EF18B" w14:textId="77777777" w:rsidTr="00A4788F">
        <w:tc>
          <w:tcPr>
            <w:tcW w:w="1129" w:type="dxa"/>
          </w:tcPr>
          <w:p w14:paraId="126C08AC" w14:textId="5E1C491C" w:rsidR="00A4788F" w:rsidRPr="004A4B7C" w:rsidRDefault="00FE2007" w:rsidP="004A4B7C">
            <w:pPr>
              <w:rPr>
                <w:rFonts w:asciiTheme="majorBidi" w:hAnsiTheme="majorBidi" w:cstheme="majorBidi"/>
                <w:sz w:val="20"/>
                <w:szCs w:val="20"/>
              </w:rPr>
            </w:pPr>
            <w:r w:rsidRPr="004A4B7C">
              <w:rPr>
                <w:rFonts w:asciiTheme="majorBidi" w:hAnsiTheme="majorBidi" w:cstheme="majorBidi"/>
                <w:color w:val="000000"/>
                <w:sz w:val="20"/>
                <w:szCs w:val="20"/>
              </w:rPr>
              <w:t xml:space="preserve">OXA-48 </w:t>
            </w:r>
            <w:proofErr w:type="spellStart"/>
            <w:r w:rsidRPr="004A4B7C">
              <w:rPr>
                <w:rFonts w:asciiTheme="majorBidi" w:hAnsiTheme="majorBidi" w:cstheme="majorBidi"/>
                <w:i/>
                <w:iCs/>
                <w:color w:val="000000"/>
                <w:sz w:val="20"/>
                <w:szCs w:val="20"/>
              </w:rPr>
              <w:t>Enterobacterales</w:t>
            </w:r>
            <w:proofErr w:type="spellEnd"/>
          </w:p>
        </w:tc>
        <w:tc>
          <w:tcPr>
            <w:tcW w:w="1843" w:type="dxa"/>
          </w:tcPr>
          <w:p w14:paraId="55957C69"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Full course:</w:t>
            </w:r>
          </w:p>
          <w:p w14:paraId="62D29E63"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£452.10</w:t>
            </w:r>
          </w:p>
          <w:p w14:paraId="4513186D" w14:textId="77777777" w:rsidR="00A4788F" w:rsidRPr="004A4B7C" w:rsidRDefault="00A4788F" w:rsidP="004A4B7C">
            <w:pPr>
              <w:rPr>
                <w:rFonts w:asciiTheme="majorBidi" w:hAnsiTheme="majorBidi" w:cstheme="majorBidi"/>
                <w:color w:val="000000"/>
                <w:sz w:val="20"/>
                <w:szCs w:val="20"/>
              </w:rPr>
            </w:pPr>
            <w:r w:rsidRPr="004A4B7C">
              <w:rPr>
                <w:rFonts w:asciiTheme="majorBidi" w:hAnsiTheme="majorBidi" w:cstheme="majorBidi"/>
                <w:sz w:val="20"/>
                <w:szCs w:val="20"/>
              </w:rPr>
              <w:t>(</w:t>
            </w:r>
            <w:r w:rsidRPr="004A4B7C">
              <w:rPr>
                <w:rFonts w:asciiTheme="majorBidi" w:hAnsiTheme="majorBidi" w:cstheme="majorBidi"/>
                <w:color w:val="000000"/>
                <w:sz w:val="20"/>
                <w:szCs w:val="20"/>
              </w:rPr>
              <w:t>colistin +tigecycline)</w:t>
            </w:r>
          </w:p>
          <w:p w14:paraId="089CECFC" w14:textId="77777777" w:rsidR="00A4788F" w:rsidRPr="004A4B7C" w:rsidRDefault="00A4788F" w:rsidP="004A4B7C">
            <w:pPr>
              <w:rPr>
                <w:rFonts w:asciiTheme="majorBidi" w:hAnsiTheme="majorBidi" w:cstheme="majorBidi"/>
                <w:color w:val="000000"/>
                <w:sz w:val="20"/>
                <w:szCs w:val="20"/>
              </w:rPr>
            </w:pPr>
            <w:r w:rsidRPr="004A4B7C">
              <w:rPr>
                <w:rFonts w:asciiTheme="majorBidi" w:hAnsiTheme="majorBidi" w:cstheme="majorBidi"/>
                <w:color w:val="000000"/>
                <w:sz w:val="20"/>
                <w:szCs w:val="20"/>
              </w:rPr>
              <w:t>Five-days:</w:t>
            </w:r>
          </w:p>
          <w:p w14:paraId="073C3BCB"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£187.50</w:t>
            </w:r>
          </w:p>
        </w:tc>
        <w:tc>
          <w:tcPr>
            <w:tcW w:w="1701" w:type="dxa"/>
          </w:tcPr>
          <w:p w14:paraId="2CCE8FB9"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Full course:</w:t>
            </w:r>
          </w:p>
          <w:p w14:paraId="0B6C6FCC" w14:textId="77777777" w:rsidR="00A4788F" w:rsidRPr="004A4B7C" w:rsidRDefault="00A4788F" w:rsidP="004A4B7C">
            <w:pPr>
              <w:rPr>
                <w:rFonts w:asciiTheme="majorBidi" w:hAnsiTheme="majorBidi" w:cstheme="majorBidi"/>
                <w:color w:val="000000"/>
                <w:sz w:val="20"/>
                <w:szCs w:val="20"/>
              </w:rPr>
            </w:pPr>
            <w:r w:rsidRPr="004A4B7C">
              <w:rPr>
                <w:rFonts w:asciiTheme="majorBidi" w:hAnsiTheme="majorBidi" w:cstheme="majorBidi"/>
                <w:sz w:val="20"/>
                <w:szCs w:val="20"/>
              </w:rPr>
              <w:t>£10.57 (c</w:t>
            </w:r>
            <w:r w:rsidRPr="004A4B7C">
              <w:rPr>
                <w:rFonts w:asciiTheme="majorBidi" w:hAnsiTheme="majorBidi" w:cstheme="majorBidi"/>
                <w:color w:val="000000"/>
                <w:sz w:val="20"/>
                <w:szCs w:val="20"/>
              </w:rPr>
              <w:t>iprofloxacin)</w:t>
            </w:r>
          </w:p>
          <w:p w14:paraId="5A099271" w14:textId="77777777" w:rsidR="00A4788F" w:rsidRPr="004A4B7C" w:rsidRDefault="00A4788F" w:rsidP="004A4B7C">
            <w:pPr>
              <w:rPr>
                <w:rFonts w:asciiTheme="majorBidi" w:hAnsiTheme="majorBidi" w:cstheme="majorBidi"/>
                <w:color w:val="000000"/>
                <w:sz w:val="20"/>
                <w:szCs w:val="20"/>
              </w:rPr>
            </w:pPr>
            <w:r w:rsidRPr="004A4B7C">
              <w:rPr>
                <w:rFonts w:asciiTheme="majorBidi" w:hAnsiTheme="majorBidi" w:cstheme="majorBidi"/>
                <w:color w:val="000000"/>
                <w:sz w:val="20"/>
                <w:szCs w:val="20"/>
              </w:rPr>
              <w:t>Five-days:</w:t>
            </w:r>
          </w:p>
          <w:p w14:paraId="3C43CEC5"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£7.55</w:t>
            </w:r>
          </w:p>
        </w:tc>
        <w:tc>
          <w:tcPr>
            <w:tcW w:w="1843" w:type="dxa"/>
          </w:tcPr>
          <w:p w14:paraId="10602D9E"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£232.30 (amikacin)</w:t>
            </w:r>
          </w:p>
        </w:tc>
        <w:tc>
          <w:tcPr>
            <w:tcW w:w="1417" w:type="dxa"/>
          </w:tcPr>
          <w:p w14:paraId="54C2B5E7" w14:textId="77777777" w:rsidR="00A4788F" w:rsidRPr="004A4B7C" w:rsidRDefault="00A4788F" w:rsidP="004A4B7C">
            <w:pPr>
              <w:rPr>
                <w:rFonts w:asciiTheme="majorBidi" w:hAnsiTheme="majorBidi" w:cstheme="majorBidi"/>
                <w:sz w:val="20"/>
                <w:szCs w:val="20"/>
              </w:rPr>
            </w:pPr>
            <w:r w:rsidRPr="004A4B7C">
              <w:rPr>
                <w:rFonts w:asciiTheme="majorBidi" w:eastAsia="Times New Roman" w:hAnsiTheme="majorBidi" w:cstheme="majorBidi"/>
                <w:sz w:val="20"/>
                <w:szCs w:val="20"/>
                <w:lang w:eastAsia="en-GB"/>
              </w:rPr>
              <w:t>£280.00 (cefepime)</w:t>
            </w:r>
          </w:p>
        </w:tc>
        <w:tc>
          <w:tcPr>
            <w:tcW w:w="1083" w:type="dxa"/>
          </w:tcPr>
          <w:p w14:paraId="4CC93EE7"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color w:val="000000"/>
                <w:sz w:val="20"/>
                <w:szCs w:val="20"/>
              </w:rPr>
              <w:t>£397.78</w:t>
            </w:r>
          </w:p>
        </w:tc>
      </w:tr>
    </w:tbl>
    <w:p w14:paraId="406F0CA1" w14:textId="2090F870" w:rsidR="00774411" w:rsidRDefault="00774411" w:rsidP="00774411">
      <w:pPr>
        <w:pStyle w:val="EEPRUtextundertables"/>
      </w:pPr>
      <w:r>
        <w:t xml:space="preserve">ES, empiric setting; </w:t>
      </w:r>
      <w:r w:rsidRPr="0063696B">
        <w:t>MDS, microbiology-directed setting</w:t>
      </w:r>
      <w:r>
        <w:t xml:space="preserve">; OXA, </w:t>
      </w:r>
      <w:proofErr w:type="spellStart"/>
      <w:r>
        <w:t>oxicillinase</w:t>
      </w:r>
      <w:proofErr w:type="spellEnd"/>
    </w:p>
    <w:p w14:paraId="219931C1" w14:textId="77777777" w:rsidR="00A4788F" w:rsidRPr="007E0A82" w:rsidRDefault="00A4788F" w:rsidP="00A4788F">
      <w:pPr>
        <w:spacing w:line="360" w:lineRule="auto"/>
        <w:jc w:val="both"/>
      </w:pPr>
    </w:p>
    <w:p w14:paraId="0D168744" w14:textId="77777777" w:rsidR="00A4788F" w:rsidRPr="00042419" w:rsidRDefault="00A4788F" w:rsidP="00A4788F">
      <w:pPr>
        <w:spacing w:line="360" w:lineRule="auto"/>
        <w:jc w:val="both"/>
        <w:rPr>
          <w:rFonts w:asciiTheme="majorBidi" w:hAnsiTheme="majorBidi" w:cstheme="majorBidi"/>
        </w:rPr>
      </w:pPr>
      <w:r w:rsidRPr="00042419">
        <w:rPr>
          <w:rFonts w:asciiTheme="majorBidi" w:hAnsiTheme="majorBidi" w:cstheme="majorBidi"/>
        </w:rPr>
        <w:t>Drug administration costs were assumed to be included in the cost of hospital stay, where patients are assumed to be treated.</w:t>
      </w:r>
    </w:p>
    <w:p w14:paraId="135F3657" w14:textId="625E706C" w:rsidR="00A4788F" w:rsidRPr="00136661" w:rsidRDefault="00FD107F" w:rsidP="00794B4E">
      <w:pPr>
        <w:pStyle w:val="EEPRUnumberedlevel4"/>
        <w:ind w:left="720" w:firstLine="720"/>
      </w:pPr>
      <w:bookmarkStart w:id="440" w:name="_Toc87463046"/>
      <w:r>
        <w:t>7.2.4</w:t>
      </w:r>
      <w:r>
        <w:tab/>
      </w:r>
      <w:r w:rsidR="00A4788F" w:rsidRPr="00042419">
        <w:t>Model outputs and uncertainty analysis</w:t>
      </w:r>
      <w:bookmarkEnd w:id="440"/>
      <w:r w:rsidR="00A4788F" w:rsidRPr="00042419">
        <w:t xml:space="preserve"> </w:t>
      </w:r>
    </w:p>
    <w:p w14:paraId="46B46B7E" w14:textId="5A7A65A7"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 xml:space="preserve">Per patient lifetime costs, QALYs and NHEs are presented for each subgroup described in </w:t>
      </w:r>
      <w:r w:rsidR="00862836" w:rsidRPr="00862836">
        <w:rPr>
          <w:rFonts w:asciiTheme="majorBidi" w:hAnsiTheme="majorBidi" w:cstheme="majorBidi"/>
        </w:rPr>
        <w:t xml:space="preserve">Table </w:t>
      </w:r>
      <w:r w:rsidR="00862836" w:rsidRPr="00862836">
        <w:rPr>
          <w:rFonts w:asciiTheme="majorBidi" w:hAnsiTheme="majorBidi" w:cstheme="majorBidi"/>
          <w:iCs/>
          <w:noProof/>
        </w:rPr>
        <w:t>20</w:t>
      </w:r>
      <w:r w:rsidRPr="00042419">
        <w:rPr>
          <w:rFonts w:asciiTheme="majorBidi" w:hAnsiTheme="majorBidi" w:cstheme="majorBidi"/>
        </w:rPr>
        <w:t xml:space="preserve">. For the subgroups of patients eligible for treatment in the MDS, incremental results are presented for the comparison of the overall MDS cohort who receive tailored therapy with the new drug available to the overall cohort who receive tailored therapy under existing treatment options only. For patients eligible for treatment in the ES, incremental results are presented for the pathway including </w:t>
      </w:r>
      <w:r w:rsidR="00FE2007">
        <w:rPr>
          <w:rFonts w:asciiTheme="majorBidi" w:hAnsiTheme="majorBidi" w:cstheme="majorBidi"/>
        </w:rPr>
        <w:t>CAZ-AVI</w:t>
      </w:r>
      <w:r w:rsidRPr="00042419">
        <w:rPr>
          <w:rFonts w:asciiTheme="majorBidi" w:hAnsiTheme="majorBidi" w:cstheme="majorBidi"/>
        </w:rPr>
        <w:t xml:space="preserve"> as an empiric treatment, and the pathway including </w:t>
      </w:r>
      <w:r w:rsidR="00FE2007">
        <w:rPr>
          <w:rFonts w:asciiTheme="majorBidi" w:hAnsiTheme="majorBidi" w:cstheme="majorBidi"/>
        </w:rPr>
        <w:t>CAZ-AVI</w:t>
      </w:r>
      <w:r w:rsidRPr="00042419">
        <w:rPr>
          <w:rFonts w:asciiTheme="majorBidi" w:hAnsiTheme="majorBidi" w:cstheme="majorBidi"/>
        </w:rPr>
        <w:t xml:space="preserve"> as an MDS treatment, each compared to </w:t>
      </w:r>
      <w:r w:rsidR="00C27EE8" w:rsidRPr="00042419">
        <w:rPr>
          <w:rFonts w:asciiTheme="majorBidi" w:hAnsiTheme="majorBidi" w:cstheme="majorBidi"/>
        </w:rPr>
        <w:t>the treatment</w:t>
      </w:r>
      <w:r w:rsidRPr="00042419">
        <w:rPr>
          <w:rFonts w:asciiTheme="majorBidi" w:hAnsiTheme="majorBidi" w:cstheme="majorBidi"/>
        </w:rPr>
        <w:t xml:space="preserve"> pathways including only existing AMs. These estimates represent the INHEs offered by </w:t>
      </w:r>
      <w:r w:rsidR="00FE2007">
        <w:rPr>
          <w:rFonts w:asciiTheme="majorBidi" w:hAnsiTheme="majorBidi" w:cstheme="majorBidi"/>
        </w:rPr>
        <w:t>CAZ-AVI</w:t>
      </w:r>
      <w:r w:rsidRPr="00042419">
        <w:rPr>
          <w:rFonts w:asciiTheme="majorBidi" w:hAnsiTheme="majorBidi" w:cstheme="majorBidi"/>
        </w:rPr>
        <w:t xml:space="preserve"> over and above existing therapeutic options. </w:t>
      </w:r>
    </w:p>
    <w:p w14:paraId="128C89FB" w14:textId="77777777" w:rsidR="00A4788F" w:rsidRPr="00042419" w:rsidRDefault="00A4788F" w:rsidP="00A4788F">
      <w:pPr>
        <w:spacing w:line="360" w:lineRule="auto"/>
        <w:jc w:val="both"/>
        <w:rPr>
          <w:rFonts w:asciiTheme="majorBidi" w:hAnsiTheme="majorBidi" w:cstheme="majorBidi"/>
        </w:rPr>
      </w:pPr>
    </w:p>
    <w:p w14:paraId="3496276B" w14:textId="3D99EA29"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t xml:space="preserve">Calculation of NHEs requires a measure of health opportunity cost </w:t>
      </w:r>
      <w:r w:rsidR="00862836" w:rsidRPr="00042419">
        <w:rPr>
          <w:rFonts w:asciiTheme="majorBidi" w:hAnsiTheme="majorBidi" w:cstheme="majorBidi"/>
        </w:rPr>
        <w:t>to</w:t>
      </w:r>
      <w:r w:rsidRPr="00042419">
        <w:rPr>
          <w:rFonts w:asciiTheme="majorBidi" w:hAnsiTheme="majorBidi" w:cstheme="majorBidi"/>
        </w:rPr>
        <w:t xml:space="preserve"> convert additional health-care costs (or savings) to health foregone (or accrued). We present estimates of NHEs using a measure of health opportunity cost of £20,000/QALY as specified in the NICE scope for this </w:t>
      </w:r>
      <w:r w:rsidR="00862836" w:rsidRPr="00862836">
        <w:rPr>
          <w:rFonts w:asciiTheme="majorBidi" w:hAnsiTheme="majorBidi" w:cstheme="majorBidi"/>
        </w:rPr>
        <w:t>evaluation</w:t>
      </w:r>
      <w:r w:rsidR="004B4D1C" w:rsidRPr="004B4D1C">
        <w:rPr>
          <w:rFonts w:asciiTheme="majorBidi" w:hAnsiTheme="majorBidi" w:cstheme="majorBidi"/>
          <w:noProof/>
          <w:vertAlign w:val="superscript"/>
        </w:rPr>
        <w:t>140</w:t>
      </w:r>
      <w:r w:rsidRPr="00042419">
        <w:rPr>
          <w:rFonts w:asciiTheme="majorBidi" w:hAnsiTheme="majorBidi" w:cstheme="majorBidi"/>
        </w:rPr>
        <w:t xml:space="preserve"> with scenarios presented using £15,000 to reflect empirical estimates of health opportunity cost used by the </w:t>
      </w:r>
      <w:r w:rsidRPr="00042419">
        <w:rPr>
          <w:rFonts w:asciiTheme="majorBidi" w:hAnsiTheme="majorBidi" w:cstheme="majorBidi"/>
        </w:rPr>
        <w:lastRenderedPageBreak/>
        <w:t>department of health (see for example</w:t>
      </w:r>
      <w:r w:rsidR="004B4D1C" w:rsidRPr="004B4D1C">
        <w:rPr>
          <w:rFonts w:asciiTheme="majorBidi" w:hAnsiTheme="majorBidi" w:cstheme="majorBidi"/>
          <w:noProof/>
          <w:vertAlign w:val="superscript"/>
        </w:rPr>
        <w:t>141</w:t>
      </w:r>
      <w:r w:rsidRPr="00042419">
        <w:rPr>
          <w:rFonts w:asciiTheme="majorBidi" w:hAnsiTheme="majorBidi" w:cstheme="majorBidi"/>
        </w:rPr>
        <w:t xml:space="preserve">) and £30,000/QALY to reflect the upper bound of the approval norm used by NICE in </w:t>
      </w:r>
      <w:r w:rsidR="00837CD7" w:rsidRPr="00042419">
        <w:rPr>
          <w:rFonts w:asciiTheme="majorBidi" w:hAnsiTheme="majorBidi" w:cstheme="majorBidi"/>
        </w:rPr>
        <w:t>its</w:t>
      </w:r>
      <w:r w:rsidRPr="00042419">
        <w:rPr>
          <w:rFonts w:asciiTheme="majorBidi" w:hAnsiTheme="majorBidi" w:cstheme="majorBidi"/>
        </w:rPr>
        <w:t xml:space="preserve"> technology appraisal process.</w:t>
      </w:r>
      <w:r w:rsidR="004B4D1C" w:rsidRPr="004B4D1C">
        <w:rPr>
          <w:rFonts w:asciiTheme="majorBidi" w:hAnsiTheme="majorBidi" w:cstheme="majorBidi"/>
          <w:noProof/>
          <w:vertAlign w:val="superscript"/>
        </w:rPr>
        <w:t>142</w:t>
      </w:r>
      <w:r w:rsidRPr="00042419">
        <w:rPr>
          <w:rFonts w:asciiTheme="majorBidi" w:hAnsiTheme="majorBidi" w:cstheme="majorBidi"/>
        </w:rPr>
        <w:t xml:space="preserve"> </w:t>
      </w:r>
    </w:p>
    <w:p w14:paraId="7F73076A" w14:textId="77777777" w:rsidR="00A4788F" w:rsidRPr="00042419" w:rsidRDefault="00A4788F" w:rsidP="00A4788F">
      <w:pPr>
        <w:spacing w:line="360" w:lineRule="auto"/>
        <w:jc w:val="both"/>
        <w:rPr>
          <w:rFonts w:asciiTheme="majorBidi" w:hAnsiTheme="majorBidi" w:cstheme="majorBidi"/>
        </w:rPr>
      </w:pPr>
    </w:p>
    <w:p w14:paraId="7AF05BA6" w14:textId="51DA2F23"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 xml:space="preserve">Results are presented using the base case assumptions and data sources outlined above. In addition, a series of scenarios </w:t>
      </w:r>
      <w:r w:rsidR="00862836" w:rsidRPr="00042419">
        <w:rPr>
          <w:rFonts w:asciiTheme="majorBidi" w:hAnsiTheme="majorBidi" w:cstheme="majorBidi"/>
        </w:rPr>
        <w:t>is</w:t>
      </w:r>
      <w:r w:rsidRPr="00042419">
        <w:rPr>
          <w:rFonts w:asciiTheme="majorBidi" w:hAnsiTheme="majorBidi" w:cstheme="majorBidi"/>
        </w:rPr>
        <w:t xml:space="preserve"> generated to address uncertain assumptions and reflect alternative plausible evidence sources. Parameter uncertainty is quantified using probabilistic sensitivity analysis (PSA). Results of the PSA are presented as distributions of INHEs.</w:t>
      </w:r>
    </w:p>
    <w:p w14:paraId="11583FB2" w14:textId="77777777" w:rsidR="00FD107F" w:rsidRPr="00FD107F" w:rsidRDefault="00FD107F" w:rsidP="00FD107F">
      <w:pPr>
        <w:keepNext/>
        <w:keepLines/>
        <w:spacing w:after="240" w:line="240" w:lineRule="auto"/>
        <w:outlineLvl w:val="1"/>
        <w:rPr>
          <w:rFonts w:asciiTheme="majorBidi" w:eastAsiaTheme="majorEastAsia" w:hAnsiTheme="majorBidi" w:cstheme="majorBidi"/>
          <w:b/>
          <w:bCs/>
          <w:vanish/>
          <w:sz w:val="26"/>
          <w:szCs w:val="26"/>
        </w:rPr>
      </w:pPr>
      <w:bookmarkStart w:id="441" w:name="_Toc77921758"/>
      <w:bookmarkStart w:id="442" w:name="_Toc77940967"/>
      <w:bookmarkStart w:id="443" w:name="_Ref83580793"/>
      <w:bookmarkStart w:id="444" w:name="_Ref83582049"/>
      <w:bookmarkStart w:id="445" w:name="_Toc85194070"/>
    </w:p>
    <w:p w14:paraId="76201EF0" w14:textId="18733849" w:rsidR="00A4788F" w:rsidRPr="00042419" w:rsidRDefault="00A4788F" w:rsidP="005A3BE6">
      <w:pPr>
        <w:pStyle w:val="EEPRUnumberedstylelevel3"/>
        <w:numPr>
          <w:ilvl w:val="2"/>
          <w:numId w:val="101"/>
        </w:numPr>
      </w:pPr>
      <w:bookmarkStart w:id="446" w:name="_Ref86314040"/>
      <w:bookmarkStart w:id="447" w:name="_Toc87463047"/>
      <w:r w:rsidRPr="00042419">
        <w:t>Modelling direct population net health effects in HVCS</w:t>
      </w:r>
      <w:bookmarkEnd w:id="441"/>
      <w:bookmarkEnd w:id="442"/>
      <w:bookmarkEnd w:id="443"/>
      <w:bookmarkEnd w:id="444"/>
      <w:bookmarkEnd w:id="445"/>
      <w:bookmarkEnd w:id="446"/>
      <w:bookmarkEnd w:id="447"/>
      <w:r w:rsidRPr="00042419">
        <w:t xml:space="preserve"> </w:t>
      </w:r>
    </w:p>
    <w:p w14:paraId="494FC304" w14:textId="5A6CDBE6" w:rsidR="00A4788F" w:rsidRPr="00042419" w:rsidRDefault="00A4788F" w:rsidP="00881470">
      <w:pPr>
        <w:spacing w:after="0" w:line="360" w:lineRule="auto"/>
        <w:jc w:val="both"/>
        <w:rPr>
          <w:rFonts w:asciiTheme="majorBidi" w:hAnsiTheme="majorBidi" w:cstheme="majorBidi"/>
        </w:rPr>
      </w:pPr>
      <w:r w:rsidRPr="00042419">
        <w:rPr>
          <w:rFonts w:asciiTheme="majorBidi" w:hAnsiTheme="majorBidi" w:cstheme="majorBidi"/>
        </w:rPr>
        <w:t xml:space="preserve">Two key drivers of estimates of population INHEs are the size of the affected population, and the efficacy of AMs in this population. Both drivers are expected to vary over time. Increasing rates of resistance to carbapenems (due to an OXA-48 mechanism) will increase the population that could benefit from treatment with a newer AM. For CAZ-AVI, and potentially for the comparators, it is anticipated that resistance will change over time, with some of this change driven by changes in rates of AM use. The focus of this section is to describe the methods used to obtain quantitative estimates of changes in the affected population and AM efficacy over time. These estimates are used to generate predictions of the total population INHEs for </w:t>
      </w:r>
      <w:r w:rsidR="00FE2007">
        <w:rPr>
          <w:rFonts w:asciiTheme="majorBidi" w:hAnsiTheme="majorBidi" w:cstheme="majorBidi"/>
        </w:rPr>
        <w:t>CAZ-AVI</w:t>
      </w:r>
      <w:r w:rsidRPr="00042419">
        <w:rPr>
          <w:rFonts w:asciiTheme="majorBidi" w:hAnsiTheme="majorBidi" w:cstheme="majorBidi"/>
        </w:rPr>
        <w:t xml:space="preserve"> over 20 years. This time horizon was chosen pragmatically to explore the long-term value of </w:t>
      </w:r>
      <w:r w:rsidR="00FE2007">
        <w:rPr>
          <w:rFonts w:asciiTheme="majorBidi" w:hAnsiTheme="majorBidi" w:cstheme="majorBidi"/>
        </w:rPr>
        <w:t>CAZ-AVI</w:t>
      </w:r>
      <w:r w:rsidRPr="00042419">
        <w:rPr>
          <w:rFonts w:asciiTheme="majorBidi" w:hAnsiTheme="majorBidi" w:cstheme="majorBidi"/>
        </w:rPr>
        <w:t xml:space="preserve"> whilst avoiding additional uncertainties associated with very long-term population-level predictions.</w:t>
      </w:r>
    </w:p>
    <w:p w14:paraId="13F9449A" w14:textId="77777777" w:rsidR="00A4788F" w:rsidRPr="00042419" w:rsidRDefault="00A4788F" w:rsidP="00A4788F">
      <w:pPr>
        <w:spacing w:after="0" w:line="360" w:lineRule="auto"/>
        <w:jc w:val="both"/>
        <w:rPr>
          <w:rFonts w:asciiTheme="majorBidi" w:hAnsiTheme="majorBidi" w:cstheme="majorBidi"/>
        </w:rPr>
      </w:pPr>
    </w:p>
    <w:p w14:paraId="5CC97ABF" w14:textId="77777777"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There are four main aims of this section:</w:t>
      </w:r>
    </w:p>
    <w:p w14:paraId="3876D112" w14:textId="77777777" w:rsidR="00A4788F" w:rsidRPr="00042419" w:rsidRDefault="00A4788F" w:rsidP="005A3BE6">
      <w:pPr>
        <w:pStyle w:val="ListParagraph"/>
        <w:numPr>
          <w:ilvl w:val="0"/>
          <w:numId w:val="29"/>
        </w:numPr>
        <w:spacing w:after="0" w:line="360" w:lineRule="auto"/>
        <w:jc w:val="both"/>
        <w:rPr>
          <w:rFonts w:asciiTheme="majorBidi" w:hAnsiTheme="majorBidi" w:cstheme="majorBidi"/>
        </w:rPr>
      </w:pPr>
      <w:r w:rsidRPr="00042419">
        <w:rPr>
          <w:rFonts w:asciiTheme="majorBidi" w:hAnsiTheme="majorBidi" w:cstheme="majorBidi"/>
        </w:rPr>
        <w:t>Predict how the number of people in each HVCS will change in the future.</w:t>
      </w:r>
    </w:p>
    <w:p w14:paraId="413F77A8" w14:textId="6B28324D" w:rsidR="00A4788F" w:rsidRPr="00042419" w:rsidRDefault="00A4788F" w:rsidP="005A3BE6">
      <w:pPr>
        <w:pStyle w:val="ListParagraph"/>
        <w:numPr>
          <w:ilvl w:val="0"/>
          <w:numId w:val="29"/>
        </w:numPr>
        <w:spacing w:after="0" w:line="360" w:lineRule="auto"/>
        <w:jc w:val="both"/>
        <w:rPr>
          <w:rFonts w:asciiTheme="majorBidi" w:hAnsiTheme="majorBidi" w:cstheme="majorBidi"/>
        </w:rPr>
      </w:pPr>
      <w:r w:rsidRPr="00042419">
        <w:rPr>
          <w:rFonts w:asciiTheme="majorBidi" w:hAnsiTheme="majorBidi" w:cstheme="majorBidi"/>
        </w:rPr>
        <w:t>Predict how rates of resistance to existing AMs will change within the HVCS in the future if CAZ-AVI is not used (‘current practice’ scenario).</w:t>
      </w:r>
    </w:p>
    <w:p w14:paraId="3ADE32E3" w14:textId="560F94F4" w:rsidR="00A4788F" w:rsidRPr="00042419" w:rsidRDefault="00A4788F" w:rsidP="005A3BE6">
      <w:pPr>
        <w:pStyle w:val="ListParagraph"/>
        <w:numPr>
          <w:ilvl w:val="0"/>
          <w:numId w:val="29"/>
        </w:numPr>
        <w:spacing w:after="0" w:line="360" w:lineRule="auto"/>
        <w:jc w:val="both"/>
        <w:rPr>
          <w:rFonts w:asciiTheme="majorBidi" w:hAnsiTheme="majorBidi" w:cstheme="majorBidi"/>
        </w:rPr>
      </w:pPr>
      <w:bookmarkStart w:id="448" w:name="_Ref83582039"/>
      <w:r w:rsidRPr="00042419">
        <w:rPr>
          <w:rFonts w:asciiTheme="majorBidi" w:hAnsiTheme="majorBidi" w:cstheme="majorBidi"/>
        </w:rPr>
        <w:t>Predict how resistance will increase over time for CAZ-AVI</w:t>
      </w:r>
      <w:bookmarkEnd w:id="448"/>
      <w:r w:rsidR="00881470" w:rsidRPr="00042419">
        <w:rPr>
          <w:rFonts w:asciiTheme="majorBidi" w:hAnsiTheme="majorBidi" w:cstheme="majorBidi"/>
        </w:rPr>
        <w:t>.</w:t>
      </w:r>
    </w:p>
    <w:p w14:paraId="7E562DD4" w14:textId="675AD975" w:rsidR="00A4788F" w:rsidRPr="00042419" w:rsidRDefault="00A4788F" w:rsidP="005A3BE6">
      <w:pPr>
        <w:pStyle w:val="ListParagraph"/>
        <w:numPr>
          <w:ilvl w:val="0"/>
          <w:numId w:val="29"/>
        </w:numPr>
        <w:spacing w:after="0" w:line="360" w:lineRule="auto"/>
        <w:jc w:val="both"/>
        <w:rPr>
          <w:rFonts w:asciiTheme="majorBidi" w:hAnsiTheme="majorBidi" w:cstheme="majorBidi"/>
        </w:rPr>
      </w:pPr>
      <w:r w:rsidRPr="00042419">
        <w:rPr>
          <w:rFonts w:asciiTheme="majorBidi" w:hAnsiTheme="majorBidi" w:cstheme="majorBidi"/>
        </w:rPr>
        <w:t>Predict the impact, if any, on resistance of reducing current levels of AM use due to the introduction of CAZ-AVI</w:t>
      </w:r>
      <w:r w:rsidR="00881470" w:rsidRPr="00042419">
        <w:rPr>
          <w:rFonts w:asciiTheme="majorBidi" w:hAnsiTheme="majorBidi" w:cstheme="majorBidi"/>
        </w:rPr>
        <w:t>.</w:t>
      </w:r>
      <w:r w:rsidRPr="00042419">
        <w:rPr>
          <w:rFonts w:asciiTheme="majorBidi" w:hAnsiTheme="majorBidi" w:cstheme="majorBidi"/>
        </w:rPr>
        <w:t xml:space="preserve"> </w:t>
      </w:r>
    </w:p>
    <w:p w14:paraId="4B29147A" w14:textId="2DC736DF"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There is a degree of overlap in the above aims. For example, aims 2 to 4 each involve the prediction of how resistance to an AM will change over time. In addition, for aims 1 and 2, the evidence sources were time-series data for the HVCS</w:t>
      </w:r>
      <w:r w:rsidR="00862836">
        <w:rPr>
          <w:rFonts w:asciiTheme="majorBidi" w:hAnsiTheme="majorBidi" w:cstheme="majorBidi"/>
        </w:rPr>
        <w:t>s</w:t>
      </w:r>
      <w:r w:rsidRPr="00042419">
        <w:rPr>
          <w:rFonts w:asciiTheme="majorBidi" w:hAnsiTheme="majorBidi" w:cstheme="majorBidi"/>
        </w:rPr>
        <w:t xml:space="preserve">. These time-series were made available by </w:t>
      </w:r>
      <w:proofErr w:type="gramStart"/>
      <w:r w:rsidRPr="00042419">
        <w:rPr>
          <w:rFonts w:asciiTheme="majorBidi" w:hAnsiTheme="majorBidi" w:cstheme="majorBidi"/>
        </w:rPr>
        <w:t>PH</w:t>
      </w:r>
      <w:r w:rsidR="00862836">
        <w:rPr>
          <w:rFonts w:asciiTheme="majorBidi" w:hAnsiTheme="majorBidi" w:cstheme="majorBidi"/>
        </w:rPr>
        <w:t>E</w:t>
      </w:r>
      <w:proofErr w:type="gramEnd"/>
      <w:r w:rsidRPr="00042419">
        <w:rPr>
          <w:rFonts w:asciiTheme="majorBidi" w:hAnsiTheme="majorBidi" w:cstheme="majorBidi"/>
        </w:rPr>
        <w:t xml:space="preserve"> and these were analysed using time-series methods. For aims 3 and 4, a range of potential evidence sources w</w:t>
      </w:r>
      <w:r w:rsidR="00862836">
        <w:rPr>
          <w:rFonts w:asciiTheme="majorBidi" w:hAnsiTheme="majorBidi" w:cstheme="majorBidi"/>
        </w:rPr>
        <w:t>as</w:t>
      </w:r>
      <w:r w:rsidRPr="00042419">
        <w:rPr>
          <w:rFonts w:asciiTheme="majorBidi" w:hAnsiTheme="majorBidi" w:cstheme="majorBidi"/>
        </w:rPr>
        <w:t xml:space="preserve"> considered. These sources included the published literature and publicly available surveillance data, and in general were for a population that was more broadly defined than the HVCS. Evidence for a broader patient population was considered as it included evidence on both AM use and AM resistance and so allowed for an estimate of how these two factors interact (this evidence was not available for the population of </w:t>
      </w:r>
      <w:r w:rsidRPr="00042419">
        <w:rPr>
          <w:rFonts w:asciiTheme="majorBidi" w:hAnsiTheme="majorBidi" w:cstheme="majorBidi"/>
        </w:rPr>
        <w:lastRenderedPageBreak/>
        <w:t>interest). As there are distinct modelling challenges associated with each aim, they are discussed in turn. A brief overview is presented here, with more details provided in Appendix</w:t>
      </w:r>
      <w:r w:rsidR="0093390A">
        <w:rPr>
          <w:rFonts w:asciiTheme="majorBidi" w:hAnsiTheme="majorBidi" w:cstheme="majorBidi"/>
        </w:rPr>
        <w:t xml:space="preserve"> 13</w:t>
      </w:r>
      <w:r w:rsidRPr="00042419">
        <w:rPr>
          <w:rFonts w:asciiTheme="majorBidi" w:hAnsiTheme="majorBidi" w:cstheme="majorBidi"/>
        </w:rPr>
        <w:t>.</w:t>
      </w:r>
    </w:p>
    <w:p w14:paraId="02036CE8" w14:textId="77777777" w:rsidR="00A4788F" w:rsidRDefault="00A4788F" w:rsidP="00A4788F">
      <w:pPr>
        <w:spacing w:after="0" w:line="360" w:lineRule="auto"/>
        <w:jc w:val="both"/>
        <w:rPr>
          <w:rFonts w:asciiTheme="majorBidi" w:hAnsiTheme="majorBidi" w:cstheme="majorBidi"/>
          <w:b/>
          <w:bCs/>
        </w:rPr>
      </w:pPr>
    </w:p>
    <w:p w14:paraId="5875B8ED" w14:textId="5D394A2A" w:rsidR="00A4788F" w:rsidRPr="004B48E7" w:rsidRDefault="00794B4E" w:rsidP="00794B4E">
      <w:pPr>
        <w:pStyle w:val="EEPRUnumberedlevel4"/>
        <w:ind w:left="2127" w:firstLine="0"/>
      </w:pPr>
      <w:bookmarkStart w:id="449" w:name="_Hlk84838401"/>
      <w:bookmarkStart w:id="450" w:name="_Toc85194071"/>
      <w:bookmarkStart w:id="451" w:name="_Hlk84838131"/>
      <w:r>
        <w:tab/>
      </w:r>
      <w:bookmarkStart w:id="452" w:name="_Toc87463048"/>
      <w:r w:rsidR="00AF0F42" w:rsidRPr="00AF0F42">
        <w:t>7.2.5.1</w:t>
      </w:r>
      <w:r w:rsidR="00FD107F">
        <w:t xml:space="preserve"> </w:t>
      </w:r>
      <w:r w:rsidR="00A4788F" w:rsidRPr="004B48E7">
        <w:t>Predicting the future sizes of the HVCS</w:t>
      </w:r>
      <w:bookmarkEnd w:id="449"/>
      <w:bookmarkEnd w:id="450"/>
      <w:bookmarkEnd w:id="452"/>
    </w:p>
    <w:bookmarkEnd w:id="451"/>
    <w:p w14:paraId="4AB9B350" w14:textId="77777777" w:rsidR="00862836" w:rsidRDefault="00A4788F" w:rsidP="00881470">
      <w:pPr>
        <w:spacing w:after="0" w:line="360" w:lineRule="auto"/>
        <w:jc w:val="both"/>
        <w:rPr>
          <w:rFonts w:asciiTheme="majorBidi" w:hAnsiTheme="majorBidi" w:cstheme="majorBidi"/>
        </w:rPr>
      </w:pPr>
      <w:r w:rsidRPr="00042419">
        <w:rPr>
          <w:rFonts w:asciiTheme="majorBidi" w:hAnsiTheme="majorBidi" w:cstheme="majorBidi"/>
        </w:rPr>
        <w:t xml:space="preserve">The objective of this analysis was to statistically model changes in the number of patients within the HVCS over time, to inform a quantitative forecast of the number of patients presenting in the HVCS over the next 20 years. </w:t>
      </w:r>
    </w:p>
    <w:p w14:paraId="76CDC2FD" w14:textId="77777777" w:rsidR="00862836" w:rsidRDefault="00862836" w:rsidP="00881470">
      <w:pPr>
        <w:spacing w:after="0" w:line="360" w:lineRule="auto"/>
        <w:jc w:val="both"/>
        <w:rPr>
          <w:rFonts w:asciiTheme="majorBidi" w:hAnsiTheme="majorBidi" w:cstheme="majorBidi"/>
        </w:rPr>
      </w:pPr>
    </w:p>
    <w:p w14:paraId="2CD364AE" w14:textId="5120EA6A" w:rsidR="00A4788F" w:rsidRPr="00042419" w:rsidRDefault="00A4788F" w:rsidP="00881470">
      <w:pPr>
        <w:spacing w:after="0" w:line="360" w:lineRule="auto"/>
        <w:jc w:val="both"/>
        <w:rPr>
          <w:rFonts w:asciiTheme="majorBidi" w:hAnsiTheme="majorBidi" w:cstheme="majorBidi"/>
        </w:rPr>
      </w:pPr>
      <w:r w:rsidRPr="00042419">
        <w:rPr>
          <w:rFonts w:asciiTheme="majorBidi" w:hAnsiTheme="majorBidi" w:cstheme="majorBidi"/>
        </w:rPr>
        <w:t>Data on the number of infections over time for the mechanisms of interest were provided as a time-series by PHE. One population was included:</w:t>
      </w:r>
    </w:p>
    <w:p w14:paraId="44CA26FA" w14:textId="77777777" w:rsidR="00A4788F" w:rsidRPr="00042419" w:rsidRDefault="00A4788F" w:rsidP="005A3BE6">
      <w:pPr>
        <w:pStyle w:val="ListParagraph"/>
        <w:numPr>
          <w:ilvl w:val="0"/>
          <w:numId w:val="30"/>
        </w:numPr>
        <w:spacing w:after="0" w:line="360" w:lineRule="auto"/>
        <w:jc w:val="both"/>
        <w:rPr>
          <w:rFonts w:asciiTheme="majorBidi" w:hAnsiTheme="majorBidi" w:cstheme="majorBidi"/>
        </w:rPr>
      </w:pPr>
      <w:r w:rsidRPr="00042419">
        <w:rPr>
          <w:rFonts w:asciiTheme="majorBidi" w:hAnsiTheme="majorBidi" w:cstheme="majorBidi"/>
        </w:rPr>
        <w:t>CPE with an OXA-48 mechanism</w:t>
      </w:r>
    </w:p>
    <w:p w14:paraId="6EECA24A" w14:textId="77777777" w:rsidR="00A4788F" w:rsidRPr="00042419" w:rsidRDefault="00A4788F" w:rsidP="00A4788F">
      <w:pPr>
        <w:spacing w:after="0" w:line="360" w:lineRule="auto"/>
        <w:jc w:val="both"/>
        <w:rPr>
          <w:rFonts w:asciiTheme="majorBidi" w:hAnsiTheme="majorBidi" w:cstheme="majorBidi"/>
          <w:highlight w:val="yellow"/>
        </w:rPr>
      </w:pPr>
    </w:p>
    <w:p w14:paraId="071AE0E8" w14:textId="20F154FD" w:rsidR="00A4788F" w:rsidRPr="00042419" w:rsidRDefault="00A4788F" w:rsidP="00881470">
      <w:pPr>
        <w:spacing w:after="0" w:line="360" w:lineRule="auto"/>
        <w:jc w:val="both"/>
        <w:rPr>
          <w:rFonts w:asciiTheme="majorBidi" w:hAnsiTheme="majorBidi" w:cstheme="majorBidi"/>
        </w:rPr>
      </w:pPr>
      <w:r w:rsidRPr="00042419">
        <w:rPr>
          <w:rFonts w:asciiTheme="majorBidi" w:hAnsiTheme="majorBidi" w:cstheme="majorBidi"/>
        </w:rPr>
        <w:t xml:space="preserve">Data were supplied for invasive infections which are predominantly infections where the specimen sample relates to a </w:t>
      </w:r>
      <w:r w:rsidR="00B65F32">
        <w:rPr>
          <w:rFonts w:asciiTheme="majorBidi" w:hAnsiTheme="majorBidi" w:cstheme="majorBidi"/>
        </w:rPr>
        <w:t>BSI</w:t>
      </w:r>
      <w:r w:rsidRPr="00042419">
        <w:rPr>
          <w:rFonts w:asciiTheme="majorBidi" w:hAnsiTheme="majorBidi" w:cstheme="majorBidi"/>
        </w:rPr>
        <w:t xml:space="preserve"> or cerebrospinal fluid infection. It was assumed that, for each </w:t>
      </w:r>
      <w:r w:rsidR="00AE639B">
        <w:rPr>
          <w:rFonts w:asciiTheme="majorBidi" w:hAnsiTheme="majorBidi" w:cstheme="majorBidi"/>
        </w:rPr>
        <w:t>pathogen-mechanism</w:t>
      </w:r>
      <w:r w:rsidRPr="00042419">
        <w:rPr>
          <w:rFonts w:asciiTheme="majorBidi" w:hAnsiTheme="majorBidi" w:cstheme="majorBidi"/>
        </w:rPr>
        <w:t xml:space="preserve"> of interest, the trends in population size for invasive infections generalise to the HVCS. This was considered reasonable by the clinical advisors to the project. The small number of invasive infections made it challenging to reliably identify if there was a trend in the growth of the HVCS. As such, this analysis is supplemented by a secondary analysis which looks at trends in the number of screening isolates. These isolates are from screening specimen sites</w:t>
      </w:r>
      <w:r w:rsidR="008D202C">
        <w:rPr>
          <w:rFonts w:asciiTheme="majorBidi" w:hAnsiTheme="majorBidi" w:cstheme="majorBidi"/>
        </w:rPr>
        <w:t xml:space="preserve">. </w:t>
      </w:r>
      <w:r w:rsidR="008D202C" w:rsidRPr="008D202C">
        <w:rPr>
          <w:rFonts w:asciiTheme="majorBidi" w:hAnsiTheme="majorBidi" w:cstheme="majorBidi"/>
        </w:rPr>
        <w:t>Screening samples were broadly categorised as samples from swabs, wounds, and the lower gastro-intestinal tract.</w:t>
      </w:r>
      <w:r w:rsidRPr="00042419">
        <w:rPr>
          <w:rFonts w:asciiTheme="majorBidi" w:hAnsiTheme="majorBidi" w:cstheme="majorBidi"/>
        </w:rPr>
        <w:t xml:space="preserve"> It includes potential infections as well as isolates from people who don’t have infections but may be colonised by a </w:t>
      </w:r>
      <w:r w:rsidR="009578AF">
        <w:rPr>
          <w:rFonts w:asciiTheme="majorBidi" w:hAnsiTheme="majorBidi" w:cstheme="majorBidi"/>
        </w:rPr>
        <w:t>MDR</w:t>
      </w:r>
      <w:r w:rsidRPr="00042419">
        <w:rPr>
          <w:rFonts w:asciiTheme="majorBidi" w:hAnsiTheme="majorBidi" w:cstheme="majorBidi"/>
        </w:rPr>
        <w:t xml:space="preserve"> pathogen. These screening isolates were only used to confirm or refute the potential presence of a trend rather than inform the growth estimates as they may be influenced by screening policy changes over time which may not feed through to changes in identified infections. Data on both invasive infections and screening isolates were obtained from the AMRHAI national reference laboratory. These data were provided by PHE as monthly counts and are available from 2004 to April 2021. During 2018, guidance on which samples should be sent to AMRHAI changed, and charges were introduced. This led to a gradual “artificial” decrease in referrals. Further detail on the nature of this dataset is provided in </w:t>
      </w:r>
      <w:r w:rsidR="00280684">
        <w:rPr>
          <w:rFonts w:asciiTheme="majorBidi" w:hAnsiTheme="majorBidi" w:cstheme="majorBidi"/>
        </w:rPr>
        <w:t>Appendix 2</w:t>
      </w:r>
      <w:r w:rsidRPr="00042419">
        <w:rPr>
          <w:rFonts w:asciiTheme="majorBidi" w:hAnsiTheme="majorBidi" w:cstheme="majorBidi"/>
        </w:rPr>
        <w:t>.</w:t>
      </w:r>
    </w:p>
    <w:p w14:paraId="2D32C6AD" w14:textId="77777777" w:rsidR="00A4788F" w:rsidRPr="00042419" w:rsidRDefault="00A4788F" w:rsidP="00A4788F">
      <w:pPr>
        <w:spacing w:after="0" w:line="360" w:lineRule="auto"/>
        <w:jc w:val="both"/>
        <w:rPr>
          <w:rFonts w:asciiTheme="majorBidi" w:hAnsiTheme="majorBidi" w:cstheme="majorBidi"/>
        </w:rPr>
      </w:pPr>
    </w:p>
    <w:p w14:paraId="0FFC9CA3" w14:textId="4EBE65FC" w:rsidR="00A4788F" w:rsidRPr="00042419" w:rsidRDefault="00A4788F" w:rsidP="00A325FF">
      <w:pPr>
        <w:spacing w:after="0" w:line="360" w:lineRule="auto"/>
        <w:jc w:val="both"/>
        <w:rPr>
          <w:rFonts w:asciiTheme="majorBidi" w:hAnsiTheme="majorBidi" w:cstheme="majorBidi"/>
        </w:rPr>
      </w:pPr>
      <w:r w:rsidRPr="00042419">
        <w:rPr>
          <w:rFonts w:asciiTheme="majorBidi" w:hAnsiTheme="majorBidi" w:cstheme="majorBidi"/>
        </w:rPr>
        <w:t xml:space="preserve">Due to small numbers, data on invasive infections were aggregated to quarterly for analyses and restricted to October 2012 onwards. The last observations used were for March 2018 (inclusive), as after this point the observed numbers decreased. For screening isolates numbers </w:t>
      </w:r>
      <w:proofErr w:type="gramStart"/>
      <w:r w:rsidRPr="00042419">
        <w:rPr>
          <w:rFonts w:asciiTheme="majorBidi" w:hAnsiTheme="majorBidi" w:cstheme="majorBidi"/>
        </w:rPr>
        <w:t>were</w:t>
      </w:r>
      <w:proofErr w:type="gramEnd"/>
      <w:r w:rsidRPr="00042419">
        <w:rPr>
          <w:rFonts w:asciiTheme="majorBidi" w:hAnsiTheme="majorBidi" w:cstheme="majorBidi"/>
        </w:rPr>
        <w:t xml:space="preserve"> larger so monthly data were used. For these, the first observation was set to be the first time-point for which there were no future months with zero counts (June 2013</w:t>
      </w:r>
      <w:r w:rsidR="00A325FF" w:rsidRPr="00042419">
        <w:rPr>
          <w:rFonts w:asciiTheme="majorBidi" w:hAnsiTheme="majorBidi" w:cstheme="majorBidi"/>
        </w:rPr>
        <w:t>)</w:t>
      </w:r>
      <w:r w:rsidR="00862836">
        <w:rPr>
          <w:rFonts w:asciiTheme="majorBidi" w:hAnsiTheme="majorBidi" w:cstheme="majorBidi"/>
        </w:rPr>
        <w:t>.</w:t>
      </w:r>
      <w:r w:rsidRPr="00042419">
        <w:rPr>
          <w:rFonts w:asciiTheme="majorBidi" w:hAnsiTheme="majorBidi" w:cstheme="majorBidi"/>
        </w:rPr>
        <w:t xml:space="preserve"> </w:t>
      </w:r>
    </w:p>
    <w:p w14:paraId="6911DF1F" w14:textId="77777777" w:rsidR="00A4788F" w:rsidRPr="00042419" w:rsidRDefault="00A4788F" w:rsidP="00A4788F">
      <w:pPr>
        <w:spacing w:after="0" w:line="360" w:lineRule="auto"/>
        <w:jc w:val="both"/>
        <w:rPr>
          <w:rFonts w:asciiTheme="majorBidi" w:hAnsiTheme="majorBidi" w:cstheme="majorBidi"/>
        </w:rPr>
      </w:pPr>
    </w:p>
    <w:p w14:paraId="6DA99428" w14:textId="3AD87F1F" w:rsidR="00A4788F" w:rsidRPr="00042419" w:rsidRDefault="00A4788F" w:rsidP="00A4788F">
      <w:pPr>
        <w:spacing w:after="0" w:line="360" w:lineRule="auto"/>
        <w:jc w:val="both"/>
        <w:rPr>
          <w:rFonts w:asciiTheme="majorBidi" w:hAnsiTheme="majorBidi" w:cstheme="majorBidi"/>
        </w:rPr>
      </w:pPr>
      <w:r w:rsidRPr="00042419">
        <w:rPr>
          <w:rFonts w:asciiTheme="majorBidi" w:hAnsiTheme="majorBidi" w:cstheme="majorBidi"/>
        </w:rPr>
        <w:t xml:space="preserve">Time-series (state-space exponential smoothing) models were used to forecast the isolate data. For the invasive isolates the use of other time-series models </w:t>
      </w:r>
      <w:proofErr w:type="gramStart"/>
      <w:r w:rsidRPr="00042419">
        <w:rPr>
          <w:rFonts w:asciiTheme="majorBidi" w:hAnsiTheme="majorBidi" w:cstheme="majorBidi"/>
        </w:rPr>
        <w:t>were</w:t>
      </w:r>
      <w:proofErr w:type="gramEnd"/>
      <w:r w:rsidRPr="00042419">
        <w:rPr>
          <w:rFonts w:asciiTheme="majorBidi" w:hAnsiTheme="majorBidi" w:cstheme="majorBidi"/>
        </w:rPr>
        <w:t xml:space="preserve"> also considered. Further details on the models co</w:t>
      </w:r>
      <w:r w:rsidRPr="00FB4C28">
        <w:rPr>
          <w:rFonts w:asciiTheme="majorBidi" w:hAnsiTheme="majorBidi" w:cstheme="majorBidi"/>
        </w:rPr>
        <w:t xml:space="preserve">nsidered and the justification and implementation of the state-space models is provided in Appendix </w:t>
      </w:r>
      <w:r w:rsidR="00FB4C28" w:rsidRPr="00FB4C28">
        <w:rPr>
          <w:rFonts w:asciiTheme="majorBidi" w:hAnsiTheme="majorBidi" w:cstheme="majorBidi"/>
        </w:rPr>
        <w:t>1</w:t>
      </w:r>
      <w:r w:rsidR="00A80C2B">
        <w:rPr>
          <w:rFonts w:asciiTheme="majorBidi" w:hAnsiTheme="majorBidi" w:cstheme="majorBidi"/>
        </w:rPr>
        <w:t>5</w:t>
      </w:r>
      <w:r w:rsidRPr="00042419">
        <w:rPr>
          <w:rFonts w:asciiTheme="majorBidi" w:hAnsiTheme="majorBidi" w:cstheme="majorBidi"/>
        </w:rPr>
        <w:t>. Three state-space models were considered. These varied with regards to the assumptions made about any long-term trends in the growth of the HCVS:</w:t>
      </w:r>
    </w:p>
    <w:p w14:paraId="1DA5B1F4" w14:textId="77777777" w:rsidR="00A4788F" w:rsidRPr="00042419" w:rsidRDefault="00A4788F" w:rsidP="005A3BE6">
      <w:pPr>
        <w:pStyle w:val="ListParagraph"/>
        <w:numPr>
          <w:ilvl w:val="0"/>
          <w:numId w:val="58"/>
        </w:numPr>
        <w:spacing w:after="0" w:line="360" w:lineRule="auto"/>
        <w:jc w:val="both"/>
        <w:rPr>
          <w:rFonts w:asciiTheme="majorBidi" w:hAnsiTheme="majorBidi" w:cstheme="majorBidi"/>
        </w:rPr>
      </w:pPr>
      <w:r w:rsidRPr="00042419">
        <w:rPr>
          <w:rFonts w:asciiTheme="majorBidi" w:hAnsiTheme="majorBidi" w:cstheme="majorBidi"/>
        </w:rPr>
        <w:t>No growth (no trend).</w:t>
      </w:r>
    </w:p>
    <w:p w14:paraId="78A89502" w14:textId="77777777" w:rsidR="00A4788F" w:rsidRPr="00042419" w:rsidRDefault="00A4788F" w:rsidP="005A3BE6">
      <w:pPr>
        <w:pStyle w:val="ListParagraph"/>
        <w:numPr>
          <w:ilvl w:val="0"/>
          <w:numId w:val="58"/>
        </w:numPr>
        <w:spacing w:after="0" w:line="360" w:lineRule="auto"/>
        <w:jc w:val="both"/>
        <w:rPr>
          <w:rFonts w:asciiTheme="majorBidi" w:hAnsiTheme="majorBidi" w:cstheme="majorBidi"/>
        </w:rPr>
      </w:pPr>
      <w:r w:rsidRPr="00042419">
        <w:rPr>
          <w:rFonts w:asciiTheme="majorBidi" w:hAnsiTheme="majorBidi" w:cstheme="majorBidi"/>
        </w:rPr>
        <w:t>Growth in the short-term that in the long-term changes to no growth (a ‘damped trend’ model; the degree of dampening is estimated from the data and influences how quickly the growth tends to zero).</w:t>
      </w:r>
    </w:p>
    <w:p w14:paraId="766976D8" w14:textId="795B5AF8" w:rsidR="00A4788F" w:rsidRPr="00042419" w:rsidRDefault="00A4788F" w:rsidP="005A3BE6">
      <w:pPr>
        <w:pStyle w:val="ListParagraph"/>
        <w:numPr>
          <w:ilvl w:val="0"/>
          <w:numId w:val="58"/>
        </w:numPr>
        <w:spacing w:after="0" w:line="360" w:lineRule="auto"/>
        <w:jc w:val="both"/>
        <w:rPr>
          <w:rFonts w:asciiTheme="majorBidi" w:hAnsiTheme="majorBidi" w:cstheme="majorBidi"/>
        </w:rPr>
      </w:pPr>
      <w:r w:rsidRPr="00042419">
        <w:rPr>
          <w:rFonts w:asciiTheme="majorBidi" w:hAnsiTheme="majorBidi" w:cstheme="majorBidi"/>
        </w:rPr>
        <w:t>Persistent growth (trend that is not damped)</w:t>
      </w:r>
      <w:r w:rsidR="00862836">
        <w:rPr>
          <w:rFonts w:asciiTheme="majorBidi" w:hAnsiTheme="majorBidi" w:cstheme="majorBidi"/>
        </w:rPr>
        <w:t>.</w:t>
      </w:r>
    </w:p>
    <w:p w14:paraId="470125E5" w14:textId="77777777" w:rsidR="00A4788F" w:rsidRPr="00042419" w:rsidRDefault="00A4788F" w:rsidP="00A4788F">
      <w:pPr>
        <w:spacing w:after="0" w:line="360" w:lineRule="auto"/>
        <w:jc w:val="both"/>
        <w:rPr>
          <w:rFonts w:asciiTheme="majorBidi" w:hAnsiTheme="majorBidi" w:cstheme="majorBidi"/>
        </w:rPr>
      </w:pPr>
    </w:p>
    <w:p w14:paraId="12178B8D" w14:textId="455FD11A" w:rsidR="00A4788F" w:rsidRPr="00042419" w:rsidRDefault="00A4788F" w:rsidP="00A325FF">
      <w:pPr>
        <w:spacing w:after="0" w:line="360" w:lineRule="auto"/>
        <w:jc w:val="both"/>
        <w:rPr>
          <w:rFonts w:asciiTheme="majorBidi" w:hAnsiTheme="majorBidi" w:cstheme="majorBidi"/>
        </w:rPr>
      </w:pPr>
      <w:r w:rsidRPr="00042419">
        <w:rPr>
          <w:rFonts w:asciiTheme="majorBidi" w:hAnsiTheme="majorBidi" w:cstheme="majorBidi"/>
        </w:rPr>
        <w:t>Within-sample goodness of fit statistics (Akaike’s information criteria, for which lower values indicates better fit) for t</w:t>
      </w:r>
      <w:r w:rsidRPr="00862836">
        <w:rPr>
          <w:rFonts w:asciiTheme="majorBidi" w:hAnsiTheme="majorBidi" w:cstheme="majorBidi"/>
        </w:rPr>
        <w:t>he three models and the two datasets are provided in</w:t>
      </w:r>
      <w:r w:rsidR="00EE4C38" w:rsidRPr="00862836">
        <w:rPr>
          <w:rFonts w:asciiTheme="majorBidi" w:hAnsiTheme="majorBidi" w:cstheme="majorBidi"/>
        </w:rPr>
        <w:t xml:space="preserve"> </w:t>
      </w:r>
      <w:r w:rsidR="00862836" w:rsidRPr="00862836">
        <w:rPr>
          <w:rFonts w:asciiTheme="majorBidi" w:hAnsiTheme="majorBidi" w:cstheme="majorBidi"/>
        </w:rPr>
        <w:t>Table 32</w:t>
      </w:r>
      <w:r w:rsidRPr="00862836">
        <w:rPr>
          <w:rFonts w:asciiTheme="majorBidi" w:hAnsiTheme="majorBidi" w:cstheme="majorBidi"/>
        </w:rPr>
        <w:t xml:space="preserve">. Estimates of population growth are provided in </w:t>
      </w:r>
      <w:r w:rsidR="00862836" w:rsidRPr="00862836">
        <w:rPr>
          <w:rFonts w:asciiTheme="majorBidi" w:hAnsiTheme="majorBidi" w:cstheme="majorBidi"/>
        </w:rPr>
        <w:t xml:space="preserve">Figure </w:t>
      </w:r>
      <w:r w:rsidR="00862836" w:rsidRPr="00862836">
        <w:rPr>
          <w:rFonts w:asciiTheme="majorBidi" w:hAnsiTheme="majorBidi" w:cstheme="majorBidi"/>
          <w:noProof/>
        </w:rPr>
        <w:t>21</w:t>
      </w:r>
      <w:r w:rsidR="00A325FF" w:rsidRPr="00862836">
        <w:rPr>
          <w:rFonts w:asciiTheme="majorBidi" w:hAnsiTheme="majorBidi" w:cstheme="majorBidi"/>
        </w:rPr>
        <w:t>.</w:t>
      </w:r>
      <w:r w:rsidRPr="00862836">
        <w:rPr>
          <w:rFonts w:asciiTheme="majorBidi" w:hAnsiTheme="majorBidi" w:cstheme="majorBidi"/>
        </w:rPr>
        <w:t xml:space="preserve"> Figure </w:t>
      </w:r>
      <w:r w:rsidRPr="00862836">
        <w:rPr>
          <w:rFonts w:asciiTheme="majorBidi" w:hAnsiTheme="majorBidi" w:cstheme="majorBidi"/>
          <w:noProof/>
        </w:rPr>
        <w:t>1</w:t>
      </w:r>
      <w:r w:rsidRPr="00862836">
        <w:rPr>
          <w:rFonts w:asciiTheme="majorBidi" w:hAnsiTheme="majorBidi" w:cstheme="majorBidi"/>
        </w:rPr>
        <w:t xml:space="preserve"> shows </w:t>
      </w:r>
      <w:r w:rsidRPr="00042419">
        <w:rPr>
          <w:rFonts w:asciiTheme="majorBidi" w:hAnsiTheme="majorBidi" w:cstheme="majorBidi"/>
        </w:rPr>
        <w:t xml:space="preserve">the change in population size </w:t>
      </w:r>
      <w:bookmarkStart w:id="453" w:name="_Hlk85709700"/>
      <w:r w:rsidR="007046F0">
        <w:rPr>
          <w:rFonts w:asciiTheme="majorBidi" w:hAnsiTheme="majorBidi" w:cstheme="majorBidi"/>
        </w:rPr>
        <w:t>over time for both the dataset of invasive infections and the screening isolates</w:t>
      </w:r>
      <w:r w:rsidRPr="00042419">
        <w:rPr>
          <w:rFonts w:asciiTheme="majorBidi" w:hAnsiTheme="majorBidi" w:cstheme="majorBidi"/>
        </w:rPr>
        <w:t>.</w:t>
      </w:r>
      <w:bookmarkEnd w:id="453"/>
    </w:p>
    <w:p w14:paraId="2C514D08" w14:textId="77777777" w:rsidR="00A4788F" w:rsidRPr="00042419" w:rsidRDefault="00A4788F" w:rsidP="00A4788F">
      <w:pPr>
        <w:spacing w:after="0" w:line="360" w:lineRule="auto"/>
        <w:jc w:val="both"/>
        <w:rPr>
          <w:rFonts w:asciiTheme="majorBidi" w:hAnsiTheme="majorBidi" w:cstheme="majorBidi"/>
        </w:rPr>
      </w:pPr>
    </w:p>
    <w:p w14:paraId="4604F736" w14:textId="54D4D933" w:rsidR="00A4788F" w:rsidRPr="00862836" w:rsidRDefault="00A4788F" w:rsidP="00A4788F">
      <w:pPr>
        <w:pStyle w:val="Caption"/>
        <w:rPr>
          <w:rFonts w:asciiTheme="majorBidi" w:hAnsiTheme="majorBidi" w:cstheme="majorBidi"/>
          <w:b/>
          <w:bCs/>
          <w:i w:val="0"/>
          <w:iCs w:val="0"/>
          <w:color w:val="auto"/>
          <w:sz w:val="20"/>
          <w:szCs w:val="20"/>
        </w:rPr>
      </w:pPr>
      <w:bookmarkStart w:id="454" w:name="_Ref85198466"/>
      <w:bookmarkStart w:id="455" w:name="_Toc86419009"/>
      <w:r w:rsidRPr="00862836">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32</w:t>
      </w:r>
      <w:bookmarkEnd w:id="454"/>
      <w:r w:rsidRPr="00862836">
        <w:rPr>
          <w:rFonts w:asciiTheme="majorBidi" w:hAnsiTheme="majorBidi" w:cstheme="majorBidi"/>
          <w:b/>
          <w:bCs/>
          <w:i w:val="0"/>
          <w:iCs w:val="0"/>
          <w:color w:val="auto"/>
          <w:sz w:val="20"/>
          <w:szCs w:val="20"/>
        </w:rPr>
        <w:t>: Within-sample goodness of fit statistics</w:t>
      </w:r>
      <w:bookmarkEnd w:id="455"/>
    </w:p>
    <w:tbl>
      <w:tblPr>
        <w:tblStyle w:val="TableGrid7"/>
        <w:tblW w:w="8075" w:type="dxa"/>
        <w:tblLayout w:type="fixed"/>
        <w:tblLook w:val="04A0" w:firstRow="1" w:lastRow="0" w:firstColumn="1" w:lastColumn="0" w:noHBand="0" w:noVBand="1"/>
      </w:tblPr>
      <w:tblGrid>
        <w:gridCol w:w="2691"/>
        <w:gridCol w:w="2692"/>
        <w:gridCol w:w="2692"/>
      </w:tblGrid>
      <w:tr w:rsidR="00A4788F" w:rsidRPr="00042419" w14:paraId="493AA332" w14:textId="77777777" w:rsidTr="00A4788F">
        <w:trPr>
          <w:trHeight w:val="288"/>
        </w:trPr>
        <w:tc>
          <w:tcPr>
            <w:tcW w:w="2691" w:type="dxa"/>
            <w:noWrap/>
            <w:hideMark/>
          </w:tcPr>
          <w:p w14:paraId="478C9B26" w14:textId="77777777" w:rsidR="00A4788F" w:rsidRPr="00042419" w:rsidRDefault="00A4788F" w:rsidP="00A4788F">
            <w:pPr>
              <w:rPr>
                <w:rFonts w:asciiTheme="majorBidi" w:eastAsia="Times New Roman" w:hAnsiTheme="majorBidi" w:cstheme="majorBidi"/>
                <w:b/>
                <w:bCs/>
                <w:color w:val="000000"/>
                <w:lang w:eastAsia="en-GB"/>
              </w:rPr>
            </w:pPr>
            <w:r w:rsidRPr="00042419">
              <w:rPr>
                <w:rFonts w:asciiTheme="majorBidi" w:eastAsia="Times New Roman" w:hAnsiTheme="majorBidi" w:cstheme="majorBidi"/>
                <w:b/>
                <w:bCs/>
                <w:color w:val="000000"/>
                <w:lang w:eastAsia="en-GB"/>
              </w:rPr>
              <w:t>Model</w:t>
            </w:r>
          </w:p>
        </w:tc>
        <w:tc>
          <w:tcPr>
            <w:tcW w:w="2692" w:type="dxa"/>
            <w:noWrap/>
            <w:hideMark/>
          </w:tcPr>
          <w:p w14:paraId="7828D40C" w14:textId="77777777" w:rsidR="00A4788F" w:rsidRPr="00042419" w:rsidRDefault="00A4788F" w:rsidP="00A4788F">
            <w:pPr>
              <w:jc w:val="center"/>
              <w:rPr>
                <w:rFonts w:asciiTheme="majorBidi" w:eastAsia="Times New Roman" w:hAnsiTheme="majorBidi" w:cstheme="majorBidi"/>
                <w:b/>
                <w:bCs/>
                <w:color w:val="000000"/>
                <w:lang w:eastAsia="en-GB"/>
              </w:rPr>
            </w:pPr>
            <w:r w:rsidRPr="00042419">
              <w:rPr>
                <w:rFonts w:asciiTheme="majorBidi" w:eastAsia="Times New Roman" w:hAnsiTheme="majorBidi" w:cstheme="majorBidi"/>
                <w:b/>
                <w:bCs/>
                <w:color w:val="000000"/>
                <w:lang w:eastAsia="en-GB"/>
              </w:rPr>
              <w:t>Invasive isolates</w:t>
            </w:r>
          </w:p>
        </w:tc>
        <w:tc>
          <w:tcPr>
            <w:tcW w:w="2692" w:type="dxa"/>
            <w:noWrap/>
            <w:hideMark/>
          </w:tcPr>
          <w:p w14:paraId="515BC8FE" w14:textId="77777777" w:rsidR="00A4788F" w:rsidRPr="00042419" w:rsidRDefault="00A4788F" w:rsidP="00A4788F">
            <w:pPr>
              <w:jc w:val="center"/>
              <w:rPr>
                <w:rFonts w:asciiTheme="majorBidi" w:eastAsia="Times New Roman" w:hAnsiTheme="majorBidi" w:cstheme="majorBidi"/>
                <w:b/>
                <w:bCs/>
                <w:color w:val="000000"/>
                <w:lang w:eastAsia="en-GB"/>
              </w:rPr>
            </w:pPr>
            <w:r w:rsidRPr="00042419">
              <w:rPr>
                <w:rFonts w:asciiTheme="majorBidi" w:eastAsia="Times New Roman" w:hAnsiTheme="majorBidi" w:cstheme="majorBidi"/>
                <w:b/>
                <w:bCs/>
                <w:color w:val="000000"/>
                <w:lang w:eastAsia="en-GB"/>
              </w:rPr>
              <w:t>Screening isolates</w:t>
            </w:r>
          </w:p>
        </w:tc>
      </w:tr>
      <w:tr w:rsidR="00A4788F" w:rsidRPr="00042419" w14:paraId="6B4F1381" w14:textId="77777777" w:rsidTr="00A4788F">
        <w:trPr>
          <w:trHeight w:val="288"/>
        </w:trPr>
        <w:tc>
          <w:tcPr>
            <w:tcW w:w="2691" w:type="dxa"/>
            <w:noWrap/>
            <w:hideMark/>
          </w:tcPr>
          <w:p w14:paraId="699396B8" w14:textId="77777777" w:rsidR="00A4788F" w:rsidRPr="00042419" w:rsidRDefault="00A4788F" w:rsidP="00A4788F">
            <w:pP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No trend</w:t>
            </w:r>
          </w:p>
        </w:tc>
        <w:tc>
          <w:tcPr>
            <w:tcW w:w="2692" w:type="dxa"/>
            <w:noWrap/>
            <w:hideMark/>
          </w:tcPr>
          <w:p w14:paraId="5E09FDB7"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120.80</w:t>
            </w:r>
          </w:p>
        </w:tc>
        <w:tc>
          <w:tcPr>
            <w:tcW w:w="2692" w:type="dxa"/>
            <w:noWrap/>
            <w:hideMark/>
          </w:tcPr>
          <w:p w14:paraId="40572C66"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307.09</w:t>
            </w:r>
          </w:p>
        </w:tc>
      </w:tr>
      <w:tr w:rsidR="00A4788F" w:rsidRPr="00042419" w14:paraId="45879E59" w14:textId="77777777" w:rsidTr="00A4788F">
        <w:trPr>
          <w:trHeight w:val="288"/>
        </w:trPr>
        <w:tc>
          <w:tcPr>
            <w:tcW w:w="2691" w:type="dxa"/>
            <w:noWrap/>
            <w:hideMark/>
          </w:tcPr>
          <w:p w14:paraId="53AC1C85" w14:textId="77777777" w:rsidR="00A4788F" w:rsidRPr="00042419" w:rsidRDefault="00A4788F" w:rsidP="00A4788F">
            <w:pP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Damped trend</w:t>
            </w:r>
          </w:p>
        </w:tc>
        <w:tc>
          <w:tcPr>
            <w:tcW w:w="2692" w:type="dxa"/>
            <w:noWrap/>
            <w:hideMark/>
          </w:tcPr>
          <w:p w14:paraId="0CCF0072"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118.62</w:t>
            </w:r>
          </w:p>
        </w:tc>
        <w:tc>
          <w:tcPr>
            <w:tcW w:w="2692" w:type="dxa"/>
            <w:noWrap/>
            <w:hideMark/>
          </w:tcPr>
          <w:p w14:paraId="7C50DEFE"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308.54</w:t>
            </w:r>
          </w:p>
        </w:tc>
      </w:tr>
      <w:tr w:rsidR="00A4788F" w:rsidRPr="00042419" w14:paraId="27C8C9C3" w14:textId="77777777" w:rsidTr="00A4788F">
        <w:trPr>
          <w:trHeight w:val="288"/>
        </w:trPr>
        <w:tc>
          <w:tcPr>
            <w:tcW w:w="2691" w:type="dxa"/>
            <w:noWrap/>
            <w:hideMark/>
          </w:tcPr>
          <w:p w14:paraId="7ED2A1B5" w14:textId="77777777" w:rsidR="00A4788F" w:rsidRPr="00042419" w:rsidRDefault="00A4788F" w:rsidP="00A4788F">
            <w:pP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Trend</w:t>
            </w:r>
          </w:p>
        </w:tc>
        <w:tc>
          <w:tcPr>
            <w:tcW w:w="2692" w:type="dxa"/>
            <w:noWrap/>
            <w:hideMark/>
          </w:tcPr>
          <w:p w14:paraId="719293BD"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115.31</w:t>
            </w:r>
          </w:p>
        </w:tc>
        <w:tc>
          <w:tcPr>
            <w:tcW w:w="2692" w:type="dxa"/>
            <w:noWrap/>
            <w:hideMark/>
          </w:tcPr>
          <w:p w14:paraId="1F3AA496" w14:textId="77777777" w:rsidR="00A4788F" w:rsidRPr="00042419" w:rsidRDefault="00A4788F" w:rsidP="00A4788F">
            <w:pPr>
              <w:jc w:val="center"/>
              <w:rPr>
                <w:rFonts w:asciiTheme="majorBidi" w:eastAsia="Times New Roman" w:hAnsiTheme="majorBidi" w:cstheme="majorBidi"/>
                <w:color w:val="000000"/>
                <w:lang w:eastAsia="en-GB"/>
              </w:rPr>
            </w:pPr>
            <w:r w:rsidRPr="00042419">
              <w:rPr>
                <w:rFonts w:asciiTheme="majorBidi" w:eastAsia="Times New Roman" w:hAnsiTheme="majorBidi" w:cstheme="majorBidi"/>
                <w:color w:val="000000"/>
                <w:lang w:eastAsia="en-GB"/>
              </w:rPr>
              <w:t>302.18</w:t>
            </w:r>
          </w:p>
        </w:tc>
      </w:tr>
    </w:tbl>
    <w:p w14:paraId="0E395E14" w14:textId="77777777" w:rsidR="00042419" w:rsidRDefault="00042419" w:rsidP="00A4788F">
      <w:pPr>
        <w:pStyle w:val="Caption"/>
        <w:rPr>
          <w:rFonts w:asciiTheme="majorBidi" w:hAnsiTheme="majorBidi" w:cstheme="majorBidi"/>
          <w:b/>
          <w:bCs/>
          <w:i w:val="0"/>
          <w:iCs w:val="0"/>
          <w:sz w:val="20"/>
          <w:szCs w:val="20"/>
        </w:rPr>
      </w:pPr>
      <w:bookmarkStart w:id="456" w:name="_Ref84856933"/>
    </w:p>
    <w:p w14:paraId="5D8111D9" w14:textId="77777777" w:rsidR="00862836" w:rsidRDefault="00862836">
      <w:pPr>
        <w:rPr>
          <w:rFonts w:asciiTheme="majorBidi" w:hAnsiTheme="majorBidi" w:cstheme="majorBidi"/>
          <w:b/>
          <w:bCs/>
          <w:color w:val="44546A" w:themeColor="text2"/>
          <w:sz w:val="20"/>
          <w:szCs w:val="20"/>
        </w:rPr>
      </w:pPr>
      <w:r>
        <w:rPr>
          <w:rFonts w:asciiTheme="majorBidi" w:hAnsiTheme="majorBidi" w:cstheme="majorBidi"/>
          <w:b/>
          <w:bCs/>
          <w:i/>
          <w:iCs/>
          <w:sz w:val="20"/>
          <w:szCs w:val="20"/>
        </w:rPr>
        <w:br w:type="page"/>
      </w:r>
    </w:p>
    <w:p w14:paraId="7DD4E9E8" w14:textId="7652B315" w:rsidR="00A4788F" w:rsidRPr="00042419" w:rsidRDefault="00A4788F" w:rsidP="00A4788F">
      <w:pPr>
        <w:pStyle w:val="Caption"/>
        <w:rPr>
          <w:rFonts w:asciiTheme="majorBidi" w:hAnsiTheme="majorBidi" w:cstheme="majorBidi"/>
          <w:b/>
          <w:bCs/>
          <w:i w:val="0"/>
          <w:iCs w:val="0"/>
          <w:sz w:val="20"/>
          <w:szCs w:val="20"/>
        </w:rPr>
      </w:pPr>
      <w:bookmarkStart w:id="457" w:name="_Toc86419065"/>
      <w:r w:rsidRPr="00862836">
        <w:rPr>
          <w:rFonts w:asciiTheme="majorBidi" w:hAnsiTheme="majorBidi" w:cstheme="majorBidi"/>
          <w:b/>
          <w:bCs/>
          <w:i w:val="0"/>
          <w:iCs w:val="0"/>
          <w:color w:val="auto"/>
          <w:sz w:val="20"/>
          <w:szCs w:val="20"/>
        </w:rPr>
        <w:lastRenderedPageBreak/>
        <w:t xml:space="preserve">Figure </w:t>
      </w:r>
      <w:r w:rsidR="0021430F">
        <w:rPr>
          <w:rFonts w:asciiTheme="majorBidi" w:hAnsiTheme="majorBidi" w:cstheme="majorBidi"/>
          <w:b/>
          <w:bCs/>
          <w:i w:val="0"/>
          <w:iCs w:val="0"/>
          <w:noProof/>
          <w:color w:val="auto"/>
          <w:sz w:val="20"/>
          <w:szCs w:val="20"/>
        </w:rPr>
        <w:t>20</w:t>
      </w:r>
      <w:bookmarkEnd w:id="456"/>
      <w:r w:rsidRPr="00862836">
        <w:rPr>
          <w:rFonts w:asciiTheme="majorBidi" w:hAnsiTheme="majorBidi" w:cstheme="majorBidi"/>
          <w:b/>
          <w:bCs/>
          <w:i w:val="0"/>
          <w:iCs w:val="0"/>
          <w:color w:val="auto"/>
          <w:sz w:val="20"/>
          <w:szCs w:val="20"/>
        </w:rPr>
        <w:t xml:space="preserve">: </w:t>
      </w:r>
      <w:bookmarkStart w:id="458" w:name="_Hlk85709499"/>
      <w:r w:rsidR="002C7DFD" w:rsidRPr="00862836">
        <w:rPr>
          <w:rFonts w:asciiTheme="majorBidi" w:hAnsiTheme="majorBidi" w:cstheme="majorBidi"/>
          <w:b/>
          <w:bCs/>
          <w:i w:val="0"/>
          <w:iCs w:val="0"/>
          <w:color w:val="auto"/>
          <w:sz w:val="20"/>
          <w:szCs w:val="20"/>
        </w:rPr>
        <w:t>C</w:t>
      </w:r>
      <w:r w:rsidRPr="00862836">
        <w:rPr>
          <w:rFonts w:asciiTheme="majorBidi" w:hAnsiTheme="majorBidi" w:cstheme="majorBidi"/>
          <w:b/>
          <w:bCs/>
          <w:i w:val="0"/>
          <w:iCs w:val="0"/>
          <w:color w:val="auto"/>
          <w:sz w:val="20"/>
          <w:szCs w:val="20"/>
        </w:rPr>
        <w:t>hange in population size over time</w:t>
      </w:r>
      <w:r w:rsidR="007046F0" w:rsidRPr="00862836">
        <w:rPr>
          <w:rFonts w:asciiTheme="majorBidi" w:hAnsiTheme="majorBidi" w:cstheme="majorBidi"/>
          <w:b/>
          <w:bCs/>
          <w:i w:val="0"/>
          <w:iCs w:val="0"/>
          <w:color w:val="auto"/>
          <w:sz w:val="20"/>
          <w:szCs w:val="20"/>
        </w:rPr>
        <w:t xml:space="preserve"> (top pane = invasive isolates, bottom = screening isolates)</w:t>
      </w:r>
      <w:bookmarkEnd w:id="457"/>
    </w:p>
    <w:bookmarkEnd w:id="458"/>
    <w:p w14:paraId="6C1E5207" w14:textId="135F70F1" w:rsidR="00A4788F" w:rsidRDefault="007046F0" w:rsidP="00A4788F">
      <w:pPr>
        <w:spacing w:after="0" w:line="360" w:lineRule="auto"/>
        <w:jc w:val="both"/>
        <w:rPr>
          <w:rFonts w:asciiTheme="majorBidi" w:hAnsiTheme="majorBidi" w:cstheme="majorBidi"/>
        </w:rPr>
      </w:pPr>
      <w:r w:rsidRPr="007046F0">
        <w:rPr>
          <w:noProof/>
          <w:lang w:eastAsia="en-GB"/>
        </w:rPr>
        <w:drawing>
          <wp:inline distT="0" distB="0" distL="0" distR="0" wp14:anchorId="4BE0A427" wp14:editId="566C7337">
            <wp:extent cx="4800600" cy="3429000"/>
            <wp:effectExtent l="0" t="0" r="0" b="0"/>
            <wp:docPr id="50" name="Picture 50" descr="Line chart to show the change in population size over time (2013 - 2040) of invasive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ine chart to show the change in population size over time (2013 - 2040) of invasive isolates"/>
                    <pic:cNvPicPr/>
                  </pic:nvPicPr>
                  <pic:blipFill>
                    <a:blip r:embed="rId34"/>
                    <a:stretch>
                      <a:fillRect/>
                    </a:stretch>
                  </pic:blipFill>
                  <pic:spPr>
                    <a:xfrm>
                      <a:off x="0" y="0"/>
                      <a:ext cx="4800600" cy="3429000"/>
                    </a:xfrm>
                    <a:prstGeom prst="rect">
                      <a:avLst/>
                    </a:prstGeom>
                  </pic:spPr>
                </pic:pic>
              </a:graphicData>
            </a:graphic>
          </wp:inline>
        </w:drawing>
      </w:r>
    </w:p>
    <w:p w14:paraId="4F7C9C00" w14:textId="0DAA4F7E" w:rsidR="007046F0" w:rsidRDefault="007046F0" w:rsidP="00A4788F">
      <w:pPr>
        <w:spacing w:after="0" w:line="360" w:lineRule="auto"/>
        <w:jc w:val="both"/>
        <w:rPr>
          <w:rFonts w:asciiTheme="majorBidi" w:hAnsiTheme="majorBidi" w:cstheme="majorBidi"/>
        </w:rPr>
      </w:pPr>
      <w:r w:rsidRPr="007046F0">
        <w:rPr>
          <w:noProof/>
          <w:lang w:eastAsia="en-GB"/>
        </w:rPr>
        <w:drawing>
          <wp:inline distT="0" distB="0" distL="0" distR="0" wp14:anchorId="59B84E64" wp14:editId="7E3AEB99">
            <wp:extent cx="4800600" cy="3429000"/>
            <wp:effectExtent l="0" t="0" r="0" b="0"/>
            <wp:docPr id="93" name="Picture 93" descr="Line chart to show the change in population size over time (2013 - 2040) of screening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ine chart to show the change in population size over time (2013 - 2040) of screening isolates"/>
                    <pic:cNvPicPr/>
                  </pic:nvPicPr>
                  <pic:blipFill>
                    <a:blip r:embed="rId34"/>
                    <a:stretch>
                      <a:fillRect/>
                    </a:stretch>
                  </pic:blipFill>
                  <pic:spPr>
                    <a:xfrm>
                      <a:off x="0" y="0"/>
                      <a:ext cx="4800600" cy="3429000"/>
                    </a:xfrm>
                    <a:prstGeom prst="rect">
                      <a:avLst/>
                    </a:prstGeom>
                  </pic:spPr>
                </pic:pic>
              </a:graphicData>
            </a:graphic>
          </wp:inline>
        </w:drawing>
      </w:r>
    </w:p>
    <w:p w14:paraId="623DD459" w14:textId="729D6A0E" w:rsidR="00A4788F" w:rsidRDefault="00A4788F" w:rsidP="00A4788F">
      <w:pPr>
        <w:spacing w:after="0" w:line="360" w:lineRule="auto"/>
        <w:jc w:val="both"/>
        <w:rPr>
          <w:rFonts w:asciiTheme="majorBidi" w:hAnsiTheme="majorBidi" w:cstheme="majorBidi"/>
        </w:rPr>
      </w:pPr>
    </w:p>
    <w:p w14:paraId="4AA3CF35" w14:textId="262B7392" w:rsidR="00A4788F" w:rsidRDefault="00C27EE8" w:rsidP="00A4788F">
      <w:pPr>
        <w:spacing w:after="0" w:line="360" w:lineRule="auto"/>
        <w:jc w:val="both"/>
        <w:rPr>
          <w:rFonts w:asciiTheme="majorBidi" w:hAnsiTheme="majorBidi" w:cstheme="majorBidi"/>
        </w:rPr>
      </w:pPr>
      <w:r w:rsidRPr="00C27EE8">
        <w:rPr>
          <w:rFonts w:asciiTheme="majorBidi" w:hAnsiTheme="majorBidi" w:cstheme="majorBidi"/>
        </w:rPr>
        <w:t>Table 32</w:t>
      </w:r>
      <w:r w:rsidR="00A4788F" w:rsidRPr="00A325FF">
        <w:rPr>
          <w:rFonts w:asciiTheme="majorBidi" w:hAnsiTheme="majorBidi" w:cstheme="majorBidi"/>
        </w:rPr>
        <w:t xml:space="preserve"> (for which comparisons should only be made within columns) shows that for both isolate types</w:t>
      </w:r>
      <w:r w:rsidR="00495EED">
        <w:rPr>
          <w:rFonts w:asciiTheme="majorBidi" w:hAnsiTheme="majorBidi" w:cstheme="majorBidi"/>
        </w:rPr>
        <w:t>,</w:t>
      </w:r>
      <w:r w:rsidR="00A4788F" w:rsidRPr="00A325FF">
        <w:rPr>
          <w:rFonts w:asciiTheme="majorBidi" w:hAnsiTheme="majorBidi" w:cstheme="majorBidi"/>
        </w:rPr>
        <w:t xml:space="preserve"> the model with a persistent trend provides the best within-sample fit. However, the difference between values is relatively small, whilst the differences in extrapolations are very large. The largest population growth was estimated for the screening isolates with a non-damped trend and the smallest (non-constant) population growth was for the invasive isolates with a damped trend model. For the </w:t>
      </w:r>
      <w:r w:rsidR="00A4788F" w:rsidRPr="00A325FF">
        <w:rPr>
          <w:rFonts w:asciiTheme="majorBidi" w:hAnsiTheme="majorBidi" w:cstheme="majorBidi"/>
        </w:rPr>
        <w:lastRenderedPageBreak/>
        <w:t xml:space="preserve">screening isolates it is unclear if long-term increases in the mechanism reflect genuine increases or the results of increased testing. It is also unclear if any genuine increases would persist into the future. As long-term estimates were very sensitive to the choice of model, and there were </w:t>
      </w:r>
      <w:r w:rsidR="00862836">
        <w:rPr>
          <w:rFonts w:asciiTheme="majorBidi" w:hAnsiTheme="majorBidi" w:cstheme="majorBidi"/>
        </w:rPr>
        <w:t>few</w:t>
      </w:r>
      <w:r w:rsidR="00A4788F" w:rsidRPr="00A325FF">
        <w:rPr>
          <w:rFonts w:asciiTheme="majorBidi" w:hAnsiTheme="majorBidi" w:cstheme="majorBidi"/>
        </w:rPr>
        <w:t xml:space="preserve"> statistical grounds to choose between the two models both the damped trend and trend models for invasive isolates were considered within the decision analytic modelling.</w:t>
      </w:r>
    </w:p>
    <w:p w14:paraId="095108E3" w14:textId="77777777" w:rsidR="00A4788F" w:rsidRDefault="00A4788F" w:rsidP="00A4788F">
      <w:pPr>
        <w:spacing w:after="0" w:line="360" w:lineRule="auto"/>
        <w:jc w:val="both"/>
        <w:rPr>
          <w:rFonts w:asciiTheme="majorBidi" w:hAnsiTheme="majorBidi" w:cstheme="majorBidi"/>
        </w:rPr>
      </w:pPr>
    </w:p>
    <w:p w14:paraId="33FA0F45" w14:textId="2C8F2981" w:rsidR="00A4788F" w:rsidRPr="006977F9" w:rsidRDefault="00A4788F" w:rsidP="00A4788F">
      <w:pPr>
        <w:spacing w:after="0" w:line="360" w:lineRule="auto"/>
        <w:jc w:val="both"/>
        <w:rPr>
          <w:rFonts w:asciiTheme="majorBidi" w:hAnsiTheme="majorBidi" w:cstheme="majorBidi"/>
        </w:rPr>
      </w:pPr>
      <w:r>
        <w:rPr>
          <w:rFonts w:asciiTheme="majorBidi" w:hAnsiTheme="majorBidi" w:cstheme="majorBidi"/>
        </w:rPr>
        <w:t>Details on how the estimates of future change in the HVCS were used in the economic model are provided in Appendix</w:t>
      </w:r>
      <w:r w:rsidR="00FB4C28">
        <w:rPr>
          <w:rFonts w:asciiTheme="majorBidi" w:hAnsiTheme="majorBidi" w:cstheme="majorBidi"/>
        </w:rPr>
        <w:t xml:space="preserve"> 1</w:t>
      </w:r>
      <w:r w:rsidR="00A80C2B">
        <w:rPr>
          <w:rFonts w:asciiTheme="majorBidi" w:hAnsiTheme="majorBidi" w:cstheme="majorBidi"/>
        </w:rPr>
        <w:t>6</w:t>
      </w:r>
      <w:r>
        <w:rPr>
          <w:rFonts w:asciiTheme="majorBidi" w:hAnsiTheme="majorBidi" w:cstheme="majorBidi"/>
        </w:rPr>
        <w:t>.</w:t>
      </w:r>
    </w:p>
    <w:p w14:paraId="7DC673BF" w14:textId="7B9B2520" w:rsidR="00A4788F" w:rsidRPr="004B48E7" w:rsidRDefault="00AF0F42" w:rsidP="00794B4E">
      <w:pPr>
        <w:pStyle w:val="EEPRUnumberedlevel4"/>
        <w:ind w:left="2127" w:firstLine="0"/>
      </w:pPr>
      <w:bookmarkStart w:id="459" w:name="_Toc85194072"/>
      <w:bookmarkStart w:id="460" w:name="_Toc87463049"/>
      <w:bookmarkStart w:id="461" w:name="_Hlk84858304"/>
      <w:r w:rsidRPr="00AF0F42">
        <w:t xml:space="preserve">7.2.5.2 </w:t>
      </w:r>
      <w:r w:rsidR="00A4788F" w:rsidRPr="004B48E7">
        <w:t>Predicting future rates of resistance for current practice</w:t>
      </w:r>
      <w:bookmarkEnd w:id="459"/>
      <w:bookmarkEnd w:id="460"/>
    </w:p>
    <w:bookmarkEnd w:id="461"/>
    <w:p w14:paraId="41536ED5" w14:textId="37995550" w:rsidR="00A4788F" w:rsidRPr="00042419" w:rsidRDefault="00A4788F" w:rsidP="00A325FF">
      <w:pPr>
        <w:spacing w:after="0" w:line="360" w:lineRule="auto"/>
        <w:rPr>
          <w:rFonts w:asciiTheme="majorBidi" w:hAnsiTheme="majorBidi" w:cstheme="majorBidi"/>
        </w:rPr>
      </w:pPr>
      <w:r w:rsidRPr="00042419">
        <w:rPr>
          <w:rFonts w:asciiTheme="majorBidi" w:hAnsiTheme="majorBidi" w:cstheme="majorBidi"/>
        </w:rPr>
        <w:t xml:space="preserve">The objective of this analysis was to characterise historical changes in resistance to existing AMs amongst patients with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Pr="00042419">
        <w:rPr>
          <w:rFonts w:asciiTheme="majorBidi" w:hAnsiTheme="majorBidi" w:cstheme="majorBidi"/>
        </w:rPr>
        <w:t xml:space="preserve"> to inform a quantitative forecast of how resistance might change in the future. </w:t>
      </w:r>
    </w:p>
    <w:p w14:paraId="38CFB261" w14:textId="77777777" w:rsidR="00A4788F" w:rsidRPr="00042419" w:rsidRDefault="00A4788F" w:rsidP="00A4788F">
      <w:pPr>
        <w:spacing w:after="0" w:line="360" w:lineRule="auto"/>
        <w:rPr>
          <w:rFonts w:asciiTheme="majorBidi" w:hAnsiTheme="majorBidi" w:cstheme="majorBidi"/>
        </w:rPr>
      </w:pPr>
    </w:p>
    <w:p w14:paraId="12FAF447" w14:textId="1A069696" w:rsidR="00A4788F" w:rsidRPr="00042419" w:rsidRDefault="00A4788F" w:rsidP="00A4788F">
      <w:pPr>
        <w:spacing w:after="0" w:line="360" w:lineRule="auto"/>
        <w:rPr>
          <w:rFonts w:asciiTheme="majorBidi" w:hAnsiTheme="majorBidi" w:cstheme="majorBidi"/>
        </w:rPr>
      </w:pPr>
      <w:r w:rsidRPr="00042419">
        <w:rPr>
          <w:rFonts w:asciiTheme="majorBidi" w:hAnsiTheme="majorBidi" w:cstheme="majorBidi"/>
        </w:rPr>
        <w:t>This analysis used time-series data provided by PHE, obtained from the same evidence sources as described in the previous sub-section (</w:t>
      </w:r>
      <w:r w:rsidR="00862836" w:rsidRPr="00042419">
        <w:rPr>
          <w:rFonts w:asciiTheme="majorBidi" w:hAnsiTheme="majorBidi" w:cstheme="majorBidi"/>
        </w:rPr>
        <w:t>i.e.,</w:t>
      </w:r>
      <w:r w:rsidRPr="00042419">
        <w:rPr>
          <w:rFonts w:asciiTheme="majorBidi" w:hAnsiTheme="majorBidi" w:cstheme="majorBidi"/>
        </w:rPr>
        <w:t xml:space="preserve"> the AMRHAI national reference unit). Analyses were restricted to comparators used in the economic model. Resulting data were available for:</w:t>
      </w:r>
    </w:p>
    <w:p w14:paraId="407A14BF" w14:textId="77777777" w:rsidR="00A4788F" w:rsidRPr="00042419" w:rsidRDefault="00A4788F" w:rsidP="00A4788F">
      <w:pPr>
        <w:spacing w:after="0" w:line="360" w:lineRule="auto"/>
        <w:rPr>
          <w:rFonts w:asciiTheme="majorBidi" w:hAnsiTheme="majorBidi" w:cstheme="majorBidi"/>
        </w:rPr>
      </w:pPr>
    </w:p>
    <w:p w14:paraId="267AABC5" w14:textId="77777777" w:rsidR="00A4788F" w:rsidRPr="00042419" w:rsidRDefault="00A4788F" w:rsidP="005A3BE6">
      <w:pPr>
        <w:pStyle w:val="ListParagraph"/>
        <w:numPr>
          <w:ilvl w:val="0"/>
          <w:numId w:val="60"/>
        </w:numPr>
        <w:spacing w:after="0" w:line="360" w:lineRule="auto"/>
        <w:jc w:val="both"/>
        <w:rPr>
          <w:rFonts w:asciiTheme="majorBidi" w:hAnsiTheme="majorBidi" w:cstheme="majorBidi"/>
        </w:rPr>
      </w:pPr>
      <w:r w:rsidRPr="00042419">
        <w:rPr>
          <w:rFonts w:asciiTheme="majorBidi" w:hAnsiTheme="majorBidi" w:cstheme="majorBidi"/>
        </w:rPr>
        <w:t>Aminoglycosides (gentamicin, amikacin, tobramycin)</w:t>
      </w:r>
    </w:p>
    <w:p w14:paraId="4B1C69E0" w14:textId="77777777" w:rsidR="00A4788F" w:rsidRPr="00042419" w:rsidRDefault="00A4788F" w:rsidP="005A3BE6">
      <w:pPr>
        <w:pStyle w:val="ListParagraph"/>
        <w:numPr>
          <w:ilvl w:val="0"/>
          <w:numId w:val="59"/>
        </w:numPr>
        <w:spacing w:after="0" w:line="360" w:lineRule="auto"/>
        <w:rPr>
          <w:rFonts w:asciiTheme="majorBidi" w:hAnsiTheme="majorBidi" w:cstheme="majorBidi"/>
        </w:rPr>
      </w:pPr>
      <w:r w:rsidRPr="00042419">
        <w:rPr>
          <w:rFonts w:asciiTheme="majorBidi" w:hAnsiTheme="majorBidi" w:cstheme="majorBidi"/>
        </w:rPr>
        <w:t>Aztreonam</w:t>
      </w:r>
    </w:p>
    <w:p w14:paraId="1C1690E4" w14:textId="77777777" w:rsidR="00A4788F" w:rsidRPr="00042419" w:rsidRDefault="00A4788F" w:rsidP="005A3BE6">
      <w:pPr>
        <w:pStyle w:val="ListParagraph"/>
        <w:numPr>
          <w:ilvl w:val="0"/>
          <w:numId w:val="59"/>
        </w:numPr>
        <w:spacing w:after="0" w:line="360" w:lineRule="auto"/>
        <w:rPr>
          <w:rFonts w:asciiTheme="majorBidi" w:hAnsiTheme="majorBidi" w:cstheme="majorBidi"/>
        </w:rPr>
      </w:pPr>
      <w:r w:rsidRPr="00042419">
        <w:rPr>
          <w:rFonts w:asciiTheme="majorBidi" w:hAnsiTheme="majorBidi" w:cstheme="majorBidi"/>
        </w:rPr>
        <w:t>Cephalosporins (cefotaxime, ceftazidime, cefepime)</w:t>
      </w:r>
    </w:p>
    <w:p w14:paraId="28C13E7D" w14:textId="77777777" w:rsidR="00A4788F" w:rsidRPr="00042419" w:rsidRDefault="00A4788F" w:rsidP="005A3BE6">
      <w:pPr>
        <w:pStyle w:val="ListParagraph"/>
        <w:numPr>
          <w:ilvl w:val="0"/>
          <w:numId w:val="59"/>
        </w:numPr>
        <w:spacing w:after="0" w:line="360" w:lineRule="auto"/>
        <w:rPr>
          <w:rFonts w:asciiTheme="majorBidi" w:hAnsiTheme="majorBidi" w:cstheme="majorBidi"/>
        </w:rPr>
      </w:pPr>
      <w:r w:rsidRPr="00042419">
        <w:rPr>
          <w:rFonts w:asciiTheme="majorBidi" w:hAnsiTheme="majorBidi" w:cstheme="majorBidi"/>
        </w:rPr>
        <w:t>Ciprofloxacin</w:t>
      </w:r>
    </w:p>
    <w:p w14:paraId="18871C13" w14:textId="77777777" w:rsidR="00A4788F" w:rsidRPr="00042419" w:rsidRDefault="00A4788F" w:rsidP="005A3BE6">
      <w:pPr>
        <w:pStyle w:val="ListParagraph"/>
        <w:numPr>
          <w:ilvl w:val="0"/>
          <w:numId w:val="59"/>
        </w:numPr>
        <w:spacing w:after="0" w:line="360" w:lineRule="auto"/>
        <w:rPr>
          <w:rFonts w:asciiTheme="majorBidi" w:hAnsiTheme="majorBidi" w:cstheme="majorBidi"/>
        </w:rPr>
      </w:pPr>
      <w:r w:rsidRPr="00042419">
        <w:rPr>
          <w:rFonts w:asciiTheme="majorBidi" w:hAnsiTheme="majorBidi" w:cstheme="majorBidi"/>
        </w:rPr>
        <w:t>Colistin</w:t>
      </w:r>
    </w:p>
    <w:p w14:paraId="124CD681" w14:textId="77777777" w:rsidR="00A4788F" w:rsidRPr="00042419" w:rsidRDefault="00A4788F" w:rsidP="005A3BE6">
      <w:pPr>
        <w:pStyle w:val="ListParagraph"/>
        <w:numPr>
          <w:ilvl w:val="0"/>
          <w:numId w:val="59"/>
        </w:numPr>
        <w:spacing w:after="0" w:line="360" w:lineRule="auto"/>
        <w:rPr>
          <w:rFonts w:asciiTheme="majorBidi" w:hAnsiTheme="majorBidi" w:cstheme="majorBidi"/>
        </w:rPr>
      </w:pPr>
      <w:r w:rsidRPr="00042419">
        <w:rPr>
          <w:rFonts w:asciiTheme="majorBidi" w:hAnsiTheme="majorBidi" w:cstheme="majorBidi"/>
        </w:rPr>
        <w:t>Tigecycline</w:t>
      </w:r>
    </w:p>
    <w:p w14:paraId="58EC90F7" w14:textId="77777777" w:rsidR="00A4788F" w:rsidRPr="00042419" w:rsidRDefault="00A4788F" w:rsidP="009E265F">
      <w:pPr>
        <w:pStyle w:val="table"/>
      </w:pPr>
    </w:p>
    <w:p w14:paraId="06824267" w14:textId="4FFDA175" w:rsidR="00A4788F" w:rsidRPr="00042419" w:rsidRDefault="00A4788F" w:rsidP="00A83123">
      <w:pPr>
        <w:spacing w:after="0" w:line="360" w:lineRule="auto"/>
        <w:jc w:val="both"/>
        <w:rPr>
          <w:rFonts w:asciiTheme="majorBidi" w:hAnsiTheme="majorBidi" w:cstheme="majorBidi"/>
        </w:rPr>
      </w:pPr>
      <w:r w:rsidRPr="00042419">
        <w:rPr>
          <w:rFonts w:asciiTheme="majorBidi" w:hAnsiTheme="majorBidi" w:cstheme="majorBidi"/>
        </w:rPr>
        <w:t>For AM classes with evidence from multiple AMs, the most resistant result was retained in the supplied data. It is not expected that retaining the least resistant result would have a noticeable impact on estimates of resistance over time. As already described, isolates that were reported as ‘intermediate’ resistant were assumed to represent resistant isolates for the purpose of this analysis. Hence any tested isolate was either categorised as ‘susceptible’ or ‘resistant’ for this analysis. Combining ‘intermediate’ and ‘resistant’ categories was based on advice from clinical advisors. It is, however, noted that current EUCAST guidance is to combine ‘intermediate’ and ‘susceptible’ when only two categories are used</w:t>
      </w:r>
      <w:r w:rsidR="00862836">
        <w:rPr>
          <w:rFonts w:asciiTheme="majorBidi" w:hAnsiTheme="majorBidi" w:cstheme="majorBidi"/>
        </w:rPr>
        <w:t>.</w:t>
      </w:r>
      <w:r w:rsidR="004B4D1C" w:rsidRPr="004B4D1C">
        <w:rPr>
          <w:rFonts w:asciiTheme="majorBidi" w:hAnsiTheme="majorBidi" w:cstheme="majorBidi"/>
          <w:noProof/>
          <w:vertAlign w:val="superscript"/>
        </w:rPr>
        <w:t>143</w:t>
      </w:r>
      <w:r w:rsidRPr="00042419">
        <w:rPr>
          <w:rFonts w:asciiTheme="majorBidi" w:hAnsiTheme="majorBidi" w:cstheme="majorBidi"/>
        </w:rPr>
        <w:t xml:space="preserve"> The methods used to generate forecasts are broadly the same as those considered in the previous section, and are discussed in more detail in Appendix </w:t>
      </w:r>
      <w:r w:rsidR="00D151D1">
        <w:rPr>
          <w:rFonts w:asciiTheme="majorBidi" w:hAnsiTheme="majorBidi" w:cstheme="majorBidi"/>
        </w:rPr>
        <w:t>1</w:t>
      </w:r>
      <w:r w:rsidR="00A80C2B">
        <w:rPr>
          <w:rFonts w:asciiTheme="majorBidi" w:hAnsiTheme="majorBidi" w:cstheme="majorBidi"/>
        </w:rPr>
        <w:t>5</w:t>
      </w:r>
      <w:r w:rsidRPr="00042419">
        <w:rPr>
          <w:rFonts w:asciiTheme="majorBidi" w:hAnsiTheme="majorBidi" w:cstheme="majorBidi"/>
        </w:rPr>
        <w:t xml:space="preserve">. Due to the sparsity of the available evidence trends in </w:t>
      </w:r>
      <w:r w:rsidRPr="00042419">
        <w:rPr>
          <w:rFonts w:asciiTheme="majorBidi" w:hAnsiTheme="majorBidi" w:cstheme="majorBidi"/>
        </w:rPr>
        <w:lastRenderedPageBreak/>
        <w:t xml:space="preserve">the resistance (or susceptibility) to comparator AMs were not incorporated </w:t>
      </w:r>
      <w:proofErr w:type="gramStart"/>
      <w:r w:rsidRPr="00042419">
        <w:rPr>
          <w:rFonts w:asciiTheme="majorBidi" w:hAnsiTheme="majorBidi" w:cstheme="majorBidi"/>
        </w:rPr>
        <w:t>in to</w:t>
      </w:r>
      <w:proofErr w:type="gramEnd"/>
      <w:r w:rsidRPr="00042419">
        <w:rPr>
          <w:rFonts w:asciiTheme="majorBidi" w:hAnsiTheme="majorBidi" w:cstheme="majorBidi"/>
        </w:rPr>
        <w:t xml:space="preserve"> the decision analytic model.</w:t>
      </w:r>
    </w:p>
    <w:p w14:paraId="4E3A27C2" w14:textId="77777777" w:rsidR="00A4788F" w:rsidRPr="00042419" w:rsidRDefault="00A4788F" w:rsidP="00A4788F">
      <w:pPr>
        <w:spacing w:line="360" w:lineRule="auto"/>
        <w:rPr>
          <w:rFonts w:asciiTheme="majorBidi" w:hAnsiTheme="majorBidi" w:cstheme="majorBidi"/>
        </w:rPr>
      </w:pPr>
    </w:p>
    <w:p w14:paraId="28141C1D" w14:textId="1B1F10AC" w:rsidR="00A4788F" w:rsidRPr="00AF0F42" w:rsidRDefault="00AF0F42" w:rsidP="00794B4E">
      <w:pPr>
        <w:pStyle w:val="EEPRUnumberedlevel4"/>
        <w:ind w:left="2127" w:firstLine="0"/>
      </w:pPr>
      <w:bookmarkStart w:id="462" w:name="_Toc85194073"/>
      <w:bookmarkStart w:id="463" w:name="_Hlk84859814"/>
      <w:r>
        <w:rPr>
          <w:sz w:val="24"/>
          <w:szCs w:val="24"/>
        </w:rPr>
        <w:tab/>
      </w:r>
      <w:bookmarkStart w:id="464" w:name="_Toc87463050"/>
      <w:r w:rsidRPr="00AF0F42">
        <w:t xml:space="preserve">7.5.2.3 </w:t>
      </w:r>
      <w:r w:rsidR="00A4788F" w:rsidRPr="00AF0F42">
        <w:t xml:space="preserve">Predicting future resistance trajectories for </w:t>
      </w:r>
      <w:r>
        <w:tab/>
      </w:r>
      <w:r>
        <w:tab/>
      </w:r>
      <w:r w:rsidR="00A4788F" w:rsidRPr="00AF0F42">
        <w:t>CAZ-AVI</w:t>
      </w:r>
      <w:bookmarkEnd w:id="464"/>
      <w:r w:rsidR="00A4788F" w:rsidRPr="00AF0F42">
        <w:t xml:space="preserve"> </w:t>
      </w:r>
      <w:bookmarkEnd w:id="462"/>
    </w:p>
    <w:bookmarkEnd w:id="463"/>
    <w:p w14:paraId="268747D3" w14:textId="5E21ADFA" w:rsidR="00A4788F" w:rsidRDefault="00A4788F" w:rsidP="00A83123">
      <w:pPr>
        <w:spacing w:after="0" w:line="360" w:lineRule="auto"/>
        <w:jc w:val="both"/>
        <w:rPr>
          <w:rFonts w:asciiTheme="majorBidi" w:hAnsiTheme="majorBidi" w:cstheme="majorBidi"/>
        </w:rPr>
      </w:pPr>
      <w:r w:rsidRPr="00A325FF">
        <w:rPr>
          <w:rFonts w:asciiTheme="majorBidi" w:hAnsiTheme="majorBidi" w:cstheme="majorBidi"/>
        </w:rPr>
        <w:t>The time-series data on susceptibility provided by PHE (as detailed in the previous sub-section) includes CAZ-AVI. Hence, one approach is to use the forecasts from the previous sub-section as inputs to the economic model. However, the economic modelling explor</w:t>
      </w:r>
      <w:r w:rsidR="00862836">
        <w:rPr>
          <w:rFonts w:asciiTheme="majorBidi" w:hAnsiTheme="majorBidi" w:cstheme="majorBidi"/>
        </w:rPr>
        <w:t>es</w:t>
      </w:r>
      <w:r w:rsidRPr="00A325FF">
        <w:rPr>
          <w:rFonts w:asciiTheme="majorBidi" w:hAnsiTheme="majorBidi" w:cstheme="majorBidi"/>
        </w:rPr>
        <w:t xml:space="preserve"> different scenarios of CAZ-AVI use, such as in the ES or MDS. As CAZ-AVI has high rates of susceptibility in the HVCS</w:t>
      </w:r>
      <w:r w:rsidR="00862836">
        <w:rPr>
          <w:rFonts w:asciiTheme="majorBidi" w:hAnsiTheme="majorBidi" w:cstheme="majorBidi"/>
        </w:rPr>
        <w:t>s</w:t>
      </w:r>
      <w:r w:rsidRPr="00A325FF">
        <w:rPr>
          <w:rFonts w:asciiTheme="majorBidi" w:hAnsiTheme="majorBidi" w:cstheme="majorBidi"/>
        </w:rPr>
        <w:t xml:space="preserve"> (and a good safety profile), then without penalising drug use, the scenarios with the highest levels of CAZ-AVI would provide the greatest health benefits. A disbenefit of increased AM use is the potential for increased levels of resistance, which would decrease the future effectiveness of CAZ-AVI. There is a large body of evidence demonstrating a relationship between AM use (</w:t>
      </w:r>
      <w:r w:rsidR="00837CD7" w:rsidRPr="00A325FF">
        <w:rPr>
          <w:rFonts w:asciiTheme="majorBidi" w:hAnsiTheme="majorBidi" w:cstheme="majorBidi"/>
        </w:rPr>
        <w:t>and</w:t>
      </w:r>
      <w:r w:rsidRPr="00A325FF">
        <w:rPr>
          <w:rFonts w:asciiTheme="majorBidi" w:hAnsiTheme="majorBidi" w:cstheme="majorBidi"/>
        </w:rPr>
        <w:t xml:space="preserve"> prescribing) and the development of AM resistance</w:t>
      </w:r>
      <w:r w:rsidR="0020177A">
        <w:rPr>
          <w:rFonts w:asciiTheme="majorBidi" w:hAnsiTheme="majorBidi" w:cstheme="majorBidi"/>
        </w:rPr>
        <w:t>.</w:t>
      </w:r>
      <w:r w:rsidR="004B4D1C" w:rsidRPr="004B4D1C">
        <w:rPr>
          <w:rFonts w:asciiTheme="majorBidi" w:hAnsiTheme="majorBidi" w:cstheme="majorBidi"/>
          <w:noProof/>
          <w:vertAlign w:val="superscript"/>
        </w:rPr>
        <w:t>144-146</w:t>
      </w:r>
      <w:r w:rsidRPr="00A325FF">
        <w:rPr>
          <w:rFonts w:asciiTheme="majorBidi" w:hAnsiTheme="majorBidi" w:cstheme="majorBidi"/>
        </w:rPr>
        <w:t xml:space="preserve"> However, this relationship has been shown to vary by both type of AM and geographical setting and</w:t>
      </w:r>
      <w:r w:rsidR="0020177A">
        <w:rPr>
          <w:rFonts w:asciiTheme="majorBidi" w:hAnsiTheme="majorBidi" w:cstheme="majorBidi"/>
        </w:rPr>
        <w:t>,</w:t>
      </w:r>
      <w:r w:rsidRPr="00A325FF">
        <w:rPr>
          <w:rFonts w:asciiTheme="majorBidi" w:hAnsiTheme="majorBidi" w:cstheme="majorBidi"/>
        </w:rPr>
        <w:t xml:space="preserve"> in some situations, there is no apparent relationship</w:t>
      </w:r>
      <w:r w:rsidR="0020177A">
        <w:rPr>
          <w:rFonts w:asciiTheme="majorBidi" w:hAnsiTheme="majorBidi" w:cstheme="majorBidi"/>
        </w:rPr>
        <w:t>.</w:t>
      </w:r>
      <w:r w:rsidR="004B4D1C" w:rsidRPr="004B4D1C">
        <w:rPr>
          <w:rFonts w:asciiTheme="majorBidi" w:hAnsiTheme="majorBidi" w:cstheme="majorBidi"/>
          <w:noProof/>
          <w:vertAlign w:val="superscript"/>
        </w:rPr>
        <w:t>145,147,148</w:t>
      </w:r>
      <w:r w:rsidRPr="00A325FF">
        <w:rPr>
          <w:rFonts w:asciiTheme="majorBidi" w:hAnsiTheme="majorBidi" w:cstheme="majorBidi"/>
        </w:rPr>
        <w:t xml:space="preserve"> Hence there is uncertainty about the relationship between CAZ-AVI use (in the economic model) and subsequent changes in rates of resistance.</w:t>
      </w:r>
    </w:p>
    <w:p w14:paraId="138D8530" w14:textId="77777777" w:rsidR="0020177A" w:rsidRPr="00A325FF" w:rsidRDefault="0020177A" w:rsidP="008B218B">
      <w:pPr>
        <w:spacing w:after="0" w:line="360" w:lineRule="auto"/>
        <w:jc w:val="both"/>
        <w:rPr>
          <w:rFonts w:asciiTheme="majorBidi" w:hAnsiTheme="majorBidi" w:cstheme="majorBidi"/>
        </w:rPr>
      </w:pPr>
    </w:p>
    <w:p w14:paraId="2EDB217A" w14:textId="1292FAF0" w:rsidR="00A4788F" w:rsidRDefault="00A4788F" w:rsidP="00A4788F">
      <w:pPr>
        <w:spacing w:after="0" w:line="360" w:lineRule="auto"/>
        <w:jc w:val="both"/>
        <w:rPr>
          <w:rFonts w:asciiTheme="majorBidi" w:hAnsiTheme="majorBidi" w:cstheme="majorBidi"/>
          <w:b/>
          <w:bCs/>
        </w:rPr>
      </w:pPr>
      <w:r w:rsidRPr="00A325FF">
        <w:rPr>
          <w:rFonts w:asciiTheme="majorBidi" w:hAnsiTheme="majorBidi" w:cstheme="majorBidi"/>
        </w:rPr>
        <w:t>Evidence on trends in CAZ-AVI resistance for the UK in the HVCS</w:t>
      </w:r>
      <w:r w:rsidR="0020177A">
        <w:rPr>
          <w:rFonts w:asciiTheme="majorBidi" w:hAnsiTheme="majorBidi" w:cstheme="majorBidi"/>
        </w:rPr>
        <w:t>s</w:t>
      </w:r>
      <w:r w:rsidRPr="00A325FF">
        <w:rPr>
          <w:rFonts w:asciiTheme="majorBidi" w:hAnsiTheme="majorBidi" w:cstheme="majorBidi"/>
        </w:rPr>
        <w:t xml:space="preserve"> are available from PHE but there is no corresponding evidence on CAZ-AVI use for this population. Th</w:t>
      </w:r>
      <w:r w:rsidR="0020177A">
        <w:rPr>
          <w:rFonts w:asciiTheme="majorBidi" w:hAnsiTheme="majorBidi" w:cstheme="majorBidi"/>
        </w:rPr>
        <w:t>ese</w:t>
      </w:r>
      <w:r w:rsidRPr="00A325FF">
        <w:rPr>
          <w:rFonts w:asciiTheme="majorBidi" w:hAnsiTheme="majorBidi" w:cstheme="majorBidi"/>
        </w:rPr>
        <w:t xml:space="preserve"> data also did not suggest that there was any trend in resistance to CAZ-AVI over time. </w:t>
      </w:r>
      <w:r w:rsidR="0020177A">
        <w:rPr>
          <w:rFonts w:asciiTheme="majorBidi" w:hAnsiTheme="majorBidi" w:cstheme="majorBidi"/>
        </w:rPr>
        <w:t xml:space="preserve"> </w:t>
      </w:r>
      <w:r w:rsidRPr="00A325FF">
        <w:rPr>
          <w:rFonts w:asciiTheme="majorBidi" w:hAnsiTheme="majorBidi" w:cstheme="majorBidi"/>
        </w:rPr>
        <w:t>Data sources are available for other AMs and other patient populations (henceforth referred to as ‘</w:t>
      </w:r>
      <w:bookmarkStart w:id="465" w:name="_Hlk77581093"/>
      <w:r w:rsidRPr="00A325FF">
        <w:rPr>
          <w:rFonts w:asciiTheme="majorBidi" w:hAnsiTheme="majorBidi" w:cstheme="majorBidi"/>
        </w:rPr>
        <w:t>external AM use-resistance data</w:t>
      </w:r>
      <w:bookmarkEnd w:id="465"/>
      <w:r w:rsidRPr="00A325FF">
        <w:rPr>
          <w:rFonts w:asciiTheme="majorBidi" w:hAnsiTheme="majorBidi" w:cstheme="majorBidi"/>
        </w:rPr>
        <w:t>’) which include both use and resistance, but their relevance to CAZ-AVI in this HVCS is unclear.</w:t>
      </w:r>
    </w:p>
    <w:p w14:paraId="27A00529" w14:textId="77777777" w:rsidR="00A4788F" w:rsidRDefault="00A4788F" w:rsidP="00A4788F">
      <w:pPr>
        <w:spacing w:after="0" w:line="360" w:lineRule="auto"/>
        <w:jc w:val="both"/>
        <w:rPr>
          <w:rFonts w:asciiTheme="majorBidi" w:hAnsiTheme="majorBidi" w:cstheme="majorBidi"/>
          <w:b/>
          <w:bCs/>
        </w:rPr>
      </w:pPr>
    </w:p>
    <w:p w14:paraId="5700290A" w14:textId="7BCC055D" w:rsidR="00A4788F" w:rsidRPr="00153757" w:rsidRDefault="00A4788F" w:rsidP="00A83123">
      <w:pPr>
        <w:spacing w:after="0" w:line="360" w:lineRule="auto"/>
        <w:jc w:val="both"/>
        <w:rPr>
          <w:rFonts w:asciiTheme="majorBidi" w:hAnsiTheme="majorBidi" w:cstheme="majorBidi"/>
        </w:rPr>
      </w:pPr>
      <w:r w:rsidRPr="009D683A">
        <w:rPr>
          <w:rFonts w:asciiTheme="majorBidi" w:hAnsiTheme="majorBidi" w:cstheme="majorBidi"/>
        </w:rPr>
        <w:t>T</w:t>
      </w:r>
      <w:r>
        <w:rPr>
          <w:rFonts w:asciiTheme="majorBidi" w:hAnsiTheme="majorBidi" w:cstheme="majorBidi"/>
        </w:rPr>
        <w:t>w</w:t>
      </w:r>
      <w:r w:rsidRPr="009D683A">
        <w:rPr>
          <w:rFonts w:asciiTheme="majorBidi" w:hAnsiTheme="majorBidi" w:cstheme="majorBidi"/>
        </w:rPr>
        <w:t>o</w:t>
      </w:r>
      <w:r>
        <w:rPr>
          <w:rFonts w:asciiTheme="majorBidi" w:hAnsiTheme="majorBidi" w:cstheme="majorBidi"/>
        </w:rPr>
        <w:t xml:space="preserve"> approaches were used to</w:t>
      </w:r>
      <w:r w:rsidRPr="009D683A">
        <w:rPr>
          <w:rFonts w:asciiTheme="majorBidi" w:hAnsiTheme="majorBidi" w:cstheme="majorBidi"/>
        </w:rPr>
        <w:t xml:space="preserve"> identify external AM use-resistance data </w:t>
      </w:r>
      <w:r>
        <w:rPr>
          <w:rFonts w:asciiTheme="majorBidi" w:hAnsiTheme="majorBidi" w:cstheme="majorBidi"/>
        </w:rPr>
        <w:t>that may</w:t>
      </w:r>
      <w:r w:rsidRPr="009D683A">
        <w:rPr>
          <w:rFonts w:asciiTheme="majorBidi" w:hAnsiTheme="majorBidi" w:cstheme="majorBidi"/>
        </w:rPr>
        <w:t xml:space="preserve"> inform the use-resistance association</w:t>
      </w:r>
      <w:r>
        <w:rPr>
          <w:rFonts w:asciiTheme="majorBidi" w:hAnsiTheme="majorBidi" w:cstheme="majorBidi"/>
        </w:rPr>
        <w:t xml:space="preserve">. First, the entire database of studies that were used during the reviewing process (for both CAZ-AVI and </w:t>
      </w:r>
      <w:proofErr w:type="spellStart"/>
      <w:r w:rsidR="0020177A">
        <w:rPr>
          <w:rFonts w:asciiTheme="majorBidi" w:hAnsiTheme="majorBidi" w:cstheme="majorBidi"/>
        </w:rPr>
        <w:t>cefiderocol</w:t>
      </w:r>
      <w:proofErr w:type="spellEnd"/>
      <w:r>
        <w:rPr>
          <w:rFonts w:asciiTheme="majorBidi" w:hAnsiTheme="majorBidi" w:cstheme="majorBidi"/>
        </w:rPr>
        <w:t>) was searched. Studies were filtered to include those which included “use”, “usage”, “volume” or “consumption” and these were searched for any relevant evidence. In addition, to identify any English studies (which may use evidence from Public Health England, or the online portal ‘fingertips’) a Web of Science search was conducted with the terms “</w:t>
      </w:r>
      <w:r w:rsidRPr="00EE3FA7">
        <w:rPr>
          <w:rFonts w:asciiTheme="majorBidi" w:hAnsiTheme="majorBidi" w:cstheme="majorBidi"/>
        </w:rPr>
        <w:t xml:space="preserve">(antimicrobial* OR antibiotic* OR </w:t>
      </w:r>
      <w:r w:rsidR="00837CD7" w:rsidRPr="00EE3FA7">
        <w:rPr>
          <w:rFonts w:asciiTheme="majorBidi" w:hAnsiTheme="majorBidi" w:cstheme="majorBidi"/>
        </w:rPr>
        <w:t>resistant</w:t>
      </w:r>
      <w:r w:rsidRPr="00EE3FA7">
        <w:rPr>
          <w:rFonts w:asciiTheme="majorBidi" w:hAnsiTheme="majorBidi" w:cstheme="majorBidi"/>
        </w:rPr>
        <w:t>*) AND (fingertip OR "Public health England")</w:t>
      </w:r>
      <w:r>
        <w:rPr>
          <w:rFonts w:asciiTheme="majorBidi" w:hAnsiTheme="majorBidi" w:cstheme="majorBidi"/>
        </w:rPr>
        <w:t xml:space="preserve">”. These searches were complemented by </w:t>
      </w:r>
      <w:r w:rsidRPr="009D683A">
        <w:rPr>
          <w:rFonts w:asciiTheme="majorBidi" w:hAnsiTheme="majorBidi" w:cstheme="majorBidi"/>
        </w:rPr>
        <w:t xml:space="preserve">any studies that were identified via other reviewing activities or already known to the study team. </w:t>
      </w:r>
      <w:r>
        <w:rPr>
          <w:rFonts w:asciiTheme="majorBidi" w:hAnsiTheme="majorBidi" w:cstheme="majorBidi"/>
        </w:rPr>
        <w:t>As a result, three</w:t>
      </w:r>
      <w:r w:rsidRPr="009D683A">
        <w:rPr>
          <w:rFonts w:asciiTheme="majorBidi" w:hAnsiTheme="majorBidi" w:cstheme="majorBidi"/>
        </w:rPr>
        <w:t xml:space="preserve"> studies were identified that</w:t>
      </w:r>
      <w:r>
        <w:rPr>
          <w:rFonts w:asciiTheme="majorBidi" w:hAnsiTheme="majorBidi" w:cstheme="majorBidi"/>
        </w:rPr>
        <w:t>, whilst not using</w:t>
      </w:r>
      <w:r w:rsidRPr="009D683A">
        <w:rPr>
          <w:rFonts w:asciiTheme="majorBidi" w:hAnsiTheme="majorBidi" w:cstheme="majorBidi"/>
        </w:rPr>
        <w:t xml:space="preserve"> data in the public domain</w:t>
      </w:r>
      <w:r>
        <w:rPr>
          <w:rFonts w:asciiTheme="majorBidi" w:hAnsiTheme="majorBidi" w:cstheme="majorBidi"/>
        </w:rPr>
        <w:t>,</w:t>
      </w:r>
      <w:r w:rsidRPr="009D683A">
        <w:rPr>
          <w:rFonts w:asciiTheme="majorBidi" w:hAnsiTheme="majorBidi" w:cstheme="majorBidi"/>
        </w:rPr>
        <w:t xml:space="preserve"> provided </w:t>
      </w:r>
      <w:r>
        <w:rPr>
          <w:rFonts w:asciiTheme="majorBidi" w:hAnsiTheme="majorBidi" w:cstheme="majorBidi"/>
        </w:rPr>
        <w:t>information on a</w:t>
      </w:r>
      <w:r w:rsidRPr="009D683A">
        <w:rPr>
          <w:rFonts w:asciiTheme="majorBidi" w:hAnsiTheme="majorBidi" w:cstheme="majorBidi"/>
        </w:rPr>
        <w:t xml:space="preserve"> use-resistance relationshi</w:t>
      </w:r>
      <w:r w:rsidR="0020177A">
        <w:rPr>
          <w:rFonts w:asciiTheme="majorBidi" w:hAnsiTheme="majorBidi" w:cstheme="majorBidi"/>
        </w:rPr>
        <w:t>p</w:t>
      </w:r>
      <w:r w:rsidR="004B4D1C" w:rsidRPr="004B4D1C">
        <w:rPr>
          <w:rFonts w:asciiTheme="majorBidi" w:hAnsiTheme="majorBidi" w:cstheme="majorBidi"/>
          <w:noProof/>
          <w:vertAlign w:val="superscript"/>
          <w:lang w:eastAsia="en-GB"/>
        </w:rPr>
        <w:t>149-151</w:t>
      </w:r>
      <w:r w:rsidR="0020177A">
        <w:rPr>
          <w:rFonts w:asciiTheme="majorBidi" w:hAnsiTheme="majorBidi" w:cstheme="majorBidi"/>
          <w:lang w:eastAsia="en-GB"/>
        </w:rPr>
        <w:t>.</w:t>
      </w:r>
      <w:r w:rsidRPr="009D683A">
        <w:rPr>
          <w:rFonts w:asciiTheme="majorBidi" w:hAnsiTheme="majorBidi" w:cstheme="majorBidi"/>
        </w:rPr>
        <w:t xml:space="preserve"> Details of these studies are provided in </w:t>
      </w:r>
      <w:r>
        <w:rPr>
          <w:rFonts w:asciiTheme="majorBidi" w:hAnsiTheme="majorBidi" w:cstheme="majorBidi"/>
        </w:rPr>
        <w:t>Appendix</w:t>
      </w:r>
      <w:r w:rsidR="00776AF8">
        <w:rPr>
          <w:rFonts w:asciiTheme="majorBidi" w:hAnsiTheme="majorBidi" w:cstheme="majorBidi"/>
        </w:rPr>
        <w:t xml:space="preserve"> 1</w:t>
      </w:r>
      <w:r w:rsidR="00A80C2B">
        <w:rPr>
          <w:rFonts w:asciiTheme="majorBidi" w:hAnsiTheme="majorBidi" w:cstheme="majorBidi"/>
        </w:rPr>
        <w:t>6</w:t>
      </w:r>
      <w:r>
        <w:rPr>
          <w:rFonts w:asciiTheme="majorBidi" w:hAnsiTheme="majorBidi" w:cstheme="majorBidi"/>
        </w:rPr>
        <w:t xml:space="preserve">. These existing studies informed the </w:t>
      </w:r>
      <w:r>
        <w:rPr>
          <w:rFonts w:asciiTheme="majorBidi" w:hAnsiTheme="majorBidi" w:cstheme="majorBidi"/>
          <w:i/>
          <w:iCs/>
        </w:rPr>
        <w:t>de novo</w:t>
      </w:r>
      <w:r>
        <w:rPr>
          <w:rFonts w:asciiTheme="majorBidi" w:hAnsiTheme="majorBidi" w:cstheme="majorBidi"/>
        </w:rPr>
        <w:t xml:space="preserve"> analyses reported here by </w:t>
      </w:r>
      <w:r>
        <w:rPr>
          <w:rFonts w:asciiTheme="majorBidi" w:hAnsiTheme="majorBidi" w:cstheme="majorBidi"/>
        </w:rPr>
        <w:lastRenderedPageBreak/>
        <w:t>suggesting that ARIMA models would be suitable time-series models for capturing use-resistance associations, with a lag of one year between use and resistance when using annual data.</w:t>
      </w:r>
    </w:p>
    <w:p w14:paraId="3C335121" w14:textId="77777777" w:rsidR="00A4788F" w:rsidRDefault="00A4788F" w:rsidP="00A4788F">
      <w:pPr>
        <w:spacing w:after="0" w:line="360" w:lineRule="auto"/>
        <w:jc w:val="both"/>
        <w:rPr>
          <w:rFonts w:asciiTheme="majorBidi" w:hAnsiTheme="majorBidi" w:cstheme="majorBidi"/>
        </w:rPr>
      </w:pPr>
    </w:p>
    <w:p w14:paraId="17BC396E" w14:textId="5AFFB9AB" w:rsidR="00A4788F" w:rsidRDefault="00A4788F" w:rsidP="00A83123">
      <w:pPr>
        <w:spacing w:after="0" w:line="360" w:lineRule="auto"/>
        <w:jc w:val="both"/>
        <w:rPr>
          <w:rFonts w:asciiTheme="majorBidi" w:hAnsiTheme="majorBidi" w:cstheme="majorBidi"/>
        </w:rPr>
      </w:pPr>
      <w:r>
        <w:rPr>
          <w:rFonts w:asciiTheme="majorBidi" w:hAnsiTheme="majorBidi" w:cstheme="majorBidi"/>
        </w:rPr>
        <w:t>In addition, several studies used publicly available surveillance data</w:t>
      </w:r>
      <w:r w:rsidR="0020177A">
        <w:rPr>
          <w:rFonts w:asciiTheme="majorBidi" w:hAnsiTheme="majorBidi" w:cstheme="majorBidi"/>
        </w:rPr>
        <w:t>.</w:t>
      </w:r>
      <w:r w:rsidR="004B4D1C" w:rsidRPr="004B4D1C">
        <w:rPr>
          <w:rFonts w:asciiTheme="majorBidi" w:hAnsiTheme="majorBidi" w:cstheme="majorBidi"/>
          <w:noProof/>
          <w:vertAlign w:val="superscript"/>
        </w:rPr>
        <w:t>147,152-156</w:t>
      </w:r>
      <w:r>
        <w:rPr>
          <w:rFonts w:asciiTheme="majorBidi" w:hAnsiTheme="majorBidi" w:cstheme="majorBidi"/>
        </w:rPr>
        <w:t xml:space="preserve"> These data were re-analysed for this project to identify potentially useful associations. For this project there were two types of data that were of interest:</w:t>
      </w:r>
    </w:p>
    <w:p w14:paraId="2AF3EDA8" w14:textId="1516C8D2" w:rsidR="00A4788F" w:rsidRDefault="00A4788F" w:rsidP="00A83123">
      <w:pPr>
        <w:pStyle w:val="ListParagraph"/>
        <w:numPr>
          <w:ilvl w:val="0"/>
          <w:numId w:val="32"/>
        </w:numPr>
        <w:spacing w:after="0" w:line="360" w:lineRule="auto"/>
        <w:jc w:val="both"/>
        <w:rPr>
          <w:rFonts w:asciiTheme="majorBidi" w:hAnsiTheme="majorBidi" w:cstheme="majorBidi"/>
        </w:rPr>
      </w:pPr>
      <w:r>
        <w:rPr>
          <w:rFonts w:asciiTheme="majorBidi" w:hAnsiTheme="majorBidi" w:cstheme="majorBidi"/>
        </w:rPr>
        <w:t>English data on AM use and AM resistance, from the ‘AMR local indictors profile’</w:t>
      </w:r>
      <w:r w:rsidR="0020177A">
        <w:rPr>
          <w:rFonts w:asciiTheme="majorBidi" w:hAnsiTheme="majorBidi" w:cstheme="majorBidi"/>
        </w:rPr>
        <w:t>.</w:t>
      </w:r>
      <w:r w:rsidR="004B4D1C" w:rsidRPr="004B4D1C">
        <w:rPr>
          <w:rFonts w:asciiTheme="majorBidi" w:hAnsiTheme="majorBidi" w:cstheme="majorBidi"/>
          <w:noProof/>
          <w:vertAlign w:val="superscript"/>
        </w:rPr>
        <w:t>157</w:t>
      </w:r>
    </w:p>
    <w:p w14:paraId="6AF0FE73" w14:textId="1A350DED" w:rsidR="00A4788F" w:rsidRDefault="00A4788F" w:rsidP="00A83123">
      <w:pPr>
        <w:pStyle w:val="ListParagraph"/>
        <w:numPr>
          <w:ilvl w:val="0"/>
          <w:numId w:val="32"/>
        </w:numPr>
        <w:spacing w:after="0" w:line="360" w:lineRule="auto"/>
        <w:jc w:val="both"/>
        <w:rPr>
          <w:rFonts w:asciiTheme="majorBidi" w:hAnsiTheme="majorBidi" w:cstheme="majorBidi"/>
        </w:rPr>
      </w:pPr>
      <w:r w:rsidRPr="00673BF6">
        <w:rPr>
          <w:rFonts w:asciiTheme="majorBidi" w:hAnsiTheme="majorBidi" w:cstheme="majorBidi"/>
        </w:rPr>
        <w:t>European data on AM use and AM resistance from the European Antimicrobial Resistance Surveillance Network (EARS-Net) and European Surveillance of Antimicrobial Consumption Network (ESAC-Net)</w:t>
      </w:r>
      <w:r>
        <w:rPr>
          <w:rFonts w:asciiTheme="majorBidi" w:hAnsiTheme="majorBidi" w:cstheme="majorBidi"/>
        </w:rPr>
        <w:t>, respectively</w:t>
      </w:r>
      <w:r w:rsidR="0020177A">
        <w:rPr>
          <w:rFonts w:asciiTheme="majorBidi" w:hAnsiTheme="majorBidi" w:cstheme="majorBidi"/>
        </w:rPr>
        <w:t>.</w:t>
      </w:r>
      <w:r w:rsidR="004B4D1C" w:rsidRPr="004B4D1C">
        <w:rPr>
          <w:rFonts w:asciiTheme="majorBidi" w:hAnsiTheme="majorBidi" w:cstheme="majorBidi"/>
          <w:noProof/>
          <w:vertAlign w:val="superscript"/>
        </w:rPr>
        <w:t>158,159</w:t>
      </w:r>
      <w:r>
        <w:rPr>
          <w:rFonts w:asciiTheme="majorBidi" w:hAnsiTheme="majorBidi" w:cstheme="majorBidi"/>
        </w:rPr>
        <w:t xml:space="preserve"> </w:t>
      </w:r>
      <w:r w:rsidR="0020177A">
        <w:rPr>
          <w:rFonts w:asciiTheme="majorBidi" w:hAnsiTheme="majorBidi" w:cstheme="majorBidi"/>
        </w:rPr>
        <w:t>These are</w:t>
      </w:r>
      <w:r>
        <w:rPr>
          <w:rFonts w:asciiTheme="majorBidi" w:hAnsiTheme="majorBidi" w:cstheme="majorBidi"/>
        </w:rPr>
        <w:t xml:space="preserve"> available as annual data.</w:t>
      </w:r>
    </w:p>
    <w:p w14:paraId="3A5E795D" w14:textId="77777777" w:rsidR="00A4788F" w:rsidRDefault="00A4788F" w:rsidP="00A4788F">
      <w:pPr>
        <w:spacing w:after="0" w:line="360" w:lineRule="auto"/>
        <w:jc w:val="both"/>
        <w:rPr>
          <w:rFonts w:asciiTheme="majorBidi" w:hAnsiTheme="majorBidi" w:cstheme="majorBidi"/>
        </w:rPr>
      </w:pPr>
    </w:p>
    <w:p w14:paraId="5562BABA" w14:textId="11724289" w:rsidR="00A4788F" w:rsidRPr="003306F4" w:rsidRDefault="00A4788F" w:rsidP="00A325FF">
      <w:pPr>
        <w:spacing w:after="0" w:line="360" w:lineRule="auto"/>
        <w:jc w:val="both"/>
        <w:rPr>
          <w:rFonts w:asciiTheme="majorBidi" w:hAnsiTheme="majorBidi" w:cstheme="majorBidi"/>
        </w:rPr>
      </w:pPr>
      <w:r w:rsidRPr="003306F4">
        <w:rPr>
          <w:rFonts w:asciiTheme="majorBidi" w:hAnsiTheme="majorBidi" w:cstheme="majorBidi"/>
        </w:rPr>
        <w:t xml:space="preserve">Further details on these evidence sources </w:t>
      </w:r>
      <w:r w:rsidR="0020177A" w:rsidRPr="003306F4">
        <w:rPr>
          <w:rFonts w:asciiTheme="majorBidi" w:hAnsiTheme="majorBidi" w:cstheme="majorBidi"/>
        </w:rPr>
        <w:t>are</w:t>
      </w:r>
      <w:r w:rsidRPr="003306F4">
        <w:rPr>
          <w:rFonts w:asciiTheme="majorBidi" w:hAnsiTheme="majorBidi" w:cstheme="majorBidi"/>
        </w:rPr>
        <w:t xml:space="preserve"> provided in </w:t>
      </w:r>
      <w:r w:rsidRPr="00E83D9C">
        <w:rPr>
          <w:rFonts w:asciiTheme="majorBidi" w:hAnsiTheme="majorBidi" w:cstheme="majorBidi"/>
        </w:rPr>
        <w:t xml:space="preserve">Appendix </w:t>
      </w:r>
      <w:r w:rsidR="00391A45">
        <w:rPr>
          <w:rFonts w:asciiTheme="majorBidi" w:hAnsiTheme="majorBidi" w:cstheme="majorBidi"/>
        </w:rPr>
        <w:t>1</w:t>
      </w:r>
      <w:r w:rsidR="00A80C2B">
        <w:rPr>
          <w:rFonts w:asciiTheme="majorBidi" w:hAnsiTheme="majorBidi" w:cstheme="majorBidi"/>
        </w:rPr>
        <w:t>7</w:t>
      </w:r>
      <w:r w:rsidRPr="003306F4">
        <w:rPr>
          <w:rFonts w:asciiTheme="majorBidi" w:hAnsiTheme="majorBidi" w:cstheme="majorBidi"/>
        </w:rPr>
        <w:t>. For CAZ-AVI</w:t>
      </w:r>
      <w:r w:rsidR="0020177A">
        <w:rPr>
          <w:rFonts w:asciiTheme="majorBidi" w:hAnsiTheme="majorBidi" w:cstheme="majorBidi"/>
        </w:rPr>
        <w:t>,</w:t>
      </w:r>
      <w:r w:rsidRPr="003306F4">
        <w:rPr>
          <w:rFonts w:asciiTheme="majorBidi" w:hAnsiTheme="majorBidi" w:cstheme="majorBidi"/>
        </w:rPr>
        <w:t xml:space="preserve"> increases in resistance will be from a low starting point. </w:t>
      </w:r>
      <w:r w:rsidR="00E83D9C">
        <w:rPr>
          <w:rFonts w:asciiTheme="majorBidi" w:hAnsiTheme="majorBidi" w:cstheme="majorBidi"/>
        </w:rPr>
        <w:t xml:space="preserve">Observed </w:t>
      </w:r>
      <w:r w:rsidRPr="003306F4">
        <w:rPr>
          <w:rFonts w:asciiTheme="majorBidi" w:hAnsiTheme="majorBidi" w:cstheme="majorBidi"/>
        </w:rPr>
        <w:t>trajectories for external evidence</w:t>
      </w:r>
      <w:r w:rsidR="00E83D9C">
        <w:rPr>
          <w:rFonts w:asciiTheme="majorBidi" w:hAnsiTheme="majorBidi" w:cstheme="majorBidi"/>
        </w:rPr>
        <w:t xml:space="preserve"> which also showed an </w:t>
      </w:r>
      <w:r w:rsidR="002C7DFD">
        <w:rPr>
          <w:rFonts w:asciiTheme="majorBidi" w:hAnsiTheme="majorBidi" w:cstheme="majorBidi"/>
        </w:rPr>
        <w:t>increase</w:t>
      </w:r>
      <w:r w:rsidR="00E83D9C">
        <w:rPr>
          <w:rFonts w:asciiTheme="majorBidi" w:hAnsiTheme="majorBidi" w:cstheme="majorBidi"/>
        </w:rPr>
        <w:t xml:space="preserve"> from a low starting point</w:t>
      </w:r>
      <w:r w:rsidRPr="003306F4">
        <w:rPr>
          <w:rFonts w:asciiTheme="majorBidi" w:hAnsiTheme="majorBidi" w:cstheme="majorBidi"/>
        </w:rPr>
        <w:t xml:space="preserve"> were only identified for the European data, so this was used in subsequent analyses. </w:t>
      </w:r>
    </w:p>
    <w:p w14:paraId="47A25886" w14:textId="77777777" w:rsidR="00A4788F" w:rsidRPr="003306F4" w:rsidRDefault="00A4788F" w:rsidP="00A4788F">
      <w:pPr>
        <w:spacing w:after="0" w:line="360" w:lineRule="auto"/>
        <w:jc w:val="both"/>
        <w:rPr>
          <w:rFonts w:asciiTheme="majorBidi" w:hAnsiTheme="majorBidi" w:cstheme="majorBidi"/>
        </w:rPr>
      </w:pPr>
    </w:p>
    <w:p w14:paraId="3A2AD62F" w14:textId="2CD9D02F" w:rsidR="00A4788F" w:rsidRPr="003306F4" w:rsidRDefault="00A4788F" w:rsidP="00A83123">
      <w:pPr>
        <w:spacing w:after="0" w:line="360" w:lineRule="auto"/>
        <w:jc w:val="both"/>
        <w:rPr>
          <w:rFonts w:asciiTheme="majorBidi" w:hAnsiTheme="majorBidi" w:cstheme="majorBidi"/>
        </w:rPr>
      </w:pPr>
      <w:r w:rsidRPr="003306F4">
        <w:rPr>
          <w:rFonts w:asciiTheme="majorBidi" w:hAnsiTheme="majorBidi" w:cstheme="majorBidi"/>
        </w:rPr>
        <w:t>Thirty countries from the European Union contribute data to EARS-Net on AM resistance for up to eight pathogens</w:t>
      </w:r>
      <w:r w:rsidR="0020177A">
        <w:rPr>
          <w:rFonts w:asciiTheme="majorBidi" w:hAnsiTheme="majorBidi" w:cstheme="majorBidi"/>
        </w:rPr>
        <w:t>.</w:t>
      </w:r>
      <w:r w:rsidR="004B4D1C" w:rsidRPr="004B4D1C">
        <w:rPr>
          <w:rFonts w:asciiTheme="majorBidi" w:hAnsiTheme="majorBidi" w:cstheme="majorBidi"/>
          <w:noProof/>
          <w:vertAlign w:val="superscript"/>
        </w:rPr>
        <w:t>160</w:t>
      </w:r>
      <w:r w:rsidR="0020177A">
        <w:rPr>
          <w:rFonts w:asciiTheme="majorBidi" w:hAnsiTheme="majorBidi" w:cstheme="majorBidi"/>
        </w:rPr>
        <w:t xml:space="preserve"> These</w:t>
      </w:r>
      <w:r w:rsidRPr="003306F4">
        <w:rPr>
          <w:rFonts w:asciiTheme="majorBidi" w:hAnsiTheme="majorBidi" w:cstheme="majorBidi"/>
        </w:rPr>
        <w:t xml:space="preserve"> data w</w:t>
      </w:r>
      <w:r w:rsidR="0020177A">
        <w:rPr>
          <w:rFonts w:asciiTheme="majorBidi" w:hAnsiTheme="majorBidi" w:cstheme="majorBidi"/>
        </w:rPr>
        <w:t>ere</w:t>
      </w:r>
      <w:r w:rsidRPr="003306F4">
        <w:rPr>
          <w:rFonts w:asciiTheme="majorBidi" w:hAnsiTheme="majorBidi" w:cstheme="majorBidi"/>
        </w:rPr>
        <w:t xml:space="preserve"> further filtered based on the following criteria:</w:t>
      </w:r>
    </w:p>
    <w:p w14:paraId="1867AA2F" w14:textId="197D0A0F" w:rsidR="00A4788F" w:rsidRPr="003306F4" w:rsidRDefault="00A4788F" w:rsidP="005A3BE6">
      <w:pPr>
        <w:pStyle w:val="ListParagraph"/>
        <w:numPr>
          <w:ilvl w:val="0"/>
          <w:numId w:val="61"/>
        </w:numPr>
        <w:spacing w:after="0" w:line="360" w:lineRule="auto"/>
        <w:jc w:val="both"/>
        <w:rPr>
          <w:rFonts w:asciiTheme="majorBidi" w:hAnsiTheme="majorBidi" w:cstheme="majorBidi"/>
        </w:rPr>
      </w:pPr>
      <w:r w:rsidRPr="003306F4">
        <w:rPr>
          <w:rFonts w:asciiTheme="majorBidi" w:hAnsiTheme="majorBidi" w:cstheme="majorBidi"/>
        </w:rPr>
        <w:t>Pathogen is included in the HVCS (</w:t>
      </w:r>
      <w:r w:rsidRPr="003306F4">
        <w:rPr>
          <w:rFonts w:asciiTheme="majorBidi" w:hAnsiTheme="majorBidi" w:cstheme="majorBidi"/>
          <w:i/>
          <w:iCs/>
        </w:rPr>
        <w:t>Escherichia coli</w:t>
      </w:r>
      <w:r w:rsidRPr="003306F4">
        <w:rPr>
          <w:rFonts w:asciiTheme="majorBidi" w:hAnsiTheme="majorBidi" w:cstheme="majorBidi"/>
        </w:rPr>
        <w:t xml:space="preserve"> as a CPE).</w:t>
      </w:r>
    </w:p>
    <w:p w14:paraId="5BF89022" w14:textId="49396498" w:rsidR="00A4788F" w:rsidRPr="003306F4" w:rsidRDefault="00A4788F" w:rsidP="005A3BE6">
      <w:pPr>
        <w:pStyle w:val="ListParagraph"/>
        <w:numPr>
          <w:ilvl w:val="0"/>
          <w:numId w:val="61"/>
        </w:numPr>
        <w:spacing w:after="0" w:line="360" w:lineRule="auto"/>
        <w:jc w:val="both"/>
        <w:rPr>
          <w:rFonts w:asciiTheme="majorBidi" w:hAnsiTheme="majorBidi" w:cstheme="majorBidi"/>
        </w:rPr>
      </w:pPr>
      <w:r w:rsidRPr="003306F4">
        <w:rPr>
          <w:rFonts w:asciiTheme="majorBidi" w:hAnsiTheme="majorBidi" w:cstheme="majorBidi"/>
        </w:rPr>
        <w:t>Data were available for both AM use and AM resistance (cephalosporins of all types, and carbapenems)</w:t>
      </w:r>
      <w:r w:rsidR="0020177A">
        <w:rPr>
          <w:rFonts w:asciiTheme="majorBidi" w:hAnsiTheme="majorBidi" w:cstheme="majorBidi"/>
        </w:rPr>
        <w:t>.</w:t>
      </w:r>
    </w:p>
    <w:p w14:paraId="69BE57FE" w14:textId="3BE20BEA" w:rsidR="00A4788F" w:rsidRPr="003306F4" w:rsidRDefault="00A4788F" w:rsidP="005A3BE6">
      <w:pPr>
        <w:pStyle w:val="ListParagraph"/>
        <w:numPr>
          <w:ilvl w:val="0"/>
          <w:numId w:val="61"/>
        </w:numPr>
        <w:spacing w:after="0" w:line="360" w:lineRule="auto"/>
        <w:jc w:val="both"/>
        <w:rPr>
          <w:rFonts w:asciiTheme="majorBidi" w:hAnsiTheme="majorBidi" w:cstheme="majorBidi"/>
        </w:rPr>
      </w:pPr>
      <w:r w:rsidRPr="003306F4">
        <w:rPr>
          <w:rFonts w:asciiTheme="majorBidi" w:hAnsiTheme="majorBidi" w:cstheme="majorBidi"/>
        </w:rPr>
        <w:t>Countries with at least 5,000 isolates were tested, baseline resistance (average over the first three years of available data) was less than 3% (CPE), with at least 10 years of observations for carbapenems and 15 years of observations for cephalosporins (these did not have to be consecutive).</w:t>
      </w:r>
    </w:p>
    <w:p w14:paraId="46429DD7" w14:textId="58D29A62" w:rsidR="00A4788F" w:rsidRPr="003306F4" w:rsidRDefault="00A4788F" w:rsidP="00A325FF">
      <w:pPr>
        <w:spacing w:line="360" w:lineRule="auto"/>
        <w:rPr>
          <w:rFonts w:asciiTheme="majorBidi" w:hAnsiTheme="majorBidi" w:cstheme="majorBidi"/>
        </w:rPr>
      </w:pPr>
      <w:r w:rsidRPr="003306F4">
        <w:rPr>
          <w:rFonts w:asciiTheme="majorBidi" w:hAnsiTheme="majorBidi" w:cstheme="majorBidi"/>
        </w:rPr>
        <w:t>This resulted in the following 16 pathogen-drug-country combinations:</w:t>
      </w:r>
    </w:p>
    <w:p w14:paraId="24BCF990" w14:textId="77777777" w:rsidR="00A4788F" w:rsidRPr="003306F4" w:rsidRDefault="00A4788F" w:rsidP="005A3BE6">
      <w:pPr>
        <w:pStyle w:val="ListParagraph"/>
        <w:numPr>
          <w:ilvl w:val="0"/>
          <w:numId w:val="45"/>
        </w:numPr>
        <w:spacing w:after="0" w:line="360" w:lineRule="auto"/>
        <w:rPr>
          <w:rFonts w:asciiTheme="majorBidi" w:hAnsiTheme="majorBidi" w:cstheme="majorBidi"/>
        </w:rPr>
      </w:pPr>
      <w:r w:rsidRPr="003306F4">
        <w:rPr>
          <w:rFonts w:asciiTheme="majorBidi" w:hAnsiTheme="majorBidi" w:cstheme="majorBidi"/>
          <w:i/>
          <w:iCs/>
        </w:rPr>
        <w:t>Escherichia coli</w:t>
      </w:r>
      <w:r w:rsidRPr="003306F4">
        <w:rPr>
          <w:rFonts w:asciiTheme="majorBidi" w:hAnsiTheme="majorBidi" w:cstheme="majorBidi"/>
        </w:rPr>
        <w:t>, carbapenems: France, Greece, Netherlands, Norway.</w:t>
      </w:r>
    </w:p>
    <w:p w14:paraId="00BEE015" w14:textId="77777777" w:rsidR="00A4788F" w:rsidRPr="003306F4" w:rsidRDefault="00A4788F" w:rsidP="005A3BE6">
      <w:pPr>
        <w:pStyle w:val="ListParagraph"/>
        <w:numPr>
          <w:ilvl w:val="0"/>
          <w:numId w:val="45"/>
        </w:numPr>
        <w:spacing w:after="0" w:line="360" w:lineRule="auto"/>
        <w:rPr>
          <w:rFonts w:asciiTheme="majorBidi" w:hAnsiTheme="majorBidi" w:cstheme="majorBidi"/>
        </w:rPr>
      </w:pPr>
      <w:r w:rsidRPr="003306F4">
        <w:rPr>
          <w:rFonts w:asciiTheme="majorBidi" w:hAnsiTheme="majorBidi" w:cstheme="majorBidi"/>
          <w:i/>
          <w:iCs/>
        </w:rPr>
        <w:t>Escherichia coli</w:t>
      </w:r>
      <w:r w:rsidRPr="003306F4">
        <w:rPr>
          <w:rFonts w:asciiTheme="majorBidi" w:hAnsiTheme="majorBidi" w:cstheme="majorBidi"/>
        </w:rPr>
        <w:t>, cephalosporins: Bulgaria, Croatia, Estonia, Finland, France, Greece, Ireland, Luxembourg, Malta, Norway, Slovenia, Sweden.</w:t>
      </w:r>
    </w:p>
    <w:p w14:paraId="35A74625" w14:textId="77777777" w:rsidR="00A4788F" w:rsidRPr="003306F4" w:rsidRDefault="00A4788F" w:rsidP="00A4788F">
      <w:pPr>
        <w:spacing w:after="0" w:line="360" w:lineRule="auto"/>
        <w:rPr>
          <w:rFonts w:asciiTheme="majorBidi" w:hAnsiTheme="majorBidi" w:cstheme="majorBidi"/>
        </w:rPr>
      </w:pPr>
    </w:p>
    <w:p w14:paraId="6D3ABBFA" w14:textId="4102B651" w:rsidR="00A4788F" w:rsidRPr="003306F4" w:rsidRDefault="00A4788F" w:rsidP="00A325FF">
      <w:pPr>
        <w:spacing w:line="360" w:lineRule="auto"/>
        <w:rPr>
          <w:rFonts w:asciiTheme="majorBidi" w:hAnsiTheme="majorBidi" w:cstheme="majorBidi"/>
        </w:rPr>
      </w:pPr>
      <w:r w:rsidRPr="003306F4">
        <w:rPr>
          <w:rFonts w:asciiTheme="majorBidi" w:hAnsiTheme="majorBidi" w:cstheme="majorBidi"/>
        </w:rPr>
        <w:t xml:space="preserve">For these countries, ARIMA models were used to estimate the impact of increasing AM use (defined daily doses per 1,000 inhabitants per day) </w:t>
      </w:r>
      <w:proofErr w:type="gramStart"/>
      <w:r w:rsidRPr="003306F4">
        <w:rPr>
          <w:rFonts w:asciiTheme="majorBidi" w:hAnsiTheme="majorBidi" w:cstheme="majorBidi"/>
        </w:rPr>
        <w:t>in a given year</w:t>
      </w:r>
      <w:proofErr w:type="gramEnd"/>
      <w:r w:rsidRPr="003306F4">
        <w:rPr>
          <w:rFonts w:asciiTheme="majorBidi" w:hAnsiTheme="majorBidi" w:cstheme="majorBidi"/>
        </w:rPr>
        <w:t xml:space="preserve"> on resistance to that AM in the following year. Of the 16 </w:t>
      </w:r>
      <w:r w:rsidR="00A325FF" w:rsidRPr="003306F4">
        <w:rPr>
          <w:rFonts w:asciiTheme="majorBidi" w:hAnsiTheme="majorBidi" w:cstheme="majorBidi"/>
        </w:rPr>
        <w:t>c</w:t>
      </w:r>
      <w:r w:rsidRPr="003306F4">
        <w:rPr>
          <w:rFonts w:asciiTheme="majorBidi" w:hAnsiTheme="majorBidi" w:cstheme="majorBidi"/>
        </w:rPr>
        <w:t>ombinations considered:</w:t>
      </w:r>
    </w:p>
    <w:p w14:paraId="014A5684" w14:textId="0F3C4149" w:rsidR="00A4788F" w:rsidRPr="003306F4" w:rsidRDefault="00A325FF" w:rsidP="005A3BE6">
      <w:pPr>
        <w:pStyle w:val="ListParagraph"/>
        <w:numPr>
          <w:ilvl w:val="0"/>
          <w:numId w:val="46"/>
        </w:numPr>
        <w:spacing w:after="0" w:line="360" w:lineRule="auto"/>
        <w:rPr>
          <w:rFonts w:asciiTheme="majorBidi" w:hAnsiTheme="majorBidi" w:cstheme="majorBidi"/>
        </w:rPr>
      </w:pPr>
      <w:r w:rsidRPr="003306F4">
        <w:rPr>
          <w:rFonts w:asciiTheme="majorBidi" w:hAnsiTheme="majorBidi" w:cstheme="majorBidi"/>
        </w:rPr>
        <w:t>H</w:t>
      </w:r>
      <w:r w:rsidR="00A4788F" w:rsidRPr="003306F4">
        <w:rPr>
          <w:rFonts w:asciiTheme="majorBidi" w:hAnsiTheme="majorBidi" w:cstheme="majorBidi"/>
        </w:rPr>
        <w:t>alf provided a significant association (8/16</w:t>
      </w:r>
      <w:r w:rsidR="00837CD7" w:rsidRPr="003306F4">
        <w:rPr>
          <w:rFonts w:asciiTheme="majorBidi" w:hAnsiTheme="majorBidi" w:cstheme="majorBidi"/>
        </w:rPr>
        <w:t>;</w:t>
      </w:r>
      <w:r w:rsidR="00A4788F" w:rsidRPr="003306F4">
        <w:rPr>
          <w:rFonts w:asciiTheme="majorBidi" w:hAnsiTheme="majorBidi" w:cstheme="majorBidi"/>
        </w:rPr>
        <w:t xml:space="preserve"> </w:t>
      </w:r>
      <w:r w:rsidR="00A4788F" w:rsidRPr="003306F4">
        <w:rPr>
          <w:rFonts w:asciiTheme="majorBidi" w:eastAsia="Times New Roman" w:hAnsiTheme="majorBidi" w:cstheme="majorBidi"/>
          <w:i/>
          <w:iCs/>
          <w:lang w:eastAsia="en-GB"/>
        </w:rPr>
        <w:t>Escherichia coli</w:t>
      </w:r>
      <w:r w:rsidR="00A4788F" w:rsidRPr="003306F4">
        <w:rPr>
          <w:rFonts w:asciiTheme="majorBidi" w:eastAsia="Times New Roman" w:hAnsiTheme="majorBidi" w:cstheme="majorBidi"/>
          <w:lang w:eastAsia="en-GB"/>
        </w:rPr>
        <w:t xml:space="preserve"> = 2 /4 for carbapenems and 6 / 12 for cephalosporins).</w:t>
      </w:r>
    </w:p>
    <w:p w14:paraId="581B7638" w14:textId="3C341651" w:rsidR="00A4788F" w:rsidRPr="0020177A" w:rsidRDefault="00A4788F" w:rsidP="005A3BE6">
      <w:pPr>
        <w:pStyle w:val="ListParagraph"/>
        <w:numPr>
          <w:ilvl w:val="0"/>
          <w:numId w:val="46"/>
        </w:numPr>
        <w:spacing w:after="0" w:line="360" w:lineRule="auto"/>
        <w:ind w:left="360"/>
        <w:rPr>
          <w:rFonts w:asciiTheme="majorBidi" w:hAnsiTheme="majorBidi" w:cstheme="majorBidi"/>
        </w:rPr>
      </w:pPr>
      <w:r w:rsidRPr="003306F4">
        <w:rPr>
          <w:rFonts w:asciiTheme="majorBidi" w:eastAsia="Times New Roman" w:hAnsiTheme="majorBidi" w:cstheme="majorBidi"/>
          <w:lang w:eastAsia="en-GB"/>
        </w:rPr>
        <w:lastRenderedPageBreak/>
        <w:t xml:space="preserve">Of the </w:t>
      </w:r>
      <w:r w:rsidR="00837CD7" w:rsidRPr="003306F4">
        <w:rPr>
          <w:rFonts w:asciiTheme="majorBidi" w:eastAsia="Times New Roman" w:hAnsiTheme="majorBidi" w:cstheme="majorBidi"/>
          <w:lang w:eastAsia="en-GB"/>
        </w:rPr>
        <w:t>8 significant</w:t>
      </w:r>
      <w:r w:rsidRPr="003306F4">
        <w:rPr>
          <w:rFonts w:asciiTheme="majorBidi" w:eastAsia="Times New Roman" w:hAnsiTheme="majorBidi" w:cstheme="majorBidi"/>
          <w:lang w:eastAsia="en-GB"/>
        </w:rPr>
        <w:t xml:space="preserve"> associations, four were positive associations (increasing use led to an increase in resistance), whilst four were negative (decreasing use led to an increase in resistance). </w:t>
      </w:r>
      <w:proofErr w:type="gramStart"/>
      <w:r w:rsidRPr="003306F4">
        <w:rPr>
          <w:rFonts w:asciiTheme="majorBidi" w:eastAsia="Times New Roman" w:hAnsiTheme="majorBidi" w:cstheme="majorBidi"/>
          <w:lang w:eastAsia="en-GB"/>
        </w:rPr>
        <w:t>All of</w:t>
      </w:r>
      <w:proofErr w:type="gramEnd"/>
      <w:r w:rsidRPr="003306F4">
        <w:rPr>
          <w:rFonts w:asciiTheme="majorBidi" w:eastAsia="Times New Roman" w:hAnsiTheme="majorBidi" w:cstheme="majorBidi"/>
          <w:lang w:eastAsia="en-GB"/>
        </w:rPr>
        <w:t xml:space="preserve"> the negative associations were for </w:t>
      </w:r>
      <w:r w:rsidRPr="003306F4">
        <w:rPr>
          <w:rFonts w:asciiTheme="majorBidi" w:eastAsia="Times New Roman" w:hAnsiTheme="majorBidi" w:cstheme="majorBidi"/>
          <w:i/>
          <w:iCs/>
          <w:lang w:eastAsia="en-GB"/>
        </w:rPr>
        <w:t>Escherichia</w:t>
      </w:r>
      <w:r w:rsidRPr="003306F4">
        <w:rPr>
          <w:rFonts w:asciiTheme="majorBidi" w:eastAsia="Times New Roman" w:hAnsiTheme="majorBidi" w:cstheme="majorBidi"/>
          <w:lang w:eastAsia="en-GB"/>
        </w:rPr>
        <w:t xml:space="preserve"> </w:t>
      </w:r>
      <w:r w:rsidRPr="003306F4">
        <w:rPr>
          <w:rFonts w:asciiTheme="majorBidi" w:eastAsia="Times New Roman" w:hAnsiTheme="majorBidi" w:cstheme="majorBidi"/>
          <w:i/>
          <w:iCs/>
          <w:lang w:eastAsia="en-GB"/>
        </w:rPr>
        <w:t>coli</w:t>
      </w:r>
      <w:r w:rsidRPr="003306F4">
        <w:rPr>
          <w:rFonts w:asciiTheme="majorBidi" w:eastAsia="Times New Roman" w:hAnsiTheme="majorBidi" w:cstheme="majorBidi"/>
          <w:lang w:eastAsia="en-GB"/>
        </w:rPr>
        <w:t xml:space="preserve"> cephalosporins</w:t>
      </w:r>
      <w:r w:rsidR="0020177A">
        <w:rPr>
          <w:rFonts w:asciiTheme="majorBidi" w:eastAsia="Times New Roman" w:hAnsiTheme="majorBidi" w:cstheme="majorBidi"/>
          <w:lang w:eastAsia="en-GB"/>
        </w:rPr>
        <w:t>.</w:t>
      </w:r>
    </w:p>
    <w:p w14:paraId="3548F725" w14:textId="77777777" w:rsidR="0020177A" w:rsidRPr="003306F4" w:rsidRDefault="0020177A" w:rsidP="0020177A">
      <w:pPr>
        <w:pStyle w:val="ListParagraph"/>
        <w:spacing w:after="0" w:line="360" w:lineRule="auto"/>
        <w:ind w:left="360"/>
        <w:rPr>
          <w:rFonts w:asciiTheme="majorBidi" w:hAnsiTheme="majorBidi" w:cstheme="majorBidi"/>
        </w:rPr>
      </w:pPr>
    </w:p>
    <w:p w14:paraId="30931B3F" w14:textId="27AC9466" w:rsidR="00A4788F" w:rsidRPr="003306F4" w:rsidRDefault="00A4788F" w:rsidP="00A325FF">
      <w:pPr>
        <w:spacing w:after="0" w:line="360" w:lineRule="auto"/>
        <w:rPr>
          <w:rFonts w:asciiTheme="majorBidi" w:hAnsiTheme="majorBidi" w:cstheme="majorBidi"/>
        </w:rPr>
      </w:pPr>
      <w:r w:rsidRPr="003306F4">
        <w:rPr>
          <w:rFonts w:asciiTheme="majorBidi" w:hAnsiTheme="majorBidi" w:cstheme="majorBidi"/>
        </w:rPr>
        <w:t xml:space="preserve">Hence this analysis resulted in up to </w:t>
      </w:r>
      <w:r w:rsidRPr="003306F4">
        <w:rPr>
          <w:rFonts w:asciiTheme="majorBidi" w:eastAsia="Times New Roman" w:hAnsiTheme="majorBidi" w:cstheme="majorBidi"/>
          <w:lang w:eastAsia="en-GB"/>
        </w:rPr>
        <w:t xml:space="preserve">four </w:t>
      </w:r>
      <w:r w:rsidRPr="003306F4">
        <w:rPr>
          <w:rFonts w:asciiTheme="majorBidi" w:hAnsiTheme="majorBidi" w:cstheme="majorBidi"/>
        </w:rPr>
        <w:t>significant positive associations that could be used to link increases in AM use to AM resistance in the economic model. Increases in AM use are driven by increases in the eligible population over time</w:t>
      </w:r>
      <w:r w:rsidR="00E83D9C">
        <w:rPr>
          <w:rFonts w:asciiTheme="majorBidi" w:hAnsiTheme="majorBidi" w:cstheme="majorBidi"/>
        </w:rPr>
        <w:t>.</w:t>
      </w:r>
      <w:r w:rsidRPr="003306F4">
        <w:rPr>
          <w:rFonts w:asciiTheme="majorBidi" w:hAnsiTheme="majorBidi" w:cstheme="majorBidi"/>
        </w:rPr>
        <w:t xml:space="preserve"> </w:t>
      </w:r>
    </w:p>
    <w:p w14:paraId="16891A67" w14:textId="77777777" w:rsidR="00A4788F" w:rsidRPr="003306F4" w:rsidRDefault="00A4788F" w:rsidP="00A4788F">
      <w:pPr>
        <w:spacing w:after="0" w:line="360" w:lineRule="auto"/>
        <w:rPr>
          <w:rFonts w:asciiTheme="majorBidi" w:hAnsiTheme="majorBidi" w:cstheme="majorBidi"/>
        </w:rPr>
      </w:pPr>
    </w:p>
    <w:p w14:paraId="334F95F3" w14:textId="290F5911" w:rsidR="00AA4801" w:rsidRDefault="00A4788F" w:rsidP="00A325FF">
      <w:pPr>
        <w:spacing w:after="0" w:line="360" w:lineRule="auto"/>
        <w:jc w:val="both"/>
        <w:rPr>
          <w:rFonts w:asciiTheme="majorBidi" w:hAnsiTheme="majorBidi" w:cstheme="majorBidi"/>
        </w:rPr>
      </w:pPr>
      <w:r w:rsidRPr="003306F4">
        <w:rPr>
          <w:rFonts w:asciiTheme="majorBidi" w:hAnsiTheme="majorBidi" w:cstheme="majorBidi"/>
        </w:rPr>
        <w:t xml:space="preserve">Projections of expected usage for CAZ-AVI from Section 2.1.3 were linked to these estimates of the relationship between usage and resistance to predict emergence of resistance to CAZ-AVI over time. Even under more extreme usage predictions and the strongest associations between usage and resistance emergence this predicted modest absolute increases in resistance of less than 1% over 20 years (see Appendix </w:t>
      </w:r>
      <w:r w:rsidR="00354E5E">
        <w:rPr>
          <w:rFonts w:asciiTheme="majorBidi" w:hAnsiTheme="majorBidi" w:cstheme="majorBidi"/>
        </w:rPr>
        <w:t>1</w:t>
      </w:r>
      <w:r w:rsidR="00A80C2B">
        <w:rPr>
          <w:rFonts w:asciiTheme="majorBidi" w:hAnsiTheme="majorBidi" w:cstheme="majorBidi"/>
        </w:rPr>
        <w:t>7</w:t>
      </w:r>
      <w:r w:rsidRPr="003306F4">
        <w:rPr>
          <w:rFonts w:asciiTheme="majorBidi" w:hAnsiTheme="majorBidi" w:cstheme="majorBidi"/>
        </w:rPr>
        <w:t xml:space="preserve"> for more details). EEPRU considered that this may represent an underestimate of the potential for resistance emergence for two reasons. Firstly, the spread of MDR infections is influenced by international travel and the “importation” of MDR pathogens. Resistance emergence may</w:t>
      </w:r>
      <w:r w:rsidR="00AA4801">
        <w:rPr>
          <w:rFonts w:asciiTheme="majorBidi" w:hAnsiTheme="majorBidi" w:cstheme="majorBidi"/>
        </w:rPr>
        <w:t>, t</w:t>
      </w:r>
      <w:r w:rsidRPr="003306F4">
        <w:rPr>
          <w:rFonts w:asciiTheme="majorBidi" w:hAnsiTheme="majorBidi" w:cstheme="majorBidi"/>
        </w:rPr>
        <w:t>herefore</w:t>
      </w:r>
      <w:r w:rsidR="00AA4801">
        <w:rPr>
          <w:rFonts w:asciiTheme="majorBidi" w:hAnsiTheme="majorBidi" w:cstheme="majorBidi"/>
        </w:rPr>
        <w:t>,</w:t>
      </w:r>
      <w:r w:rsidRPr="003306F4">
        <w:rPr>
          <w:rFonts w:asciiTheme="majorBidi" w:hAnsiTheme="majorBidi" w:cstheme="majorBidi"/>
        </w:rPr>
        <w:t xml:space="preserve"> be influenced by CAZ-AVI usage outside the UK which is not accounted for in these projections. </w:t>
      </w:r>
    </w:p>
    <w:p w14:paraId="7DB7CDAB" w14:textId="77777777" w:rsidR="00AA4801" w:rsidRDefault="00AA4801" w:rsidP="00A325FF">
      <w:pPr>
        <w:spacing w:after="0" w:line="360" w:lineRule="auto"/>
        <w:jc w:val="both"/>
        <w:rPr>
          <w:rFonts w:asciiTheme="majorBidi" w:hAnsiTheme="majorBidi" w:cstheme="majorBidi"/>
        </w:rPr>
      </w:pPr>
    </w:p>
    <w:p w14:paraId="24C6A515" w14:textId="47007AAF" w:rsidR="00A4788F" w:rsidRPr="003306F4" w:rsidRDefault="00A4788F" w:rsidP="00A325FF">
      <w:pPr>
        <w:spacing w:after="0" w:line="360" w:lineRule="auto"/>
        <w:jc w:val="both"/>
        <w:rPr>
          <w:rFonts w:asciiTheme="majorBidi" w:hAnsiTheme="majorBidi" w:cstheme="majorBidi"/>
          <w:highlight w:val="yellow"/>
        </w:rPr>
      </w:pPr>
      <w:r w:rsidRPr="003306F4">
        <w:rPr>
          <w:rFonts w:asciiTheme="majorBidi" w:hAnsiTheme="majorBidi" w:cstheme="majorBidi"/>
        </w:rPr>
        <w:t>Secondly, the relationships between usage and resistance characterised in the available data reflect all tested isolates in the community and hospital settings. Resistance emergence may be much higher within the HVCS</w:t>
      </w:r>
      <w:r w:rsidR="00AA4801">
        <w:rPr>
          <w:rFonts w:asciiTheme="majorBidi" w:hAnsiTheme="majorBidi" w:cstheme="majorBidi"/>
        </w:rPr>
        <w:t>s</w:t>
      </w:r>
      <w:r w:rsidRPr="003306F4">
        <w:rPr>
          <w:rFonts w:asciiTheme="majorBidi" w:hAnsiTheme="majorBidi" w:cstheme="majorBidi"/>
        </w:rPr>
        <w:t xml:space="preserve"> where usage will be concentrated. For this reason, EEPRU has conducted a range of scenario analyses to characterise the potential emergence of resistance to CAZ-AVI</w:t>
      </w:r>
      <w:r w:rsidR="00A325FF" w:rsidRPr="003306F4">
        <w:rPr>
          <w:rFonts w:asciiTheme="majorBidi" w:hAnsiTheme="majorBidi" w:cstheme="majorBidi"/>
        </w:rPr>
        <w:t xml:space="preserve">. </w:t>
      </w:r>
      <w:r w:rsidRPr="003306F4">
        <w:rPr>
          <w:rFonts w:asciiTheme="majorBidi" w:hAnsiTheme="majorBidi" w:cstheme="majorBidi"/>
        </w:rPr>
        <w:t>These were informed by considering the absolute increases in resistance for the drug-pathogen combinations and countries discussed above, where there was a statistically significant increase (see Appendix</w:t>
      </w:r>
      <w:r w:rsidR="006E1142">
        <w:rPr>
          <w:rFonts w:asciiTheme="majorBidi" w:hAnsiTheme="majorBidi" w:cstheme="majorBidi"/>
        </w:rPr>
        <w:t xml:space="preserve"> 1</w:t>
      </w:r>
      <w:r w:rsidR="00680B08">
        <w:rPr>
          <w:rFonts w:asciiTheme="majorBidi" w:hAnsiTheme="majorBidi" w:cstheme="majorBidi"/>
        </w:rPr>
        <w:t>7</w:t>
      </w:r>
      <w:r w:rsidRPr="003306F4">
        <w:rPr>
          <w:rFonts w:asciiTheme="majorBidi" w:hAnsiTheme="majorBidi" w:cstheme="majorBidi"/>
        </w:rPr>
        <w:t xml:space="preserve"> for more details). </w:t>
      </w:r>
      <w:bookmarkStart w:id="466" w:name="_Hlk83992504"/>
      <w:r w:rsidRPr="003306F4">
        <w:rPr>
          <w:rFonts w:asciiTheme="majorBidi" w:hAnsiTheme="majorBidi" w:cstheme="majorBidi"/>
        </w:rPr>
        <w:t>The highest absolute increase in resistance (an annual absolute increase of 1.65%, leading to a projected 20-year increase of 33%) was used to bound these analyses. The second largest increase was 0.95% per year (19% over 20 years). Based on these considerations</w:t>
      </w:r>
      <w:r w:rsidR="00AA4801">
        <w:rPr>
          <w:rFonts w:asciiTheme="majorBidi" w:hAnsiTheme="majorBidi" w:cstheme="majorBidi"/>
        </w:rPr>
        <w:t>,</w:t>
      </w:r>
      <w:r w:rsidRPr="003306F4">
        <w:rPr>
          <w:rFonts w:asciiTheme="majorBidi" w:hAnsiTheme="majorBidi" w:cstheme="majorBidi"/>
        </w:rPr>
        <w:t xml:space="preserve"> EEPRU ran analyses with resistance emergence reaching 1%, 5%, 10% and 30% at 20 years.</w:t>
      </w:r>
      <w:bookmarkEnd w:id="466"/>
      <w:r w:rsidRPr="003306F4">
        <w:rPr>
          <w:rFonts w:asciiTheme="majorBidi" w:hAnsiTheme="majorBidi" w:cstheme="majorBidi"/>
        </w:rPr>
        <w:t xml:space="preserve"> It is noted that the upper scenario may be very extreme. </w:t>
      </w:r>
    </w:p>
    <w:p w14:paraId="73B7CAED" w14:textId="77777777" w:rsidR="00A4788F" w:rsidRPr="003306F4" w:rsidRDefault="00A4788F" w:rsidP="00A4788F">
      <w:pPr>
        <w:spacing w:after="0" w:line="360" w:lineRule="auto"/>
        <w:rPr>
          <w:rFonts w:asciiTheme="majorBidi" w:hAnsiTheme="majorBidi" w:cstheme="majorBidi"/>
        </w:rPr>
      </w:pPr>
    </w:p>
    <w:p w14:paraId="6CF0DE0E" w14:textId="4004C272" w:rsidR="00A4788F" w:rsidRPr="003306F4" w:rsidRDefault="00A4788F" w:rsidP="00A4788F">
      <w:pPr>
        <w:spacing w:after="0" w:line="360" w:lineRule="auto"/>
        <w:rPr>
          <w:rFonts w:asciiTheme="majorBidi" w:hAnsiTheme="majorBidi" w:cstheme="majorBidi"/>
        </w:rPr>
      </w:pPr>
      <w:r w:rsidRPr="003306F4">
        <w:rPr>
          <w:rFonts w:asciiTheme="majorBidi" w:hAnsiTheme="majorBidi" w:cstheme="majorBidi"/>
        </w:rPr>
        <w:t xml:space="preserve">Of note, this analysis was focused on datasets which demonstrated an increase in resistance overtime. Hence any significant associations between AM use and decreasing resistance were not explored. As an alternative to an ARIMA model, a dynamic differential equations model was also developed. This was designed to incorporate AM use and resistance, as well as the spontaneous loss or gain of resistance over time as well as the impact of deaths. Details of this model are provided in Appendix </w:t>
      </w:r>
      <w:r w:rsidR="00A80C2B">
        <w:rPr>
          <w:rFonts w:asciiTheme="majorBidi" w:hAnsiTheme="majorBidi" w:cstheme="majorBidi"/>
        </w:rPr>
        <w:t>15</w:t>
      </w:r>
      <w:r w:rsidRPr="003306F4">
        <w:rPr>
          <w:rFonts w:asciiTheme="majorBidi" w:hAnsiTheme="majorBidi" w:cstheme="majorBidi"/>
        </w:rPr>
        <w:t xml:space="preserve">; when evaluated in a simulation study it was shown to provide biased parameter estimates. This </w:t>
      </w:r>
      <w:r w:rsidRPr="003306F4">
        <w:rPr>
          <w:rFonts w:asciiTheme="majorBidi" w:hAnsiTheme="majorBidi" w:cstheme="majorBidi"/>
        </w:rPr>
        <w:lastRenderedPageBreak/>
        <w:t>was potentially due to the non-identifiability of the model (due to the number of potential AM drivers considered), so this model was not considered further.</w:t>
      </w:r>
    </w:p>
    <w:p w14:paraId="6F83B7F1" w14:textId="77777777" w:rsidR="00A4788F" w:rsidRPr="003306F4" w:rsidRDefault="00A4788F" w:rsidP="00A4788F">
      <w:pPr>
        <w:spacing w:after="0" w:line="360" w:lineRule="auto"/>
        <w:rPr>
          <w:rFonts w:asciiTheme="majorBidi" w:hAnsiTheme="majorBidi" w:cstheme="majorBidi"/>
        </w:rPr>
      </w:pPr>
    </w:p>
    <w:p w14:paraId="2B34984E" w14:textId="50BB5AB0" w:rsidR="00A4788F" w:rsidRPr="003306F4" w:rsidRDefault="00A4788F" w:rsidP="00A83123">
      <w:pPr>
        <w:spacing w:after="0" w:line="360" w:lineRule="auto"/>
        <w:jc w:val="both"/>
        <w:rPr>
          <w:rFonts w:asciiTheme="majorBidi" w:hAnsiTheme="majorBidi" w:cstheme="majorBidi"/>
        </w:rPr>
      </w:pPr>
      <w:r w:rsidRPr="003306F4">
        <w:rPr>
          <w:rFonts w:asciiTheme="majorBidi" w:hAnsiTheme="majorBidi" w:cstheme="majorBidi"/>
        </w:rPr>
        <w:t>As a face-validity check of the estimates of AM use employed in the model, these were compared to hospital inpatient drug use as reported in the 2019/20 ESPAUR report.</w:t>
      </w:r>
      <w:r w:rsidR="00A83123" w:rsidRPr="00A83123">
        <w:rPr>
          <w:rFonts w:asciiTheme="majorBidi" w:hAnsiTheme="majorBidi" w:cstheme="majorBidi"/>
          <w:noProof/>
          <w:vertAlign w:val="superscript"/>
        </w:rPr>
        <w:t>6</w:t>
      </w:r>
      <w:r w:rsidRPr="003306F4">
        <w:rPr>
          <w:rFonts w:asciiTheme="majorBidi" w:hAnsiTheme="majorBidi" w:cstheme="majorBidi"/>
        </w:rPr>
        <w:t xml:space="preserve"> This provided an estimate of 2.4 </w:t>
      </w:r>
      <w:r w:rsidR="001D350A">
        <w:rPr>
          <w:rFonts w:asciiTheme="majorBidi" w:hAnsiTheme="majorBidi" w:cstheme="majorBidi"/>
        </w:rPr>
        <w:t>defined daily doses (</w:t>
      </w:r>
      <w:r w:rsidRPr="003306F4">
        <w:rPr>
          <w:rFonts w:asciiTheme="majorBidi" w:hAnsiTheme="majorBidi" w:cstheme="majorBidi"/>
        </w:rPr>
        <w:t>DDD</w:t>
      </w:r>
      <w:r w:rsidR="001D350A">
        <w:rPr>
          <w:rFonts w:asciiTheme="majorBidi" w:hAnsiTheme="majorBidi" w:cstheme="majorBidi"/>
        </w:rPr>
        <w:t>)</w:t>
      </w:r>
      <w:r w:rsidRPr="003306F4">
        <w:rPr>
          <w:rFonts w:asciiTheme="majorBidi" w:hAnsiTheme="majorBidi" w:cstheme="majorBidi"/>
        </w:rPr>
        <w:t xml:space="preserve"> /1000 inhabitants for all AMs used in an inpatient setting. Drug use during the first year of the economic model for both </w:t>
      </w:r>
      <w:r w:rsidR="00FE2007">
        <w:rPr>
          <w:rFonts w:asciiTheme="majorBidi" w:hAnsiTheme="majorBidi" w:cstheme="majorBidi"/>
        </w:rPr>
        <w:t>CAZ-AVI</w:t>
      </w:r>
      <w:r w:rsidRPr="003306F4">
        <w:rPr>
          <w:rFonts w:asciiTheme="majorBidi" w:hAnsiTheme="majorBidi" w:cstheme="majorBidi"/>
        </w:rPr>
        <w:t xml:space="preserve"> and </w:t>
      </w:r>
      <w:proofErr w:type="spellStart"/>
      <w:r w:rsidR="00354E5E">
        <w:rPr>
          <w:rFonts w:asciiTheme="majorBidi" w:hAnsiTheme="majorBidi" w:cstheme="majorBidi"/>
        </w:rPr>
        <w:t>cefiderocol</w:t>
      </w:r>
      <w:proofErr w:type="spellEnd"/>
      <w:r w:rsidR="00354E5E">
        <w:rPr>
          <w:rFonts w:asciiTheme="majorBidi" w:hAnsiTheme="majorBidi" w:cstheme="majorBidi"/>
        </w:rPr>
        <w:t xml:space="preserve"> (combining results from both evaluations) </w:t>
      </w:r>
      <w:r w:rsidRPr="003306F4">
        <w:rPr>
          <w:rFonts w:asciiTheme="majorBidi" w:hAnsiTheme="majorBidi" w:cstheme="majorBidi"/>
        </w:rPr>
        <w:t xml:space="preserve">for the sites </w:t>
      </w:r>
      <w:proofErr w:type="spellStart"/>
      <w:r w:rsidRPr="003306F4">
        <w:rPr>
          <w:rFonts w:asciiTheme="majorBidi" w:hAnsiTheme="majorBidi" w:cstheme="majorBidi"/>
        </w:rPr>
        <w:t>cUTI</w:t>
      </w:r>
      <w:proofErr w:type="spellEnd"/>
      <w:r w:rsidRPr="003306F4">
        <w:rPr>
          <w:rFonts w:asciiTheme="majorBidi" w:hAnsiTheme="majorBidi" w:cstheme="majorBidi"/>
        </w:rPr>
        <w:t xml:space="preserve">, IAI, HAP/VAP, and BSI (all four in CPE, pseudomonas, and </w:t>
      </w:r>
      <w:proofErr w:type="spellStart"/>
      <w:r w:rsidRPr="003306F4">
        <w:rPr>
          <w:rFonts w:asciiTheme="majorBidi" w:hAnsiTheme="majorBidi" w:cstheme="majorBidi"/>
        </w:rPr>
        <w:t>stenotrophomonas</w:t>
      </w:r>
      <w:proofErr w:type="spellEnd"/>
      <w:r w:rsidRPr="003306F4">
        <w:rPr>
          <w:rFonts w:asciiTheme="majorBidi" w:hAnsiTheme="majorBidi" w:cstheme="majorBidi"/>
        </w:rPr>
        <w:t>) was estimated to be 0.0</w:t>
      </w:r>
      <w:r w:rsidR="00354E5E">
        <w:rPr>
          <w:rFonts w:asciiTheme="majorBidi" w:hAnsiTheme="majorBidi" w:cstheme="majorBidi"/>
        </w:rPr>
        <w:t>001</w:t>
      </w:r>
      <w:r w:rsidRPr="003306F4">
        <w:rPr>
          <w:rFonts w:asciiTheme="majorBidi" w:hAnsiTheme="majorBidi" w:cstheme="majorBidi"/>
        </w:rPr>
        <w:t xml:space="preserve">8 DDD/1000 inhabitants, hence representing </w:t>
      </w:r>
      <w:r w:rsidR="00354E5E">
        <w:rPr>
          <w:rFonts w:asciiTheme="majorBidi" w:hAnsiTheme="majorBidi" w:cstheme="majorBidi"/>
        </w:rPr>
        <w:t>0.01</w:t>
      </w:r>
      <w:r w:rsidRPr="003306F4">
        <w:rPr>
          <w:rFonts w:asciiTheme="majorBidi" w:hAnsiTheme="majorBidi" w:cstheme="majorBidi"/>
        </w:rPr>
        <w:t xml:space="preserve">% of all hospital inpatient AM use. This estimate, as an upper-bound on the potential use of both </w:t>
      </w:r>
      <w:proofErr w:type="spellStart"/>
      <w:r w:rsidRPr="003306F4">
        <w:rPr>
          <w:rFonts w:asciiTheme="majorBidi" w:hAnsiTheme="majorBidi" w:cstheme="majorBidi"/>
        </w:rPr>
        <w:t>cefiderocol</w:t>
      </w:r>
      <w:proofErr w:type="spellEnd"/>
      <w:r w:rsidRPr="003306F4">
        <w:rPr>
          <w:rFonts w:asciiTheme="majorBidi" w:hAnsiTheme="majorBidi" w:cstheme="majorBidi"/>
        </w:rPr>
        <w:t xml:space="preserve"> and CAZ-AVI, was felt by the modelling team to have face validity.</w:t>
      </w:r>
    </w:p>
    <w:p w14:paraId="1BC3B6A3" w14:textId="77777777" w:rsidR="00A4788F" w:rsidRPr="003306F4" w:rsidRDefault="00A4788F" w:rsidP="00A4788F">
      <w:pPr>
        <w:spacing w:after="0" w:line="360" w:lineRule="auto"/>
        <w:jc w:val="both"/>
        <w:rPr>
          <w:rFonts w:asciiTheme="majorBidi" w:hAnsiTheme="majorBidi" w:cstheme="majorBidi"/>
        </w:rPr>
      </w:pPr>
    </w:p>
    <w:p w14:paraId="3E425DF0" w14:textId="18A6420F" w:rsidR="00A4788F" w:rsidRPr="00C76CEC" w:rsidRDefault="00AF0F42" w:rsidP="00794B4E">
      <w:pPr>
        <w:pStyle w:val="EEPRUnumberedlevel4"/>
        <w:ind w:left="2127" w:firstLine="0"/>
      </w:pPr>
      <w:bookmarkStart w:id="467" w:name="_Toc85194074"/>
      <w:bookmarkStart w:id="468" w:name="_Toc87463051"/>
      <w:r w:rsidRPr="00AF0F42">
        <w:t xml:space="preserve">7.5.2.4 </w:t>
      </w:r>
      <w:r w:rsidR="00A4788F" w:rsidRPr="00C76CEC">
        <w:t>Predicting the impact of reduced drug use on resistance</w:t>
      </w:r>
      <w:bookmarkEnd w:id="467"/>
      <w:bookmarkEnd w:id="468"/>
    </w:p>
    <w:p w14:paraId="131A880C" w14:textId="1638B78C" w:rsidR="00A4788F" w:rsidRPr="003306F4" w:rsidRDefault="00A4788F" w:rsidP="00A83123">
      <w:pPr>
        <w:spacing w:after="0" w:line="360" w:lineRule="auto"/>
        <w:jc w:val="both"/>
        <w:rPr>
          <w:rFonts w:asciiTheme="majorBidi" w:hAnsiTheme="majorBidi" w:cstheme="majorBidi"/>
        </w:rPr>
      </w:pPr>
      <w:r w:rsidRPr="003306F4">
        <w:rPr>
          <w:rFonts w:asciiTheme="majorBidi" w:hAnsiTheme="majorBidi" w:cstheme="majorBidi"/>
        </w:rPr>
        <w:t xml:space="preserve">Introducing CAZ-AVI (compared with the situation when it is not available) may lead to a reduced use of comparator AMs. As the economic model includes an association between increased use of </w:t>
      </w:r>
      <w:r w:rsidR="00FE2007">
        <w:rPr>
          <w:rFonts w:asciiTheme="majorBidi" w:hAnsiTheme="majorBidi" w:cstheme="majorBidi"/>
        </w:rPr>
        <w:t>CAZ-AVI</w:t>
      </w:r>
      <w:r w:rsidRPr="003306F4">
        <w:rPr>
          <w:rFonts w:asciiTheme="majorBidi" w:hAnsiTheme="majorBidi" w:cstheme="majorBidi"/>
        </w:rPr>
        <w:t xml:space="preserve"> and increased resistance (as described in the previous subsection), then intuitively a decrease in AM use would be expected to lead to a decrease in resistance. However, AM use in the population of interest is only one of a multitude of potential drivers for increases in AM resistance. Other potential drivers include the number of invasive procedures, AM use in other countries, environmental factors, and AM use in animals</w:t>
      </w:r>
      <w:r w:rsidR="00AA4801">
        <w:rPr>
          <w:rFonts w:asciiTheme="majorBidi" w:hAnsiTheme="majorBidi" w:cstheme="majorBidi"/>
        </w:rPr>
        <w:t>.</w:t>
      </w:r>
      <w:r w:rsidR="004B4D1C" w:rsidRPr="004B4D1C">
        <w:rPr>
          <w:rFonts w:asciiTheme="majorBidi" w:hAnsiTheme="majorBidi" w:cstheme="majorBidi"/>
          <w:noProof/>
          <w:vertAlign w:val="superscript"/>
        </w:rPr>
        <w:t>161,162</w:t>
      </w:r>
      <w:r w:rsidRPr="003306F4">
        <w:rPr>
          <w:rFonts w:asciiTheme="majorBidi" w:hAnsiTheme="majorBidi" w:cstheme="majorBidi"/>
        </w:rPr>
        <w:t xml:space="preserve"> The existing evidence on the effect of reduced AM use on AM resistance is mixed</w:t>
      </w:r>
      <w:r w:rsidR="00AA4801">
        <w:rPr>
          <w:rFonts w:asciiTheme="majorBidi" w:hAnsiTheme="majorBidi" w:cstheme="majorBidi"/>
        </w:rPr>
        <w:t>,</w:t>
      </w:r>
      <w:r w:rsidR="004B4D1C" w:rsidRPr="004B4D1C">
        <w:rPr>
          <w:rFonts w:asciiTheme="majorBidi" w:hAnsiTheme="majorBidi" w:cstheme="majorBidi"/>
          <w:noProof/>
          <w:vertAlign w:val="superscript"/>
        </w:rPr>
        <w:t>163</w:t>
      </w:r>
      <w:r w:rsidRPr="003306F4">
        <w:rPr>
          <w:rFonts w:asciiTheme="majorBidi" w:hAnsiTheme="majorBidi" w:cstheme="majorBidi"/>
        </w:rPr>
        <w:t xml:space="preserve"> with findings including no decrease, a decrease, and even an increase in AM resistance</w:t>
      </w:r>
      <w:r w:rsidR="00AA4801">
        <w:rPr>
          <w:rFonts w:asciiTheme="majorBidi" w:hAnsiTheme="majorBidi" w:cstheme="majorBidi"/>
        </w:rPr>
        <w:t>.</w:t>
      </w:r>
      <w:r w:rsidR="004B4D1C" w:rsidRPr="004B4D1C">
        <w:rPr>
          <w:rFonts w:asciiTheme="majorBidi" w:hAnsiTheme="majorBidi" w:cstheme="majorBidi"/>
          <w:noProof/>
          <w:vertAlign w:val="superscript"/>
        </w:rPr>
        <w:t>164-166</w:t>
      </w:r>
      <w:r w:rsidR="00AA4801">
        <w:rPr>
          <w:rFonts w:asciiTheme="majorBidi" w:hAnsiTheme="majorBidi" w:cstheme="majorBidi"/>
        </w:rPr>
        <w:t xml:space="preserve"> </w:t>
      </w:r>
      <w:r w:rsidRPr="003306F4">
        <w:rPr>
          <w:rFonts w:asciiTheme="majorBidi" w:hAnsiTheme="majorBidi" w:cstheme="majorBidi"/>
        </w:rPr>
        <w:t>Hence, whilst the introduction of a new AM is expected to lead to an increase in resistance over time, reducing AM use has less predictable effects on resistance. Due to the heterogeneity in the existing literature and the lack of evidence for the population and AMs of interest, it was assumed that reductions in use of existing AMs did not lead to reductions in resistance over time.</w:t>
      </w:r>
    </w:p>
    <w:p w14:paraId="7BE1EF40" w14:textId="77777777" w:rsidR="00A4788F" w:rsidRPr="003306F4" w:rsidRDefault="00A4788F" w:rsidP="00A4788F">
      <w:pPr>
        <w:keepNext/>
        <w:keepLines/>
        <w:pBdr>
          <w:top w:val="nil"/>
          <w:left w:val="nil"/>
          <w:bottom w:val="nil"/>
          <w:right w:val="nil"/>
          <w:between w:val="nil"/>
        </w:pBdr>
        <w:spacing w:after="240"/>
        <w:jc w:val="both"/>
        <w:rPr>
          <w:rFonts w:asciiTheme="majorBidi" w:eastAsia="Calibri" w:hAnsiTheme="majorBidi" w:cstheme="majorBidi"/>
          <w:b/>
          <w:color w:val="000000"/>
        </w:rPr>
      </w:pPr>
    </w:p>
    <w:p w14:paraId="25A4619D" w14:textId="62F71D17" w:rsidR="00A4788F" w:rsidRPr="00AF0F42" w:rsidRDefault="00A4788F" w:rsidP="00794B4E">
      <w:pPr>
        <w:pStyle w:val="EEPRUnumberedstylelevel3"/>
        <w:numPr>
          <w:ilvl w:val="3"/>
          <w:numId w:val="115"/>
        </w:numPr>
        <w:spacing w:before="0" w:after="0" w:line="360" w:lineRule="auto"/>
        <w:ind w:left="2127" w:firstLine="0"/>
      </w:pPr>
      <w:bookmarkStart w:id="469" w:name="_Toc77944775"/>
      <w:bookmarkStart w:id="470" w:name="_Ref83569095"/>
      <w:bookmarkStart w:id="471" w:name="_Toc85194075"/>
      <w:bookmarkStart w:id="472" w:name="_Ref86315269"/>
      <w:bookmarkStart w:id="473" w:name="_Ref86315279"/>
      <w:bookmarkStart w:id="474" w:name="_Toc87463052"/>
      <w:r w:rsidRPr="00AF0F42">
        <w:t>Extrapolation from HVCS to expected usage</w:t>
      </w:r>
      <w:bookmarkEnd w:id="469"/>
      <w:bookmarkEnd w:id="470"/>
      <w:bookmarkEnd w:id="471"/>
      <w:bookmarkEnd w:id="472"/>
      <w:bookmarkEnd w:id="473"/>
      <w:bookmarkEnd w:id="474"/>
      <w:r w:rsidRPr="00AF0F42">
        <w:t xml:space="preserve"> </w:t>
      </w:r>
    </w:p>
    <w:p w14:paraId="229DD6BA" w14:textId="7210443C"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An important part of understanding the value of </w:t>
      </w:r>
      <w:r w:rsidR="00FE2007">
        <w:rPr>
          <w:rFonts w:asciiTheme="majorBidi" w:hAnsiTheme="majorBidi" w:cstheme="majorBidi"/>
        </w:rPr>
        <w:t>CAZ-AVI</w:t>
      </w:r>
      <w:r w:rsidRPr="003306F4">
        <w:rPr>
          <w:rFonts w:asciiTheme="majorBidi" w:hAnsiTheme="majorBidi" w:cstheme="majorBidi"/>
        </w:rPr>
        <w:t xml:space="preserve"> is understanding the range of patients in whom it is expected to be used. This is also relevant in understanding how resistance to </w:t>
      </w:r>
      <w:r w:rsidR="00FE2007">
        <w:rPr>
          <w:rFonts w:asciiTheme="majorBidi" w:hAnsiTheme="majorBidi" w:cstheme="majorBidi"/>
        </w:rPr>
        <w:t>CAZ-AVI</w:t>
      </w:r>
      <w:r w:rsidRPr="003306F4">
        <w:rPr>
          <w:rFonts w:asciiTheme="majorBidi" w:hAnsiTheme="majorBidi" w:cstheme="majorBidi"/>
        </w:rPr>
        <w:t xml:space="preserve"> is likely to emerge over time (as higher usage is likely to contribute to higher resistance). To inform this assessment we provide a qualitative description of the range of ways (outside of the HVCS) that </w:t>
      </w:r>
      <w:r w:rsidR="00FE2007">
        <w:rPr>
          <w:rFonts w:asciiTheme="majorBidi" w:hAnsiTheme="majorBidi" w:cstheme="majorBidi"/>
        </w:rPr>
        <w:t>CAZ-AVI</w:t>
      </w:r>
      <w:r w:rsidRPr="003306F4">
        <w:rPr>
          <w:rFonts w:asciiTheme="majorBidi" w:hAnsiTheme="majorBidi" w:cstheme="majorBidi"/>
        </w:rPr>
        <w:t xml:space="preserve"> is expected to be used. This is informed by discussions with our clinical advisors, the manufacturer submission for </w:t>
      </w:r>
      <w:r w:rsidR="00FE2007">
        <w:rPr>
          <w:rFonts w:asciiTheme="majorBidi" w:hAnsiTheme="majorBidi" w:cstheme="majorBidi"/>
        </w:rPr>
        <w:t>CAZ-AVI</w:t>
      </w:r>
      <w:r w:rsidRPr="003306F4">
        <w:rPr>
          <w:rFonts w:asciiTheme="majorBidi" w:hAnsiTheme="majorBidi" w:cstheme="majorBidi"/>
        </w:rPr>
        <w:t xml:space="preserve">, and input by other stakeholders during the NICE process to identify patient </w:t>
      </w:r>
      <w:r w:rsidRPr="003306F4">
        <w:rPr>
          <w:rFonts w:asciiTheme="majorBidi" w:hAnsiTheme="majorBidi" w:cstheme="majorBidi"/>
        </w:rPr>
        <w:lastRenderedPageBreak/>
        <w:t xml:space="preserve">groups in whom </w:t>
      </w:r>
      <w:r w:rsidR="00FE2007">
        <w:rPr>
          <w:rFonts w:asciiTheme="majorBidi" w:hAnsiTheme="majorBidi" w:cstheme="majorBidi"/>
        </w:rPr>
        <w:t>CAZ-AVI</w:t>
      </w:r>
      <w:r w:rsidRPr="003306F4">
        <w:rPr>
          <w:rFonts w:asciiTheme="majorBidi" w:hAnsiTheme="majorBidi" w:cstheme="majorBidi"/>
        </w:rPr>
        <w:t xml:space="preserve"> may offer significant improvements in </w:t>
      </w:r>
      <w:proofErr w:type="spellStart"/>
      <w:r w:rsidRPr="003306F4">
        <w:rPr>
          <w:rFonts w:asciiTheme="majorBidi" w:hAnsiTheme="majorBidi" w:cstheme="majorBidi"/>
        </w:rPr>
        <w:t>HRQoL</w:t>
      </w:r>
      <w:proofErr w:type="spellEnd"/>
      <w:r w:rsidRPr="003306F4">
        <w:rPr>
          <w:rFonts w:asciiTheme="majorBidi" w:hAnsiTheme="majorBidi" w:cstheme="majorBidi"/>
        </w:rPr>
        <w:t xml:space="preserve"> and mortality compared to existing therapies. </w:t>
      </w:r>
    </w:p>
    <w:p w14:paraId="1C4361D5" w14:textId="77777777" w:rsidR="00A4788F" w:rsidRPr="003306F4" w:rsidRDefault="00A4788F" w:rsidP="00A4788F">
      <w:pPr>
        <w:spacing w:line="360" w:lineRule="auto"/>
        <w:jc w:val="both"/>
        <w:rPr>
          <w:rFonts w:asciiTheme="majorBidi" w:hAnsiTheme="majorBidi" w:cstheme="majorBidi"/>
        </w:rPr>
      </w:pPr>
    </w:p>
    <w:p w14:paraId="600CEE10" w14:textId="3E9C5137" w:rsidR="00A4788F" w:rsidRPr="003306F4" w:rsidRDefault="00A4788F" w:rsidP="00A325FF">
      <w:pPr>
        <w:spacing w:after="0" w:line="360" w:lineRule="auto"/>
        <w:jc w:val="both"/>
        <w:rPr>
          <w:rFonts w:asciiTheme="majorBidi" w:hAnsiTheme="majorBidi" w:cstheme="majorBidi"/>
        </w:rPr>
      </w:pPr>
      <w:r w:rsidRPr="003306F4">
        <w:rPr>
          <w:rFonts w:asciiTheme="majorBidi" w:hAnsiTheme="majorBidi" w:cstheme="majorBidi"/>
        </w:rPr>
        <w:t xml:space="preserve">Following this, for those areas of usage considered by the clinical advisors and study team to be most significant in terms of population size and potential impact on INHEs, we have quantified the likely size of the populations who would receive </w:t>
      </w:r>
      <w:r w:rsidR="00FE2007">
        <w:rPr>
          <w:rFonts w:asciiTheme="majorBidi" w:hAnsiTheme="majorBidi" w:cstheme="majorBidi"/>
        </w:rPr>
        <w:t>CAZ-AVI</w:t>
      </w:r>
      <w:r w:rsidRPr="003306F4">
        <w:rPr>
          <w:rFonts w:asciiTheme="majorBidi" w:hAnsiTheme="majorBidi" w:cstheme="majorBidi"/>
        </w:rPr>
        <w:t>. This is based on data from PHE, where available, and supplemented by data from the literature and expert opinion where necessary. These estimates are then used to rescale the population INHEs from the HVCS.</w:t>
      </w:r>
    </w:p>
    <w:p w14:paraId="3A795E41" w14:textId="0D7AEAA6" w:rsidR="00A4788F" w:rsidRPr="007E0A82" w:rsidRDefault="00A4788F" w:rsidP="00794B4E">
      <w:pPr>
        <w:pStyle w:val="EEPRUnumberedlevel4"/>
        <w:tabs>
          <w:tab w:val="left" w:pos="2694"/>
        </w:tabs>
        <w:ind w:left="2268" w:firstLine="0"/>
      </w:pPr>
      <w:r>
        <w:t xml:space="preserve"> </w:t>
      </w:r>
      <w:bookmarkStart w:id="475" w:name="_Toc85194076"/>
      <w:bookmarkStart w:id="476" w:name="_Toc87463053"/>
      <w:r w:rsidR="00AF0F42" w:rsidRPr="004B666A">
        <w:t xml:space="preserve">7.5.2.6 </w:t>
      </w:r>
      <w:r w:rsidRPr="007E0A82">
        <w:t>Areas of expected usage</w:t>
      </w:r>
      <w:bookmarkEnd w:id="475"/>
      <w:bookmarkEnd w:id="476"/>
    </w:p>
    <w:p w14:paraId="5D21C026" w14:textId="77777777" w:rsidR="00A4788F" w:rsidRPr="00AA4801" w:rsidRDefault="00A4788F" w:rsidP="00A4788F">
      <w:pPr>
        <w:spacing w:line="360" w:lineRule="auto"/>
        <w:jc w:val="both"/>
        <w:rPr>
          <w:rFonts w:ascii="Times New Roman" w:hAnsi="Times New Roman" w:cs="Times New Roman"/>
          <w:i/>
        </w:rPr>
      </w:pPr>
      <w:r w:rsidRPr="00AA4801">
        <w:rPr>
          <w:rFonts w:ascii="Times New Roman" w:hAnsi="Times New Roman" w:cs="Times New Roman"/>
          <w:i/>
        </w:rPr>
        <w:t>Infection sites and patient characteristics</w:t>
      </w:r>
    </w:p>
    <w:p w14:paraId="72D55827" w14:textId="72522BFF" w:rsidR="00A4788F" w:rsidRPr="003306F4" w:rsidRDefault="00A4788F" w:rsidP="00A4788F">
      <w:pPr>
        <w:spacing w:after="0" w:line="360" w:lineRule="auto"/>
        <w:jc w:val="both"/>
        <w:rPr>
          <w:rFonts w:asciiTheme="majorBidi" w:hAnsiTheme="majorBidi" w:cstheme="majorBidi"/>
          <w:highlight w:val="green"/>
        </w:rPr>
      </w:pPr>
      <w:r w:rsidRPr="003306F4">
        <w:rPr>
          <w:rFonts w:asciiTheme="majorBidi" w:hAnsiTheme="majorBidi" w:cstheme="majorBidi"/>
        </w:rPr>
        <w:t>Outside of the HVCS</w:t>
      </w:r>
      <w:r w:rsidR="00AA4801">
        <w:rPr>
          <w:rFonts w:asciiTheme="majorBidi" w:hAnsiTheme="majorBidi" w:cstheme="majorBidi"/>
        </w:rPr>
        <w:t>s,</w:t>
      </w:r>
      <w:r w:rsidRPr="003306F4">
        <w:rPr>
          <w:rFonts w:asciiTheme="majorBidi" w:hAnsiTheme="majorBidi" w:cstheme="majorBidi"/>
        </w:rPr>
        <w:t xml:space="preserve"> the following infection sites </w:t>
      </w:r>
      <w:proofErr w:type="gramStart"/>
      <w:r w:rsidRPr="003306F4">
        <w:rPr>
          <w:rFonts w:asciiTheme="majorBidi" w:hAnsiTheme="majorBidi" w:cstheme="majorBidi"/>
        </w:rPr>
        <w:t>were considered to be</w:t>
      </w:r>
      <w:proofErr w:type="gramEnd"/>
      <w:r w:rsidRPr="003306F4">
        <w:rPr>
          <w:rFonts w:asciiTheme="majorBidi" w:hAnsiTheme="majorBidi" w:cstheme="majorBidi"/>
        </w:rPr>
        <w:t xml:space="preserve"> most important in driving expected usage and </w:t>
      </w:r>
      <w:r w:rsidR="00AA4801">
        <w:rPr>
          <w:rFonts w:asciiTheme="majorBidi" w:hAnsiTheme="majorBidi" w:cstheme="majorBidi"/>
        </w:rPr>
        <w:t>I</w:t>
      </w:r>
      <w:r w:rsidRPr="003306F4">
        <w:rPr>
          <w:rFonts w:asciiTheme="majorBidi" w:hAnsiTheme="majorBidi" w:cstheme="majorBidi"/>
        </w:rPr>
        <w:t xml:space="preserve">NHEs: bloodstream infections (BSI) and intrabdominal infections (IAI). Our clinical advisors emphasised the importance of </w:t>
      </w:r>
      <w:r w:rsidR="00FE2007">
        <w:rPr>
          <w:rFonts w:asciiTheme="majorBidi" w:hAnsiTheme="majorBidi" w:cstheme="majorBidi"/>
        </w:rPr>
        <w:t>CAZ-AVI</w:t>
      </w:r>
      <w:r w:rsidRPr="003306F4">
        <w:rPr>
          <w:rFonts w:asciiTheme="majorBidi" w:hAnsiTheme="majorBidi" w:cstheme="majorBidi"/>
        </w:rPr>
        <w:t xml:space="preserve"> in treating BSIs. The incremental value of </w:t>
      </w:r>
      <w:r w:rsidR="00FE2007">
        <w:rPr>
          <w:rFonts w:asciiTheme="majorBidi" w:hAnsiTheme="majorBidi" w:cstheme="majorBidi"/>
        </w:rPr>
        <w:t>CAZ-AVI</w:t>
      </w:r>
      <w:r w:rsidRPr="003306F4">
        <w:rPr>
          <w:rFonts w:asciiTheme="majorBidi" w:hAnsiTheme="majorBidi" w:cstheme="majorBidi"/>
        </w:rPr>
        <w:t xml:space="preserve"> (and AMs in general) in IAI is less clear as the quality of surgical procedures used to manage IAI was considered more important than the choice of AM and identifying MDR infections is more challenging. The clinical advisors also emphasised the importance of </w:t>
      </w:r>
      <w:r w:rsidR="00FE2007">
        <w:rPr>
          <w:rFonts w:asciiTheme="majorBidi" w:hAnsiTheme="majorBidi" w:cstheme="majorBidi"/>
        </w:rPr>
        <w:t>CAZ-AVI</w:t>
      </w:r>
      <w:r w:rsidRPr="003306F4">
        <w:rPr>
          <w:rFonts w:asciiTheme="majorBidi" w:hAnsiTheme="majorBidi" w:cstheme="majorBidi"/>
        </w:rPr>
        <w:t xml:space="preserve"> in treating patients who are immunocompromised (</w:t>
      </w:r>
      <w:r w:rsidR="00AA4801" w:rsidRPr="003306F4">
        <w:rPr>
          <w:rFonts w:asciiTheme="majorBidi" w:hAnsiTheme="majorBidi" w:cstheme="majorBidi"/>
        </w:rPr>
        <w:t>e.g.,</w:t>
      </w:r>
      <w:r w:rsidRPr="003306F4">
        <w:rPr>
          <w:rFonts w:asciiTheme="majorBidi" w:hAnsiTheme="majorBidi" w:cstheme="majorBidi"/>
        </w:rPr>
        <w:t xml:space="preserve"> haematology, transplant), patients with cystic fibrosis and patients with burn injuries who are predisposed to acquiring resistant infections. In immunocompromised patients, BSIs are of particular concern, while in patients with cystic fibrosis, chronic respiratory infections are of particular concern. Patients with a higher propensity for renal complications and those with renal impairment may receive more significant benefits from </w:t>
      </w:r>
      <w:r w:rsidR="00FE2007">
        <w:rPr>
          <w:rFonts w:asciiTheme="majorBidi" w:hAnsiTheme="majorBidi" w:cstheme="majorBidi"/>
        </w:rPr>
        <w:t>CAZ-AVI</w:t>
      </w:r>
      <w:r w:rsidRPr="003306F4">
        <w:rPr>
          <w:rFonts w:asciiTheme="majorBidi" w:hAnsiTheme="majorBidi" w:cstheme="majorBidi"/>
        </w:rPr>
        <w:t>, as renal complications may rule out or increase the toxicity of agents that remain effective in treating MDR infections (</w:t>
      </w:r>
      <w:r w:rsidR="007F3C23" w:rsidRPr="003306F4">
        <w:rPr>
          <w:rFonts w:asciiTheme="majorBidi" w:hAnsiTheme="majorBidi" w:cstheme="majorBidi"/>
        </w:rPr>
        <w:t>i.e.,</w:t>
      </w:r>
      <w:r w:rsidRPr="003306F4">
        <w:rPr>
          <w:rFonts w:asciiTheme="majorBidi" w:hAnsiTheme="majorBidi" w:cstheme="majorBidi"/>
        </w:rPr>
        <w:t xml:space="preserve"> colistin, aminoglycosides). Other sites of infection discussed by the manufacturer were skin and soft-tissue, bone and joint, and meningitis. The clinical advisors considered that MDR infections at these sites would be very rare. </w:t>
      </w:r>
    </w:p>
    <w:p w14:paraId="7DA3D503" w14:textId="77777777" w:rsidR="00A4788F" w:rsidRDefault="00A4788F" w:rsidP="00A4788F">
      <w:pPr>
        <w:spacing w:line="360" w:lineRule="auto"/>
        <w:jc w:val="both"/>
        <w:rPr>
          <w:highlight w:val="green"/>
        </w:rPr>
      </w:pPr>
    </w:p>
    <w:p w14:paraId="112FD63E" w14:textId="77777777" w:rsidR="00A4788F" w:rsidRPr="007F3C23" w:rsidRDefault="00A4788F" w:rsidP="00A4788F">
      <w:pPr>
        <w:spacing w:line="360" w:lineRule="auto"/>
        <w:jc w:val="both"/>
        <w:rPr>
          <w:rFonts w:ascii="Times New Roman" w:hAnsi="Times New Roman" w:cs="Times New Roman"/>
          <w:i/>
        </w:rPr>
      </w:pPr>
      <w:r w:rsidRPr="007F3C23">
        <w:rPr>
          <w:rFonts w:ascii="Times New Roman" w:hAnsi="Times New Roman" w:cs="Times New Roman"/>
          <w:i/>
        </w:rPr>
        <w:t xml:space="preserve">MDR pathogens/mechanisms </w:t>
      </w:r>
    </w:p>
    <w:p w14:paraId="3FAE2F75" w14:textId="63051BAA" w:rsidR="00A4788F" w:rsidRPr="003306F4" w:rsidRDefault="00A4788F" w:rsidP="00A4788F">
      <w:pPr>
        <w:spacing w:line="360" w:lineRule="auto"/>
        <w:jc w:val="both"/>
        <w:rPr>
          <w:rFonts w:asciiTheme="majorBidi" w:hAnsiTheme="majorBidi" w:cstheme="majorBidi"/>
        </w:rPr>
      </w:pPr>
      <w:r w:rsidRPr="003306F4">
        <w:rPr>
          <w:rFonts w:asciiTheme="majorBidi" w:hAnsiTheme="majorBidi" w:cstheme="majorBidi"/>
        </w:rPr>
        <w:t xml:space="preserve">Outside of the HVCSs the following </w:t>
      </w:r>
      <w:r w:rsidR="00AE639B">
        <w:rPr>
          <w:rFonts w:asciiTheme="majorBidi" w:hAnsiTheme="majorBidi" w:cstheme="majorBidi"/>
        </w:rPr>
        <w:t>pathogen-mechanism</w:t>
      </w:r>
      <w:r w:rsidRPr="003306F4">
        <w:rPr>
          <w:rFonts w:asciiTheme="majorBidi" w:hAnsiTheme="majorBidi" w:cstheme="majorBidi"/>
        </w:rPr>
        <w:t xml:space="preserve"> combinations were discussed as relevant areas for usage for CAZ/AVI: </w:t>
      </w:r>
    </w:p>
    <w:p w14:paraId="185F653C" w14:textId="1A800823" w:rsidR="00A4788F" w:rsidRPr="003306F4" w:rsidRDefault="00A4788F" w:rsidP="005A3BE6">
      <w:pPr>
        <w:pStyle w:val="ListParagraph"/>
        <w:numPr>
          <w:ilvl w:val="0"/>
          <w:numId w:val="48"/>
        </w:numPr>
        <w:spacing w:line="360" w:lineRule="auto"/>
        <w:jc w:val="both"/>
        <w:rPr>
          <w:rFonts w:asciiTheme="majorBidi" w:hAnsiTheme="majorBidi" w:cstheme="majorBidi"/>
        </w:rPr>
      </w:pPr>
      <w:r w:rsidRPr="003306F4">
        <w:rPr>
          <w:rFonts w:asciiTheme="majorBidi" w:hAnsiTheme="majorBidi" w:cstheme="majorBidi"/>
        </w:rPr>
        <w:t>Non-MBL pseudomonas</w:t>
      </w:r>
      <w:r w:rsidR="007F3C23">
        <w:rPr>
          <w:rFonts w:asciiTheme="majorBidi" w:hAnsiTheme="majorBidi" w:cstheme="majorBidi"/>
        </w:rPr>
        <w:t>.</w:t>
      </w:r>
    </w:p>
    <w:p w14:paraId="1EBB7E73" w14:textId="518E38CC" w:rsidR="00A4788F" w:rsidRPr="003306F4" w:rsidRDefault="00A4788F" w:rsidP="005A3BE6">
      <w:pPr>
        <w:pStyle w:val="ListParagraph"/>
        <w:numPr>
          <w:ilvl w:val="0"/>
          <w:numId w:val="48"/>
        </w:numPr>
        <w:spacing w:line="360" w:lineRule="auto"/>
        <w:jc w:val="both"/>
        <w:rPr>
          <w:rFonts w:asciiTheme="majorBidi" w:hAnsiTheme="majorBidi" w:cstheme="majorBidi"/>
        </w:rPr>
      </w:pPr>
      <w:r w:rsidRPr="003306F4">
        <w:rPr>
          <w:rFonts w:asciiTheme="majorBidi" w:hAnsiTheme="majorBidi" w:cstheme="majorBidi"/>
        </w:rPr>
        <w:t xml:space="preserve">Pathogens with other serine </w:t>
      </w:r>
      <w:proofErr w:type="spellStart"/>
      <w:r w:rsidRPr="003306F4">
        <w:rPr>
          <w:rFonts w:asciiTheme="majorBidi" w:hAnsiTheme="majorBidi" w:cstheme="majorBidi"/>
        </w:rPr>
        <w:t>carbapenemases</w:t>
      </w:r>
      <w:proofErr w:type="spellEnd"/>
      <w:r w:rsidRPr="003306F4">
        <w:rPr>
          <w:rFonts w:asciiTheme="majorBidi" w:hAnsiTheme="majorBidi" w:cstheme="majorBidi"/>
        </w:rPr>
        <w:t xml:space="preserve"> (</w:t>
      </w:r>
      <w:r w:rsidR="007F3C23" w:rsidRPr="003306F4">
        <w:rPr>
          <w:rFonts w:asciiTheme="majorBidi" w:hAnsiTheme="majorBidi" w:cstheme="majorBidi"/>
        </w:rPr>
        <w:t>e.g.,</w:t>
      </w:r>
      <w:r w:rsidRPr="003306F4">
        <w:rPr>
          <w:rFonts w:asciiTheme="majorBidi" w:hAnsiTheme="majorBidi" w:cstheme="majorBidi"/>
        </w:rPr>
        <w:t xml:space="preserve"> KPC) or non-</w:t>
      </w:r>
      <w:proofErr w:type="spellStart"/>
      <w:r w:rsidRPr="003306F4">
        <w:rPr>
          <w:rFonts w:asciiTheme="majorBidi" w:hAnsiTheme="majorBidi" w:cstheme="majorBidi"/>
        </w:rPr>
        <w:t>carbapenemase</w:t>
      </w:r>
      <w:proofErr w:type="spellEnd"/>
      <w:r w:rsidRPr="003306F4">
        <w:rPr>
          <w:rFonts w:asciiTheme="majorBidi" w:hAnsiTheme="majorBidi" w:cstheme="majorBidi"/>
        </w:rPr>
        <w:t xml:space="preserve"> causes of carbapenem resistance (</w:t>
      </w:r>
      <w:proofErr w:type="gramStart"/>
      <w:r w:rsidRPr="003306F4">
        <w:rPr>
          <w:rFonts w:asciiTheme="majorBidi" w:hAnsiTheme="majorBidi" w:cstheme="majorBidi"/>
        </w:rPr>
        <w:t>e.g.</w:t>
      </w:r>
      <w:proofErr w:type="gramEnd"/>
      <w:r w:rsidRPr="003306F4">
        <w:rPr>
          <w:rFonts w:asciiTheme="majorBidi" w:hAnsiTheme="majorBidi" w:cstheme="majorBidi"/>
        </w:rPr>
        <w:t xml:space="preserve"> porin and efflux pump mechanisms).</w:t>
      </w:r>
    </w:p>
    <w:p w14:paraId="19EEB87A" w14:textId="5601C353"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lastRenderedPageBreak/>
        <w:t xml:space="preserve">Our clinical advisors considered that, in </w:t>
      </w:r>
      <w:proofErr w:type="gramStart"/>
      <w:r w:rsidRPr="003306F4">
        <w:rPr>
          <w:rFonts w:asciiTheme="majorBidi" w:hAnsiTheme="majorBidi" w:cstheme="majorBidi"/>
        </w:rPr>
        <w:t>both of these</w:t>
      </w:r>
      <w:proofErr w:type="gramEnd"/>
      <w:r w:rsidRPr="003306F4">
        <w:rPr>
          <w:rFonts w:asciiTheme="majorBidi" w:hAnsiTheme="majorBidi" w:cstheme="majorBidi"/>
        </w:rPr>
        <w:t xml:space="preserve"> </w:t>
      </w:r>
      <w:r w:rsidR="00AE639B">
        <w:rPr>
          <w:rFonts w:asciiTheme="majorBidi" w:hAnsiTheme="majorBidi" w:cstheme="majorBidi"/>
        </w:rPr>
        <w:t>pathogen-mechanism</w:t>
      </w:r>
      <w:r w:rsidRPr="003306F4">
        <w:rPr>
          <w:rFonts w:asciiTheme="majorBidi" w:hAnsiTheme="majorBidi" w:cstheme="majorBidi"/>
        </w:rPr>
        <w:t xml:space="preserve"> combinations, patients had available other treatment options and that they were not</w:t>
      </w:r>
      <w:r w:rsidR="007F3C23">
        <w:rPr>
          <w:rFonts w:asciiTheme="majorBidi" w:hAnsiTheme="majorBidi" w:cstheme="majorBidi"/>
        </w:rPr>
        <w:t>,</w:t>
      </w:r>
      <w:r w:rsidRPr="003306F4">
        <w:rPr>
          <w:rFonts w:asciiTheme="majorBidi" w:hAnsiTheme="majorBidi" w:cstheme="majorBidi"/>
        </w:rPr>
        <w:t xml:space="preserve"> therefore</w:t>
      </w:r>
      <w:r w:rsidR="007F3C23">
        <w:rPr>
          <w:rFonts w:asciiTheme="majorBidi" w:hAnsiTheme="majorBidi" w:cstheme="majorBidi"/>
        </w:rPr>
        <w:t>,</w:t>
      </w:r>
      <w:r w:rsidRPr="003306F4">
        <w:rPr>
          <w:rFonts w:asciiTheme="majorBidi" w:hAnsiTheme="majorBidi" w:cstheme="majorBidi"/>
        </w:rPr>
        <w:t xml:space="preserve"> a priority area of usage for CAZ-AVI. The exception to this was infections that were MDR due to multiple types of carbapenem resistance (</w:t>
      </w:r>
      <w:r w:rsidR="007F3C23" w:rsidRPr="003306F4">
        <w:rPr>
          <w:rFonts w:asciiTheme="majorBidi" w:hAnsiTheme="majorBidi" w:cstheme="majorBidi"/>
        </w:rPr>
        <w:t>e.g.,</w:t>
      </w:r>
      <w:r w:rsidRPr="003306F4">
        <w:rPr>
          <w:rFonts w:asciiTheme="majorBidi" w:hAnsiTheme="majorBidi" w:cstheme="majorBidi"/>
        </w:rPr>
        <w:t xml:space="preserve"> serine, porin and efflux pump) in whom CAZ-AVI may represent an important treatment option. </w:t>
      </w:r>
    </w:p>
    <w:p w14:paraId="2CA09A60" w14:textId="77777777" w:rsidR="003306F4" w:rsidRDefault="003306F4" w:rsidP="00A4788F">
      <w:pPr>
        <w:pStyle w:val="NormalWeb"/>
        <w:spacing w:before="0" w:beforeAutospacing="0" w:after="0" w:afterAutospacing="0" w:line="360" w:lineRule="auto"/>
        <w:jc w:val="both"/>
        <w:textAlignment w:val="baseline"/>
        <w:rPr>
          <w:rFonts w:eastAsiaTheme="minorHAnsi"/>
          <w:i/>
          <w:sz w:val="22"/>
          <w:szCs w:val="22"/>
          <w:lang w:eastAsia="en-US"/>
        </w:rPr>
      </w:pPr>
    </w:p>
    <w:p w14:paraId="7464A334" w14:textId="655FF0AA" w:rsidR="00A4788F" w:rsidRPr="003306F4" w:rsidRDefault="00A4788F" w:rsidP="00A4788F">
      <w:pPr>
        <w:pStyle w:val="NormalWeb"/>
        <w:spacing w:before="0" w:beforeAutospacing="0" w:after="0" w:afterAutospacing="0" w:line="360" w:lineRule="auto"/>
        <w:jc w:val="both"/>
        <w:textAlignment w:val="baseline"/>
        <w:rPr>
          <w:rFonts w:eastAsiaTheme="minorHAnsi"/>
          <w:b/>
          <w:bCs/>
          <w:i/>
          <w:sz w:val="22"/>
          <w:szCs w:val="22"/>
          <w:lang w:eastAsia="en-US"/>
        </w:rPr>
      </w:pPr>
      <w:r w:rsidRPr="003306F4">
        <w:rPr>
          <w:rFonts w:eastAsiaTheme="minorHAnsi"/>
          <w:b/>
          <w:bCs/>
          <w:i/>
          <w:sz w:val="22"/>
          <w:szCs w:val="22"/>
          <w:lang w:eastAsia="en-US"/>
        </w:rPr>
        <w:t xml:space="preserve">Empiric usage </w:t>
      </w:r>
    </w:p>
    <w:p w14:paraId="53D60696" w14:textId="36794B8C" w:rsidR="00A4788F" w:rsidRDefault="007F3C23" w:rsidP="00A4788F">
      <w:pPr>
        <w:pStyle w:val="NormalWeb"/>
        <w:spacing w:before="0" w:beforeAutospacing="0" w:after="0" w:afterAutospacing="0" w:line="360" w:lineRule="auto"/>
        <w:jc w:val="both"/>
        <w:textAlignment w:val="baseline"/>
        <w:rPr>
          <w:rFonts w:eastAsiaTheme="minorHAnsi"/>
          <w:sz w:val="22"/>
          <w:szCs w:val="22"/>
          <w:lang w:eastAsia="en-US"/>
        </w:rPr>
      </w:pPr>
      <w:r w:rsidRPr="00A04332">
        <w:rPr>
          <w:rFonts w:eastAsiaTheme="minorHAnsi"/>
          <w:sz w:val="22"/>
          <w:szCs w:val="22"/>
          <w:lang w:eastAsia="en-US"/>
        </w:rPr>
        <w:t>During</w:t>
      </w:r>
      <w:r w:rsidR="00A4788F" w:rsidRPr="00A04332">
        <w:rPr>
          <w:rFonts w:eastAsiaTheme="minorHAnsi"/>
          <w:sz w:val="22"/>
          <w:szCs w:val="22"/>
          <w:lang w:eastAsia="en-US"/>
        </w:rPr>
        <w:t xml:space="preserve"> </w:t>
      </w:r>
      <w:r>
        <w:rPr>
          <w:rFonts w:eastAsiaTheme="minorHAnsi"/>
          <w:sz w:val="22"/>
          <w:szCs w:val="22"/>
          <w:lang w:eastAsia="en-US"/>
        </w:rPr>
        <w:t>these evaluations</w:t>
      </w:r>
      <w:r w:rsidR="00A4788F" w:rsidRPr="00A04332">
        <w:rPr>
          <w:rFonts w:eastAsiaTheme="minorHAnsi"/>
          <w:sz w:val="22"/>
          <w:szCs w:val="22"/>
          <w:lang w:eastAsia="en-US"/>
        </w:rPr>
        <w:t xml:space="preserve"> there was </w:t>
      </w:r>
      <w:r w:rsidR="00A4788F">
        <w:rPr>
          <w:rFonts w:eastAsiaTheme="minorHAnsi"/>
          <w:sz w:val="22"/>
          <w:szCs w:val="22"/>
          <w:lang w:eastAsia="en-US"/>
        </w:rPr>
        <w:t>substantial debate about</w:t>
      </w:r>
      <w:r w:rsidR="00A4788F" w:rsidRPr="00A04332">
        <w:rPr>
          <w:rFonts w:eastAsiaTheme="minorHAnsi"/>
          <w:sz w:val="22"/>
          <w:szCs w:val="22"/>
          <w:lang w:eastAsia="en-US"/>
        </w:rPr>
        <w:t xml:space="preserve"> the appropriate definition of the </w:t>
      </w:r>
      <w:r w:rsidR="008E4948">
        <w:rPr>
          <w:rFonts w:eastAsiaTheme="minorHAnsi"/>
          <w:sz w:val="22"/>
          <w:szCs w:val="22"/>
          <w:lang w:eastAsia="en-US"/>
        </w:rPr>
        <w:t>ES</w:t>
      </w:r>
      <w:r w:rsidR="00A4788F" w:rsidRPr="00A04332">
        <w:rPr>
          <w:rFonts w:eastAsiaTheme="minorHAnsi"/>
          <w:sz w:val="22"/>
          <w:szCs w:val="22"/>
          <w:lang w:eastAsia="en-US"/>
        </w:rPr>
        <w:t xml:space="preserve">. Stakeholders were broadly aligned that the risk-based </w:t>
      </w:r>
      <w:r w:rsidR="008E4948">
        <w:rPr>
          <w:rFonts w:eastAsiaTheme="minorHAnsi"/>
          <w:sz w:val="22"/>
          <w:szCs w:val="22"/>
          <w:lang w:eastAsia="en-US"/>
        </w:rPr>
        <w:t>ES</w:t>
      </w:r>
      <w:r w:rsidR="00A4788F" w:rsidRPr="00A04332">
        <w:rPr>
          <w:rFonts w:eastAsiaTheme="minorHAnsi"/>
          <w:sz w:val="22"/>
          <w:szCs w:val="22"/>
          <w:lang w:eastAsia="en-US"/>
        </w:rPr>
        <w:t xml:space="preserve"> should be driven by the severity of the clinical scenario rather than the site of infection alone.  </w:t>
      </w:r>
    </w:p>
    <w:p w14:paraId="54C79CB4" w14:textId="77777777" w:rsidR="00A4788F" w:rsidRDefault="00A4788F" w:rsidP="00A4788F">
      <w:pPr>
        <w:pStyle w:val="NormalWeb"/>
        <w:spacing w:before="0" w:beforeAutospacing="0" w:after="0" w:afterAutospacing="0" w:line="360" w:lineRule="auto"/>
        <w:jc w:val="both"/>
        <w:textAlignment w:val="baseline"/>
        <w:rPr>
          <w:rFonts w:eastAsiaTheme="minorHAnsi"/>
          <w:sz w:val="22"/>
          <w:szCs w:val="22"/>
          <w:lang w:eastAsia="en-US"/>
        </w:rPr>
      </w:pPr>
    </w:p>
    <w:p w14:paraId="08D39B08" w14:textId="656F1502" w:rsidR="00A4788F" w:rsidRPr="00A04332" w:rsidRDefault="00A4788F" w:rsidP="00A325FF">
      <w:pPr>
        <w:pStyle w:val="NormalWeb"/>
        <w:spacing w:before="0" w:beforeAutospacing="0" w:after="0" w:afterAutospacing="0" w:line="360" w:lineRule="auto"/>
        <w:jc w:val="both"/>
        <w:textAlignment w:val="baseline"/>
        <w:rPr>
          <w:rFonts w:eastAsiaTheme="minorHAnsi"/>
          <w:sz w:val="22"/>
          <w:szCs w:val="22"/>
          <w:lang w:eastAsia="en-US"/>
        </w:rPr>
      </w:pPr>
      <w:r w:rsidRPr="00A04332">
        <w:rPr>
          <w:rFonts w:eastAsiaTheme="minorHAnsi"/>
          <w:sz w:val="22"/>
          <w:szCs w:val="22"/>
          <w:lang w:eastAsia="en-US"/>
        </w:rPr>
        <w:t>The manufacturer and the clinical advisors to this project presented differing perspectives on how to define a</w:t>
      </w:r>
      <w:r>
        <w:rPr>
          <w:rFonts w:eastAsiaTheme="minorHAnsi"/>
          <w:sz w:val="22"/>
          <w:szCs w:val="22"/>
          <w:lang w:eastAsia="en-US"/>
        </w:rPr>
        <w:t xml:space="preserve"> patient as at</w:t>
      </w:r>
      <w:r w:rsidRPr="00A04332">
        <w:rPr>
          <w:rFonts w:eastAsiaTheme="minorHAnsi"/>
          <w:sz w:val="22"/>
          <w:szCs w:val="22"/>
          <w:lang w:eastAsia="en-US"/>
        </w:rPr>
        <w:t xml:space="preserve"> high risk of carbapenem-resistance for the purposes of identifying patients that might appropriately receive risk-based empiric treatment</w:t>
      </w:r>
      <w:r>
        <w:rPr>
          <w:rFonts w:eastAsiaTheme="minorHAnsi"/>
          <w:sz w:val="22"/>
          <w:szCs w:val="22"/>
          <w:lang w:eastAsia="en-US"/>
        </w:rPr>
        <w:t xml:space="preserve"> with </w:t>
      </w:r>
      <w:r w:rsidR="00FE2007">
        <w:rPr>
          <w:rFonts w:eastAsiaTheme="minorHAnsi"/>
          <w:sz w:val="22"/>
          <w:szCs w:val="22"/>
          <w:lang w:eastAsia="en-US"/>
        </w:rPr>
        <w:t>CAZ-AVI</w:t>
      </w:r>
      <w:r w:rsidRPr="00A04332">
        <w:rPr>
          <w:rFonts w:eastAsiaTheme="minorHAnsi"/>
          <w:sz w:val="22"/>
          <w:szCs w:val="22"/>
          <w:lang w:eastAsia="en-US"/>
        </w:rPr>
        <w:t>. As documented throughout this report</w:t>
      </w:r>
      <w:r>
        <w:rPr>
          <w:rFonts w:eastAsiaTheme="minorHAnsi"/>
          <w:sz w:val="22"/>
          <w:szCs w:val="22"/>
          <w:lang w:eastAsia="en-US"/>
        </w:rPr>
        <w:t>,</w:t>
      </w:r>
      <w:r w:rsidRPr="00A04332">
        <w:rPr>
          <w:rFonts w:eastAsiaTheme="minorHAnsi"/>
          <w:sz w:val="22"/>
          <w:szCs w:val="22"/>
          <w:lang w:eastAsia="en-US"/>
        </w:rPr>
        <w:t xml:space="preserve"> the clinical advisors to this project considered that it was appropriate to restrict usage in the ES to patients with a high risk of an infection caused </w:t>
      </w:r>
      <w:r w:rsidRPr="00A325FF">
        <w:rPr>
          <w:rFonts w:eastAsiaTheme="minorHAnsi"/>
          <w:sz w:val="22"/>
          <w:szCs w:val="22"/>
          <w:lang w:eastAsia="en-US"/>
        </w:rPr>
        <w:t xml:space="preserve">by </w:t>
      </w:r>
      <w:r w:rsidR="00FE2007">
        <w:rPr>
          <w:rFonts w:eastAsiaTheme="minorHAnsi"/>
          <w:sz w:val="22"/>
          <w:szCs w:val="22"/>
          <w:lang w:eastAsia="en-US"/>
        </w:rPr>
        <w:t xml:space="preserve">OXA-48 </w:t>
      </w:r>
      <w:proofErr w:type="spellStart"/>
      <w:r w:rsidR="00FE2007" w:rsidRPr="00FE2007">
        <w:rPr>
          <w:rFonts w:eastAsiaTheme="minorHAnsi"/>
          <w:i/>
          <w:iCs/>
          <w:sz w:val="22"/>
          <w:szCs w:val="22"/>
          <w:lang w:eastAsia="en-US"/>
        </w:rPr>
        <w:t>Enterobacterales</w:t>
      </w:r>
      <w:proofErr w:type="spellEnd"/>
      <w:r w:rsidRPr="00A04332">
        <w:rPr>
          <w:rFonts w:eastAsiaTheme="minorHAnsi"/>
          <w:sz w:val="22"/>
          <w:szCs w:val="22"/>
          <w:lang w:eastAsia="en-US"/>
        </w:rPr>
        <w:t xml:space="preserve"> where this high risk was based on one of three factors: </w:t>
      </w:r>
    </w:p>
    <w:p w14:paraId="38EF3C20" w14:textId="77777777" w:rsidR="00A4788F" w:rsidRDefault="00A4788F" w:rsidP="00A4788F">
      <w:pPr>
        <w:pStyle w:val="NormalWeb"/>
        <w:spacing w:before="0" w:beforeAutospacing="0" w:after="0" w:afterAutospacing="0" w:line="360" w:lineRule="auto"/>
        <w:jc w:val="both"/>
        <w:textAlignment w:val="baseline"/>
      </w:pPr>
    </w:p>
    <w:p w14:paraId="4CE276A2" w14:textId="77777777" w:rsidR="00A4788F" w:rsidRPr="003306F4" w:rsidRDefault="00A4788F" w:rsidP="005A3BE6">
      <w:pPr>
        <w:numPr>
          <w:ilvl w:val="0"/>
          <w:numId w:val="49"/>
        </w:numPr>
        <w:spacing w:after="0" w:line="360" w:lineRule="auto"/>
        <w:ind w:left="1440"/>
        <w:jc w:val="both"/>
        <w:textAlignment w:val="baseline"/>
        <w:rPr>
          <w:rFonts w:asciiTheme="majorBidi" w:eastAsia="Times New Roman" w:hAnsiTheme="majorBidi" w:cstheme="majorBidi"/>
          <w:color w:val="000000"/>
          <w:lang w:eastAsia="en-GB"/>
        </w:rPr>
      </w:pPr>
      <w:r w:rsidRPr="003306F4">
        <w:rPr>
          <w:rFonts w:asciiTheme="majorBidi" w:eastAsia="Times New Roman" w:hAnsiTheme="majorBidi" w:cstheme="majorBidi"/>
          <w:color w:val="000000"/>
          <w:lang w:eastAsia="en-GB"/>
        </w:rPr>
        <w:t>The patient was previously hospitalised in a healthcare setting with high prevalence of CPE with OXA-48.</w:t>
      </w:r>
    </w:p>
    <w:p w14:paraId="26EE0AFB" w14:textId="7C05C17F" w:rsidR="00A4788F" w:rsidRPr="003306F4" w:rsidRDefault="00A4788F" w:rsidP="005A3BE6">
      <w:pPr>
        <w:numPr>
          <w:ilvl w:val="0"/>
          <w:numId w:val="49"/>
        </w:numPr>
        <w:spacing w:after="0" w:line="360" w:lineRule="auto"/>
        <w:ind w:left="1440"/>
        <w:jc w:val="both"/>
        <w:textAlignment w:val="baseline"/>
        <w:rPr>
          <w:rFonts w:asciiTheme="majorBidi" w:eastAsia="Times New Roman" w:hAnsiTheme="majorBidi" w:cstheme="majorBidi"/>
          <w:color w:val="000000"/>
          <w:lang w:eastAsia="en-GB"/>
        </w:rPr>
      </w:pPr>
      <w:r w:rsidRPr="003306F4">
        <w:rPr>
          <w:rFonts w:asciiTheme="majorBidi" w:eastAsia="Times New Roman" w:hAnsiTheme="majorBidi" w:cstheme="majorBidi"/>
          <w:color w:val="000000"/>
          <w:lang w:eastAsia="en-GB"/>
        </w:rPr>
        <w:t>There ha</w:t>
      </w:r>
      <w:r w:rsidR="007F3C23">
        <w:rPr>
          <w:rFonts w:asciiTheme="majorBidi" w:eastAsia="Times New Roman" w:hAnsiTheme="majorBidi" w:cstheme="majorBidi"/>
          <w:color w:val="000000"/>
          <w:lang w:eastAsia="en-GB"/>
        </w:rPr>
        <w:t>d</w:t>
      </w:r>
      <w:r w:rsidRPr="003306F4">
        <w:rPr>
          <w:rFonts w:asciiTheme="majorBidi" w:eastAsia="Times New Roman" w:hAnsiTheme="majorBidi" w:cstheme="majorBidi"/>
          <w:color w:val="000000"/>
          <w:lang w:eastAsia="en-GB"/>
        </w:rPr>
        <w:t xml:space="preserve"> been an outbreak of infection with CPE with OXA-48 on a ward where the patient has stayed during their current admission.</w:t>
      </w:r>
    </w:p>
    <w:p w14:paraId="152808C4" w14:textId="77777777" w:rsidR="00A4788F" w:rsidRPr="003306F4" w:rsidRDefault="00A4788F" w:rsidP="005A3BE6">
      <w:pPr>
        <w:numPr>
          <w:ilvl w:val="0"/>
          <w:numId w:val="49"/>
        </w:numPr>
        <w:spacing w:after="0" w:line="360" w:lineRule="auto"/>
        <w:ind w:left="1440"/>
        <w:jc w:val="both"/>
        <w:textAlignment w:val="baseline"/>
        <w:rPr>
          <w:rFonts w:asciiTheme="majorBidi" w:eastAsia="Times New Roman" w:hAnsiTheme="majorBidi" w:cstheme="majorBidi"/>
          <w:color w:val="000000"/>
          <w:lang w:eastAsia="en-GB"/>
        </w:rPr>
      </w:pPr>
      <w:r w:rsidRPr="003306F4">
        <w:rPr>
          <w:rFonts w:asciiTheme="majorBidi" w:eastAsia="Times New Roman" w:hAnsiTheme="majorBidi" w:cstheme="majorBidi"/>
          <w:color w:val="000000"/>
          <w:lang w:eastAsia="en-GB"/>
        </w:rPr>
        <w:t>Previous cultures (taken during the current or previous hospital stays) show that the patient was previously colonised/infected by CPE with OXA-48.</w:t>
      </w:r>
    </w:p>
    <w:p w14:paraId="3BE508EA" w14:textId="77777777" w:rsidR="00A4788F" w:rsidRPr="003306F4" w:rsidRDefault="00A4788F" w:rsidP="00A4788F">
      <w:pPr>
        <w:spacing w:line="360" w:lineRule="auto"/>
        <w:jc w:val="both"/>
        <w:rPr>
          <w:rFonts w:asciiTheme="majorBidi" w:hAnsiTheme="majorBidi" w:cstheme="majorBidi"/>
        </w:rPr>
      </w:pPr>
    </w:p>
    <w:p w14:paraId="44997850" w14:textId="77777777"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This view was based on the desire to restrict usage to those in whom benefit was most significant, thus controlling the emergence of resistance, the clinical advisors also expressed concerns that a broader definition could lead to stewardship challenges.   </w:t>
      </w:r>
    </w:p>
    <w:p w14:paraId="3B074950" w14:textId="77777777" w:rsidR="00A325FF" w:rsidRPr="003306F4" w:rsidRDefault="00A325FF" w:rsidP="00A4788F">
      <w:pPr>
        <w:spacing w:after="0" w:line="360" w:lineRule="auto"/>
        <w:jc w:val="both"/>
        <w:rPr>
          <w:rFonts w:asciiTheme="majorBidi" w:hAnsiTheme="majorBidi" w:cstheme="majorBidi"/>
        </w:rPr>
      </w:pPr>
    </w:p>
    <w:p w14:paraId="57B6C711" w14:textId="1A78A3AB" w:rsidR="00A4788F" w:rsidRPr="003306F4" w:rsidRDefault="00A4788F" w:rsidP="00A83123">
      <w:pPr>
        <w:tabs>
          <w:tab w:val="left" w:pos="1985"/>
        </w:tabs>
        <w:spacing w:after="0" w:line="360" w:lineRule="auto"/>
        <w:jc w:val="both"/>
        <w:rPr>
          <w:rFonts w:asciiTheme="majorBidi" w:hAnsiTheme="majorBidi" w:cstheme="majorBidi"/>
          <w:color w:val="FF0000"/>
        </w:rPr>
      </w:pPr>
      <w:r w:rsidRPr="003306F4">
        <w:rPr>
          <w:rFonts w:asciiTheme="majorBidi" w:hAnsiTheme="majorBidi" w:cstheme="majorBidi"/>
        </w:rPr>
        <w:t>The manufacturer considered a broader definition of patients at high risk of a drug-resistant infection. This included patients at risk of resistance due to “</w:t>
      </w:r>
      <w:r w:rsidRPr="003306F4">
        <w:rPr>
          <w:rFonts w:asciiTheme="majorBidi" w:hAnsiTheme="majorBidi" w:cstheme="majorBidi"/>
          <w:i/>
        </w:rPr>
        <w:t>previous admission to ICU, longer admission times, critical illness, use of invasive devices and prior antibiotic therapy including cephalosporin, carbapenem or fluoroquinolone use</w:t>
      </w:r>
      <w:r w:rsidRPr="003306F4">
        <w:rPr>
          <w:rFonts w:asciiTheme="majorBidi" w:hAnsiTheme="majorBidi" w:cstheme="majorBidi"/>
        </w:rPr>
        <w:t>” and “</w:t>
      </w:r>
      <w:r w:rsidRPr="003306F4">
        <w:rPr>
          <w:rFonts w:asciiTheme="majorBidi" w:hAnsiTheme="majorBidi" w:cstheme="majorBidi"/>
          <w:i/>
        </w:rPr>
        <w:t xml:space="preserve">symptoms or signs starting more than 5 days after hospital admission, relevant comorbidity such as severe lung disease or immunosuppression, recent use of broad-spectrum antibiotics, colonisation with multi-drug-resistant bacteria, and recent contact with a </w:t>
      </w:r>
      <w:r w:rsidRPr="003306F4">
        <w:rPr>
          <w:rFonts w:asciiTheme="majorBidi" w:hAnsiTheme="majorBidi" w:cstheme="majorBidi"/>
          <w:i/>
        </w:rPr>
        <w:lastRenderedPageBreak/>
        <w:t>health or social care setting before current admission</w:t>
      </w:r>
      <w:r w:rsidRPr="003306F4">
        <w:rPr>
          <w:rFonts w:asciiTheme="majorBidi" w:hAnsiTheme="majorBidi" w:cstheme="majorBidi"/>
        </w:rPr>
        <w:t>”. No evidence was presented quantifying the likelihood that patients with these characteristics have a MDR infection, which is likely to reflect the paucity of evidence available.</w:t>
      </w:r>
      <w:r w:rsidR="00A83123" w:rsidRPr="00A83123">
        <w:rPr>
          <w:rFonts w:asciiTheme="majorBidi" w:hAnsiTheme="majorBidi" w:cstheme="majorBidi"/>
          <w:noProof/>
          <w:vertAlign w:val="superscript"/>
        </w:rPr>
        <w:t>127</w:t>
      </w:r>
      <w:r w:rsidRPr="003306F4">
        <w:rPr>
          <w:rFonts w:asciiTheme="majorBidi" w:hAnsiTheme="majorBidi" w:cstheme="majorBidi"/>
          <w:color w:val="FF0000"/>
        </w:rPr>
        <w:t xml:space="preserve"> </w:t>
      </w:r>
    </w:p>
    <w:p w14:paraId="226B9DC6" w14:textId="77777777" w:rsidR="003306F4" w:rsidRDefault="003306F4" w:rsidP="00A4788F">
      <w:pPr>
        <w:spacing w:line="360" w:lineRule="auto"/>
        <w:jc w:val="both"/>
      </w:pPr>
    </w:p>
    <w:p w14:paraId="55AA1EFF" w14:textId="3974190D" w:rsidR="00AF0F42" w:rsidRDefault="00A4788F" w:rsidP="00AF0F42">
      <w:pPr>
        <w:spacing w:line="360" w:lineRule="auto"/>
        <w:jc w:val="both"/>
        <w:rPr>
          <w:rFonts w:asciiTheme="majorBidi" w:hAnsiTheme="majorBidi" w:cstheme="majorBidi"/>
        </w:rPr>
      </w:pPr>
      <w:r w:rsidRPr="003306F4">
        <w:rPr>
          <w:rFonts w:asciiTheme="majorBidi" w:hAnsiTheme="majorBidi" w:cstheme="majorBidi"/>
        </w:rPr>
        <w:t xml:space="preserve">The clinical advisors considered that usage under a broader suspicion of resistance should only be considered in exceptional cases. The appropriateness of a wider definition of empiric usage is, in principle, a question that could be addressed empirically, by assessing the health benefits of a more inclusive definition, against the health costs of treating more patients who do not have a resistant infection with </w:t>
      </w:r>
      <w:r w:rsidR="00FE2007">
        <w:rPr>
          <w:rFonts w:asciiTheme="majorBidi" w:hAnsiTheme="majorBidi" w:cstheme="majorBidi"/>
        </w:rPr>
        <w:t>CAZ-AVI</w:t>
      </w:r>
      <w:r w:rsidRPr="003306F4">
        <w:rPr>
          <w:rFonts w:asciiTheme="majorBidi" w:hAnsiTheme="majorBidi" w:cstheme="majorBidi"/>
        </w:rPr>
        <w:t xml:space="preserve"> and therefore contributing to higher levels of long-term resistance. This trade-off was not addressed quantitively by EEPRU or the manufacturer, largely reflecting the difficulties in accurately quantifying the long-term implications of different levels of usage for the emergence of resistance to </w:t>
      </w:r>
      <w:r w:rsidR="00FE2007">
        <w:rPr>
          <w:rFonts w:asciiTheme="majorBidi" w:hAnsiTheme="majorBidi" w:cstheme="majorBidi"/>
        </w:rPr>
        <w:t>CAZ-AVI</w:t>
      </w:r>
      <w:r w:rsidRPr="003306F4">
        <w:rPr>
          <w:rFonts w:asciiTheme="majorBidi" w:hAnsiTheme="majorBidi" w:cstheme="majorBidi"/>
        </w:rPr>
        <w:t xml:space="preserve">. </w:t>
      </w:r>
      <w:bookmarkStart w:id="477" w:name="_Ref83565481"/>
    </w:p>
    <w:p w14:paraId="014F44B0" w14:textId="4FEBA30A" w:rsidR="008F7DED" w:rsidRPr="007E0A82" w:rsidRDefault="008F7DED" w:rsidP="008F7DED">
      <w:pPr>
        <w:pStyle w:val="EEPRUnumberedlevel4"/>
        <w:tabs>
          <w:tab w:val="left" w:pos="2694"/>
        </w:tabs>
        <w:ind w:left="2268" w:firstLine="0"/>
      </w:pPr>
      <w:bookmarkStart w:id="478" w:name="_Toc87463054"/>
      <w:r w:rsidRPr="004B666A">
        <w:t>7.5.2.</w:t>
      </w:r>
      <w:r>
        <w:t>7</w:t>
      </w:r>
      <w:r w:rsidRPr="004B666A">
        <w:t xml:space="preserve"> </w:t>
      </w:r>
      <w:r>
        <w:t>Quantitative extrapolation to expected usage</w:t>
      </w:r>
      <w:bookmarkEnd w:id="478"/>
    </w:p>
    <w:bookmarkEnd w:id="477"/>
    <w:p w14:paraId="08239471" w14:textId="77777777" w:rsidR="00A4788F" w:rsidRPr="007F3C23" w:rsidRDefault="00A4788F" w:rsidP="00A4788F">
      <w:pPr>
        <w:spacing w:line="360" w:lineRule="auto"/>
        <w:rPr>
          <w:rFonts w:ascii="Times New Roman" w:hAnsi="Times New Roman" w:cs="Times New Roman"/>
          <w:i/>
        </w:rPr>
      </w:pPr>
      <w:r w:rsidRPr="007F3C23">
        <w:rPr>
          <w:rFonts w:ascii="Times New Roman" w:hAnsi="Times New Roman" w:cs="Times New Roman"/>
          <w:i/>
        </w:rPr>
        <w:t>Current population sizes</w:t>
      </w:r>
    </w:p>
    <w:p w14:paraId="5802737D" w14:textId="528D135A" w:rsidR="00A4788F" w:rsidRPr="003306F4" w:rsidRDefault="00A4788F" w:rsidP="008B218B">
      <w:pPr>
        <w:spacing w:line="360" w:lineRule="auto"/>
        <w:jc w:val="both"/>
        <w:rPr>
          <w:rFonts w:asciiTheme="majorBidi" w:hAnsiTheme="majorBidi" w:cstheme="majorBidi"/>
        </w:rPr>
      </w:pPr>
      <w:r w:rsidRPr="003306F4">
        <w:rPr>
          <w:rFonts w:asciiTheme="majorBidi" w:hAnsiTheme="majorBidi" w:cstheme="majorBidi"/>
        </w:rPr>
        <w:t>The aim was to estimate the number of infections in the HVCS and other important areas of expected usage. Based on feedback from our clinical advisors</w:t>
      </w:r>
      <w:r w:rsidR="007F3C23">
        <w:rPr>
          <w:rFonts w:asciiTheme="majorBidi" w:hAnsiTheme="majorBidi" w:cstheme="majorBidi"/>
        </w:rPr>
        <w:t>,</w:t>
      </w:r>
      <w:r w:rsidRPr="003306F4">
        <w:rPr>
          <w:rFonts w:asciiTheme="majorBidi" w:hAnsiTheme="majorBidi" w:cstheme="majorBidi"/>
        </w:rPr>
        <w:t xml:space="preserve"> </w:t>
      </w:r>
      <w:proofErr w:type="gramStart"/>
      <w:r w:rsidRPr="003306F4">
        <w:rPr>
          <w:rFonts w:asciiTheme="majorBidi" w:hAnsiTheme="majorBidi" w:cstheme="majorBidi"/>
        </w:rPr>
        <w:t>the majority of</w:t>
      </w:r>
      <w:proofErr w:type="gramEnd"/>
      <w:r w:rsidRPr="003306F4">
        <w:rPr>
          <w:rFonts w:asciiTheme="majorBidi" w:hAnsiTheme="majorBidi" w:cstheme="majorBidi"/>
        </w:rPr>
        <w:t xml:space="preserve"> CAZ-AVI use in HAP/VAP and BSIs was expected to be in the ES</w:t>
      </w:r>
      <w:r w:rsidR="007F3C23">
        <w:rPr>
          <w:rFonts w:asciiTheme="majorBidi" w:hAnsiTheme="majorBidi" w:cstheme="majorBidi"/>
        </w:rPr>
        <w:t>,</w:t>
      </w:r>
      <w:r w:rsidRPr="003306F4">
        <w:rPr>
          <w:rFonts w:asciiTheme="majorBidi" w:hAnsiTheme="majorBidi" w:cstheme="majorBidi"/>
        </w:rPr>
        <w:t xml:space="preserve"> and the majority of CAZ-AVI use in </w:t>
      </w:r>
      <w:proofErr w:type="spellStart"/>
      <w:r w:rsidRPr="003306F4">
        <w:rPr>
          <w:rFonts w:asciiTheme="majorBidi" w:hAnsiTheme="majorBidi" w:cstheme="majorBidi"/>
        </w:rPr>
        <w:t>cUTI</w:t>
      </w:r>
      <w:proofErr w:type="spellEnd"/>
      <w:r w:rsidRPr="003306F4">
        <w:rPr>
          <w:rFonts w:asciiTheme="majorBidi" w:hAnsiTheme="majorBidi" w:cstheme="majorBidi"/>
        </w:rPr>
        <w:t xml:space="preserve"> and IAI was expected to be in the MDS. We therefore set out to estimate the number of patients with the following characteristics:</w:t>
      </w:r>
    </w:p>
    <w:p w14:paraId="71156457" w14:textId="55F9546C" w:rsidR="00A4788F" w:rsidRPr="003306F4" w:rsidRDefault="00A4788F" w:rsidP="005A3BE6">
      <w:pPr>
        <w:pStyle w:val="ListParagraph"/>
        <w:numPr>
          <w:ilvl w:val="0"/>
          <w:numId w:val="50"/>
        </w:numPr>
        <w:spacing w:line="360" w:lineRule="auto"/>
        <w:jc w:val="both"/>
        <w:rPr>
          <w:rFonts w:asciiTheme="majorBidi" w:hAnsiTheme="majorBidi" w:cstheme="majorBidi"/>
        </w:rPr>
      </w:pPr>
      <w:r w:rsidRPr="003306F4">
        <w:rPr>
          <w:rFonts w:asciiTheme="majorBidi" w:hAnsiTheme="majorBidi" w:cstheme="majorBidi"/>
        </w:rPr>
        <w:t>HAP</w:t>
      </w:r>
      <w:r w:rsidRPr="00031355">
        <w:rPr>
          <w:rFonts w:asciiTheme="majorBidi" w:hAnsiTheme="majorBidi" w:cstheme="majorBidi"/>
          <w:color w:val="000000" w:themeColor="text1"/>
        </w:rPr>
        <w:t xml:space="preserve">/VAP and BSIs with suspected infection caused by OXA48, according to the criteria outlined in Section </w:t>
      </w:r>
      <w:r w:rsidR="00031355" w:rsidRPr="00031355">
        <w:rPr>
          <w:rFonts w:asciiTheme="majorBidi" w:hAnsiTheme="majorBidi" w:cstheme="majorBidi"/>
          <w:color w:val="000000" w:themeColor="text1"/>
        </w:rPr>
        <w:t>3.2.3.1</w:t>
      </w:r>
      <w:r w:rsidRPr="003306F4">
        <w:rPr>
          <w:rFonts w:asciiTheme="majorBidi" w:hAnsiTheme="majorBidi" w:cstheme="majorBidi"/>
          <w:color w:val="000000" w:themeColor="text1"/>
        </w:rPr>
        <w:t>; and</w:t>
      </w:r>
    </w:p>
    <w:p w14:paraId="28A19E7E" w14:textId="6F1812D8" w:rsidR="00A4788F" w:rsidRPr="003306F4" w:rsidRDefault="00A4788F" w:rsidP="005A3BE6">
      <w:pPr>
        <w:pStyle w:val="ListParagraph"/>
        <w:numPr>
          <w:ilvl w:val="0"/>
          <w:numId w:val="50"/>
        </w:numPr>
        <w:spacing w:line="360" w:lineRule="auto"/>
        <w:jc w:val="both"/>
        <w:rPr>
          <w:rFonts w:asciiTheme="majorBidi" w:hAnsiTheme="majorBidi" w:cstheme="majorBidi"/>
        </w:rPr>
      </w:pPr>
      <w:proofErr w:type="spellStart"/>
      <w:r w:rsidRPr="003306F4">
        <w:rPr>
          <w:rFonts w:asciiTheme="majorBidi" w:hAnsiTheme="majorBidi" w:cstheme="majorBidi"/>
        </w:rPr>
        <w:t>cUTIs</w:t>
      </w:r>
      <w:proofErr w:type="spellEnd"/>
      <w:r w:rsidRPr="003306F4">
        <w:rPr>
          <w:rFonts w:asciiTheme="majorBidi" w:hAnsiTheme="majorBidi" w:cstheme="majorBidi"/>
        </w:rPr>
        <w:t xml:space="preserve"> and IAIs caused by OXA48, as confirmed by resistance mechanism testing</w:t>
      </w:r>
      <w:r w:rsidR="008B218B" w:rsidRPr="003306F4">
        <w:rPr>
          <w:rFonts w:asciiTheme="majorBidi" w:hAnsiTheme="majorBidi" w:cstheme="majorBidi"/>
        </w:rPr>
        <w:t>.</w:t>
      </w:r>
    </w:p>
    <w:p w14:paraId="5B4A0EBB" w14:textId="26F7FB3B"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The current population size was derived from SGSS data (AMR module) supplied by PHE. SGSS is a national database of laboratory data provided by approximately 98% of hospital microbiology laboratories in England</w:t>
      </w:r>
      <w:r w:rsidR="00837CD7" w:rsidRPr="003306F4">
        <w:rPr>
          <w:rFonts w:asciiTheme="majorBidi" w:hAnsiTheme="majorBidi" w:cstheme="majorBidi"/>
        </w:rPr>
        <w:t>.</w:t>
      </w:r>
      <w:r w:rsidR="004B4D1C" w:rsidRPr="004B4D1C">
        <w:rPr>
          <w:rFonts w:asciiTheme="majorBidi" w:hAnsiTheme="majorBidi" w:cstheme="majorBidi"/>
          <w:noProof/>
          <w:vertAlign w:val="superscript"/>
        </w:rPr>
        <w:t>6</w:t>
      </w:r>
      <w:r w:rsidRPr="003306F4">
        <w:rPr>
          <w:rFonts w:asciiTheme="majorBidi" w:hAnsiTheme="majorBidi" w:cstheme="majorBidi"/>
        </w:rPr>
        <w:t xml:space="preserve"> It contains resistance mechanism and antibiotic susceptibility testing for all submitted isolates. We analyse data for the period between October 2020 and April 2021 as from October 2020 reporting of acquired </w:t>
      </w:r>
      <w:proofErr w:type="spellStart"/>
      <w:r w:rsidRPr="003306F4">
        <w:rPr>
          <w:rFonts w:asciiTheme="majorBidi" w:hAnsiTheme="majorBidi" w:cstheme="majorBidi"/>
        </w:rPr>
        <w:t>carbapenemse</w:t>
      </w:r>
      <w:proofErr w:type="spellEnd"/>
      <w:r w:rsidRPr="003306F4">
        <w:rPr>
          <w:rFonts w:asciiTheme="majorBidi" w:hAnsiTheme="majorBidi" w:cstheme="majorBidi"/>
        </w:rPr>
        <w:t xml:space="preserve">-producing Gram-negative bacteria by laboratories become mandatory. </w:t>
      </w:r>
    </w:p>
    <w:p w14:paraId="4323F64C" w14:textId="77777777" w:rsidR="00A4788F" w:rsidRPr="003306F4" w:rsidRDefault="00A4788F" w:rsidP="00A4788F">
      <w:pPr>
        <w:spacing w:line="360" w:lineRule="auto"/>
        <w:jc w:val="both"/>
        <w:rPr>
          <w:rFonts w:asciiTheme="majorBidi" w:hAnsiTheme="majorBidi" w:cstheme="majorBidi"/>
        </w:rPr>
      </w:pPr>
    </w:p>
    <w:p w14:paraId="55AC9DB2" w14:textId="77777777"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The </w:t>
      </w:r>
      <w:r w:rsidRPr="003306F4">
        <w:rPr>
          <w:rFonts w:asciiTheme="majorBidi" w:hAnsiTheme="majorBidi" w:cstheme="majorBidi"/>
          <w:color w:val="000000"/>
        </w:rPr>
        <w:t>SGSS</w:t>
      </w:r>
      <w:r w:rsidRPr="003306F4">
        <w:rPr>
          <w:rFonts w:asciiTheme="majorBidi" w:hAnsiTheme="majorBidi" w:cstheme="majorBidi"/>
        </w:rPr>
        <w:t xml:space="preserve"> dataset includes anonymised patient ID, specimen type, species, referral location, laboratory, resistance mechanism tested and mechanism results. The site of infection was not available directly; </w:t>
      </w:r>
      <w:proofErr w:type="gramStart"/>
      <w:r w:rsidRPr="003306F4">
        <w:rPr>
          <w:rFonts w:asciiTheme="majorBidi" w:hAnsiTheme="majorBidi" w:cstheme="majorBidi"/>
        </w:rPr>
        <w:t>instead</w:t>
      </w:r>
      <w:proofErr w:type="gramEnd"/>
      <w:r w:rsidRPr="003306F4">
        <w:rPr>
          <w:rFonts w:asciiTheme="majorBidi" w:hAnsiTheme="majorBidi" w:cstheme="majorBidi"/>
        </w:rPr>
        <w:t xml:space="preserve"> it was inferred from the specimen types.</w:t>
      </w:r>
    </w:p>
    <w:p w14:paraId="5A2A9891" w14:textId="77777777" w:rsidR="00A4788F" w:rsidRPr="003306F4" w:rsidRDefault="00A4788F" w:rsidP="00A4788F">
      <w:pPr>
        <w:spacing w:line="360" w:lineRule="auto"/>
        <w:jc w:val="both"/>
        <w:rPr>
          <w:rFonts w:asciiTheme="majorBidi" w:hAnsiTheme="majorBidi" w:cstheme="majorBidi"/>
        </w:rPr>
      </w:pPr>
    </w:p>
    <w:p w14:paraId="2F2BE9E3" w14:textId="142AD72B" w:rsidR="00A4788F" w:rsidRPr="003306F4" w:rsidRDefault="00A4788F" w:rsidP="00A83123">
      <w:pPr>
        <w:spacing w:line="360" w:lineRule="auto"/>
        <w:jc w:val="both"/>
        <w:rPr>
          <w:rFonts w:asciiTheme="majorBidi" w:hAnsiTheme="majorBidi" w:cstheme="majorBidi"/>
        </w:rPr>
      </w:pPr>
      <w:r w:rsidRPr="003306F4">
        <w:rPr>
          <w:rFonts w:asciiTheme="majorBidi" w:hAnsiTheme="majorBidi" w:cstheme="majorBidi"/>
        </w:rPr>
        <w:lastRenderedPageBreak/>
        <w:t xml:space="preserve">Clinical advisors to the project highlighted that there is considerable uncertainty in the categorisation of infection sites according to the specimen type. To reflect this </w:t>
      </w:r>
      <w:proofErr w:type="gramStart"/>
      <w:r w:rsidRPr="003306F4">
        <w:rPr>
          <w:rFonts w:asciiTheme="majorBidi" w:hAnsiTheme="majorBidi" w:cstheme="majorBidi"/>
        </w:rPr>
        <w:t>uncertainty</w:t>
      </w:r>
      <w:proofErr w:type="gramEnd"/>
      <w:r w:rsidRPr="003306F4">
        <w:rPr>
          <w:rFonts w:asciiTheme="majorBidi" w:hAnsiTheme="majorBidi" w:cstheme="majorBidi"/>
        </w:rPr>
        <w:t xml:space="preserve"> we explored two separate classifications in scenario analyses, shown in </w:t>
      </w:r>
      <w:r w:rsidR="00BF00F8" w:rsidRPr="00BF00F8">
        <w:rPr>
          <w:rFonts w:asciiTheme="majorBidi" w:hAnsiTheme="majorBidi" w:cstheme="majorBidi"/>
        </w:rPr>
        <w:t xml:space="preserve">Table </w:t>
      </w:r>
      <w:r w:rsidR="00BF00F8" w:rsidRPr="00BF00F8">
        <w:rPr>
          <w:rFonts w:asciiTheme="majorBidi" w:hAnsiTheme="majorBidi" w:cstheme="majorBidi"/>
          <w:noProof/>
        </w:rPr>
        <w:t>33</w:t>
      </w:r>
      <w:r w:rsidRPr="003306F4">
        <w:rPr>
          <w:rFonts w:asciiTheme="majorBidi" w:hAnsiTheme="majorBidi" w:cstheme="majorBidi"/>
        </w:rPr>
        <w:t xml:space="preserve">.  The classification in Scenario 1 was derived by PHE, based on a set of specimens that map directly to infection sites. The scenario excluded all specimens from female patients in </w:t>
      </w:r>
      <w:proofErr w:type="spellStart"/>
      <w:r w:rsidRPr="003306F4">
        <w:rPr>
          <w:rFonts w:asciiTheme="majorBidi" w:hAnsiTheme="majorBidi" w:cstheme="majorBidi"/>
        </w:rPr>
        <w:t>cUTIs</w:t>
      </w:r>
      <w:proofErr w:type="spellEnd"/>
      <w:r w:rsidRPr="003306F4">
        <w:rPr>
          <w:rFonts w:asciiTheme="majorBidi" w:hAnsiTheme="majorBidi" w:cstheme="majorBidi"/>
        </w:rPr>
        <w:t xml:space="preserve"> except nephrostomy specimens, and all sputum samples. The sputum samples were removed following a clinical review (discussed in more detail in ESPAUR report 2021</w:t>
      </w:r>
      <w:r w:rsidR="00A83123" w:rsidRPr="00A83123">
        <w:rPr>
          <w:rFonts w:asciiTheme="majorBidi" w:hAnsiTheme="majorBidi" w:cstheme="majorBidi"/>
          <w:noProof/>
          <w:vertAlign w:val="superscript"/>
        </w:rPr>
        <w:t>6</w:t>
      </w:r>
      <w:r w:rsidR="008B218B" w:rsidRPr="003306F4">
        <w:rPr>
          <w:rFonts w:asciiTheme="majorBidi" w:hAnsiTheme="majorBidi" w:cstheme="majorBidi"/>
        </w:rPr>
        <w:t>)</w:t>
      </w:r>
      <w:r w:rsidRPr="003306F4">
        <w:rPr>
          <w:rFonts w:asciiTheme="majorBidi" w:hAnsiTheme="majorBidi" w:cstheme="majorBidi"/>
        </w:rPr>
        <w:t xml:space="preserve"> because </w:t>
      </w:r>
      <w:proofErr w:type="gramStart"/>
      <w:r w:rsidRPr="003306F4">
        <w:rPr>
          <w:rFonts w:asciiTheme="majorBidi" w:hAnsiTheme="majorBidi" w:cstheme="majorBidi"/>
        </w:rPr>
        <w:t>a large number of</w:t>
      </w:r>
      <w:proofErr w:type="gramEnd"/>
      <w:r w:rsidRPr="003306F4">
        <w:rPr>
          <w:rFonts w:asciiTheme="majorBidi" w:hAnsiTheme="majorBidi" w:cstheme="majorBidi"/>
        </w:rPr>
        <w:t xml:space="preserve"> sputum samples are considered to be contaminants without further evidence of clinical infection. The clinical advisors to EEPRU considered this classification to be conservative and derived a broader classification in Scenario 2 with guidance from clinical advisors. Scenario 2 included sputum samples, and urine samples from both male and female patients where the medical requestor is ‘acute’ care, as a proxy for hospitalised patients. The scenario is likely to capture other relevant infections excluded from Scenario </w:t>
      </w:r>
      <w:r w:rsidR="00BF00F8" w:rsidRPr="003306F4">
        <w:rPr>
          <w:rFonts w:asciiTheme="majorBidi" w:hAnsiTheme="majorBidi" w:cstheme="majorBidi"/>
        </w:rPr>
        <w:t>1 but</w:t>
      </w:r>
      <w:r w:rsidRPr="003306F4">
        <w:rPr>
          <w:rFonts w:asciiTheme="majorBidi" w:hAnsiTheme="majorBidi" w:cstheme="majorBidi"/>
        </w:rPr>
        <w:t xml:space="preserve"> may include some specimens that do not relate to the infection types of interest.</w:t>
      </w:r>
    </w:p>
    <w:p w14:paraId="42B882EE" w14:textId="33E95163" w:rsidR="00A4788F" w:rsidRDefault="00A4788F" w:rsidP="009E265F">
      <w:pPr>
        <w:pStyle w:val="table"/>
      </w:pPr>
      <w:bookmarkStart w:id="479" w:name="_Ref83215418"/>
      <w:bookmarkStart w:id="480" w:name="_Toc83589992"/>
      <w:bookmarkStart w:id="481" w:name="_Toc86419010"/>
      <w:r>
        <w:t xml:space="preserve">Table </w:t>
      </w:r>
      <w:r w:rsidR="00F10F0A">
        <w:rPr>
          <w:noProof/>
        </w:rPr>
        <w:t>33</w:t>
      </w:r>
      <w:bookmarkEnd w:id="479"/>
      <w:r>
        <w:t>. Classification of infection sites according to specimen type</w:t>
      </w:r>
      <w:bookmarkEnd w:id="480"/>
      <w:bookmarkEnd w:id="481"/>
    </w:p>
    <w:tbl>
      <w:tblPr>
        <w:tblStyle w:val="TableGrid"/>
        <w:tblW w:w="0" w:type="auto"/>
        <w:tblLook w:val="04A0" w:firstRow="1" w:lastRow="0" w:firstColumn="1" w:lastColumn="0" w:noHBand="0" w:noVBand="1"/>
      </w:tblPr>
      <w:tblGrid>
        <w:gridCol w:w="1256"/>
        <w:gridCol w:w="1403"/>
        <w:gridCol w:w="2298"/>
        <w:gridCol w:w="2838"/>
        <w:gridCol w:w="1221"/>
      </w:tblGrid>
      <w:tr w:rsidR="00A4788F" w:rsidRPr="004A4B7C" w14:paraId="7149A430" w14:textId="77777777" w:rsidTr="00A4788F">
        <w:tc>
          <w:tcPr>
            <w:tcW w:w="1256" w:type="dxa"/>
          </w:tcPr>
          <w:p w14:paraId="477629AA" w14:textId="77777777" w:rsidR="00A4788F" w:rsidRPr="004A4B7C" w:rsidRDefault="00A4788F" w:rsidP="004A4B7C">
            <w:pPr>
              <w:rPr>
                <w:rFonts w:asciiTheme="majorBidi" w:hAnsiTheme="majorBidi" w:cstheme="majorBidi"/>
                <w:sz w:val="20"/>
                <w:szCs w:val="20"/>
              </w:rPr>
            </w:pPr>
          </w:p>
        </w:tc>
        <w:tc>
          <w:tcPr>
            <w:tcW w:w="1403" w:type="dxa"/>
          </w:tcPr>
          <w:p w14:paraId="1B292B1D"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HAP/VAP</w:t>
            </w:r>
          </w:p>
        </w:tc>
        <w:tc>
          <w:tcPr>
            <w:tcW w:w="2298" w:type="dxa"/>
          </w:tcPr>
          <w:p w14:paraId="1567AE89" w14:textId="77777777" w:rsidR="00A4788F" w:rsidRPr="004A4B7C" w:rsidRDefault="00A4788F" w:rsidP="004A4B7C">
            <w:pPr>
              <w:rPr>
                <w:rFonts w:asciiTheme="majorBidi" w:hAnsiTheme="majorBidi" w:cstheme="majorBidi"/>
                <w:sz w:val="20"/>
                <w:szCs w:val="20"/>
              </w:rPr>
            </w:pPr>
            <w:proofErr w:type="spellStart"/>
            <w:r w:rsidRPr="004A4B7C">
              <w:rPr>
                <w:rFonts w:asciiTheme="majorBidi" w:hAnsiTheme="majorBidi" w:cstheme="majorBidi"/>
                <w:sz w:val="20"/>
                <w:szCs w:val="20"/>
              </w:rPr>
              <w:t>cUTIs</w:t>
            </w:r>
            <w:proofErr w:type="spellEnd"/>
          </w:p>
        </w:tc>
        <w:tc>
          <w:tcPr>
            <w:tcW w:w="2838" w:type="dxa"/>
          </w:tcPr>
          <w:p w14:paraId="459F7DAF"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BSIs</w:t>
            </w:r>
          </w:p>
        </w:tc>
        <w:tc>
          <w:tcPr>
            <w:tcW w:w="1221" w:type="dxa"/>
          </w:tcPr>
          <w:p w14:paraId="12A57A18"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IAIs</w:t>
            </w:r>
          </w:p>
        </w:tc>
      </w:tr>
      <w:tr w:rsidR="00A4788F" w:rsidRPr="004A4B7C" w14:paraId="7D7E252A" w14:textId="77777777" w:rsidTr="00A4788F">
        <w:tc>
          <w:tcPr>
            <w:tcW w:w="1256" w:type="dxa"/>
          </w:tcPr>
          <w:p w14:paraId="312CAB7E"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Specimen types in scenario I1</w:t>
            </w:r>
          </w:p>
        </w:tc>
        <w:tc>
          <w:tcPr>
            <w:tcW w:w="1403" w:type="dxa"/>
          </w:tcPr>
          <w:p w14:paraId="19BBC38A"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 xml:space="preserve">Lower respiratory tract (bronchial) </w:t>
            </w:r>
          </w:p>
        </w:tc>
        <w:tc>
          <w:tcPr>
            <w:tcW w:w="2298" w:type="dxa"/>
          </w:tcPr>
          <w:p w14:paraId="5349328A"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 xml:space="preserve">Urine/kidney specimens from all </w:t>
            </w:r>
            <w:r w:rsidRPr="004A4B7C">
              <w:rPr>
                <w:rFonts w:asciiTheme="majorBidi" w:hAnsiTheme="majorBidi" w:cstheme="majorBidi"/>
                <w:b/>
                <w:sz w:val="20"/>
                <w:szCs w:val="20"/>
              </w:rPr>
              <w:t>male</w:t>
            </w:r>
            <w:r w:rsidRPr="004A4B7C">
              <w:rPr>
                <w:rFonts w:asciiTheme="majorBidi" w:hAnsiTheme="majorBidi" w:cstheme="majorBidi"/>
                <w:sz w:val="20"/>
                <w:szCs w:val="20"/>
              </w:rPr>
              <w:t xml:space="preserve"> patients, irrespective of setting (urine, CSU, MSU, urinary catheter, suprapubic aspirate, bladder, kidney, urethra, urine/kidney, spa, ureter, urethral swab, EMU, ileal/bladder conduit, perinephric, first void, pus associated kidney/urinary tract</w:t>
            </w:r>
            <w:proofErr w:type="gramStart"/>
            <w:r w:rsidRPr="004A4B7C">
              <w:rPr>
                <w:rFonts w:asciiTheme="majorBidi" w:hAnsiTheme="majorBidi" w:cstheme="majorBidi"/>
                <w:sz w:val="20"/>
                <w:szCs w:val="20"/>
              </w:rPr>
              <w:t>);</w:t>
            </w:r>
            <w:proofErr w:type="gramEnd"/>
          </w:p>
          <w:p w14:paraId="3A24B4D2"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Nephrostomy specimens in male and female patients</w:t>
            </w:r>
          </w:p>
        </w:tc>
        <w:tc>
          <w:tcPr>
            <w:tcW w:w="2838" w:type="dxa"/>
          </w:tcPr>
          <w:p w14:paraId="2D39AA37"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Blood samples (blood, plasma, dried blood spot, haematoma, cord blood, foetal blood)</w:t>
            </w:r>
          </w:p>
        </w:tc>
        <w:tc>
          <w:tcPr>
            <w:tcW w:w="1221" w:type="dxa"/>
          </w:tcPr>
          <w:p w14:paraId="1843D63A"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Wound specimens (surgical and traumatic wounds)</w:t>
            </w:r>
          </w:p>
        </w:tc>
      </w:tr>
      <w:tr w:rsidR="00A4788F" w:rsidRPr="004A4B7C" w14:paraId="49B594E5" w14:textId="77777777" w:rsidTr="00A4788F">
        <w:tc>
          <w:tcPr>
            <w:tcW w:w="1256" w:type="dxa"/>
          </w:tcPr>
          <w:p w14:paraId="6B64C201"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Additional specimen types in scenario I2</w:t>
            </w:r>
          </w:p>
        </w:tc>
        <w:tc>
          <w:tcPr>
            <w:tcW w:w="1403" w:type="dxa"/>
          </w:tcPr>
          <w:p w14:paraId="1373830C"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 xml:space="preserve">Lower respiratory tract (alveolar lavage, trachea, BAL, chest, lung, lower respiratory tract, tracheal aspirate), sputum (sputum, endotracheal secretions, endotracheal aspirate, endotracheal tube, induced </w:t>
            </w:r>
            <w:r w:rsidRPr="004A4B7C">
              <w:rPr>
                <w:rFonts w:asciiTheme="majorBidi" w:hAnsiTheme="majorBidi" w:cstheme="majorBidi"/>
                <w:sz w:val="20"/>
                <w:szCs w:val="20"/>
              </w:rPr>
              <w:lastRenderedPageBreak/>
              <w:t>sputum), swab (lung swab)</w:t>
            </w:r>
          </w:p>
        </w:tc>
        <w:tc>
          <w:tcPr>
            <w:tcW w:w="2298" w:type="dxa"/>
          </w:tcPr>
          <w:p w14:paraId="51771F60"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lastRenderedPageBreak/>
              <w:t>Urine/kidney specimens in scenario 1 in all hospitalised* patients (both male and female), upper genital tract in male and female hospitalised* patients</w:t>
            </w:r>
          </w:p>
        </w:tc>
        <w:tc>
          <w:tcPr>
            <w:tcW w:w="2838" w:type="dxa"/>
          </w:tcPr>
          <w:p w14:paraId="61FB92AB"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t xml:space="preserve">Heart/heart valve (heart, heart valve, mitral valve), intra-vascular line (TIP-NOS, arterial line/tip, Hickman line, CVP line tip, aortic valve, </w:t>
            </w:r>
            <w:proofErr w:type="spellStart"/>
            <w:r w:rsidRPr="004A4B7C">
              <w:rPr>
                <w:rFonts w:asciiTheme="majorBidi" w:hAnsiTheme="majorBidi" w:cstheme="majorBidi"/>
                <w:sz w:val="20"/>
                <w:szCs w:val="20"/>
              </w:rPr>
              <w:t>Venflon</w:t>
            </w:r>
            <w:proofErr w:type="spellEnd"/>
            <w:r w:rsidRPr="004A4B7C">
              <w:rPr>
                <w:rFonts w:asciiTheme="majorBidi" w:hAnsiTheme="majorBidi" w:cstheme="majorBidi"/>
                <w:sz w:val="20"/>
                <w:szCs w:val="20"/>
              </w:rPr>
              <w:t xml:space="preserve">, aorta, haemodialysis access, arterio-venous shunt), pacemaker, catheter swab, aortic tissue, heart valve prosthesis (cardiac prosthesis, heart valve prosthesis), vascular graft (vascular graft), liver/bile (bile, gall bladder),  hip tissue, hip swab, skin/wound (pressure sore), bone (bone, bone/joint, vertebra), bone marrow, bone pin/plate (prosthesis pin, bone pin/plate, prosthesis plate), joint </w:t>
            </w:r>
            <w:r w:rsidRPr="004A4B7C">
              <w:rPr>
                <w:rFonts w:asciiTheme="majorBidi" w:hAnsiTheme="majorBidi" w:cstheme="majorBidi"/>
                <w:sz w:val="20"/>
                <w:szCs w:val="20"/>
              </w:rPr>
              <w:lastRenderedPageBreak/>
              <w:t>prosthesis (artificial joint), intervertebral disc (intervertebral disc), IUCD, peritoneum, foreign body, implant NOS, CSF shunt (</w:t>
            </w:r>
            <w:proofErr w:type="spellStart"/>
            <w:r w:rsidRPr="004A4B7C">
              <w:rPr>
                <w:rFonts w:asciiTheme="majorBidi" w:hAnsiTheme="majorBidi" w:cstheme="majorBidi"/>
                <w:sz w:val="20"/>
                <w:szCs w:val="20"/>
              </w:rPr>
              <w:t>ventriculo</w:t>
            </w:r>
            <w:proofErr w:type="spellEnd"/>
            <w:r w:rsidRPr="004A4B7C">
              <w:rPr>
                <w:rFonts w:asciiTheme="majorBidi" w:hAnsiTheme="majorBidi" w:cstheme="majorBidi"/>
                <w:sz w:val="20"/>
                <w:szCs w:val="20"/>
              </w:rPr>
              <w:t>-atrial valve), bone biopsy sample</w:t>
            </w:r>
          </w:p>
        </w:tc>
        <w:tc>
          <w:tcPr>
            <w:tcW w:w="1221" w:type="dxa"/>
          </w:tcPr>
          <w:p w14:paraId="0B36A070" w14:textId="77777777" w:rsidR="00A4788F" w:rsidRPr="004A4B7C" w:rsidRDefault="00A4788F" w:rsidP="004A4B7C">
            <w:pPr>
              <w:rPr>
                <w:rFonts w:asciiTheme="majorBidi" w:hAnsiTheme="majorBidi" w:cstheme="majorBidi"/>
                <w:sz w:val="20"/>
                <w:szCs w:val="20"/>
              </w:rPr>
            </w:pPr>
            <w:r w:rsidRPr="004A4B7C">
              <w:rPr>
                <w:rFonts w:asciiTheme="majorBidi" w:hAnsiTheme="majorBidi" w:cstheme="majorBidi"/>
                <w:sz w:val="20"/>
                <w:szCs w:val="20"/>
              </w:rPr>
              <w:lastRenderedPageBreak/>
              <w:t>None</w:t>
            </w:r>
          </w:p>
        </w:tc>
      </w:tr>
    </w:tbl>
    <w:p w14:paraId="11D7DDE8" w14:textId="77777777" w:rsidR="00774411" w:rsidRDefault="00774411" w:rsidP="00774411">
      <w:pPr>
        <w:pStyle w:val="EEPRUtextundertables"/>
      </w:pPr>
      <w:r w:rsidRPr="00774411">
        <w:t xml:space="preserve">Abbreviations: BAL, bronchoscopy and bronchoalveolar lavage; BSIs, bloodstream infections; CSF, cerebrospinal fluid; CSU, catheter specimen of urine; </w:t>
      </w:r>
      <w:proofErr w:type="spellStart"/>
      <w:r w:rsidRPr="00774411">
        <w:t>cUTIs</w:t>
      </w:r>
      <w:proofErr w:type="spellEnd"/>
      <w:r w:rsidRPr="00774411">
        <w:t>, complicated urinary tract infections; EMU, early morning urine; HAP/VAP, hospital-acquired pneumonia or ventilator associated pneumonia; IAIs intraabdominal infections; IUCD, intra-uterine contraceptive device; MSU, midstream specimen of urine</w:t>
      </w:r>
    </w:p>
    <w:p w14:paraId="561DF579" w14:textId="6B46AFEC" w:rsidR="00A4788F" w:rsidRPr="007E0A82" w:rsidRDefault="00A4788F" w:rsidP="00774411">
      <w:pPr>
        <w:pStyle w:val="EEPRUtextundertables"/>
      </w:pPr>
      <w:r w:rsidRPr="007E0A82">
        <w:t>* Specimens referred from acute care assumed to represent infections in hospitalised patients.</w:t>
      </w:r>
    </w:p>
    <w:p w14:paraId="565F0C74" w14:textId="77777777" w:rsidR="00A4788F" w:rsidRDefault="00A4788F" w:rsidP="00A4788F">
      <w:pPr>
        <w:spacing w:after="0" w:line="360" w:lineRule="auto"/>
        <w:jc w:val="both"/>
      </w:pPr>
    </w:p>
    <w:p w14:paraId="176DB4C1" w14:textId="3C296F91" w:rsidR="00A4788F" w:rsidRPr="003306F4" w:rsidRDefault="00A4788F" w:rsidP="008B218B">
      <w:pPr>
        <w:spacing w:after="0" w:line="360" w:lineRule="auto"/>
        <w:jc w:val="both"/>
        <w:rPr>
          <w:rFonts w:asciiTheme="majorBidi" w:hAnsiTheme="majorBidi" w:cstheme="majorBidi"/>
          <w:highlight w:val="yellow"/>
        </w:rPr>
      </w:pPr>
      <w:r w:rsidRPr="003306F4">
        <w:rPr>
          <w:rFonts w:asciiTheme="majorBidi" w:hAnsiTheme="majorBidi" w:cstheme="majorBidi"/>
        </w:rPr>
        <w:t>In the dataset, repeated entries were only removed if they were directly repeated for the same patient, species, specimen, referral location, laboratory, mechanism, and mechanism results. However, it is possible that reported numbers included multiple entries from the same infectious episode if multiple specimen samples were analysed (</w:t>
      </w:r>
      <w:r w:rsidR="00BF00F8" w:rsidRPr="003306F4">
        <w:rPr>
          <w:rFonts w:asciiTheme="majorBidi" w:hAnsiTheme="majorBidi" w:cstheme="majorBidi"/>
        </w:rPr>
        <w:t>e.g.,</w:t>
      </w:r>
      <w:r w:rsidRPr="003306F4">
        <w:rPr>
          <w:rFonts w:asciiTheme="majorBidi" w:hAnsiTheme="majorBidi" w:cstheme="majorBidi"/>
        </w:rPr>
        <w:t xml:space="preserve"> on different days). </w:t>
      </w:r>
      <w:bookmarkStart w:id="482" w:name="_Hlk83993347"/>
    </w:p>
    <w:bookmarkEnd w:id="482"/>
    <w:p w14:paraId="66BC1831" w14:textId="77777777" w:rsidR="00A4788F" w:rsidRPr="003306F4" w:rsidRDefault="00A4788F" w:rsidP="00A4788F">
      <w:pPr>
        <w:spacing w:after="0" w:line="360" w:lineRule="auto"/>
        <w:jc w:val="both"/>
        <w:rPr>
          <w:rFonts w:asciiTheme="majorBidi" w:hAnsiTheme="majorBidi" w:cstheme="majorBidi"/>
          <w:highlight w:val="yellow"/>
        </w:rPr>
      </w:pPr>
    </w:p>
    <w:p w14:paraId="58F905F6" w14:textId="5FB9F8EF" w:rsidR="00A4788F" w:rsidRPr="003306F4" w:rsidRDefault="00A4788F" w:rsidP="008B218B">
      <w:pPr>
        <w:spacing w:after="0" w:line="360" w:lineRule="auto"/>
        <w:jc w:val="both"/>
        <w:rPr>
          <w:rFonts w:asciiTheme="majorBidi" w:hAnsiTheme="majorBidi" w:cstheme="majorBidi"/>
        </w:rPr>
      </w:pPr>
      <w:r w:rsidRPr="003306F4">
        <w:rPr>
          <w:rFonts w:asciiTheme="majorBidi" w:hAnsiTheme="majorBidi" w:cstheme="majorBidi"/>
        </w:rPr>
        <w:t xml:space="preserve">The number of specimens </w:t>
      </w:r>
      <w:r w:rsidRPr="00031355">
        <w:rPr>
          <w:rFonts w:asciiTheme="majorBidi" w:hAnsiTheme="majorBidi" w:cstheme="majorBidi"/>
        </w:rPr>
        <w:t>tested</w:t>
      </w:r>
      <w:r w:rsidRPr="003306F4">
        <w:rPr>
          <w:rFonts w:asciiTheme="majorBidi" w:hAnsiTheme="majorBidi" w:cstheme="majorBidi"/>
        </w:rPr>
        <w:t xml:space="preserve"> for OXA48 was used to approximate the population size in ES. This reflects an assumption that </w:t>
      </w:r>
      <w:proofErr w:type="gramStart"/>
      <w:r w:rsidRPr="003306F4">
        <w:rPr>
          <w:rFonts w:asciiTheme="majorBidi" w:hAnsiTheme="majorBidi" w:cstheme="majorBidi"/>
        </w:rPr>
        <w:t>all of</w:t>
      </w:r>
      <w:proofErr w:type="gramEnd"/>
      <w:r w:rsidRPr="003306F4">
        <w:rPr>
          <w:rFonts w:asciiTheme="majorBidi" w:hAnsiTheme="majorBidi" w:cstheme="majorBidi"/>
        </w:rPr>
        <w:t xml:space="preserve"> the mechanism testing conducted was initiated following high suspicion of that resistance mechanism by the treating clinicians for the reasons specified in </w:t>
      </w:r>
      <w:r w:rsidRPr="00031355">
        <w:rPr>
          <w:rFonts w:asciiTheme="majorBidi" w:hAnsiTheme="majorBidi" w:cstheme="majorBidi"/>
        </w:rPr>
        <w:t xml:space="preserve">Section </w:t>
      </w:r>
      <w:r w:rsidR="00031355" w:rsidRPr="00031355">
        <w:rPr>
          <w:rFonts w:asciiTheme="majorBidi" w:hAnsiTheme="majorBidi" w:cstheme="majorBidi"/>
        </w:rPr>
        <w:t>3.2.3.1</w:t>
      </w:r>
      <w:r w:rsidRPr="003306F4">
        <w:rPr>
          <w:rFonts w:asciiTheme="majorBidi" w:hAnsiTheme="majorBidi" w:cstheme="majorBidi"/>
        </w:rPr>
        <w:t xml:space="preserve">. The number of isolates </w:t>
      </w:r>
      <w:r w:rsidRPr="00031355">
        <w:rPr>
          <w:rFonts w:asciiTheme="majorBidi" w:hAnsiTheme="majorBidi" w:cstheme="majorBidi"/>
        </w:rPr>
        <w:t>confirmed</w:t>
      </w:r>
      <w:r w:rsidRPr="003306F4">
        <w:rPr>
          <w:rFonts w:asciiTheme="majorBidi" w:hAnsiTheme="majorBidi" w:cstheme="majorBidi"/>
        </w:rPr>
        <w:t xml:space="preserve"> to have the resistance mechanism was used to approximate the population size in the MDS. The derived population sizes are shown in </w:t>
      </w:r>
      <w:r w:rsidR="00BF00F8" w:rsidRPr="00BF00F8">
        <w:rPr>
          <w:rFonts w:asciiTheme="majorBidi" w:hAnsiTheme="majorBidi" w:cstheme="majorBidi"/>
        </w:rPr>
        <w:t xml:space="preserve">Table </w:t>
      </w:r>
      <w:r w:rsidR="00BF00F8" w:rsidRPr="00BF00F8">
        <w:rPr>
          <w:rFonts w:asciiTheme="majorBidi" w:hAnsiTheme="majorBidi" w:cstheme="majorBidi"/>
          <w:noProof/>
        </w:rPr>
        <w:t>34</w:t>
      </w:r>
      <w:r w:rsidRPr="003306F4">
        <w:rPr>
          <w:rFonts w:asciiTheme="majorBidi" w:hAnsiTheme="majorBidi" w:cstheme="majorBidi"/>
        </w:rPr>
        <w:t>. The specimen types included did not impact on the number of BSIs and IAIs.</w:t>
      </w:r>
    </w:p>
    <w:p w14:paraId="6466995D" w14:textId="77777777" w:rsidR="00A4788F" w:rsidRPr="003306F4" w:rsidRDefault="00A4788F" w:rsidP="00A4788F">
      <w:pPr>
        <w:spacing w:after="0" w:line="360" w:lineRule="auto"/>
        <w:jc w:val="both"/>
        <w:rPr>
          <w:rFonts w:asciiTheme="majorBidi" w:hAnsiTheme="majorBidi" w:cstheme="majorBidi"/>
        </w:rPr>
      </w:pPr>
    </w:p>
    <w:p w14:paraId="4F166D4F" w14:textId="66541964" w:rsidR="00A4788F" w:rsidRPr="003306F4" w:rsidRDefault="00A4788F" w:rsidP="008B218B">
      <w:pPr>
        <w:spacing w:after="0" w:line="360" w:lineRule="auto"/>
        <w:jc w:val="both"/>
        <w:rPr>
          <w:rFonts w:asciiTheme="majorBidi" w:hAnsiTheme="majorBidi" w:cstheme="majorBidi"/>
        </w:rPr>
      </w:pPr>
      <w:r w:rsidRPr="003306F4">
        <w:rPr>
          <w:rFonts w:asciiTheme="majorBidi" w:hAnsiTheme="majorBidi" w:cstheme="majorBidi"/>
        </w:rPr>
        <w:t xml:space="preserve">It should be noted that the sum of population sizes for individual infection sites may overestimate the total population </w:t>
      </w:r>
      <w:proofErr w:type="gramStart"/>
      <w:r w:rsidRPr="003306F4">
        <w:rPr>
          <w:rFonts w:asciiTheme="majorBidi" w:hAnsiTheme="majorBidi" w:cstheme="majorBidi"/>
        </w:rPr>
        <w:t>size, if</w:t>
      </w:r>
      <w:proofErr w:type="gramEnd"/>
      <w:r w:rsidRPr="003306F4">
        <w:rPr>
          <w:rFonts w:asciiTheme="majorBidi" w:hAnsiTheme="majorBidi" w:cstheme="majorBidi"/>
        </w:rPr>
        <w:t xml:space="preserve"> the same infection presents at multiple sites. For example, BSIs are often sequelae of other infections. If a BSI develops from HAP/VAP following unsuccessful treatment with CAZ-AVI</w:t>
      </w:r>
      <w:r w:rsidR="008B218B" w:rsidRPr="003306F4">
        <w:rPr>
          <w:rFonts w:asciiTheme="majorBidi" w:hAnsiTheme="majorBidi" w:cstheme="majorBidi"/>
        </w:rPr>
        <w:t>. I</w:t>
      </w:r>
      <w:r w:rsidRPr="003306F4">
        <w:rPr>
          <w:rFonts w:asciiTheme="majorBidi" w:hAnsiTheme="majorBidi" w:cstheme="majorBidi"/>
        </w:rPr>
        <w:t xml:space="preserve">t would likely be treated with an alternative </w:t>
      </w:r>
      <w:r w:rsidR="00161C00">
        <w:rPr>
          <w:rFonts w:asciiTheme="majorBidi" w:hAnsiTheme="majorBidi" w:cstheme="majorBidi"/>
        </w:rPr>
        <w:t>AM</w:t>
      </w:r>
      <w:r w:rsidRPr="003306F4">
        <w:rPr>
          <w:rFonts w:asciiTheme="majorBidi" w:hAnsiTheme="majorBidi" w:cstheme="majorBidi"/>
        </w:rPr>
        <w:t xml:space="preserve">, despite having the resistance mechanism of interest. </w:t>
      </w:r>
    </w:p>
    <w:p w14:paraId="2A6C5873" w14:textId="77777777" w:rsidR="00A4788F" w:rsidRDefault="00A4788F" w:rsidP="00A4788F">
      <w:pPr>
        <w:spacing w:line="360" w:lineRule="auto"/>
        <w:jc w:val="both"/>
      </w:pPr>
      <w:r>
        <w:t xml:space="preserve"> </w:t>
      </w:r>
    </w:p>
    <w:p w14:paraId="198A0B12" w14:textId="58213444" w:rsidR="00A4788F" w:rsidRDefault="00A4788F" w:rsidP="009E265F">
      <w:pPr>
        <w:pStyle w:val="table"/>
      </w:pPr>
      <w:bookmarkStart w:id="483" w:name="_Ref83232332"/>
      <w:bookmarkStart w:id="484" w:name="_Toc83589993"/>
      <w:bookmarkStart w:id="485" w:name="_Toc86419011"/>
      <w:r>
        <w:t xml:space="preserve">Table </w:t>
      </w:r>
      <w:r w:rsidR="00F10F0A">
        <w:rPr>
          <w:noProof/>
        </w:rPr>
        <w:t>34</w:t>
      </w:r>
      <w:bookmarkEnd w:id="483"/>
      <w:r>
        <w:t>. Number of infections of interest (per annum)</w:t>
      </w:r>
      <w:bookmarkEnd w:id="484"/>
      <w:bookmarkEnd w:id="485"/>
    </w:p>
    <w:tbl>
      <w:tblPr>
        <w:tblStyle w:val="TableGrid"/>
        <w:tblW w:w="0" w:type="auto"/>
        <w:tblLook w:val="04A0" w:firstRow="1" w:lastRow="0" w:firstColumn="1" w:lastColumn="0" w:noHBand="0" w:noVBand="1"/>
      </w:tblPr>
      <w:tblGrid>
        <w:gridCol w:w="1803"/>
        <w:gridCol w:w="1803"/>
        <w:gridCol w:w="1803"/>
        <w:gridCol w:w="1803"/>
        <w:gridCol w:w="1804"/>
      </w:tblGrid>
      <w:tr w:rsidR="00A4788F" w:rsidRPr="003306F4" w14:paraId="316215FC" w14:textId="77777777" w:rsidTr="00A4788F">
        <w:tc>
          <w:tcPr>
            <w:tcW w:w="1803" w:type="dxa"/>
          </w:tcPr>
          <w:p w14:paraId="68CED3A5" w14:textId="77777777" w:rsidR="00A4788F" w:rsidRPr="003306F4" w:rsidRDefault="00A4788F" w:rsidP="00A4788F">
            <w:pPr>
              <w:rPr>
                <w:rFonts w:asciiTheme="majorBidi" w:hAnsiTheme="majorBidi" w:cstheme="majorBidi"/>
              </w:rPr>
            </w:pPr>
          </w:p>
        </w:tc>
        <w:tc>
          <w:tcPr>
            <w:tcW w:w="1803" w:type="dxa"/>
          </w:tcPr>
          <w:p w14:paraId="619A48CA" w14:textId="77777777" w:rsidR="00A4788F" w:rsidRPr="003306F4" w:rsidRDefault="00A4788F" w:rsidP="00A4788F">
            <w:pPr>
              <w:rPr>
                <w:rFonts w:asciiTheme="majorBidi" w:hAnsiTheme="majorBidi" w:cstheme="majorBidi"/>
              </w:rPr>
            </w:pPr>
            <w:r w:rsidRPr="003306F4">
              <w:rPr>
                <w:rFonts w:asciiTheme="majorBidi" w:hAnsiTheme="majorBidi" w:cstheme="majorBidi"/>
              </w:rPr>
              <w:t>HAP/VAP (tested)</w:t>
            </w:r>
          </w:p>
        </w:tc>
        <w:tc>
          <w:tcPr>
            <w:tcW w:w="1803" w:type="dxa"/>
          </w:tcPr>
          <w:p w14:paraId="76E76424" w14:textId="77777777" w:rsidR="00A4788F" w:rsidRPr="003306F4" w:rsidRDefault="00A4788F" w:rsidP="00A4788F">
            <w:pPr>
              <w:rPr>
                <w:rFonts w:asciiTheme="majorBidi" w:hAnsiTheme="majorBidi" w:cstheme="majorBidi"/>
              </w:rPr>
            </w:pPr>
            <w:proofErr w:type="spellStart"/>
            <w:r w:rsidRPr="003306F4">
              <w:rPr>
                <w:rFonts w:asciiTheme="majorBidi" w:hAnsiTheme="majorBidi" w:cstheme="majorBidi"/>
              </w:rPr>
              <w:t>cUTIs</w:t>
            </w:r>
            <w:proofErr w:type="spellEnd"/>
            <w:r w:rsidRPr="003306F4">
              <w:rPr>
                <w:rFonts w:asciiTheme="majorBidi" w:hAnsiTheme="majorBidi" w:cstheme="majorBidi"/>
              </w:rPr>
              <w:t xml:space="preserve"> (confirmed positive)</w:t>
            </w:r>
          </w:p>
        </w:tc>
        <w:tc>
          <w:tcPr>
            <w:tcW w:w="1803" w:type="dxa"/>
          </w:tcPr>
          <w:p w14:paraId="25F9B576" w14:textId="77777777" w:rsidR="00A4788F" w:rsidRPr="003306F4" w:rsidRDefault="00A4788F" w:rsidP="00A4788F">
            <w:pPr>
              <w:rPr>
                <w:rFonts w:asciiTheme="majorBidi" w:hAnsiTheme="majorBidi" w:cstheme="majorBidi"/>
              </w:rPr>
            </w:pPr>
            <w:r w:rsidRPr="003306F4">
              <w:rPr>
                <w:rFonts w:asciiTheme="majorBidi" w:hAnsiTheme="majorBidi" w:cstheme="majorBidi"/>
              </w:rPr>
              <w:t>BSIs (tested)</w:t>
            </w:r>
          </w:p>
        </w:tc>
        <w:tc>
          <w:tcPr>
            <w:tcW w:w="1804" w:type="dxa"/>
          </w:tcPr>
          <w:p w14:paraId="77B3376C" w14:textId="77777777" w:rsidR="00A4788F" w:rsidRPr="003306F4" w:rsidRDefault="00A4788F" w:rsidP="00A4788F">
            <w:pPr>
              <w:rPr>
                <w:rFonts w:asciiTheme="majorBidi" w:hAnsiTheme="majorBidi" w:cstheme="majorBidi"/>
              </w:rPr>
            </w:pPr>
            <w:r w:rsidRPr="003306F4">
              <w:rPr>
                <w:rFonts w:asciiTheme="majorBidi" w:hAnsiTheme="majorBidi" w:cstheme="majorBidi"/>
              </w:rPr>
              <w:t>IAIs (confirmed positive)</w:t>
            </w:r>
          </w:p>
        </w:tc>
      </w:tr>
      <w:tr w:rsidR="00A4788F" w:rsidRPr="003306F4" w14:paraId="5CBFC8E7" w14:textId="77777777" w:rsidTr="00A4788F">
        <w:tc>
          <w:tcPr>
            <w:tcW w:w="1803" w:type="dxa"/>
          </w:tcPr>
          <w:p w14:paraId="1AF21FD1"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P1</w:t>
            </w:r>
          </w:p>
        </w:tc>
        <w:tc>
          <w:tcPr>
            <w:tcW w:w="1803" w:type="dxa"/>
            <w:vAlign w:val="center"/>
          </w:tcPr>
          <w:p w14:paraId="55BB6267"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24</w:t>
            </w:r>
          </w:p>
        </w:tc>
        <w:tc>
          <w:tcPr>
            <w:tcW w:w="1803" w:type="dxa"/>
            <w:vAlign w:val="center"/>
          </w:tcPr>
          <w:p w14:paraId="10BADC38"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82</w:t>
            </w:r>
          </w:p>
        </w:tc>
        <w:tc>
          <w:tcPr>
            <w:tcW w:w="1803" w:type="dxa"/>
            <w:vAlign w:val="center"/>
          </w:tcPr>
          <w:p w14:paraId="6B9EF8CD"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161</w:t>
            </w:r>
          </w:p>
        </w:tc>
        <w:tc>
          <w:tcPr>
            <w:tcW w:w="1804" w:type="dxa"/>
            <w:vAlign w:val="center"/>
          </w:tcPr>
          <w:p w14:paraId="4CBBD3F9"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36</w:t>
            </w:r>
          </w:p>
        </w:tc>
      </w:tr>
      <w:tr w:rsidR="00A4788F" w:rsidRPr="003306F4" w14:paraId="0804275F" w14:textId="77777777" w:rsidTr="00A4788F">
        <w:tc>
          <w:tcPr>
            <w:tcW w:w="1803" w:type="dxa"/>
          </w:tcPr>
          <w:p w14:paraId="448B30C4"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P2</w:t>
            </w:r>
          </w:p>
        </w:tc>
        <w:tc>
          <w:tcPr>
            <w:tcW w:w="1803" w:type="dxa"/>
            <w:vAlign w:val="center"/>
          </w:tcPr>
          <w:p w14:paraId="2ADAA9CB"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166</w:t>
            </w:r>
          </w:p>
        </w:tc>
        <w:tc>
          <w:tcPr>
            <w:tcW w:w="1803" w:type="dxa"/>
            <w:vAlign w:val="center"/>
          </w:tcPr>
          <w:p w14:paraId="21B09B60"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132</w:t>
            </w:r>
          </w:p>
        </w:tc>
        <w:tc>
          <w:tcPr>
            <w:tcW w:w="1803" w:type="dxa"/>
            <w:vAlign w:val="center"/>
          </w:tcPr>
          <w:p w14:paraId="0F45886C"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161</w:t>
            </w:r>
          </w:p>
        </w:tc>
        <w:tc>
          <w:tcPr>
            <w:tcW w:w="1804" w:type="dxa"/>
            <w:vAlign w:val="center"/>
          </w:tcPr>
          <w:p w14:paraId="798F42D7"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36</w:t>
            </w:r>
          </w:p>
        </w:tc>
      </w:tr>
    </w:tbl>
    <w:p w14:paraId="415F298F" w14:textId="0D421B42" w:rsidR="00774411" w:rsidRDefault="00774411" w:rsidP="00774411">
      <w:pPr>
        <w:pStyle w:val="EEPRUtextundertables"/>
      </w:pPr>
      <w:r>
        <w:t xml:space="preserve">BSIs, bloodstream infections; </w:t>
      </w:r>
      <w:proofErr w:type="spellStart"/>
      <w:r>
        <w:t>cUTIs</w:t>
      </w:r>
      <w:proofErr w:type="spellEnd"/>
      <w:r>
        <w:t xml:space="preserve">, complicated urinary tract infections; HAP/VAP, hospital-acquired pneumonia or ventilator associated pneumonia; IAIs intraabdominal infections; MDS, microbiology-directed setting </w:t>
      </w:r>
    </w:p>
    <w:p w14:paraId="22672554" w14:textId="77777777" w:rsidR="00A4788F" w:rsidRDefault="00A4788F" w:rsidP="00A4788F"/>
    <w:p w14:paraId="2067B8ED" w14:textId="7F88D476"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lastRenderedPageBreak/>
        <w:t xml:space="preserve">The estimates in </w:t>
      </w:r>
      <w:r w:rsidR="00BF00F8" w:rsidRPr="00BF00F8">
        <w:rPr>
          <w:rFonts w:asciiTheme="majorBidi" w:hAnsiTheme="majorBidi" w:cstheme="majorBidi"/>
        </w:rPr>
        <w:t xml:space="preserve">Table </w:t>
      </w:r>
      <w:r w:rsidR="00BF00F8" w:rsidRPr="00BF00F8">
        <w:rPr>
          <w:rFonts w:asciiTheme="majorBidi" w:hAnsiTheme="majorBidi" w:cstheme="majorBidi"/>
          <w:noProof/>
        </w:rPr>
        <w:t>34</w:t>
      </w:r>
      <w:r w:rsidRPr="003306F4">
        <w:rPr>
          <w:rFonts w:asciiTheme="majorBidi" w:hAnsiTheme="majorBidi" w:cstheme="majorBidi"/>
        </w:rPr>
        <w:t xml:space="preserve"> are associated with </w:t>
      </w:r>
      <w:r w:rsidR="00837CD7" w:rsidRPr="003306F4">
        <w:rPr>
          <w:rFonts w:asciiTheme="majorBidi" w:hAnsiTheme="majorBidi" w:cstheme="majorBidi"/>
        </w:rPr>
        <w:t>considerable</w:t>
      </w:r>
      <w:r w:rsidRPr="003306F4">
        <w:rPr>
          <w:rFonts w:asciiTheme="majorBidi" w:hAnsiTheme="majorBidi" w:cstheme="majorBidi"/>
        </w:rPr>
        <w:t xml:space="preserve"> uncertainty due to uncertainty in the completeness of the SGSS dataset (labs may not submit all specimens to SGSS), uncertainty in how accurately specimen types represent the infection sites of interest, uncertainty about whether all tested patients would fall within </w:t>
      </w:r>
      <w:proofErr w:type="gramStart"/>
      <w:r w:rsidRPr="003306F4">
        <w:rPr>
          <w:rFonts w:asciiTheme="majorBidi" w:hAnsiTheme="majorBidi" w:cstheme="majorBidi"/>
        </w:rPr>
        <w:t>our the</w:t>
      </w:r>
      <w:proofErr w:type="gramEnd"/>
      <w:r w:rsidRPr="003306F4">
        <w:rPr>
          <w:rFonts w:asciiTheme="majorBidi" w:hAnsiTheme="majorBidi" w:cstheme="majorBidi"/>
        </w:rPr>
        <w:t xml:space="preserve"> defined target population for empiric treatment, and the potential double counting of samples from the same infectious episode. </w:t>
      </w:r>
    </w:p>
    <w:p w14:paraId="462E1531" w14:textId="77777777" w:rsidR="00A4788F" w:rsidRPr="003306F4" w:rsidRDefault="00A4788F" w:rsidP="00A4788F">
      <w:pPr>
        <w:spacing w:after="0" w:line="360" w:lineRule="auto"/>
        <w:jc w:val="both"/>
        <w:rPr>
          <w:rFonts w:asciiTheme="majorBidi" w:hAnsiTheme="majorBidi" w:cstheme="majorBidi"/>
        </w:rPr>
      </w:pPr>
    </w:p>
    <w:p w14:paraId="70EFE25F" w14:textId="480A0D2B" w:rsidR="00A4788F" w:rsidRPr="003306F4" w:rsidRDefault="00A4788F" w:rsidP="00A83123">
      <w:pPr>
        <w:spacing w:after="0" w:line="360" w:lineRule="auto"/>
        <w:jc w:val="both"/>
        <w:rPr>
          <w:rFonts w:asciiTheme="majorBidi" w:hAnsiTheme="majorBidi" w:cstheme="majorBidi"/>
        </w:rPr>
      </w:pPr>
      <w:r w:rsidRPr="003306F4">
        <w:rPr>
          <w:rFonts w:asciiTheme="majorBidi" w:hAnsiTheme="majorBidi" w:cstheme="majorBidi"/>
        </w:rPr>
        <w:t xml:space="preserve">To provide an alternative estimate of the population size, we conducted a survey (mentioned in </w:t>
      </w:r>
      <w:r w:rsidR="00BF00F8">
        <w:rPr>
          <w:rFonts w:asciiTheme="majorBidi" w:hAnsiTheme="majorBidi" w:cstheme="majorBidi"/>
        </w:rPr>
        <w:t>S</w:t>
      </w:r>
      <w:r w:rsidRPr="003306F4">
        <w:rPr>
          <w:rFonts w:asciiTheme="majorBidi" w:hAnsiTheme="majorBidi" w:cstheme="majorBidi"/>
        </w:rPr>
        <w:t>ection 1.1.4.3) about the number of HAP/VAP infections eligible for treatment in the ES. The survey targeting infectious disease specialists and collected information about the participants’ place of work (number of hospital beds, and the number of other infectious disease specialists), and the number of suspected and confirmed HAP/VAP infections caused by CPE OXA48 they encountered per annum. The survey was disseminated to infectious disease consultants and microbiologists who were members of the British Society for Antimicrobial Chemotherapy (BSAC), to clinical advisors to the project, and to experts recommended by the clinical advisors. The infection numbers were scaled to country-level estimates using the number of hospital beds per infectious disease specialist (derived from the survey responses) and the unweighted average number of hospital beds in England for four quarters in 2020/21.</w:t>
      </w:r>
      <w:r w:rsidR="004B4D1C" w:rsidRPr="004B4D1C">
        <w:rPr>
          <w:rFonts w:asciiTheme="majorBidi" w:hAnsiTheme="majorBidi" w:cstheme="majorBidi"/>
          <w:noProof/>
          <w:vertAlign w:val="superscript"/>
        </w:rPr>
        <w:t>167</w:t>
      </w:r>
    </w:p>
    <w:p w14:paraId="3DCC5418" w14:textId="77777777" w:rsidR="00A4788F" w:rsidRPr="003306F4" w:rsidRDefault="00A4788F" w:rsidP="00A4788F">
      <w:pPr>
        <w:spacing w:after="0" w:line="360" w:lineRule="auto"/>
        <w:jc w:val="both"/>
        <w:rPr>
          <w:rFonts w:asciiTheme="majorBidi" w:hAnsiTheme="majorBidi" w:cstheme="majorBidi"/>
        </w:rPr>
      </w:pPr>
    </w:p>
    <w:p w14:paraId="62C2E0AD" w14:textId="261A1B11" w:rsidR="00A4788F" w:rsidRPr="003306F4" w:rsidRDefault="00A4788F" w:rsidP="008B218B">
      <w:pPr>
        <w:spacing w:after="0" w:line="360" w:lineRule="auto"/>
        <w:jc w:val="both"/>
        <w:rPr>
          <w:rFonts w:asciiTheme="majorBidi" w:hAnsiTheme="majorBidi" w:cstheme="majorBidi"/>
        </w:rPr>
      </w:pPr>
      <w:r w:rsidRPr="003306F4">
        <w:rPr>
          <w:rFonts w:asciiTheme="majorBidi" w:hAnsiTheme="majorBidi" w:cstheme="majorBidi"/>
        </w:rPr>
        <w:t xml:space="preserve">In total, 25 participants started the survey, of which nine provided information required to estimate the total number of patients eligible for treatment in ES in England. The estimates varied considerably between experts (with responses implying 0 to 13,422 suspected and 0 to </w:t>
      </w:r>
      <w:r w:rsidR="00837CD7" w:rsidRPr="003306F4">
        <w:rPr>
          <w:rFonts w:asciiTheme="majorBidi" w:hAnsiTheme="majorBidi" w:cstheme="majorBidi"/>
        </w:rPr>
        <w:t>6,711 confirmed</w:t>
      </w:r>
      <w:r w:rsidRPr="003306F4">
        <w:rPr>
          <w:rFonts w:asciiTheme="majorBidi" w:hAnsiTheme="majorBidi" w:cstheme="majorBidi"/>
        </w:rPr>
        <w:t xml:space="preserve"> infections in England). The weighted average (</w:t>
      </w:r>
      <w:r w:rsidR="008B218B" w:rsidRPr="003306F4">
        <w:rPr>
          <w:rFonts w:asciiTheme="majorBidi" w:hAnsiTheme="majorBidi" w:cstheme="majorBidi"/>
        </w:rPr>
        <w:t>5,099</w:t>
      </w:r>
      <w:r w:rsidRPr="003306F4">
        <w:rPr>
          <w:rFonts w:asciiTheme="majorBidi" w:hAnsiTheme="majorBidi" w:cstheme="majorBidi"/>
        </w:rPr>
        <w:t xml:space="preserve"> suspected and 2,922 confirmed infections) </w:t>
      </w:r>
      <w:proofErr w:type="gramStart"/>
      <w:r w:rsidRPr="003306F4">
        <w:rPr>
          <w:rFonts w:asciiTheme="majorBidi" w:hAnsiTheme="majorBidi" w:cstheme="majorBidi"/>
        </w:rPr>
        <w:t>was considered to be</w:t>
      </w:r>
      <w:proofErr w:type="gramEnd"/>
      <w:r w:rsidRPr="003306F4">
        <w:rPr>
          <w:rFonts w:asciiTheme="majorBidi" w:hAnsiTheme="majorBidi" w:cstheme="majorBidi"/>
        </w:rPr>
        <w:t xml:space="preserve"> implausibly high by clinical advisors to the project, possibly because of higher survey take up among experts who are more likely to encounter the infections of interest and these estimates were not therefore taken forward to the decision analytic modelling. </w:t>
      </w:r>
    </w:p>
    <w:p w14:paraId="69324362" w14:textId="77777777" w:rsidR="00A4788F" w:rsidRPr="003306F4" w:rsidRDefault="00A4788F" w:rsidP="00A4788F">
      <w:pPr>
        <w:spacing w:after="0" w:line="360" w:lineRule="auto"/>
        <w:jc w:val="both"/>
        <w:rPr>
          <w:rFonts w:asciiTheme="majorBidi" w:hAnsiTheme="majorBidi" w:cstheme="majorBidi"/>
        </w:rPr>
      </w:pPr>
    </w:p>
    <w:p w14:paraId="484FEE14" w14:textId="53D0BB22" w:rsidR="00A4788F" w:rsidRDefault="00A4788F" w:rsidP="008B218B">
      <w:pPr>
        <w:spacing w:line="360" w:lineRule="auto"/>
        <w:jc w:val="both"/>
        <w:rPr>
          <w:rFonts w:asciiTheme="majorBidi" w:hAnsiTheme="majorBidi" w:cstheme="majorBidi"/>
        </w:rPr>
      </w:pPr>
      <w:r w:rsidRPr="003306F4">
        <w:rPr>
          <w:rFonts w:asciiTheme="majorBidi" w:hAnsiTheme="majorBidi" w:cstheme="majorBidi"/>
        </w:rPr>
        <w:t xml:space="preserve">The population size over 20 years was derived by applying the year-on-year population growth detailed in </w:t>
      </w:r>
      <w:r w:rsidRPr="00107570">
        <w:rPr>
          <w:rFonts w:asciiTheme="majorBidi" w:hAnsiTheme="majorBidi" w:cstheme="majorBidi"/>
          <w:iCs/>
        </w:rPr>
        <w:t xml:space="preserve">Section </w:t>
      </w:r>
      <w:r w:rsidR="00107570">
        <w:rPr>
          <w:rFonts w:asciiTheme="majorBidi" w:hAnsiTheme="majorBidi" w:cstheme="majorBidi"/>
          <w:iCs/>
        </w:rPr>
        <w:t>7.2.5</w:t>
      </w:r>
      <w:r w:rsidRPr="003306F4">
        <w:rPr>
          <w:rFonts w:asciiTheme="majorBidi" w:hAnsiTheme="majorBidi" w:cstheme="majorBidi"/>
          <w:i/>
          <w:color w:val="FF0000"/>
        </w:rPr>
        <w:t xml:space="preserve"> </w:t>
      </w:r>
      <w:r w:rsidRPr="003306F4">
        <w:rPr>
          <w:rFonts w:asciiTheme="majorBidi" w:hAnsiTheme="majorBidi" w:cstheme="majorBidi"/>
          <w:color w:val="000000" w:themeColor="text1"/>
        </w:rPr>
        <w:t xml:space="preserve">to the </w:t>
      </w:r>
      <w:r w:rsidRPr="003306F4">
        <w:rPr>
          <w:rFonts w:asciiTheme="majorBidi" w:hAnsiTheme="majorBidi" w:cstheme="majorBidi"/>
        </w:rPr>
        <w:t>current annual population size (</w:t>
      </w:r>
      <w:r w:rsidR="00107570" w:rsidRPr="00107570">
        <w:rPr>
          <w:rFonts w:asciiTheme="majorBidi" w:hAnsiTheme="majorBidi" w:cstheme="majorBidi"/>
        </w:rPr>
        <w:t xml:space="preserve">Table </w:t>
      </w:r>
      <w:r w:rsidR="00107570" w:rsidRPr="00107570">
        <w:rPr>
          <w:rFonts w:asciiTheme="majorBidi" w:hAnsiTheme="majorBidi" w:cstheme="majorBidi"/>
          <w:noProof/>
        </w:rPr>
        <w:t>34</w:t>
      </w:r>
      <w:r w:rsidRPr="003306F4">
        <w:rPr>
          <w:rFonts w:asciiTheme="majorBidi" w:hAnsiTheme="majorBidi" w:cstheme="majorBidi"/>
        </w:rPr>
        <w:t xml:space="preserve">). The population size estimates are used to rescale the estimates of patient-level INHEs and are presented in </w:t>
      </w:r>
      <w:r w:rsidR="00107570" w:rsidRPr="00107570">
        <w:rPr>
          <w:rFonts w:asciiTheme="majorBidi" w:hAnsiTheme="majorBidi" w:cstheme="majorBidi"/>
        </w:rPr>
        <w:t>Figure 22</w:t>
      </w:r>
      <w:r w:rsidRPr="003306F4">
        <w:rPr>
          <w:rFonts w:asciiTheme="majorBidi" w:hAnsiTheme="majorBidi" w:cstheme="majorBidi"/>
        </w:rPr>
        <w:t xml:space="preserve">. Four scenarios are used to model the eligible population over time. Scenario P1G1 is the most conservative, as it uses the conservative baseline number of infections (scenario P1 in </w:t>
      </w:r>
      <w:r w:rsidR="00EE4C38" w:rsidRPr="00EE4C38">
        <w:rPr>
          <w:rFonts w:asciiTheme="majorBidi" w:hAnsiTheme="majorBidi" w:cstheme="majorBidi"/>
        </w:rPr>
        <w:t xml:space="preserve">Table </w:t>
      </w:r>
      <w:r w:rsidR="00EE4C38" w:rsidRPr="00EE4C38">
        <w:rPr>
          <w:rFonts w:asciiTheme="majorBidi" w:hAnsiTheme="majorBidi" w:cstheme="majorBidi"/>
          <w:noProof/>
        </w:rPr>
        <w:t>30</w:t>
      </w:r>
      <w:r w:rsidRPr="003306F4">
        <w:rPr>
          <w:rFonts w:asciiTheme="majorBidi" w:hAnsiTheme="majorBidi" w:cstheme="majorBidi"/>
        </w:rPr>
        <w:t xml:space="preserve">), and the population growth derived from a time series model with a damped </w:t>
      </w:r>
      <w:r w:rsidRPr="00107570">
        <w:rPr>
          <w:rFonts w:asciiTheme="majorBidi" w:hAnsiTheme="majorBidi" w:cstheme="majorBidi"/>
        </w:rPr>
        <w:t xml:space="preserve">trend (see Section </w:t>
      </w:r>
      <w:r w:rsidR="00107570" w:rsidRPr="00107570">
        <w:rPr>
          <w:rFonts w:asciiTheme="majorBidi" w:hAnsiTheme="majorBidi" w:cstheme="majorBidi"/>
        </w:rPr>
        <w:t>7.2.5</w:t>
      </w:r>
      <w:r w:rsidRPr="00107570">
        <w:rPr>
          <w:rFonts w:asciiTheme="majorBidi" w:hAnsiTheme="majorBidi" w:cstheme="majorBidi"/>
        </w:rPr>
        <w:t xml:space="preserve"> for details</w:t>
      </w:r>
      <w:r w:rsidRPr="003306F4">
        <w:rPr>
          <w:rFonts w:asciiTheme="majorBidi" w:hAnsiTheme="majorBidi" w:cstheme="majorBidi"/>
        </w:rPr>
        <w:t xml:space="preserve">). Scenario P2G2 is the least conservative, as it uses the larger baseline number of infections (scenario P2 in </w:t>
      </w:r>
      <w:r w:rsidR="00EE4C38" w:rsidRPr="00EE4C38">
        <w:rPr>
          <w:rFonts w:asciiTheme="majorBidi" w:hAnsiTheme="majorBidi" w:cstheme="majorBidi"/>
        </w:rPr>
        <w:t xml:space="preserve">Table </w:t>
      </w:r>
      <w:r w:rsidR="00EE4C38" w:rsidRPr="00EE4C38">
        <w:rPr>
          <w:rFonts w:asciiTheme="majorBidi" w:hAnsiTheme="majorBidi" w:cstheme="majorBidi"/>
          <w:noProof/>
        </w:rPr>
        <w:t>30</w:t>
      </w:r>
      <w:r w:rsidRPr="003306F4">
        <w:rPr>
          <w:rFonts w:asciiTheme="majorBidi" w:hAnsiTheme="majorBidi" w:cstheme="majorBidi"/>
        </w:rPr>
        <w:t xml:space="preserve">), and the population growth derived from a time series without a damped </w:t>
      </w:r>
      <w:r w:rsidRPr="00107570">
        <w:rPr>
          <w:rFonts w:asciiTheme="majorBidi" w:hAnsiTheme="majorBidi" w:cstheme="majorBidi"/>
        </w:rPr>
        <w:t xml:space="preserve">trend (see Section </w:t>
      </w:r>
      <w:r w:rsidR="00107570" w:rsidRPr="00107570">
        <w:rPr>
          <w:rFonts w:asciiTheme="majorBidi" w:hAnsiTheme="majorBidi" w:cstheme="majorBidi"/>
        </w:rPr>
        <w:t>7.2.5</w:t>
      </w:r>
      <w:r w:rsidRPr="00107570">
        <w:rPr>
          <w:rFonts w:asciiTheme="majorBidi" w:hAnsiTheme="majorBidi" w:cstheme="majorBidi"/>
        </w:rPr>
        <w:t xml:space="preserve"> for details</w:t>
      </w:r>
      <w:r w:rsidRPr="003306F4">
        <w:rPr>
          <w:rFonts w:asciiTheme="majorBidi" w:hAnsiTheme="majorBidi" w:cstheme="majorBidi"/>
        </w:rPr>
        <w:t xml:space="preserve">). The difference between the scenarios is </w:t>
      </w:r>
      <w:r w:rsidR="00837CD7" w:rsidRPr="003306F4">
        <w:rPr>
          <w:rFonts w:asciiTheme="majorBidi" w:hAnsiTheme="majorBidi" w:cstheme="majorBidi"/>
        </w:rPr>
        <w:t>largely</w:t>
      </w:r>
      <w:r w:rsidRPr="003306F4">
        <w:rPr>
          <w:rFonts w:asciiTheme="majorBidi" w:hAnsiTheme="majorBidi" w:cstheme="majorBidi"/>
        </w:rPr>
        <w:t xml:space="preserve"> driven by the assumptions about long term growth in infection numbers. When using the model with a damped trend, the total population size across all sites </w:t>
      </w:r>
      <w:r w:rsidRPr="003306F4">
        <w:rPr>
          <w:rFonts w:asciiTheme="majorBidi" w:hAnsiTheme="majorBidi" w:cstheme="majorBidi"/>
        </w:rPr>
        <w:lastRenderedPageBreak/>
        <w:t>of infection increased from between 303 and 495 (P1G1 and P2G1) in year 1 to between 377 and 615 in year 20. The model with the non-damped trend increased the total population size substantially, from between 303 and 495 (P1G2 and P2G2) in year 1 to between 1,340 and 11,053 in year 20.</w:t>
      </w:r>
      <w:r w:rsidDel="002B7795">
        <w:rPr>
          <w:rFonts w:asciiTheme="majorBidi" w:hAnsiTheme="majorBidi" w:cstheme="majorBidi"/>
        </w:rPr>
        <w:t xml:space="preserve"> </w:t>
      </w:r>
    </w:p>
    <w:p w14:paraId="610D8B85" w14:textId="77777777" w:rsidR="00107570" w:rsidRDefault="00107570" w:rsidP="003306F4">
      <w:pPr>
        <w:rPr>
          <w:rFonts w:asciiTheme="majorBidi" w:hAnsiTheme="majorBidi" w:cstheme="majorBidi"/>
          <w:b/>
          <w:bCs/>
          <w:sz w:val="20"/>
          <w:szCs w:val="20"/>
        </w:rPr>
      </w:pPr>
      <w:bookmarkStart w:id="486" w:name="_Ref85650564"/>
    </w:p>
    <w:p w14:paraId="2F2951A1" w14:textId="064787D6" w:rsidR="003306F4" w:rsidRPr="003306F4" w:rsidRDefault="003306F4" w:rsidP="003306F4">
      <w:pPr>
        <w:rPr>
          <w:rFonts w:asciiTheme="majorBidi" w:hAnsiTheme="majorBidi" w:cstheme="majorBidi"/>
          <w:b/>
          <w:bCs/>
          <w:sz w:val="20"/>
          <w:szCs w:val="20"/>
        </w:rPr>
      </w:pPr>
      <w:bookmarkStart w:id="487" w:name="_Ref85821545"/>
      <w:bookmarkStart w:id="488" w:name="_Toc86419066"/>
      <w:r w:rsidRPr="003306F4">
        <w:rPr>
          <w:rFonts w:asciiTheme="majorBidi" w:hAnsiTheme="majorBidi" w:cstheme="majorBidi"/>
          <w:b/>
          <w:bCs/>
          <w:sz w:val="20"/>
          <w:szCs w:val="20"/>
        </w:rPr>
        <w:t xml:space="preserve">Figure </w:t>
      </w:r>
      <w:r w:rsidR="0021430F">
        <w:rPr>
          <w:rFonts w:asciiTheme="majorBidi" w:hAnsiTheme="majorBidi" w:cstheme="majorBidi"/>
          <w:b/>
          <w:bCs/>
          <w:noProof/>
          <w:sz w:val="20"/>
          <w:szCs w:val="20"/>
        </w:rPr>
        <w:t>21</w:t>
      </w:r>
      <w:bookmarkEnd w:id="486"/>
      <w:bookmarkEnd w:id="487"/>
      <w:r w:rsidRPr="003306F4">
        <w:rPr>
          <w:rFonts w:asciiTheme="majorBidi" w:hAnsiTheme="majorBidi" w:cstheme="majorBidi"/>
          <w:b/>
          <w:bCs/>
          <w:sz w:val="20"/>
          <w:szCs w:val="20"/>
        </w:rPr>
        <w:t>. Population size.</w:t>
      </w:r>
      <w:bookmarkEnd w:id="488"/>
    </w:p>
    <w:p w14:paraId="3D6D4930" w14:textId="77777777" w:rsidR="00A4788F" w:rsidRDefault="00A4788F" w:rsidP="00A4788F">
      <w:r>
        <w:rPr>
          <w:noProof/>
          <w:lang w:eastAsia="en-GB"/>
        </w:rPr>
        <w:drawing>
          <wp:inline distT="0" distB="0" distL="0" distR="0" wp14:anchorId="62F24919" wp14:editId="41BA69B6">
            <wp:extent cx="5715000" cy="3810000"/>
            <wp:effectExtent l="0" t="0" r="0" b="0"/>
            <wp:docPr id="37" name="Picture 37" descr="Line charts that show population size. Description of scenarios explained in section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charts that show population size. Description of scenarios explained in section 7.5.2.7."/>
                    <pic:cNvPicPr/>
                  </pic:nvPicPr>
                  <pic:blipFill>
                    <a:blip r:embed="rId3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49D7AB3" w14:textId="77777777" w:rsidR="00A4788F" w:rsidRPr="005C5409" w:rsidRDefault="00A4788F" w:rsidP="00A4788F">
      <w:pPr>
        <w:rPr>
          <w:highlight w:val="green"/>
        </w:rPr>
      </w:pPr>
      <w:r>
        <w:rPr>
          <w:noProof/>
          <w:lang w:eastAsia="en-GB"/>
        </w:rPr>
        <w:drawing>
          <wp:inline distT="0" distB="0" distL="0" distR="0" wp14:anchorId="6F12AAF4" wp14:editId="1BF497D1">
            <wp:extent cx="5715000" cy="238125"/>
            <wp:effectExtent l="0" t="0" r="0" b="9525"/>
            <wp:docPr id="38" name="Picture 38" descr="Key for the previou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Key for the previous chart"/>
                    <pic:cNvPicPr/>
                  </pic:nvPicPr>
                  <pic:blipFill>
                    <a:blip r:embed="rId36">
                      <a:extLst>
                        <a:ext uri="{28A0092B-C50C-407E-A947-70E740481C1C}">
                          <a14:useLocalDpi xmlns:a14="http://schemas.microsoft.com/office/drawing/2010/main" val="0"/>
                        </a:ext>
                      </a:extLst>
                    </a:blip>
                    <a:stretch>
                      <a:fillRect/>
                    </a:stretch>
                  </pic:blipFill>
                  <pic:spPr>
                    <a:xfrm>
                      <a:off x="0" y="0"/>
                      <a:ext cx="5715000" cy="238125"/>
                    </a:xfrm>
                    <a:prstGeom prst="rect">
                      <a:avLst/>
                    </a:prstGeom>
                  </pic:spPr>
                </pic:pic>
              </a:graphicData>
            </a:graphic>
          </wp:inline>
        </w:drawing>
      </w:r>
    </w:p>
    <w:p w14:paraId="49715F64" w14:textId="77777777" w:rsidR="00A4788F" w:rsidRPr="003306F4" w:rsidRDefault="00A4788F" w:rsidP="00A4788F">
      <w:pPr>
        <w:spacing w:line="360" w:lineRule="auto"/>
        <w:jc w:val="both"/>
        <w:rPr>
          <w:rFonts w:asciiTheme="majorBidi" w:hAnsiTheme="majorBidi" w:cstheme="majorBidi"/>
          <w:sz w:val="18"/>
          <w:szCs w:val="18"/>
        </w:rPr>
      </w:pPr>
      <w:r w:rsidRPr="003306F4">
        <w:rPr>
          <w:rFonts w:asciiTheme="majorBidi" w:hAnsiTheme="majorBidi" w:cstheme="majorBidi"/>
          <w:sz w:val="18"/>
          <w:szCs w:val="18"/>
        </w:rPr>
        <w:t>P1G1: baseline population based on PHE categorisation of infection sites, damped growth rate; P1G2: baseline population based on PHE categorisation of infection sites, growth rate not damped; P2G1: Baseline population based on clinical advisors’ categorisation of infection sites, damped growth rate; P2G2: Baseline population based on clinical advisors’ categorisation of infection sites, growth rate not damped.</w:t>
      </w:r>
    </w:p>
    <w:p w14:paraId="1D6565AF" w14:textId="77777777" w:rsidR="00A4788F" w:rsidRDefault="00A4788F" w:rsidP="00A4788F"/>
    <w:p w14:paraId="55FAA2B2" w14:textId="1B2EA74F" w:rsidR="00A4788F" w:rsidRPr="003306F4" w:rsidRDefault="00A4788F" w:rsidP="008B218B">
      <w:pPr>
        <w:spacing w:after="0" w:line="360" w:lineRule="auto"/>
        <w:jc w:val="both"/>
        <w:rPr>
          <w:rFonts w:asciiTheme="majorBidi" w:hAnsiTheme="majorBidi" w:cstheme="majorBidi"/>
        </w:rPr>
      </w:pPr>
      <w:r w:rsidRPr="003306F4">
        <w:rPr>
          <w:rFonts w:asciiTheme="majorBidi" w:hAnsiTheme="majorBidi" w:cstheme="majorBidi"/>
        </w:rPr>
        <w:t xml:space="preserve">In addition, we derive estimates of expected total drug usage for CAZ-AVI as </w:t>
      </w:r>
      <w:proofErr w:type="gramStart"/>
      <w:r w:rsidRPr="003306F4">
        <w:rPr>
          <w:rFonts w:asciiTheme="majorBidi" w:hAnsiTheme="majorBidi" w:cstheme="majorBidi"/>
        </w:rPr>
        <w:t>these influence</w:t>
      </w:r>
      <w:proofErr w:type="gramEnd"/>
      <w:r w:rsidRPr="003306F4">
        <w:rPr>
          <w:rFonts w:asciiTheme="majorBidi" w:hAnsiTheme="majorBidi" w:cstheme="majorBidi"/>
        </w:rPr>
        <w:t xml:space="preserve"> some of the scenarios relating to resistance emergence (see </w:t>
      </w:r>
      <w:r w:rsidRPr="00835B0B">
        <w:rPr>
          <w:rFonts w:asciiTheme="majorBidi" w:hAnsiTheme="majorBidi" w:cstheme="majorBidi"/>
        </w:rPr>
        <w:t xml:space="preserve">Section </w:t>
      </w:r>
      <w:r w:rsidR="00835B0B" w:rsidRPr="00835B0B">
        <w:rPr>
          <w:rFonts w:asciiTheme="majorBidi" w:hAnsiTheme="majorBidi" w:cstheme="majorBidi"/>
        </w:rPr>
        <w:t>7.2.5</w:t>
      </w:r>
      <w:r w:rsidR="008B218B" w:rsidRPr="003306F4">
        <w:rPr>
          <w:rFonts w:asciiTheme="majorBidi" w:hAnsiTheme="majorBidi" w:cstheme="majorBidi"/>
        </w:rPr>
        <w:t xml:space="preserve">). </w:t>
      </w:r>
      <w:r w:rsidRPr="003306F4">
        <w:rPr>
          <w:rFonts w:asciiTheme="majorBidi" w:hAnsiTheme="majorBidi" w:cstheme="majorBidi"/>
        </w:rPr>
        <w:t xml:space="preserve"> Expected usage of CAZ-AVI was derived by adjusting the population size for the proportion eligible for treatment with CAZ-AVI. In ES, all infections were assumed to be eligible for empiric treatment. In MDS, infections confirmed to have the relevant resistance mechanisms were adjusted for the mean proportion of patients who were not susceptible to non-colistin/</w:t>
      </w:r>
      <w:proofErr w:type="spellStart"/>
      <w:r w:rsidRPr="003306F4">
        <w:rPr>
          <w:rFonts w:asciiTheme="majorBidi" w:hAnsiTheme="majorBidi" w:cstheme="majorBidi"/>
        </w:rPr>
        <w:t>aminoglycocide</w:t>
      </w:r>
      <w:proofErr w:type="spellEnd"/>
      <w:r w:rsidRPr="003306F4">
        <w:rPr>
          <w:rFonts w:asciiTheme="majorBidi" w:hAnsiTheme="majorBidi" w:cstheme="majorBidi"/>
        </w:rPr>
        <w:t xml:space="preserve">-based treatments, but were susceptible to CAZ-AVI, as described in </w:t>
      </w:r>
      <w:r w:rsidR="00107570">
        <w:rPr>
          <w:rFonts w:asciiTheme="majorBidi" w:hAnsiTheme="majorBidi" w:cstheme="majorBidi"/>
        </w:rPr>
        <w:t>S</w:t>
      </w:r>
      <w:r w:rsidRPr="003306F4">
        <w:rPr>
          <w:rFonts w:asciiTheme="majorBidi" w:hAnsiTheme="majorBidi" w:cstheme="majorBidi"/>
        </w:rPr>
        <w:t>ection</w:t>
      </w:r>
      <w:r w:rsidR="00835B0B">
        <w:rPr>
          <w:rFonts w:asciiTheme="majorBidi" w:hAnsiTheme="majorBidi" w:cstheme="majorBidi"/>
        </w:rPr>
        <w:t xml:space="preserve"> 7.2.2.1</w:t>
      </w:r>
      <w:r w:rsidRPr="003306F4">
        <w:rPr>
          <w:rFonts w:asciiTheme="majorBidi" w:hAnsiTheme="majorBidi" w:cstheme="majorBidi"/>
        </w:rPr>
        <w:t xml:space="preserve">. When deriving expected usage, susceptibility was assumed to be static </w:t>
      </w:r>
      <w:r w:rsidRPr="003306F4">
        <w:rPr>
          <w:rFonts w:asciiTheme="majorBidi" w:hAnsiTheme="majorBidi" w:cstheme="majorBidi"/>
        </w:rPr>
        <w:lastRenderedPageBreak/>
        <w:t>over time for simplicity,</w:t>
      </w:r>
      <w:r w:rsidR="00835B0B">
        <w:rPr>
          <w:rFonts w:asciiTheme="majorBidi" w:hAnsiTheme="majorBidi" w:cstheme="majorBidi"/>
        </w:rPr>
        <w:t xml:space="preserve"> as susceptibility changes over time were expected to have a small impact on usage</w:t>
      </w:r>
      <w:r w:rsidRPr="003306F4">
        <w:rPr>
          <w:rFonts w:asciiTheme="majorBidi" w:hAnsiTheme="majorBidi" w:cstheme="majorBidi"/>
        </w:rPr>
        <w:t>.</w:t>
      </w:r>
    </w:p>
    <w:p w14:paraId="0B406261" w14:textId="77777777" w:rsidR="00A4788F" w:rsidRPr="003306F4" w:rsidRDefault="00A4788F" w:rsidP="00A4788F">
      <w:pPr>
        <w:spacing w:after="0" w:line="360" w:lineRule="auto"/>
        <w:jc w:val="both"/>
        <w:rPr>
          <w:rFonts w:asciiTheme="majorBidi" w:hAnsiTheme="majorBidi" w:cstheme="majorBidi"/>
        </w:rPr>
      </w:pPr>
    </w:p>
    <w:p w14:paraId="429ABB30" w14:textId="0022BD57"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The total expected usage over 20 years is shown in </w:t>
      </w:r>
      <w:r w:rsidR="00107570" w:rsidRPr="00107570">
        <w:rPr>
          <w:rFonts w:asciiTheme="majorBidi" w:hAnsiTheme="majorBidi" w:cstheme="majorBidi"/>
        </w:rPr>
        <w:t xml:space="preserve">Table </w:t>
      </w:r>
      <w:r w:rsidR="00107570" w:rsidRPr="00107570">
        <w:rPr>
          <w:rFonts w:asciiTheme="majorBidi" w:hAnsiTheme="majorBidi" w:cstheme="majorBidi"/>
          <w:noProof/>
        </w:rPr>
        <w:t>35</w:t>
      </w:r>
      <w:r w:rsidRPr="003306F4">
        <w:rPr>
          <w:rFonts w:asciiTheme="majorBidi" w:hAnsiTheme="majorBidi" w:cstheme="majorBidi"/>
        </w:rPr>
        <w:t>.</w:t>
      </w:r>
    </w:p>
    <w:p w14:paraId="450C0750" w14:textId="77777777" w:rsidR="00A4788F" w:rsidRDefault="00A4788F" w:rsidP="00A4788F">
      <w:pPr>
        <w:spacing w:after="0" w:line="360" w:lineRule="auto"/>
        <w:jc w:val="both"/>
      </w:pPr>
    </w:p>
    <w:p w14:paraId="798170F5" w14:textId="6AE5DB1C" w:rsidR="00A4788F" w:rsidRDefault="00A4788F" w:rsidP="009E265F">
      <w:pPr>
        <w:pStyle w:val="table"/>
      </w:pPr>
      <w:bookmarkStart w:id="489" w:name="_Ref83401465"/>
      <w:bookmarkStart w:id="490" w:name="_Toc83589994"/>
      <w:bookmarkStart w:id="491" w:name="_Toc86419012"/>
      <w:r>
        <w:t xml:space="preserve">Table </w:t>
      </w:r>
      <w:r w:rsidR="00F10F0A">
        <w:rPr>
          <w:noProof/>
        </w:rPr>
        <w:t>35</w:t>
      </w:r>
      <w:bookmarkEnd w:id="489"/>
      <w:r>
        <w:t xml:space="preserve">. Total number of patients initiating </w:t>
      </w:r>
      <w:r w:rsidR="00FE2007">
        <w:t>CAZ-AVI</w:t>
      </w:r>
      <w:r>
        <w:t xml:space="preserve"> over 20 years</w:t>
      </w:r>
      <w:bookmarkEnd w:id="490"/>
      <w:bookmarkEnd w:id="491"/>
    </w:p>
    <w:tbl>
      <w:tblPr>
        <w:tblStyle w:val="TableGrid"/>
        <w:tblW w:w="0" w:type="auto"/>
        <w:tblLook w:val="04A0" w:firstRow="1" w:lastRow="0" w:firstColumn="1" w:lastColumn="0" w:noHBand="0" w:noVBand="1"/>
      </w:tblPr>
      <w:tblGrid>
        <w:gridCol w:w="1803"/>
        <w:gridCol w:w="1803"/>
        <w:gridCol w:w="1803"/>
        <w:gridCol w:w="1803"/>
        <w:gridCol w:w="1804"/>
      </w:tblGrid>
      <w:tr w:rsidR="00A4788F" w:rsidRPr="003306F4" w14:paraId="473C4E6C" w14:textId="77777777" w:rsidTr="00A4788F">
        <w:tc>
          <w:tcPr>
            <w:tcW w:w="1803" w:type="dxa"/>
          </w:tcPr>
          <w:p w14:paraId="75D77298" w14:textId="77777777" w:rsidR="00A4788F" w:rsidRPr="003306F4" w:rsidRDefault="00A4788F" w:rsidP="00A4788F">
            <w:pPr>
              <w:rPr>
                <w:rFonts w:asciiTheme="majorBidi" w:hAnsiTheme="majorBidi" w:cstheme="majorBidi"/>
              </w:rPr>
            </w:pPr>
          </w:p>
        </w:tc>
        <w:tc>
          <w:tcPr>
            <w:tcW w:w="1803" w:type="dxa"/>
          </w:tcPr>
          <w:p w14:paraId="65541A57" w14:textId="77777777" w:rsidR="00A4788F" w:rsidRPr="003306F4" w:rsidRDefault="00A4788F" w:rsidP="00A4788F">
            <w:pPr>
              <w:rPr>
                <w:rFonts w:asciiTheme="majorBidi" w:hAnsiTheme="majorBidi" w:cstheme="majorBidi"/>
              </w:rPr>
            </w:pPr>
            <w:r w:rsidRPr="003306F4">
              <w:rPr>
                <w:rFonts w:asciiTheme="majorBidi" w:hAnsiTheme="majorBidi" w:cstheme="majorBidi"/>
              </w:rPr>
              <w:t>HAP/VAP</w:t>
            </w:r>
          </w:p>
        </w:tc>
        <w:tc>
          <w:tcPr>
            <w:tcW w:w="1803" w:type="dxa"/>
          </w:tcPr>
          <w:p w14:paraId="668375D0" w14:textId="77777777" w:rsidR="00A4788F" w:rsidRPr="003306F4" w:rsidRDefault="00A4788F" w:rsidP="00A4788F">
            <w:pPr>
              <w:rPr>
                <w:rFonts w:asciiTheme="majorBidi" w:hAnsiTheme="majorBidi" w:cstheme="majorBidi"/>
              </w:rPr>
            </w:pPr>
            <w:proofErr w:type="spellStart"/>
            <w:r w:rsidRPr="003306F4">
              <w:rPr>
                <w:rFonts w:asciiTheme="majorBidi" w:hAnsiTheme="majorBidi" w:cstheme="majorBidi"/>
              </w:rPr>
              <w:t>cUTI</w:t>
            </w:r>
            <w:proofErr w:type="spellEnd"/>
          </w:p>
        </w:tc>
        <w:tc>
          <w:tcPr>
            <w:tcW w:w="1803" w:type="dxa"/>
          </w:tcPr>
          <w:p w14:paraId="5C4B9037" w14:textId="77777777" w:rsidR="00A4788F" w:rsidRPr="003306F4" w:rsidRDefault="00A4788F" w:rsidP="00A4788F">
            <w:pPr>
              <w:rPr>
                <w:rFonts w:asciiTheme="majorBidi" w:hAnsiTheme="majorBidi" w:cstheme="majorBidi"/>
              </w:rPr>
            </w:pPr>
            <w:r w:rsidRPr="003306F4">
              <w:rPr>
                <w:rFonts w:asciiTheme="majorBidi" w:hAnsiTheme="majorBidi" w:cstheme="majorBidi"/>
              </w:rPr>
              <w:t>BSI</w:t>
            </w:r>
          </w:p>
        </w:tc>
        <w:tc>
          <w:tcPr>
            <w:tcW w:w="1804" w:type="dxa"/>
          </w:tcPr>
          <w:p w14:paraId="59E87E26" w14:textId="77777777" w:rsidR="00A4788F" w:rsidRPr="003306F4" w:rsidRDefault="00A4788F" w:rsidP="00A4788F">
            <w:pPr>
              <w:rPr>
                <w:rFonts w:asciiTheme="majorBidi" w:hAnsiTheme="majorBidi" w:cstheme="majorBidi"/>
              </w:rPr>
            </w:pPr>
            <w:r w:rsidRPr="003306F4">
              <w:rPr>
                <w:rFonts w:asciiTheme="majorBidi" w:hAnsiTheme="majorBidi" w:cstheme="majorBidi"/>
              </w:rPr>
              <w:t>IAI</w:t>
            </w:r>
          </w:p>
        </w:tc>
      </w:tr>
      <w:tr w:rsidR="00A4788F" w:rsidRPr="003306F4" w14:paraId="63E26B32" w14:textId="77777777" w:rsidTr="00A4788F">
        <w:tc>
          <w:tcPr>
            <w:tcW w:w="1803" w:type="dxa"/>
          </w:tcPr>
          <w:p w14:paraId="6F995E2C"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P1G1</w:t>
            </w:r>
          </w:p>
        </w:tc>
        <w:tc>
          <w:tcPr>
            <w:tcW w:w="1803" w:type="dxa"/>
            <w:vAlign w:val="center"/>
          </w:tcPr>
          <w:p w14:paraId="69BEAF20"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576</w:t>
            </w:r>
          </w:p>
        </w:tc>
        <w:tc>
          <w:tcPr>
            <w:tcW w:w="1803" w:type="dxa"/>
            <w:vAlign w:val="center"/>
          </w:tcPr>
          <w:p w14:paraId="53514341"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588</w:t>
            </w:r>
          </w:p>
        </w:tc>
        <w:tc>
          <w:tcPr>
            <w:tcW w:w="1803" w:type="dxa"/>
            <w:vAlign w:val="center"/>
          </w:tcPr>
          <w:p w14:paraId="6F8DEC47"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3,866</w:t>
            </w:r>
          </w:p>
        </w:tc>
        <w:tc>
          <w:tcPr>
            <w:tcW w:w="1804" w:type="dxa"/>
            <w:vAlign w:val="center"/>
          </w:tcPr>
          <w:p w14:paraId="32AE4D90"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257</w:t>
            </w:r>
          </w:p>
        </w:tc>
      </w:tr>
      <w:tr w:rsidR="00A4788F" w:rsidRPr="003306F4" w14:paraId="3731BE67" w14:textId="77777777" w:rsidTr="00A4788F">
        <w:tc>
          <w:tcPr>
            <w:tcW w:w="1803" w:type="dxa"/>
          </w:tcPr>
          <w:p w14:paraId="00374DDC"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P1G2</w:t>
            </w:r>
          </w:p>
        </w:tc>
        <w:tc>
          <w:tcPr>
            <w:tcW w:w="1803" w:type="dxa"/>
            <w:vAlign w:val="bottom"/>
          </w:tcPr>
          <w:p w14:paraId="64B2AB97"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color w:val="000000"/>
              </w:rPr>
              <w:t>1,279</w:t>
            </w:r>
          </w:p>
        </w:tc>
        <w:tc>
          <w:tcPr>
            <w:tcW w:w="1803" w:type="dxa"/>
            <w:vAlign w:val="bottom"/>
          </w:tcPr>
          <w:p w14:paraId="356DA250"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color w:val="000000"/>
              </w:rPr>
              <w:t>1,306</w:t>
            </w:r>
          </w:p>
        </w:tc>
        <w:tc>
          <w:tcPr>
            <w:tcW w:w="1803" w:type="dxa"/>
            <w:vAlign w:val="center"/>
          </w:tcPr>
          <w:p w14:paraId="49F8B2D9"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8,586</w:t>
            </w:r>
          </w:p>
        </w:tc>
        <w:tc>
          <w:tcPr>
            <w:tcW w:w="1804" w:type="dxa"/>
            <w:vAlign w:val="center"/>
          </w:tcPr>
          <w:p w14:paraId="64F21C3A"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571</w:t>
            </w:r>
          </w:p>
        </w:tc>
      </w:tr>
      <w:tr w:rsidR="00A4788F" w:rsidRPr="003306F4" w14:paraId="3B734498" w14:textId="77777777" w:rsidTr="00A4788F">
        <w:tc>
          <w:tcPr>
            <w:tcW w:w="1803" w:type="dxa"/>
          </w:tcPr>
          <w:p w14:paraId="0A624D63"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P2G1</w:t>
            </w:r>
          </w:p>
        </w:tc>
        <w:tc>
          <w:tcPr>
            <w:tcW w:w="1803" w:type="dxa"/>
          </w:tcPr>
          <w:p w14:paraId="783F8BE1"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3,990</w:t>
            </w:r>
          </w:p>
        </w:tc>
        <w:tc>
          <w:tcPr>
            <w:tcW w:w="1803" w:type="dxa"/>
          </w:tcPr>
          <w:p w14:paraId="38E62A6E"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 xml:space="preserve">943  </w:t>
            </w:r>
          </w:p>
        </w:tc>
        <w:tc>
          <w:tcPr>
            <w:tcW w:w="1803" w:type="dxa"/>
            <w:vAlign w:val="center"/>
          </w:tcPr>
          <w:p w14:paraId="70F682D1"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3,866</w:t>
            </w:r>
          </w:p>
        </w:tc>
        <w:tc>
          <w:tcPr>
            <w:tcW w:w="1804" w:type="dxa"/>
            <w:vAlign w:val="center"/>
          </w:tcPr>
          <w:p w14:paraId="3C05895B"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257</w:t>
            </w:r>
          </w:p>
        </w:tc>
      </w:tr>
      <w:tr w:rsidR="00A4788F" w:rsidRPr="003306F4" w14:paraId="73085D44" w14:textId="77777777" w:rsidTr="00A4788F">
        <w:tc>
          <w:tcPr>
            <w:tcW w:w="1803" w:type="dxa"/>
          </w:tcPr>
          <w:p w14:paraId="501B6192" w14:textId="77777777" w:rsidR="00A4788F" w:rsidRPr="003306F4" w:rsidRDefault="00A4788F" w:rsidP="00A4788F">
            <w:pPr>
              <w:rPr>
                <w:rFonts w:asciiTheme="majorBidi" w:hAnsiTheme="majorBidi" w:cstheme="majorBidi"/>
              </w:rPr>
            </w:pPr>
            <w:r w:rsidRPr="003306F4">
              <w:rPr>
                <w:rFonts w:asciiTheme="majorBidi" w:hAnsiTheme="majorBidi" w:cstheme="majorBidi"/>
              </w:rPr>
              <w:t>Scenario P2G2</w:t>
            </w:r>
          </w:p>
        </w:tc>
        <w:tc>
          <w:tcPr>
            <w:tcW w:w="1803" w:type="dxa"/>
          </w:tcPr>
          <w:p w14:paraId="457AFC86"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8,860</w:t>
            </w:r>
          </w:p>
        </w:tc>
        <w:tc>
          <w:tcPr>
            <w:tcW w:w="1803" w:type="dxa"/>
          </w:tcPr>
          <w:p w14:paraId="1A367C65"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2,095</w:t>
            </w:r>
          </w:p>
        </w:tc>
        <w:tc>
          <w:tcPr>
            <w:tcW w:w="1803" w:type="dxa"/>
            <w:vAlign w:val="center"/>
          </w:tcPr>
          <w:p w14:paraId="374EEEC2"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8,586</w:t>
            </w:r>
          </w:p>
        </w:tc>
        <w:tc>
          <w:tcPr>
            <w:tcW w:w="1804" w:type="dxa"/>
            <w:vAlign w:val="center"/>
          </w:tcPr>
          <w:p w14:paraId="6A2A4790" w14:textId="77777777" w:rsidR="00A4788F" w:rsidRPr="003306F4" w:rsidRDefault="00A4788F" w:rsidP="00A4788F">
            <w:pPr>
              <w:jc w:val="center"/>
              <w:rPr>
                <w:rFonts w:asciiTheme="majorBidi" w:hAnsiTheme="majorBidi" w:cstheme="majorBidi"/>
              </w:rPr>
            </w:pPr>
            <w:r w:rsidRPr="003306F4">
              <w:rPr>
                <w:rFonts w:asciiTheme="majorBidi" w:hAnsiTheme="majorBidi" w:cstheme="majorBidi"/>
              </w:rPr>
              <w:t>571</w:t>
            </w:r>
          </w:p>
        </w:tc>
      </w:tr>
    </w:tbl>
    <w:p w14:paraId="0491E08C" w14:textId="3B699A8E" w:rsidR="00774411" w:rsidRDefault="00774411" w:rsidP="00774411">
      <w:pPr>
        <w:pStyle w:val="EEPRUtextundertables"/>
      </w:pPr>
      <w:r>
        <w:t xml:space="preserve">Abbreviations: BSIs, bloodstream infections; </w:t>
      </w:r>
      <w:proofErr w:type="spellStart"/>
      <w:r>
        <w:t>cUTIs</w:t>
      </w:r>
      <w:proofErr w:type="spellEnd"/>
      <w:r>
        <w:t>, complicated urinary tract infections; HAP/VAP, hospital-acquired pneumonia or ventilator associated pneumonia; IAIs intraabdominal infections; MDS, microbiology-directed setting</w:t>
      </w:r>
    </w:p>
    <w:p w14:paraId="22EEE082" w14:textId="025D5E17" w:rsidR="00A4788F" w:rsidRDefault="00A4788F" w:rsidP="00774411">
      <w:pPr>
        <w:pStyle w:val="EEPRUtextundertables"/>
        <w:rPr>
          <w:rFonts w:asciiTheme="majorBidi" w:hAnsiTheme="majorBidi" w:cstheme="majorBidi"/>
          <w:sz w:val="18"/>
          <w:szCs w:val="18"/>
        </w:rPr>
      </w:pPr>
      <w:r w:rsidRPr="003306F4">
        <w:rPr>
          <w:rFonts w:asciiTheme="majorBidi" w:hAnsiTheme="majorBidi" w:cstheme="majorBidi"/>
          <w:sz w:val="18"/>
          <w:szCs w:val="18"/>
        </w:rPr>
        <w:t>P1G1: baseline population based on PHE categorisation of infection sites, damped growth rate; P1G2: baseline population based on PHE categorisation of infection sites, growth rate not damped; P2G1: Baseline population based on clinical advisors’ categorisation of infection sites, damped growth rate; P2G2: Baseline population based on clinical advisors’ categorisation of infection sites, growth rate not damped.</w:t>
      </w:r>
    </w:p>
    <w:p w14:paraId="52EF3C65" w14:textId="77777777" w:rsidR="00774411" w:rsidRPr="003306F4" w:rsidRDefault="00774411" w:rsidP="00774411">
      <w:pPr>
        <w:pStyle w:val="EEPRUtextundertables"/>
        <w:rPr>
          <w:rFonts w:asciiTheme="majorBidi" w:hAnsiTheme="majorBidi" w:cstheme="majorBidi"/>
          <w:sz w:val="18"/>
          <w:szCs w:val="18"/>
        </w:rPr>
      </w:pPr>
    </w:p>
    <w:p w14:paraId="71ECD375" w14:textId="77777777" w:rsidR="00A4788F" w:rsidRPr="00107570" w:rsidRDefault="00A4788F" w:rsidP="00A4788F">
      <w:pPr>
        <w:spacing w:line="360" w:lineRule="auto"/>
        <w:jc w:val="both"/>
        <w:rPr>
          <w:rFonts w:asciiTheme="majorBidi" w:hAnsiTheme="majorBidi" w:cstheme="majorBidi"/>
          <w:i/>
        </w:rPr>
      </w:pPr>
      <w:r w:rsidRPr="00107570">
        <w:rPr>
          <w:rFonts w:asciiTheme="majorBidi" w:hAnsiTheme="majorBidi" w:cstheme="majorBidi"/>
          <w:i/>
        </w:rPr>
        <w:t>Extrapolation of INHEs between populations</w:t>
      </w:r>
    </w:p>
    <w:p w14:paraId="257914F5" w14:textId="3EF289D9" w:rsidR="00A4788F" w:rsidRPr="003306F4" w:rsidRDefault="00A4788F" w:rsidP="008B218B">
      <w:pPr>
        <w:spacing w:line="360" w:lineRule="auto"/>
        <w:jc w:val="both"/>
        <w:rPr>
          <w:rFonts w:asciiTheme="majorBidi" w:hAnsiTheme="majorBidi" w:cstheme="majorBidi"/>
        </w:rPr>
      </w:pPr>
      <w:r w:rsidRPr="003306F4">
        <w:rPr>
          <w:rFonts w:asciiTheme="majorBidi" w:hAnsiTheme="majorBidi" w:cstheme="majorBidi"/>
        </w:rPr>
        <w:t xml:space="preserve">Population-level INHEs were derived by multiplying patient-level INHEs by the population size. Patient-level INHE, derived from the model described in </w:t>
      </w:r>
      <w:r w:rsidR="00D377B3" w:rsidRPr="00D377B3">
        <w:rPr>
          <w:rFonts w:asciiTheme="majorBidi" w:hAnsiTheme="majorBidi" w:cstheme="majorBidi"/>
        </w:rPr>
        <w:t>S</w:t>
      </w:r>
      <w:r w:rsidRPr="00D377B3">
        <w:rPr>
          <w:rFonts w:asciiTheme="majorBidi" w:hAnsiTheme="majorBidi" w:cstheme="majorBidi"/>
        </w:rPr>
        <w:t xml:space="preserve">ection </w:t>
      </w:r>
      <w:r w:rsidR="00D377B3" w:rsidRPr="00D377B3">
        <w:rPr>
          <w:rFonts w:asciiTheme="majorBidi" w:hAnsiTheme="majorBidi" w:cstheme="majorBidi"/>
        </w:rPr>
        <w:t>7.2</w:t>
      </w:r>
      <w:r w:rsidRPr="00D377B3">
        <w:rPr>
          <w:rFonts w:asciiTheme="majorBidi" w:hAnsiTheme="majorBidi" w:cstheme="majorBidi"/>
        </w:rPr>
        <w:t xml:space="preserve">, was conditional on the site of and the treatment setting (ES or MDS). </w:t>
      </w:r>
      <w:r w:rsidRPr="003306F4">
        <w:rPr>
          <w:rFonts w:asciiTheme="majorBidi" w:hAnsiTheme="majorBidi" w:cstheme="majorBidi"/>
        </w:rPr>
        <w:t xml:space="preserve">Patient-level INHEs for </w:t>
      </w:r>
      <w:proofErr w:type="spellStart"/>
      <w:r w:rsidRPr="003306F4">
        <w:rPr>
          <w:rFonts w:asciiTheme="majorBidi" w:hAnsiTheme="majorBidi" w:cstheme="majorBidi"/>
        </w:rPr>
        <w:t>cUTIs</w:t>
      </w:r>
      <w:proofErr w:type="spellEnd"/>
      <w:r w:rsidRPr="003306F4">
        <w:rPr>
          <w:rFonts w:asciiTheme="majorBidi" w:hAnsiTheme="majorBidi" w:cstheme="majorBidi"/>
        </w:rPr>
        <w:t xml:space="preserve"> in the MDS and for HAP/VAP in the </w:t>
      </w:r>
      <w:r w:rsidR="008B218B" w:rsidRPr="003306F4">
        <w:rPr>
          <w:rFonts w:asciiTheme="majorBidi" w:hAnsiTheme="majorBidi" w:cstheme="majorBidi"/>
        </w:rPr>
        <w:t>ES were estimated by the model</w:t>
      </w:r>
      <w:r w:rsidR="00107570">
        <w:rPr>
          <w:rFonts w:asciiTheme="majorBidi" w:hAnsiTheme="majorBidi" w:cstheme="majorBidi"/>
        </w:rPr>
        <w:t>.</w:t>
      </w:r>
      <w:r w:rsidR="008B218B" w:rsidRPr="003306F4">
        <w:rPr>
          <w:rFonts w:asciiTheme="majorBidi" w:hAnsiTheme="majorBidi" w:cstheme="majorBidi"/>
        </w:rPr>
        <w:t xml:space="preserve">  </w:t>
      </w:r>
      <w:r w:rsidRPr="003306F4">
        <w:rPr>
          <w:rFonts w:asciiTheme="majorBidi" w:hAnsiTheme="majorBidi" w:cstheme="majorBidi"/>
        </w:rPr>
        <w:t xml:space="preserve">Patient-level INHEs in BSI and IAIs were assumed to be the same as in HAP/VAP and </w:t>
      </w:r>
      <w:proofErr w:type="spellStart"/>
      <w:r w:rsidRPr="003306F4">
        <w:rPr>
          <w:rFonts w:asciiTheme="majorBidi" w:hAnsiTheme="majorBidi" w:cstheme="majorBidi"/>
        </w:rPr>
        <w:t>cUTIs</w:t>
      </w:r>
      <w:proofErr w:type="spellEnd"/>
      <w:r w:rsidRPr="003306F4">
        <w:rPr>
          <w:rFonts w:asciiTheme="majorBidi" w:hAnsiTheme="majorBidi" w:cstheme="majorBidi"/>
        </w:rPr>
        <w:t xml:space="preserve">, respectively, based on feedback from our clinical advisors. BSI and HAP/VAP are both severe infections where CAZ-AVI is expected to be used predominantly empirically. Although the consequences of IAI can be more severe than the consequences of </w:t>
      </w:r>
      <w:proofErr w:type="spellStart"/>
      <w:r w:rsidRPr="003306F4">
        <w:rPr>
          <w:rFonts w:asciiTheme="majorBidi" w:hAnsiTheme="majorBidi" w:cstheme="majorBidi"/>
        </w:rPr>
        <w:t>cUTI</w:t>
      </w:r>
      <w:proofErr w:type="spellEnd"/>
      <w:r w:rsidRPr="003306F4">
        <w:rPr>
          <w:rFonts w:asciiTheme="majorBidi" w:hAnsiTheme="majorBidi" w:cstheme="majorBidi"/>
        </w:rPr>
        <w:t xml:space="preserve"> as they are very difficult to treat (requiring a combination of ABs and surgery), on the other hand the benefits of CAZ-AVI may be smaller due to the complexity of treating these infections and the lesser role of AMs compared to other treatment modalities in their management. </w:t>
      </w:r>
    </w:p>
    <w:p w14:paraId="3125D2BF" w14:textId="77777777" w:rsidR="00A4788F" w:rsidRPr="003306F4" w:rsidRDefault="00A4788F" w:rsidP="00A4788F">
      <w:pPr>
        <w:spacing w:after="0" w:line="360" w:lineRule="auto"/>
        <w:jc w:val="both"/>
        <w:rPr>
          <w:rFonts w:asciiTheme="majorBidi" w:hAnsiTheme="majorBidi" w:cstheme="majorBidi"/>
        </w:rPr>
      </w:pPr>
      <w:bookmarkStart w:id="492" w:name="_Hlk83995110"/>
      <w:r w:rsidRPr="003306F4">
        <w:rPr>
          <w:rFonts w:asciiTheme="majorBidi" w:hAnsiTheme="majorBidi" w:cstheme="majorBidi"/>
        </w:rPr>
        <w:t xml:space="preserve">Population-level INHEs in years 1-20 were discounted at an annual rate of 3.5% to account for the delayed start of treatment. </w:t>
      </w:r>
    </w:p>
    <w:bookmarkEnd w:id="492"/>
    <w:p w14:paraId="1312B7C4" w14:textId="77777777" w:rsidR="00A4788F" w:rsidRPr="00107570" w:rsidRDefault="00A4788F" w:rsidP="00A4788F">
      <w:pPr>
        <w:spacing w:after="0" w:line="360" w:lineRule="auto"/>
        <w:jc w:val="both"/>
      </w:pPr>
    </w:p>
    <w:p w14:paraId="50208D87" w14:textId="66CF8EBB" w:rsidR="00A4788F" w:rsidRPr="00107570" w:rsidRDefault="00A4788F" w:rsidP="00A4788F">
      <w:pPr>
        <w:spacing w:line="360" w:lineRule="auto"/>
        <w:jc w:val="both"/>
        <w:rPr>
          <w:rFonts w:asciiTheme="majorBidi" w:hAnsiTheme="majorBidi" w:cstheme="majorBidi"/>
          <w:i/>
        </w:rPr>
      </w:pPr>
      <w:r w:rsidRPr="00107570">
        <w:rPr>
          <w:rFonts w:asciiTheme="majorBidi" w:hAnsiTheme="majorBidi" w:cstheme="majorBidi"/>
          <w:i/>
        </w:rPr>
        <w:t>Probabilistic analysis</w:t>
      </w:r>
      <w:r w:rsidR="00107570" w:rsidRPr="00107570">
        <w:rPr>
          <w:rFonts w:asciiTheme="majorBidi" w:hAnsiTheme="majorBidi" w:cstheme="majorBidi"/>
          <w:i/>
        </w:rPr>
        <w:t xml:space="preserve"> </w:t>
      </w:r>
    </w:p>
    <w:p w14:paraId="12F16801" w14:textId="7A0F79EE" w:rsidR="007D52CF" w:rsidRDefault="00A4788F" w:rsidP="007D52CF">
      <w:pPr>
        <w:spacing w:after="0" w:line="360" w:lineRule="auto"/>
        <w:jc w:val="both"/>
        <w:rPr>
          <w:rFonts w:asciiTheme="majorBidi" w:hAnsiTheme="majorBidi" w:cstheme="majorBidi"/>
        </w:rPr>
      </w:pPr>
      <w:r w:rsidRPr="003306F4">
        <w:rPr>
          <w:rFonts w:asciiTheme="majorBidi" w:hAnsiTheme="majorBidi" w:cstheme="majorBidi"/>
        </w:rPr>
        <w:t xml:space="preserve">The parameters included in the probabilistic analysis were chosen pragmatically. The analysis incorporated uncertainty in the patient-level INHE (as described in </w:t>
      </w:r>
      <w:r w:rsidR="00D377B3">
        <w:rPr>
          <w:rFonts w:asciiTheme="majorBidi" w:hAnsiTheme="majorBidi" w:cstheme="majorBidi"/>
        </w:rPr>
        <w:t>S</w:t>
      </w:r>
      <w:r w:rsidRPr="00D377B3">
        <w:rPr>
          <w:rFonts w:asciiTheme="majorBidi" w:hAnsiTheme="majorBidi" w:cstheme="majorBidi"/>
        </w:rPr>
        <w:t xml:space="preserve">ection </w:t>
      </w:r>
      <w:r w:rsidR="00D377B3" w:rsidRPr="00D377B3">
        <w:rPr>
          <w:rFonts w:asciiTheme="majorBidi" w:hAnsiTheme="majorBidi" w:cstheme="majorBidi"/>
        </w:rPr>
        <w:t>7.2</w:t>
      </w:r>
      <w:r w:rsidRPr="003306F4">
        <w:rPr>
          <w:rFonts w:asciiTheme="majorBidi" w:hAnsiTheme="majorBidi" w:cstheme="majorBidi"/>
        </w:rPr>
        <w:t xml:space="preserve">) and uncertainty in the population growth. The probabilistic analysis did not reflect uncertainty in the current population size, instead this was explored in scenario analyses outlined above. Expected usage and the link between this </w:t>
      </w:r>
      <w:r w:rsidRPr="003306F4">
        <w:rPr>
          <w:rFonts w:asciiTheme="majorBidi" w:hAnsiTheme="majorBidi" w:cstheme="majorBidi"/>
        </w:rPr>
        <w:lastRenderedPageBreak/>
        <w:t>and resistance was not made probabilistic for simplicity and due to the challenges in characterising with any accuracy the uncertainty around emergence of resistance, again this was explored via scenario analyses outlined in Section 2.1.2.</w:t>
      </w:r>
    </w:p>
    <w:p w14:paraId="0A93ED6F" w14:textId="77777777" w:rsidR="007D52CF" w:rsidRDefault="007D52CF" w:rsidP="007D52CF">
      <w:pPr>
        <w:spacing w:after="0" w:line="360" w:lineRule="auto"/>
        <w:jc w:val="both"/>
        <w:rPr>
          <w:rFonts w:asciiTheme="majorBidi" w:hAnsiTheme="majorBidi" w:cstheme="majorBidi"/>
        </w:rPr>
      </w:pPr>
    </w:p>
    <w:p w14:paraId="3D514F98" w14:textId="76325C9B" w:rsidR="00A4788F" w:rsidRPr="007D52CF" w:rsidRDefault="0019116B" w:rsidP="0019116B">
      <w:pPr>
        <w:spacing w:after="0" w:line="360" w:lineRule="auto"/>
        <w:ind w:left="1418"/>
        <w:jc w:val="both"/>
        <w:rPr>
          <w:rFonts w:asciiTheme="majorBidi" w:hAnsiTheme="majorBidi" w:cstheme="majorBidi"/>
          <w:b/>
          <w:bCs/>
          <w:sz w:val="26"/>
          <w:szCs w:val="26"/>
        </w:rPr>
      </w:pPr>
      <w:r>
        <w:rPr>
          <w:rFonts w:asciiTheme="majorBidi" w:hAnsiTheme="majorBidi" w:cstheme="majorBidi"/>
          <w:b/>
          <w:bCs/>
          <w:sz w:val="26"/>
          <w:szCs w:val="26"/>
        </w:rPr>
        <w:tab/>
      </w:r>
      <w:r w:rsidR="007D52CF" w:rsidRPr="007D52CF">
        <w:rPr>
          <w:rFonts w:asciiTheme="majorBidi" w:hAnsiTheme="majorBidi" w:cstheme="majorBidi"/>
          <w:b/>
          <w:bCs/>
          <w:sz w:val="26"/>
          <w:szCs w:val="26"/>
        </w:rPr>
        <w:t xml:space="preserve">7.5.3 </w:t>
      </w:r>
      <w:r w:rsidR="00A4788F" w:rsidRPr="007D52CF">
        <w:rPr>
          <w:rFonts w:asciiTheme="majorBidi" w:hAnsiTheme="majorBidi" w:cstheme="majorBidi"/>
          <w:b/>
          <w:bCs/>
          <w:sz w:val="26"/>
          <w:szCs w:val="26"/>
        </w:rPr>
        <w:t>Additional elements of value for new AMs</w:t>
      </w:r>
    </w:p>
    <w:p w14:paraId="73674D03" w14:textId="4E253107" w:rsidR="00A4788F" w:rsidRPr="003306F4" w:rsidRDefault="00A4788F" w:rsidP="00A83123">
      <w:pPr>
        <w:spacing w:after="0" w:line="360" w:lineRule="auto"/>
        <w:jc w:val="both"/>
        <w:rPr>
          <w:rFonts w:asciiTheme="majorBidi" w:hAnsiTheme="majorBidi" w:cstheme="majorBidi"/>
        </w:rPr>
      </w:pPr>
      <w:r w:rsidRPr="003306F4">
        <w:rPr>
          <w:rFonts w:asciiTheme="majorBidi" w:hAnsiTheme="majorBidi" w:cstheme="majorBidi"/>
        </w:rPr>
        <w:t>The literature on the economic evaluation of AMs has described the different sources of value associated with these products.</w:t>
      </w:r>
      <w:r w:rsidR="00A83123" w:rsidRPr="00A83123">
        <w:rPr>
          <w:rFonts w:asciiTheme="majorBidi" w:hAnsiTheme="majorBidi" w:cstheme="majorBidi"/>
          <w:noProof/>
          <w:vertAlign w:val="superscript"/>
        </w:rPr>
        <w:t>13</w:t>
      </w:r>
      <w:r w:rsidRPr="003306F4">
        <w:rPr>
          <w:rFonts w:asciiTheme="majorBidi" w:hAnsiTheme="majorBidi" w:cstheme="majorBidi"/>
        </w:rPr>
        <w:t xml:space="preserve"> </w:t>
      </w:r>
      <w:r w:rsidR="00A83123" w:rsidRPr="00A83123">
        <w:rPr>
          <w:rFonts w:asciiTheme="majorBidi" w:hAnsiTheme="majorBidi" w:cstheme="majorBidi"/>
          <w:noProof/>
          <w:vertAlign w:val="superscript"/>
        </w:rPr>
        <w:t>117</w:t>
      </w:r>
      <w:r w:rsidRPr="003306F4">
        <w:rPr>
          <w:rFonts w:asciiTheme="majorBidi" w:hAnsiTheme="majorBidi" w:cstheme="majorBidi"/>
        </w:rPr>
        <w:t xml:space="preserve"> In EEPRU’s earlier work on evaluation methods </w:t>
      </w:r>
      <w:r w:rsidR="00A83123" w:rsidRPr="00A83123">
        <w:rPr>
          <w:rFonts w:asciiTheme="majorBidi" w:hAnsiTheme="majorBidi" w:cstheme="majorBidi"/>
          <w:noProof/>
          <w:vertAlign w:val="superscript"/>
        </w:rPr>
        <w:t>13</w:t>
      </w:r>
      <w:r w:rsidRPr="003306F4">
        <w:rPr>
          <w:rFonts w:asciiTheme="majorBidi" w:hAnsiTheme="majorBidi" w:cstheme="majorBidi"/>
        </w:rPr>
        <w:t xml:space="preserve"> the principles by which each of these ‘elements of value’ can be reflected in models focused on estimating the impact of new products on population NHEs was discussed. </w:t>
      </w:r>
    </w:p>
    <w:p w14:paraId="5D026147" w14:textId="77777777" w:rsidR="00A4788F" w:rsidRPr="003306F4" w:rsidRDefault="00A4788F" w:rsidP="00A4788F">
      <w:pPr>
        <w:spacing w:after="0" w:line="360" w:lineRule="auto"/>
        <w:jc w:val="both"/>
        <w:rPr>
          <w:rFonts w:asciiTheme="majorBidi" w:hAnsiTheme="majorBidi" w:cstheme="majorBidi"/>
        </w:rPr>
      </w:pPr>
    </w:p>
    <w:p w14:paraId="257737E0" w14:textId="77777777" w:rsidR="007D52CF" w:rsidRDefault="00A4788F" w:rsidP="007D52CF">
      <w:pPr>
        <w:spacing w:line="360" w:lineRule="auto"/>
        <w:jc w:val="both"/>
        <w:rPr>
          <w:rFonts w:asciiTheme="majorBidi" w:hAnsiTheme="majorBidi" w:cstheme="majorBidi"/>
        </w:rPr>
      </w:pPr>
      <w:r w:rsidRPr="00107570">
        <w:rPr>
          <w:rFonts w:asciiTheme="majorBidi" w:hAnsiTheme="majorBidi" w:cstheme="majorBidi"/>
        </w:rPr>
        <w:t xml:space="preserve">In Section </w:t>
      </w:r>
      <w:r w:rsidR="00107570" w:rsidRPr="00107570">
        <w:rPr>
          <w:rFonts w:asciiTheme="majorBidi" w:hAnsiTheme="majorBidi" w:cstheme="majorBidi"/>
        </w:rPr>
        <w:t>8.3</w:t>
      </w:r>
      <w:r w:rsidRPr="00107570">
        <w:rPr>
          <w:rFonts w:asciiTheme="majorBidi" w:hAnsiTheme="majorBidi" w:cstheme="majorBidi"/>
        </w:rPr>
        <w:t xml:space="preserve"> we present </w:t>
      </w:r>
      <w:r w:rsidRPr="003306F4">
        <w:rPr>
          <w:rFonts w:asciiTheme="majorBidi" w:hAnsiTheme="majorBidi" w:cstheme="majorBidi"/>
        </w:rPr>
        <w:t>a summary of how the different elements of value are conceptualised in the literature, within the manufacturer submission and how they are understood by our clinical advisory group. We summarise the extent to which each element of value is reflected in the quantitative assessments of value for the HVCS</w:t>
      </w:r>
      <w:r w:rsidR="00107570">
        <w:rPr>
          <w:rFonts w:asciiTheme="majorBidi" w:hAnsiTheme="majorBidi" w:cstheme="majorBidi"/>
        </w:rPr>
        <w:t>s,</w:t>
      </w:r>
      <w:r w:rsidRPr="003306F4">
        <w:rPr>
          <w:rFonts w:asciiTheme="majorBidi" w:hAnsiTheme="majorBidi" w:cstheme="majorBidi"/>
        </w:rPr>
        <w:t xml:space="preserve"> or quantitative evidence presented in the manufacturer submission. For each element of value for which a quantitative assessment was not conducted we provide a discussion of the extent to which that element of value is likely to be quantitively important in influencing the assessment of population INHEs for </w:t>
      </w:r>
      <w:r w:rsidR="00FE2007">
        <w:rPr>
          <w:rFonts w:asciiTheme="majorBidi" w:hAnsiTheme="majorBidi" w:cstheme="majorBidi"/>
        </w:rPr>
        <w:t>CAZ-AVI</w:t>
      </w:r>
      <w:r w:rsidRPr="003306F4">
        <w:rPr>
          <w:rFonts w:asciiTheme="majorBidi" w:hAnsiTheme="majorBidi" w:cstheme="majorBidi"/>
        </w:rPr>
        <w:t xml:space="preserve">. This is based on evidence from the literature, evidence presented in the manufacturer submission and the views of our clinical advisors. </w:t>
      </w:r>
    </w:p>
    <w:p w14:paraId="173524D6" w14:textId="0CBF2AAA" w:rsidR="00A4788F" w:rsidRPr="007D52CF" w:rsidRDefault="0019116B" w:rsidP="0019116B">
      <w:pPr>
        <w:spacing w:line="360" w:lineRule="auto"/>
        <w:ind w:firstLine="1418"/>
        <w:jc w:val="both"/>
        <w:rPr>
          <w:rFonts w:asciiTheme="majorBidi" w:hAnsiTheme="majorBidi" w:cstheme="majorBidi"/>
          <w:b/>
          <w:bCs/>
          <w:sz w:val="26"/>
          <w:szCs w:val="26"/>
        </w:rPr>
      </w:pPr>
      <w:r>
        <w:tab/>
      </w:r>
      <w:r w:rsidR="007D52CF" w:rsidRPr="004B666A">
        <w:rPr>
          <w:rFonts w:asciiTheme="majorBidi" w:hAnsiTheme="majorBidi" w:cstheme="majorBidi"/>
          <w:b/>
          <w:bCs/>
          <w:sz w:val="26"/>
          <w:szCs w:val="26"/>
        </w:rPr>
        <w:t xml:space="preserve">7.5.4 </w:t>
      </w:r>
      <w:r w:rsidR="00A4788F" w:rsidRPr="007D52CF">
        <w:rPr>
          <w:rFonts w:asciiTheme="majorBidi" w:hAnsiTheme="majorBidi" w:cstheme="majorBidi"/>
          <w:b/>
          <w:bCs/>
          <w:sz w:val="26"/>
          <w:szCs w:val="26"/>
        </w:rPr>
        <w:t xml:space="preserve">Validation </w:t>
      </w:r>
    </w:p>
    <w:p w14:paraId="6CD2E342" w14:textId="7E373BC9" w:rsidR="00A4788F" w:rsidRDefault="00A4788F" w:rsidP="00FD107F">
      <w:pPr>
        <w:spacing w:after="0" w:line="360" w:lineRule="auto"/>
        <w:jc w:val="both"/>
        <w:rPr>
          <w:rFonts w:asciiTheme="majorBidi" w:hAnsiTheme="majorBidi" w:cstheme="majorBidi"/>
        </w:rPr>
      </w:pPr>
      <w:r w:rsidRPr="00FD107F">
        <w:rPr>
          <w:rFonts w:asciiTheme="majorBidi" w:hAnsiTheme="majorBidi" w:cstheme="majorBidi"/>
        </w:rPr>
        <w:t>To ensure the appropriateness of the decision problem, scope of the decision model, model structure</w:t>
      </w:r>
      <w:r w:rsidR="00C448B8">
        <w:rPr>
          <w:rFonts w:asciiTheme="majorBidi" w:hAnsiTheme="majorBidi" w:cstheme="majorBidi"/>
        </w:rPr>
        <w:t>,</w:t>
      </w:r>
      <w:r w:rsidRPr="00FD107F">
        <w:rPr>
          <w:rFonts w:asciiTheme="majorBidi" w:hAnsiTheme="majorBidi" w:cstheme="majorBidi"/>
        </w:rPr>
        <w:t xml:space="preserve"> and evidence used we consulted extensively with microbiologists and clinicians involved in treating serious drug-resistant infections, and in related research, those with expertise in transmission modelling and those with expertise in specific types of evidence. Given the complexity of the appraisal and the multiple components of the work this required approximately ten separate calls on different aspects of the work.  </w:t>
      </w:r>
    </w:p>
    <w:p w14:paraId="1DB495F7" w14:textId="77777777" w:rsidR="00C27EE8" w:rsidRPr="00FD107F" w:rsidRDefault="00C27EE8" w:rsidP="00FD107F">
      <w:pPr>
        <w:spacing w:after="0" w:line="360" w:lineRule="auto"/>
        <w:jc w:val="both"/>
        <w:rPr>
          <w:rFonts w:asciiTheme="majorBidi" w:hAnsiTheme="majorBidi" w:cstheme="majorBidi"/>
        </w:rPr>
      </w:pPr>
    </w:p>
    <w:p w14:paraId="716539AF" w14:textId="77777777" w:rsidR="00A4788F" w:rsidRPr="00FD107F" w:rsidRDefault="00A4788F" w:rsidP="00FD107F">
      <w:pPr>
        <w:spacing w:after="0" w:line="360" w:lineRule="auto"/>
        <w:jc w:val="both"/>
        <w:rPr>
          <w:rFonts w:asciiTheme="majorBidi" w:hAnsiTheme="majorBidi" w:cstheme="majorBidi"/>
        </w:rPr>
      </w:pPr>
      <w:r w:rsidRPr="00FD107F">
        <w:rPr>
          <w:rFonts w:asciiTheme="majorBidi" w:hAnsiTheme="majorBidi" w:cstheme="majorBidi"/>
        </w:rPr>
        <w:t xml:space="preserve">A technical validation of the data analyses, synthesis and decision analytic modelling conducted by EEPRU was conducted. This comprised a review of the code by a second reviewer. </w:t>
      </w:r>
    </w:p>
    <w:p w14:paraId="5362DF31" w14:textId="77777777" w:rsidR="00A4788F" w:rsidRDefault="00A4788F" w:rsidP="00A4788F">
      <w:pPr>
        <w:spacing w:line="360" w:lineRule="auto"/>
        <w:jc w:val="both"/>
      </w:pPr>
      <w:r>
        <w:br w:type="page"/>
      </w:r>
    </w:p>
    <w:p w14:paraId="131934F1" w14:textId="7B0FCCCF" w:rsidR="00A4788F" w:rsidRDefault="00A4788F" w:rsidP="005A3BE6">
      <w:pPr>
        <w:pStyle w:val="EEPRUNumberedHeading"/>
        <w:numPr>
          <w:ilvl w:val="0"/>
          <w:numId w:val="114"/>
        </w:numPr>
      </w:pPr>
      <w:bookmarkStart w:id="493" w:name="_Toc85194080"/>
      <w:bookmarkStart w:id="494" w:name="_Toc87463055"/>
      <w:r>
        <w:lastRenderedPageBreak/>
        <w:t>Results of quantification of value</w:t>
      </w:r>
      <w:bookmarkEnd w:id="493"/>
      <w:bookmarkEnd w:id="494"/>
    </w:p>
    <w:p w14:paraId="4910C8BC" w14:textId="23C3FF8C" w:rsidR="00A4788F" w:rsidRDefault="00A4788F" w:rsidP="005A3BE6">
      <w:pPr>
        <w:pStyle w:val="EEPRUNumberedsubheading"/>
        <w:numPr>
          <w:ilvl w:val="1"/>
          <w:numId w:val="114"/>
        </w:numPr>
      </w:pPr>
      <w:bookmarkStart w:id="495" w:name="_Toc85194081"/>
      <w:bookmarkStart w:id="496" w:name="_Toc87463056"/>
      <w:r>
        <w:t>Direct patient net health effects in HVCS</w:t>
      </w:r>
      <w:bookmarkEnd w:id="495"/>
      <w:bookmarkEnd w:id="496"/>
    </w:p>
    <w:p w14:paraId="23F19D34" w14:textId="150DE4CC" w:rsidR="00A4788F" w:rsidRPr="008B218B" w:rsidRDefault="0019116B" w:rsidP="0019116B">
      <w:pPr>
        <w:pStyle w:val="EEPRUnumberedstylelevel3"/>
        <w:numPr>
          <w:ilvl w:val="2"/>
          <w:numId w:val="102"/>
        </w:numPr>
        <w:ind w:hanging="526"/>
      </w:pPr>
      <w:bookmarkStart w:id="497" w:name="_Ref85123155"/>
      <w:bookmarkStart w:id="498" w:name="_Toc85194082"/>
      <w:r>
        <w:t xml:space="preserve"> </w:t>
      </w:r>
      <w:bookmarkStart w:id="499" w:name="_Toc87463057"/>
      <w:r w:rsidR="00A4788F" w:rsidRPr="008B218B">
        <w:t>OXA-48 Empiric setting HAP/ VAP</w:t>
      </w:r>
      <w:bookmarkEnd w:id="497"/>
      <w:bookmarkEnd w:id="498"/>
      <w:bookmarkEnd w:id="499"/>
    </w:p>
    <w:p w14:paraId="0728A39E" w14:textId="3ECC56CA"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The base case results are shown in </w:t>
      </w:r>
      <w:r w:rsidR="00107570" w:rsidRPr="00107570">
        <w:rPr>
          <w:rFonts w:asciiTheme="majorBidi" w:hAnsiTheme="majorBidi" w:cstheme="majorBidi"/>
        </w:rPr>
        <w:t xml:space="preserve">Table </w:t>
      </w:r>
      <w:r w:rsidR="00107570" w:rsidRPr="00107570">
        <w:rPr>
          <w:rFonts w:asciiTheme="majorBidi" w:hAnsiTheme="majorBidi" w:cstheme="majorBidi"/>
          <w:noProof/>
        </w:rPr>
        <w:t>36</w:t>
      </w:r>
      <w:r w:rsidRPr="003306F4">
        <w:rPr>
          <w:rFonts w:asciiTheme="majorBidi" w:hAnsiTheme="majorBidi" w:cstheme="majorBidi"/>
        </w:rPr>
        <w:t xml:space="preserve"> for patients correctly suspected as having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00381A08">
        <w:rPr>
          <w:rFonts w:asciiTheme="majorBidi" w:hAnsiTheme="majorBidi" w:cstheme="majorBidi"/>
        </w:rPr>
        <w:t xml:space="preserve">, </w:t>
      </w:r>
      <w:r w:rsidRPr="003306F4">
        <w:rPr>
          <w:rFonts w:asciiTheme="majorBidi" w:hAnsiTheme="majorBidi" w:cstheme="majorBidi"/>
        </w:rPr>
        <w:t xml:space="preserve">those wrongly suspected of having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and in the average patient suspected to have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in the ES (whose outcomes are a weighted average of those with and without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w:t>
      </w:r>
    </w:p>
    <w:p w14:paraId="3D19A211" w14:textId="77777777"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 </w:t>
      </w:r>
    </w:p>
    <w:p w14:paraId="1B6B2C76" w14:textId="435F01DF"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CAZ-AVI is associated with similar susceptibility to colistin/aminoglycoside-based therapy but improved safety in both individuals with and without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The per patient INHE is</w:t>
      </w:r>
      <w:r w:rsidR="00107570">
        <w:rPr>
          <w:rFonts w:asciiTheme="majorBidi" w:hAnsiTheme="majorBidi" w:cstheme="majorBidi"/>
        </w:rPr>
        <w:t>,</w:t>
      </w:r>
      <w:r w:rsidRPr="003306F4">
        <w:rPr>
          <w:rFonts w:asciiTheme="majorBidi" w:hAnsiTheme="majorBidi" w:cstheme="majorBidi"/>
        </w:rPr>
        <w:t xml:space="preserve"> therefore</w:t>
      </w:r>
      <w:r w:rsidR="00107570">
        <w:rPr>
          <w:rFonts w:asciiTheme="majorBidi" w:hAnsiTheme="majorBidi" w:cstheme="majorBidi"/>
        </w:rPr>
        <w:t>,</w:t>
      </w:r>
      <w:r w:rsidRPr="003306F4">
        <w:rPr>
          <w:rFonts w:asciiTheme="majorBidi" w:hAnsiTheme="majorBidi" w:cstheme="majorBidi"/>
        </w:rPr>
        <w:t xml:space="preserve"> similar in patients with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without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and the average ES </w:t>
      </w:r>
      <w:r w:rsidR="00F54B1C" w:rsidRPr="003306F4">
        <w:rPr>
          <w:rFonts w:asciiTheme="majorBidi" w:hAnsiTheme="majorBidi" w:cstheme="majorBidi"/>
        </w:rPr>
        <w:t>patient at</w:t>
      </w:r>
      <w:r w:rsidRPr="003306F4">
        <w:rPr>
          <w:rFonts w:asciiTheme="majorBidi" w:hAnsiTheme="majorBidi" w:cstheme="majorBidi"/>
        </w:rPr>
        <w:t xml:space="preserve"> 0.16 – 0.19 QALYs. The safety advantage delivers a small cost saving as cost savings associated with reduced rates of AKI are offset by longer time spent in hospital for patients receiving CAZ-AVI, which is a result of the slightly higher susceptibility to colistin (94% compared to 92% for CAZ-AVI) and the fact that preventing AKIs lowers early in-hospital mortality thus prolonging hospital stay. The safety advantage delivers a substantive QALY gain due to the reduced mortality associated with AKI in the short and long-term. </w:t>
      </w:r>
    </w:p>
    <w:p w14:paraId="79956CE0" w14:textId="77777777" w:rsidR="00A4788F" w:rsidRPr="003306F4" w:rsidRDefault="00A4788F" w:rsidP="00A4788F">
      <w:pPr>
        <w:spacing w:after="0" w:line="360" w:lineRule="auto"/>
        <w:jc w:val="both"/>
        <w:rPr>
          <w:rFonts w:asciiTheme="majorBidi" w:hAnsiTheme="majorBidi" w:cstheme="majorBidi"/>
        </w:rPr>
      </w:pPr>
    </w:p>
    <w:p w14:paraId="747ECE8C" w14:textId="2ED79B1C"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Amongst patients with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CAZ-AVI is associated with improved susceptibility and comparable safety to non-colistin/aminoglycoside-based therapy. The large difference in susceptibility between these comparators (92% vs. 35%) drives a large per patient INHE of 0.81 QALYs in this group. This reflects both the QALY gain associated with the higher susceptibility (0.40) and the substantive cost saving associated with a reduced </w:t>
      </w:r>
      <w:r w:rsidR="005B4EB8">
        <w:rPr>
          <w:rFonts w:asciiTheme="majorBidi" w:hAnsiTheme="majorBidi" w:cstheme="majorBidi"/>
        </w:rPr>
        <w:t>LOS</w:t>
      </w:r>
      <w:r w:rsidRPr="003306F4">
        <w:rPr>
          <w:rFonts w:asciiTheme="majorBidi" w:hAnsiTheme="majorBidi" w:cstheme="majorBidi"/>
        </w:rPr>
        <w:t xml:space="preserve"> (£9,108). In patients without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CAZ-AVI and non-colistin/aminoglycoside-based therapy offer similar susceptibility and safety. </w:t>
      </w:r>
    </w:p>
    <w:p w14:paraId="3FC6D6C2" w14:textId="77777777" w:rsidR="00A4788F" w:rsidRPr="003306F4" w:rsidRDefault="00A4788F" w:rsidP="00A4788F">
      <w:pPr>
        <w:spacing w:after="0" w:line="360" w:lineRule="auto"/>
        <w:jc w:val="both"/>
        <w:rPr>
          <w:rFonts w:asciiTheme="majorBidi" w:hAnsiTheme="majorBidi" w:cstheme="majorBidi"/>
        </w:rPr>
      </w:pPr>
    </w:p>
    <w:p w14:paraId="4A299ABB" w14:textId="0E8558E2"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In the average ES patient suspected of having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use of CAZ-AVI in the </w:t>
      </w:r>
      <w:r w:rsidR="008E4948">
        <w:rPr>
          <w:rFonts w:asciiTheme="majorBidi" w:hAnsiTheme="majorBidi" w:cstheme="majorBidi"/>
        </w:rPr>
        <w:t>ES</w:t>
      </w:r>
      <w:r w:rsidRPr="003306F4">
        <w:rPr>
          <w:rFonts w:asciiTheme="majorBidi" w:hAnsiTheme="majorBidi" w:cstheme="majorBidi"/>
        </w:rPr>
        <w:t xml:space="preserve"> is associated with a per patient INHE gain of 0.19 QALYs compared to colistin/aminoglycoside-based therapy and of 0.16 QALYs compared to non-colistin or aminoglycoside-based therapy.</w:t>
      </w:r>
    </w:p>
    <w:p w14:paraId="3921D200" w14:textId="77777777" w:rsidR="00A4788F" w:rsidRPr="003306F4" w:rsidRDefault="00A4788F" w:rsidP="00A4788F">
      <w:pPr>
        <w:spacing w:after="0" w:line="360" w:lineRule="auto"/>
        <w:jc w:val="both"/>
        <w:rPr>
          <w:rFonts w:asciiTheme="majorBidi" w:hAnsiTheme="majorBidi" w:cstheme="majorBidi"/>
        </w:rPr>
      </w:pPr>
    </w:p>
    <w:p w14:paraId="61820A36" w14:textId="412E3B59"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Restricting use of CAZ-AVI to patients who fail empiric treatment and require treatment in the MDS is associated with a small increase in INHE benefit compared to existing therapies. This is attributable to </w:t>
      </w:r>
      <w:r w:rsidR="006464ED" w:rsidRPr="003306F4">
        <w:rPr>
          <w:rFonts w:asciiTheme="majorBidi" w:hAnsiTheme="majorBidi" w:cstheme="majorBidi"/>
        </w:rPr>
        <w:t>several</w:t>
      </w:r>
      <w:r w:rsidRPr="003306F4">
        <w:rPr>
          <w:rFonts w:asciiTheme="majorBidi" w:hAnsiTheme="majorBidi" w:cstheme="majorBidi"/>
        </w:rPr>
        <w:t xml:space="preserve"> factors. Many patients can be treated effectively in the empiric setting with existing treatment or die prior to reaching the MDS (i.e. not all patients progress to the MDS), many patients do not have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and are not</w:t>
      </w:r>
      <w:r w:rsidR="006464ED">
        <w:rPr>
          <w:rFonts w:asciiTheme="majorBidi" w:hAnsiTheme="majorBidi" w:cstheme="majorBidi"/>
        </w:rPr>
        <w:t>,</w:t>
      </w:r>
      <w:r w:rsidRPr="003306F4">
        <w:rPr>
          <w:rFonts w:asciiTheme="majorBidi" w:hAnsiTheme="majorBidi" w:cstheme="majorBidi"/>
        </w:rPr>
        <w:t xml:space="preserve"> therefore</w:t>
      </w:r>
      <w:r w:rsidR="006464ED">
        <w:rPr>
          <w:rFonts w:asciiTheme="majorBidi" w:hAnsiTheme="majorBidi" w:cstheme="majorBidi"/>
        </w:rPr>
        <w:t>,</w:t>
      </w:r>
      <w:r w:rsidRPr="003306F4">
        <w:rPr>
          <w:rFonts w:asciiTheme="majorBidi" w:hAnsiTheme="majorBidi" w:cstheme="majorBidi"/>
        </w:rPr>
        <w:t xml:space="preserve"> eligible to receive CAZ-AVI in the MDS, and </w:t>
      </w:r>
      <w:r w:rsidRPr="003306F4">
        <w:rPr>
          <w:rFonts w:asciiTheme="majorBidi" w:hAnsiTheme="majorBidi" w:cstheme="majorBidi"/>
        </w:rPr>
        <w:lastRenderedPageBreak/>
        <w:t xml:space="preserve">amongst those with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the majority (68%) are susceptible to a non-colistin-based treatment option and</w:t>
      </w:r>
      <w:r w:rsidR="006464ED">
        <w:rPr>
          <w:rFonts w:asciiTheme="majorBidi" w:hAnsiTheme="majorBidi" w:cstheme="majorBidi"/>
        </w:rPr>
        <w:t>,</w:t>
      </w:r>
      <w:r w:rsidRPr="003306F4">
        <w:rPr>
          <w:rFonts w:asciiTheme="majorBidi" w:hAnsiTheme="majorBidi" w:cstheme="majorBidi"/>
        </w:rPr>
        <w:t xml:space="preserve"> therefore</w:t>
      </w:r>
      <w:r w:rsidR="006464ED">
        <w:rPr>
          <w:rFonts w:asciiTheme="majorBidi" w:hAnsiTheme="majorBidi" w:cstheme="majorBidi"/>
        </w:rPr>
        <w:t>,</w:t>
      </w:r>
      <w:r w:rsidRPr="003306F4">
        <w:rPr>
          <w:rFonts w:asciiTheme="majorBidi" w:hAnsiTheme="majorBidi" w:cstheme="majorBidi"/>
        </w:rPr>
        <w:t xml:space="preserve"> do not receive CAZ-AVI in the model when they reach the MDS. </w:t>
      </w:r>
    </w:p>
    <w:p w14:paraId="54CEAD01" w14:textId="77777777" w:rsidR="00A4788F" w:rsidRPr="008B218B" w:rsidRDefault="00A4788F" w:rsidP="009E265F">
      <w:pPr>
        <w:pStyle w:val="table"/>
      </w:pPr>
    </w:p>
    <w:p w14:paraId="17CFF514" w14:textId="59785F3E" w:rsidR="00A4788F" w:rsidRPr="008B218B" w:rsidRDefault="00A4788F" w:rsidP="009E265F">
      <w:pPr>
        <w:pStyle w:val="table"/>
      </w:pPr>
      <w:bookmarkStart w:id="500" w:name="_Ref83584087"/>
      <w:bookmarkStart w:id="501" w:name="_Toc83589995"/>
      <w:bookmarkStart w:id="502" w:name="_Toc86419013"/>
      <w:r w:rsidRPr="008B218B">
        <w:t xml:space="preserve">Table </w:t>
      </w:r>
      <w:r w:rsidR="00F10F0A">
        <w:rPr>
          <w:noProof/>
        </w:rPr>
        <w:t>36</w:t>
      </w:r>
      <w:bookmarkEnd w:id="500"/>
      <w:r w:rsidRPr="008B218B">
        <w:t xml:space="preserve">: Per patient base-case results: OXA-48 </w:t>
      </w:r>
      <w:proofErr w:type="spellStart"/>
      <w:r w:rsidR="00381A08" w:rsidRPr="00381A08">
        <w:rPr>
          <w:i/>
          <w:iCs/>
        </w:rPr>
        <w:t>Enterobacterales</w:t>
      </w:r>
      <w:proofErr w:type="spellEnd"/>
      <w:r w:rsidRPr="008B218B">
        <w:t xml:space="preserve"> HAP/VAP empiric setting (probabilistic, 2,000 simulations). Note incremental values for CAZ-AVI used in the MDS not shown for parsimony</w:t>
      </w:r>
      <w:bookmarkEnd w:id="501"/>
      <w:bookmarkEnd w:id="502"/>
    </w:p>
    <w:tbl>
      <w:tblPr>
        <w:tblStyle w:val="TableGrid"/>
        <w:tblW w:w="8784" w:type="dxa"/>
        <w:tblLayout w:type="fixed"/>
        <w:tblLook w:val="04A0" w:firstRow="1" w:lastRow="0" w:firstColumn="1" w:lastColumn="0" w:noHBand="0" w:noVBand="1"/>
      </w:tblPr>
      <w:tblGrid>
        <w:gridCol w:w="2405"/>
        <w:gridCol w:w="709"/>
        <w:gridCol w:w="709"/>
        <w:gridCol w:w="696"/>
        <w:gridCol w:w="816"/>
        <w:gridCol w:w="899"/>
        <w:gridCol w:w="1274"/>
        <w:gridCol w:w="1276"/>
      </w:tblGrid>
      <w:tr w:rsidR="00A4788F" w:rsidRPr="003306F4" w14:paraId="73A1836A" w14:textId="77777777" w:rsidTr="00A4788F">
        <w:trPr>
          <w:trHeight w:hRule="exact" w:val="684"/>
        </w:trPr>
        <w:tc>
          <w:tcPr>
            <w:tcW w:w="2405" w:type="dxa"/>
            <w:shd w:val="clear" w:color="auto" w:fill="auto"/>
          </w:tcPr>
          <w:p w14:paraId="1FF9C175" w14:textId="55A3E295" w:rsidR="00774411" w:rsidRPr="003306F4" w:rsidRDefault="00774411" w:rsidP="00A4788F">
            <w:pPr>
              <w:rPr>
                <w:rFonts w:asciiTheme="majorBidi" w:hAnsiTheme="majorBidi" w:cstheme="majorBidi"/>
                <w:b/>
              </w:rPr>
            </w:pPr>
          </w:p>
        </w:tc>
        <w:tc>
          <w:tcPr>
            <w:tcW w:w="3829" w:type="dxa"/>
            <w:gridSpan w:val="5"/>
            <w:shd w:val="clear" w:color="auto" w:fill="auto"/>
          </w:tcPr>
          <w:p w14:paraId="4B7F5A07" w14:textId="77777777" w:rsidR="00A4788F" w:rsidRPr="003306F4" w:rsidRDefault="00A4788F" w:rsidP="00A4788F">
            <w:pPr>
              <w:rPr>
                <w:rFonts w:asciiTheme="majorBidi" w:hAnsiTheme="majorBidi" w:cstheme="majorBidi"/>
                <w:b/>
              </w:rPr>
            </w:pPr>
            <w:r w:rsidRPr="003306F4">
              <w:rPr>
                <w:rFonts w:asciiTheme="majorBidi" w:hAnsiTheme="majorBidi" w:cstheme="majorBidi"/>
                <w:b/>
              </w:rPr>
              <w:t>Comparator treatment strategies in the empiric setting</w:t>
            </w:r>
          </w:p>
        </w:tc>
        <w:tc>
          <w:tcPr>
            <w:tcW w:w="2550" w:type="dxa"/>
            <w:gridSpan w:val="2"/>
            <w:shd w:val="clear" w:color="auto" w:fill="auto"/>
          </w:tcPr>
          <w:p w14:paraId="6FADA50B" w14:textId="77777777" w:rsidR="00A4788F" w:rsidRPr="003306F4" w:rsidRDefault="00A4788F" w:rsidP="00A4788F">
            <w:pPr>
              <w:rPr>
                <w:rFonts w:asciiTheme="majorBidi" w:hAnsiTheme="majorBidi" w:cstheme="majorBidi"/>
                <w:b/>
                <w:bCs/>
                <w:lang w:val="it-IT"/>
              </w:rPr>
            </w:pPr>
            <w:r w:rsidRPr="003306F4">
              <w:rPr>
                <w:rFonts w:asciiTheme="majorBidi" w:hAnsiTheme="majorBidi" w:cstheme="majorBidi"/>
                <w:b/>
                <w:bCs/>
                <w:lang w:val="it-IT"/>
              </w:rPr>
              <w:t>Incremental results</w:t>
            </w:r>
          </w:p>
        </w:tc>
      </w:tr>
      <w:tr w:rsidR="00A4788F" w:rsidRPr="003306F4" w14:paraId="352CBC47" w14:textId="77777777" w:rsidTr="00A4788F">
        <w:trPr>
          <w:trHeight w:hRule="exact" w:val="684"/>
        </w:trPr>
        <w:tc>
          <w:tcPr>
            <w:tcW w:w="2405" w:type="dxa"/>
            <w:shd w:val="clear" w:color="auto" w:fill="auto"/>
          </w:tcPr>
          <w:p w14:paraId="163B736B" w14:textId="77777777" w:rsidR="00A4788F" w:rsidRPr="003306F4" w:rsidRDefault="00A4788F" w:rsidP="00A4788F">
            <w:pPr>
              <w:rPr>
                <w:rFonts w:asciiTheme="majorBidi" w:hAnsiTheme="majorBidi" w:cstheme="majorBidi"/>
                <w:b/>
              </w:rPr>
            </w:pPr>
          </w:p>
        </w:tc>
        <w:tc>
          <w:tcPr>
            <w:tcW w:w="709" w:type="dxa"/>
            <w:shd w:val="clear" w:color="auto" w:fill="auto"/>
          </w:tcPr>
          <w:p w14:paraId="01C797BB" w14:textId="77777777" w:rsidR="00A4788F" w:rsidRPr="003306F4" w:rsidRDefault="00A4788F" w:rsidP="00A4788F">
            <w:pPr>
              <w:rPr>
                <w:rFonts w:asciiTheme="majorBidi" w:hAnsiTheme="majorBidi" w:cstheme="majorBidi"/>
                <w:b/>
                <w:lang w:val="it-IT"/>
              </w:rPr>
            </w:pPr>
            <w:r w:rsidRPr="003306F4">
              <w:rPr>
                <w:rFonts w:asciiTheme="majorBidi" w:hAnsiTheme="majorBidi" w:cstheme="majorBidi"/>
                <w:b/>
                <w:lang w:val="it-IT"/>
              </w:rPr>
              <w:t>E1</w:t>
            </w:r>
          </w:p>
        </w:tc>
        <w:tc>
          <w:tcPr>
            <w:tcW w:w="709" w:type="dxa"/>
            <w:shd w:val="clear" w:color="auto" w:fill="auto"/>
          </w:tcPr>
          <w:p w14:paraId="61149BD3" w14:textId="77777777" w:rsidR="00A4788F" w:rsidRPr="003306F4" w:rsidRDefault="00A4788F" w:rsidP="00A4788F">
            <w:pPr>
              <w:rPr>
                <w:rFonts w:asciiTheme="majorBidi" w:hAnsiTheme="majorBidi" w:cstheme="majorBidi"/>
                <w:b/>
                <w:lang w:val="it-IT"/>
              </w:rPr>
            </w:pPr>
            <w:r w:rsidRPr="003306F4">
              <w:rPr>
                <w:rFonts w:asciiTheme="majorBidi" w:hAnsiTheme="majorBidi" w:cstheme="majorBidi"/>
                <w:b/>
                <w:lang w:val="it-IT"/>
              </w:rPr>
              <w:t>E2nca</w:t>
            </w:r>
          </w:p>
        </w:tc>
        <w:tc>
          <w:tcPr>
            <w:tcW w:w="696" w:type="dxa"/>
            <w:shd w:val="clear" w:color="auto" w:fill="auto"/>
          </w:tcPr>
          <w:p w14:paraId="6EAAE503" w14:textId="77777777" w:rsidR="00A4788F" w:rsidRPr="003306F4" w:rsidRDefault="00A4788F" w:rsidP="00A4788F">
            <w:pPr>
              <w:rPr>
                <w:rFonts w:asciiTheme="majorBidi" w:hAnsiTheme="majorBidi" w:cstheme="majorBidi"/>
                <w:b/>
                <w:lang w:val="it-IT"/>
              </w:rPr>
            </w:pPr>
            <w:r w:rsidRPr="003306F4">
              <w:rPr>
                <w:rFonts w:asciiTheme="majorBidi" w:hAnsiTheme="majorBidi" w:cstheme="majorBidi"/>
                <w:b/>
                <w:lang w:val="it-IT"/>
              </w:rPr>
              <w:t>E2ca</w:t>
            </w:r>
          </w:p>
        </w:tc>
        <w:tc>
          <w:tcPr>
            <w:tcW w:w="816" w:type="dxa"/>
            <w:shd w:val="clear" w:color="auto" w:fill="auto"/>
          </w:tcPr>
          <w:p w14:paraId="2D20A27F" w14:textId="77777777" w:rsidR="00A4788F" w:rsidRPr="003306F4" w:rsidRDefault="00A4788F" w:rsidP="00A4788F">
            <w:pPr>
              <w:rPr>
                <w:rFonts w:asciiTheme="majorBidi" w:hAnsiTheme="majorBidi" w:cstheme="majorBidi"/>
                <w:b/>
                <w:lang w:val="it-IT"/>
              </w:rPr>
            </w:pPr>
            <w:r w:rsidRPr="003306F4">
              <w:rPr>
                <w:rFonts w:asciiTheme="majorBidi" w:hAnsiTheme="majorBidi" w:cstheme="majorBidi"/>
                <w:b/>
                <w:lang w:val="it-IT"/>
              </w:rPr>
              <w:t>E3nca</w:t>
            </w:r>
          </w:p>
        </w:tc>
        <w:tc>
          <w:tcPr>
            <w:tcW w:w="899" w:type="dxa"/>
            <w:shd w:val="clear" w:color="auto" w:fill="auto"/>
          </w:tcPr>
          <w:p w14:paraId="5806A618" w14:textId="77777777" w:rsidR="00A4788F" w:rsidRPr="003306F4" w:rsidRDefault="00A4788F" w:rsidP="00A4788F">
            <w:pPr>
              <w:rPr>
                <w:rFonts w:asciiTheme="majorBidi" w:hAnsiTheme="majorBidi" w:cstheme="majorBidi"/>
                <w:b/>
                <w:lang w:val="it-IT"/>
              </w:rPr>
            </w:pPr>
            <w:r w:rsidRPr="003306F4">
              <w:rPr>
                <w:rFonts w:asciiTheme="majorBidi" w:hAnsiTheme="majorBidi" w:cstheme="majorBidi"/>
                <w:b/>
                <w:lang w:val="it-IT"/>
              </w:rPr>
              <w:t>E3ca</w:t>
            </w:r>
          </w:p>
        </w:tc>
        <w:tc>
          <w:tcPr>
            <w:tcW w:w="1274" w:type="dxa"/>
            <w:shd w:val="clear" w:color="auto" w:fill="auto"/>
          </w:tcPr>
          <w:p w14:paraId="121EDD42" w14:textId="77777777" w:rsidR="00A4788F" w:rsidRPr="003306F4" w:rsidRDefault="00A4788F" w:rsidP="00A4788F">
            <w:pPr>
              <w:rPr>
                <w:rFonts w:asciiTheme="majorBidi" w:hAnsiTheme="majorBidi" w:cstheme="majorBidi"/>
                <w:b/>
                <w:bCs/>
                <w:lang w:val="it-IT"/>
              </w:rPr>
            </w:pPr>
            <w:r w:rsidRPr="003306F4">
              <w:rPr>
                <w:rFonts w:asciiTheme="majorBidi" w:hAnsiTheme="majorBidi" w:cstheme="majorBidi"/>
                <w:b/>
                <w:bCs/>
                <w:lang w:val="it-IT"/>
              </w:rPr>
              <w:t>E1-E2nca</w:t>
            </w:r>
          </w:p>
        </w:tc>
        <w:tc>
          <w:tcPr>
            <w:tcW w:w="1276" w:type="dxa"/>
            <w:shd w:val="clear" w:color="auto" w:fill="auto"/>
          </w:tcPr>
          <w:p w14:paraId="451AEE17" w14:textId="77777777" w:rsidR="00A4788F" w:rsidRPr="003306F4" w:rsidRDefault="00A4788F" w:rsidP="00A4788F">
            <w:pPr>
              <w:rPr>
                <w:rFonts w:asciiTheme="majorBidi" w:hAnsiTheme="majorBidi" w:cstheme="majorBidi"/>
                <w:b/>
                <w:bCs/>
                <w:lang w:val="it-IT"/>
              </w:rPr>
            </w:pPr>
            <w:r w:rsidRPr="003306F4">
              <w:rPr>
                <w:rFonts w:asciiTheme="majorBidi" w:hAnsiTheme="majorBidi" w:cstheme="majorBidi"/>
                <w:b/>
                <w:bCs/>
                <w:lang w:val="it-IT"/>
              </w:rPr>
              <w:t>E1-E2ca</w:t>
            </w:r>
          </w:p>
        </w:tc>
      </w:tr>
      <w:tr w:rsidR="00A4788F" w:rsidRPr="003306F4" w14:paraId="76EB42C4" w14:textId="77777777" w:rsidTr="00A4788F">
        <w:trPr>
          <w:trHeight w:hRule="exact" w:val="284"/>
        </w:trPr>
        <w:tc>
          <w:tcPr>
            <w:tcW w:w="8784" w:type="dxa"/>
            <w:gridSpan w:val="8"/>
            <w:shd w:val="clear" w:color="auto" w:fill="auto"/>
          </w:tcPr>
          <w:p w14:paraId="103FB40E" w14:textId="77A9C2C6" w:rsidR="00A4788F" w:rsidRPr="003306F4" w:rsidRDefault="00A4788F" w:rsidP="00A4788F">
            <w:pPr>
              <w:rPr>
                <w:rFonts w:asciiTheme="majorBidi" w:hAnsiTheme="majorBidi" w:cstheme="majorBidi"/>
                <w:b/>
                <w:bCs/>
              </w:rPr>
            </w:pPr>
            <w:bookmarkStart w:id="503" w:name="_Ref82704097"/>
            <w:r w:rsidRPr="003306F4">
              <w:rPr>
                <w:rFonts w:asciiTheme="majorBidi" w:hAnsiTheme="majorBidi" w:cstheme="majorBidi"/>
                <w:b/>
                <w:bCs/>
              </w:rPr>
              <w:t xml:space="preserve">Patients with OXA-48 </w:t>
            </w:r>
            <w:proofErr w:type="spellStart"/>
            <w:r w:rsidR="00381A08" w:rsidRPr="00381A08">
              <w:rPr>
                <w:rFonts w:asciiTheme="majorBidi" w:hAnsiTheme="majorBidi" w:cstheme="majorBidi"/>
                <w:b/>
                <w:bCs/>
                <w:i/>
                <w:iCs/>
              </w:rPr>
              <w:t>Enterobacterales</w:t>
            </w:r>
            <w:proofErr w:type="spellEnd"/>
          </w:p>
        </w:tc>
      </w:tr>
      <w:tr w:rsidR="00A4788F" w:rsidRPr="003306F4" w14:paraId="0F9E8172" w14:textId="77777777" w:rsidTr="00A4788F">
        <w:trPr>
          <w:trHeight w:hRule="exact" w:val="284"/>
        </w:trPr>
        <w:tc>
          <w:tcPr>
            <w:tcW w:w="8784" w:type="dxa"/>
            <w:gridSpan w:val="8"/>
            <w:shd w:val="clear" w:color="auto" w:fill="auto"/>
          </w:tcPr>
          <w:p w14:paraId="3A6D568F" w14:textId="77777777" w:rsidR="00A4788F" w:rsidRPr="003306F4" w:rsidRDefault="00A4788F" w:rsidP="00A4788F">
            <w:pPr>
              <w:rPr>
                <w:rFonts w:asciiTheme="majorBidi" w:hAnsiTheme="majorBidi" w:cstheme="majorBidi"/>
                <w:b/>
                <w:bCs/>
                <w:i/>
              </w:rPr>
            </w:pPr>
            <w:r w:rsidRPr="003306F4">
              <w:rPr>
                <w:rFonts w:asciiTheme="majorBidi" w:hAnsiTheme="majorBidi" w:cstheme="majorBidi"/>
                <w:b/>
                <w:bCs/>
                <w:i/>
              </w:rPr>
              <w:t>Summary of in-hospital outcomes (proportions) across both lines of treatment available</w:t>
            </w:r>
          </w:p>
        </w:tc>
      </w:tr>
      <w:tr w:rsidR="00A4788F" w:rsidRPr="003306F4" w14:paraId="65F81C1A" w14:textId="77777777" w:rsidTr="00A4788F">
        <w:trPr>
          <w:trHeight w:hRule="exact" w:val="284"/>
        </w:trPr>
        <w:tc>
          <w:tcPr>
            <w:tcW w:w="2405" w:type="dxa"/>
            <w:shd w:val="clear" w:color="auto" w:fill="auto"/>
          </w:tcPr>
          <w:p w14:paraId="4ED8AF8E" w14:textId="77777777" w:rsidR="00A4788F" w:rsidRPr="003306F4" w:rsidRDefault="00A4788F" w:rsidP="00A4788F">
            <w:pPr>
              <w:rPr>
                <w:rFonts w:asciiTheme="majorBidi" w:hAnsiTheme="majorBidi" w:cstheme="majorBidi"/>
              </w:rPr>
            </w:pPr>
            <w:r w:rsidRPr="003306F4">
              <w:rPr>
                <w:rFonts w:asciiTheme="majorBidi" w:hAnsiTheme="majorBidi" w:cstheme="majorBidi"/>
              </w:rPr>
              <w:t>Death</w:t>
            </w:r>
          </w:p>
        </w:tc>
        <w:tc>
          <w:tcPr>
            <w:tcW w:w="709" w:type="dxa"/>
            <w:shd w:val="clear" w:color="auto" w:fill="auto"/>
            <w:vAlign w:val="bottom"/>
          </w:tcPr>
          <w:p w14:paraId="69D3BCD1"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0.361</w:t>
            </w:r>
          </w:p>
        </w:tc>
        <w:tc>
          <w:tcPr>
            <w:tcW w:w="709" w:type="dxa"/>
            <w:shd w:val="clear" w:color="auto" w:fill="auto"/>
            <w:vAlign w:val="bottom"/>
          </w:tcPr>
          <w:p w14:paraId="7AFF7CC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0.463</w:t>
            </w:r>
          </w:p>
        </w:tc>
        <w:tc>
          <w:tcPr>
            <w:tcW w:w="696" w:type="dxa"/>
            <w:shd w:val="clear" w:color="auto" w:fill="auto"/>
            <w:vAlign w:val="bottom"/>
          </w:tcPr>
          <w:p w14:paraId="36630336"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0.409</w:t>
            </w:r>
          </w:p>
        </w:tc>
        <w:tc>
          <w:tcPr>
            <w:tcW w:w="816" w:type="dxa"/>
            <w:shd w:val="clear" w:color="auto" w:fill="auto"/>
            <w:vAlign w:val="bottom"/>
          </w:tcPr>
          <w:p w14:paraId="0F7F008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0.450</w:t>
            </w:r>
          </w:p>
        </w:tc>
        <w:tc>
          <w:tcPr>
            <w:tcW w:w="899" w:type="dxa"/>
            <w:shd w:val="clear" w:color="auto" w:fill="auto"/>
            <w:vAlign w:val="bottom"/>
          </w:tcPr>
          <w:p w14:paraId="16438FE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0.407</w:t>
            </w:r>
          </w:p>
        </w:tc>
        <w:tc>
          <w:tcPr>
            <w:tcW w:w="1274" w:type="dxa"/>
            <w:shd w:val="clear" w:color="auto" w:fill="auto"/>
            <w:vAlign w:val="bottom"/>
          </w:tcPr>
          <w:p w14:paraId="38F3B95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-0.102</w:t>
            </w:r>
          </w:p>
        </w:tc>
        <w:tc>
          <w:tcPr>
            <w:tcW w:w="1276" w:type="dxa"/>
            <w:shd w:val="clear" w:color="auto" w:fill="auto"/>
            <w:vAlign w:val="bottom"/>
          </w:tcPr>
          <w:p w14:paraId="7919986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-0.049</w:t>
            </w:r>
          </w:p>
        </w:tc>
      </w:tr>
      <w:tr w:rsidR="00A4788F" w:rsidRPr="003306F4" w14:paraId="35CF54E6" w14:textId="77777777" w:rsidTr="00A4788F">
        <w:trPr>
          <w:trHeight w:hRule="exact" w:val="284"/>
        </w:trPr>
        <w:tc>
          <w:tcPr>
            <w:tcW w:w="2405" w:type="dxa"/>
            <w:shd w:val="clear" w:color="auto" w:fill="auto"/>
          </w:tcPr>
          <w:p w14:paraId="7A5B014F"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no AKI</w:t>
            </w:r>
          </w:p>
        </w:tc>
        <w:tc>
          <w:tcPr>
            <w:tcW w:w="709" w:type="dxa"/>
            <w:shd w:val="clear" w:color="auto" w:fill="auto"/>
            <w:vAlign w:val="bottom"/>
          </w:tcPr>
          <w:p w14:paraId="104E3B2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0.514</w:t>
            </w:r>
          </w:p>
        </w:tc>
        <w:tc>
          <w:tcPr>
            <w:tcW w:w="709" w:type="dxa"/>
            <w:shd w:val="clear" w:color="auto" w:fill="auto"/>
            <w:vAlign w:val="bottom"/>
          </w:tcPr>
          <w:p w14:paraId="2440CA0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0.403</w:t>
            </w:r>
          </w:p>
        </w:tc>
        <w:tc>
          <w:tcPr>
            <w:tcW w:w="696" w:type="dxa"/>
            <w:shd w:val="clear" w:color="auto" w:fill="auto"/>
            <w:vAlign w:val="bottom"/>
          </w:tcPr>
          <w:p w14:paraId="6493F7A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0.423</w:t>
            </w:r>
          </w:p>
        </w:tc>
        <w:tc>
          <w:tcPr>
            <w:tcW w:w="816" w:type="dxa"/>
            <w:shd w:val="clear" w:color="auto" w:fill="auto"/>
            <w:vAlign w:val="bottom"/>
          </w:tcPr>
          <w:p w14:paraId="1B901AC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0.417</w:t>
            </w:r>
          </w:p>
        </w:tc>
        <w:tc>
          <w:tcPr>
            <w:tcW w:w="899" w:type="dxa"/>
            <w:shd w:val="clear" w:color="auto" w:fill="auto"/>
            <w:vAlign w:val="bottom"/>
          </w:tcPr>
          <w:p w14:paraId="02603A16"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0.425</w:t>
            </w:r>
          </w:p>
        </w:tc>
        <w:tc>
          <w:tcPr>
            <w:tcW w:w="1274" w:type="dxa"/>
            <w:shd w:val="clear" w:color="auto" w:fill="auto"/>
            <w:vAlign w:val="bottom"/>
          </w:tcPr>
          <w:p w14:paraId="40A0FFC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0.111</w:t>
            </w:r>
          </w:p>
        </w:tc>
        <w:tc>
          <w:tcPr>
            <w:tcW w:w="1276" w:type="dxa"/>
            <w:shd w:val="clear" w:color="auto" w:fill="auto"/>
            <w:vAlign w:val="bottom"/>
          </w:tcPr>
          <w:p w14:paraId="7B8198C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0.090</w:t>
            </w:r>
          </w:p>
        </w:tc>
      </w:tr>
      <w:tr w:rsidR="00A4788F" w:rsidRPr="003306F4" w14:paraId="524AC40F" w14:textId="77777777" w:rsidTr="00A4788F">
        <w:trPr>
          <w:trHeight w:hRule="exact" w:val="284"/>
        </w:trPr>
        <w:tc>
          <w:tcPr>
            <w:tcW w:w="2405" w:type="dxa"/>
            <w:shd w:val="clear" w:color="auto" w:fill="auto"/>
          </w:tcPr>
          <w:p w14:paraId="6DF8DB63"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AKI</w:t>
            </w:r>
          </w:p>
        </w:tc>
        <w:tc>
          <w:tcPr>
            <w:tcW w:w="709" w:type="dxa"/>
            <w:shd w:val="clear" w:color="auto" w:fill="auto"/>
            <w:vAlign w:val="bottom"/>
          </w:tcPr>
          <w:p w14:paraId="7F054B0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0.125</w:t>
            </w:r>
          </w:p>
        </w:tc>
        <w:tc>
          <w:tcPr>
            <w:tcW w:w="709" w:type="dxa"/>
            <w:shd w:val="clear" w:color="auto" w:fill="auto"/>
            <w:vAlign w:val="bottom"/>
          </w:tcPr>
          <w:p w14:paraId="091BC195"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0.135</w:t>
            </w:r>
          </w:p>
        </w:tc>
        <w:tc>
          <w:tcPr>
            <w:tcW w:w="696" w:type="dxa"/>
            <w:shd w:val="clear" w:color="auto" w:fill="auto"/>
            <w:vAlign w:val="bottom"/>
          </w:tcPr>
          <w:p w14:paraId="08DE1E9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0.167</w:t>
            </w:r>
          </w:p>
        </w:tc>
        <w:tc>
          <w:tcPr>
            <w:tcW w:w="816" w:type="dxa"/>
            <w:shd w:val="clear" w:color="auto" w:fill="auto"/>
            <w:vAlign w:val="bottom"/>
          </w:tcPr>
          <w:p w14:paraId="4C492A5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0.133</w:t>
            </w:r>
          </w:p>
        </w:tc>
        <w:tc>
          <w:tcPr>
            <w:tcW w:w="899" w:type="dxa"/>
            <w:shd w:val="clear" w:color="auto" w:fill="auto"/>
            <w:vAlign w:val="bottom"/>
          </w:tcPr>
          <w:p w14:paraId="2DE9A252"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0.168</w:t>
            </w:r>
          </w:p>
        </w:tc>
        <w:tc>
          <w:tcPr>
            <w:tcW w:w="1274" w:type="dxa"/>
            <w:shd w:val="clear" w:color="auto" w:fill="auto"/>
            <w:vAlign w:val="bottom"/>
          </w:tcPr>
          <w:p w14:paraId="7704FA6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-0.009</w:t>
            </w:r>
          </w:p>
        </w:tc>
        <w:tc>
          <w:tcPr>
            <w:tcW w:w="1276" w:type="dxa"/>
            <w:shd w:val="clear" w:color="auto" w:fill="auto"/>
            <w:vAlign w:val="bottom"/>
          </w:tcPr>
          <w:p w14:paraId="150740B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-0.042</w:t>
            </w:r>
          </w:p>
        </w:tc>
      </w:tr>
      <w:tr w:rsidR="00A4788F" w:rsidRPr="003306F4" w14:paraId="3B092C58" w14:textId="77777777" w:rsidTr="00A4788F">
        <w:trPr>
          <w:trHeight w:hRule="exact" w:val="284"/>
        </w:trPr>
        <w:tc>
          <w:tcPr>
            <w:tcW w:w="2405" w:type="dxa"/>
            <w:shd w:val="clear" w:color="auto" w:fill="auto"/>
          </w:tcPr>
          <w:p w14:paraId="19505EE6"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CKD</w:t>
            </w:r>
          </w:p>
        </w:tc>
        <w:tc>
          <w:tcPr>
            <w:tcW w:w="709" w:type="dxa"/>
            <w:shd w:val="clear" w:color="auto" w:fill="auto"/>
            <w:vAlign w:val="bottom"/>
          </w:tcPr>
          <w:p w14:paraId="3B55632A"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709" w:type="dxa"/>
            <w:shd w:val="clear" w:color="auto" w:fill="auto"/>
            <w:vAlign w:val="bottom"/>
          </w:tcPr>
          <w:p w14:paraId="55CA124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696" w:type="dxa"/>
            <w:shd w:val="clear" w:color="auto" w:fill="auto"/>
            <w:vAlign w:val="bottom"/>
          </w:tcPr>
          <w:p w14:paraId="442C2DB2"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816" w:type="dxa"/>
            <w:shd w:val="clear" w:color="auto" w:fill="auto"/>
            <w:vAlign w:val="bottom"/>
          </w:tcPr>
          <w:p w14:paraId="6DE1E1D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899" w:type="dxa"/>
            <w:shd w:val="clear" w:color="auto" w:fill="auto"/>
            <w:vAlign w:val="bottom"/>
          </w:tcPr>
          <w:p w14:paraId="0DA1458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1274" w:type="dxa"/>
            <w:shd w:val="clear" w:color="auto" w:fill="auto"/>
            <w:vAlign w:val="bottom"/>
          </w:tcPr>
          <w:p w14:paraId="7EF518D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c>
          <w:tcPr>
            <w:tcW w:w="1276" w:type="dxa"/>
            <w:shd w:val="clear" w:color="auto" w:fill="auto"/>
            <w:vAlign w:val="bottom"/>
          </w:tcPr>
          <w:p w14:paraId="1BC6F74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0.000</w:t>
            </w:r>
          </w:p>
        </w:tc>
      </w:tr>
      <w:tr w:rsidR="00A4788F" w:rsidRPr="003306F4" w14:paraId="44A3C800" w14:textId="77777777" w:rsidTr="00A4788F">
        <w:trPr>
          <w:trHeight w:hRule="exact" w:val="284"/>
        </w:trPr>
        <w:tc>
          <w:tcPr>
            <w:tcW w:w="8784" w:type="dxa"/>
            <w:gridSpan w:val="8"/>
            <w:shd w:val="clear" w:color="auto" w:fill="auto"/>
          </w:tcPr>
          <w:p w14:paraId="69F705BB" w14:textId="77777777" w:rsidR="00A4788F" w:rsidRPr="003306F4" w:rsidRDefault="00A4788F" w:rsidP="00A4788F">
            <w:pPr>
              <w:rPr>
                <w:rFonts w:asciiTheme="majorBidi" w:hAnsiTheme="majorBidi" w:cstheme="majorBidi"/>
                <w:i/>
              </w:rPr>
            </w:pPr>
            <w:r w:rsidRPr="003306F4">
              <w:rPr>
                <w:rFonts w:asciiTheme="majorBidi" w:hAnsiTheme="majorBidi" w:cstheme="majorBidi"/>
                <w:b/>
                <w:bCs/>
                <w:i/>
              </w:rPr>
              <w:t>Economic outcomes (all discounted)</w:t>
            </w:r>
          </w:p>
        </w:tc>
      </w:tr>
      <w:tr w:rsidR="00A4788F" w:rsidRPr="003306F4" w14:paraId="122CD0D0" w14:textId="77777777" w:rsidTr="00A4788F">
        <w:trPr>
          <w:trHeight w:hRule="exact" w:val="284"/>
        </w:trPr>
        <w:tc>
          <w:tcPr>
            <w:tcW w:w="2405" w:type="dxa"/>
            <w:shd w:val="clear" w:color="auto" w:fill="auto"/>
          </w:tcPr>
          <w:p w14:paraId="5A3C8582" w14:textId="77777777" w:rsidR="00A4788F" w:rsidRPr="003306F4" w:rsidRDefault="00A4788F" w:rsidP="00A4788F">
            <w:pPr>
              <w:rPr>
                <w:rFonts w:asciiTheme="majorBidi" w:hAnsiTheme="majorBidi" w:cstheme="majorBidi"/>
              </w:rPr>
            </w:pPr>
            <w:r w:rsidRPr="003306F4">
              <w:rPr>
                <w:rFonts w:asciiTheme="majorBidi" w:hAnsiTheme="majorBidi" w:cstheme="majorBidi"/>
              </w:rPr>
              <w:t>Treatment costs</w:t>
            </w:r>
          </w:p>
        </w:tc>
        <w:tc>
          <w:tcPr>
            <w:tcW w:w="709" w:type="dxa"/>
            <w:shd w:val="clear" w:color="auto" w:fill="auto"/>
            <w:vAlign w:val="bottom"/>
          </w:tcPr>
          <w:p w14:paraId="5EDAC070"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£39</w:t>
            </w:r>
          </w:p>
        </w:tc>
        <w:tc>
          <w:tcPr>
            <w:tcW w:w="709" w:type="dxa"/>
            <w:shd w:val="clear" w:color="auto" w:fill="auto"/>
            <w:vAlign w:val="bottom"/>
          </w:tcPr>
          <w:p w14:paraId="09157E5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£177</w:t>
            </w:r>
          </w:p>
        </w:tc>
        <w:tc>
          <w:tcPr>
            <w:tcW w:w="696" w:type="dxa"/>
            <w:shd w:val="clear" w:color="auto" w:fill="auto"/>
            <w:vAlign w:val="bottom"/>
          </w:tcPr>
          <w:p w14:paraId="189C16B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£440</w:t>
            </w:r>
          </w:p>
        </w:tc>
        <w:tc>
          <w:tcPr>
            <w:tcW w:w="816" w:type="dxa"/>
            <w:shd w:val="clear" w:color="auto" w:fill="auto"/>
            <w:vAlign w:val="bottom"/>
          </w:tcPr>
          <w:p w14:paraId="3721094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£125</w:t>
            </w:r>
          </w:p>
        </w:tc>
        <w:tc>
          <w:tcPr>
            <w:tcW w:w="899" w:type="dxa"/>
            <w:shd w:val="clear" w:color="auto" w:fill="auto"/>
            <w:vAlign w:val="bottom"/>
          </w:tcPr>
          <w:p w14:paraId="096EDB7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£430</w:t>
            </w:r>
          </w:p>
        </w:tc>
        <w:tc>
          <w:tcPr>
            <w:tcW w:w="1274" w:type="dxa"/>
            <w:shd w:val="clear" w:color="auto" w:fill="auto"/>
            <w:vAlign w:val="bottom"/>
          </w:tcPr>
          <w:p w14:paraId="7CE62DC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-£138</w:t>
            </w:r>
          </w:p>
        </w:tc>
        <w:tc>
          <w:tcPr>
            <w:tcW w:w="1276" w:type="dxa"/>
            <w:shd w:val="clear" w:color="auto" w:fill="auto"/>
            <w:vAlign w:val="bottom"/>
          </w:tcPr>
          <w:p w14:paraId="2578464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-£402</w:t>
            </w:r>
          </w:p>
        </w:tc>
      </w:tr>
      <w:tr w:rsidR="00A4788F" w:rsidRPr="003306F4" w14:paraId="06AC781A" w14:textId="77777777" w:rsidTr="00A4788F">
        <w:trPr>
          <w:trHeight w:hRule="exact" w:val="284"/>
        </w:trPr>
        <w:tc>
          <w:tcPr>
            <w:tcW w:w="2405" w:type="dxa"/>
            <w:shd w:val="clear" w:color="auto" w:fill="auto"/>
          </w:tcPr>
          <w:p w14:paraId="5C5365D2" w14:textId="77777777" w:rsidR="00A4788F" w:rsidRPr="003306F4" w:rsidRDefault="00A4788F" w:rsidP="00A4788F">
            <w:pPr>
              <w:rPr>
                <w:rFonts w:asciiTheme="majorBidi" w:hAnsiTheme="majorBidi" w:cstheme="majorBidi"/>
              </w:rPr>
            </w:pPr>
            <w:r w:rsidRPr="003306F4">
              <w:rPr>
                <w:rFonts w:asciiTheme="majorBidi" w:hAnsiTheme="majorBidi" w:cstheme="majorBidi"/>
              </w:rPr>
              <w:t>AKI costs hospital</w:t>
            </w:r>
          </w:p>
        </w:tc>
        <w:tc>
          <w:tcPr>
            <w:tcW w:w="709" w:type="dxa"/>
            <w:shd w:val="clear" w:color="auto" w:fill="auto"/>
            <w:vAlign w:val="bottom"/>
          </w:tcPr>
          <w:p w14:paraId="0676143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£1,735</w:t>
            </w:r>
          </w:p>
        </w:tc>
        <w:tc>
          <w:tcPr>
            <w:tcW w:w="709" w:type="dxa"/>
            <w:shd w:val="clear" w:color="auto" w:fill="auto"/>
            <w:vAlign w:val="bottom"/>
          </w:tcPr>
          <w:p w14:paraId="7AF23D2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£2,356</w:t>
            </w:r>
          </w:p>
        </w:tc>
        <w:tc>
          <w:tcPr>
            <w:tcW w:w="696" w:type="dxa"/>
            <w:shd w:val="clear" w:color="auto" w:fill="auto"/>
            <w:vAlign w:val="bottom"/>
          </w:tcPr>
          <w:p w14:paraId="3A21ADDB"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£2,318</w:t>
            </w:r>
          </w:p>
        </w:tc>
        <w:tc>
          <w:tcPr>
            <w:tcW w:w="816" w:type="dxa"/>
            <w:shd w:val="clear" w:color="auto" w:fill="auto"/>
            <w:vAlign w:val="bottom"/>
          </w:tcPr>
          <w:p w14:paraId="3917818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£2,256</w:t>
            </w:r>
          </w:p>
        </w:tc>
        <w:tc>
          <w:tcPr>
            <w:tcW w:w="899" w:type="dxa"/>
            <w:shd w:val="clear" w:color="auto" w:fill="auto"/>
            <w:vAlign w:val="bottom"/>
          </w:tcPr>
          <w:p w14:paraId="55D1D3A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£2,305</w:t>
            </w:r>
          </w:p>
        </w:tc>
        <w:tc>
          <w:tcPr>
            <w:tcW w:w="1274" w:type="dxa"/>
            <w:shd w:val="clear" w:color="auto" w:fill="auto"/>
            <w:vAlign w:val="bottom"/>
          </w:tcPr>
          <w:p w14:paraId="6DB1171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-£621</w:t>
            </w:r>
          </w:p>
        </w:tc>
        <w:tc>
          <w:tcPr>
            <w:tcW w:w="1276" w:type="dxa"/>
            <w:shd w:val="clear" w:color="auto" w:fill="auto"/>
            <w:vAlign w:val="bottom"/>
          </w:tcPr>
          <w:p w14:paraId="3DD099E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-£583</w:t>
            </w:r>
          </w:p>
        </w:tc>
      </w:tr>
      <w:tr w:rsidR="00A4788F" w:rsidRPr="003306F4" w14:paraId="7D0B108F" w14:textId="77777777" w:rsidTr="00A4788F">
        <w:trPr>
          <w:trHeight w:hRule="exact" w:val="284"/>
        </w:trPr>
        <w:tc>
          <w:tcPr>
            <w:tcW w:w="2405" w:type="dxa"/>
            <w:shd w:val="clear" w:color="auto" w:fill="auto"/>
          </w:tcPr>
          <w:p w14:paraId="218840BC" w14:textId="77777777" w:rsidR="00A4788F" w:rsidRPr="003306F4" w:rsidRDefault="00A4788F" w:rsidP="00A4788F">
            <w:pPr>
              <w:rPr>
                <w:rFonts w:asciiTheme="majorBidi" w:hAnsiTheme="majorBidi" w:cstheme="majorBidi"/>
              </w:rPr>
            </w:pPr>
            <w:r w:rsidRPr="003306F4">
              <w:rPr>
                <w:rFonts w:asciiTheme="majorBidi" w:hAnsiTheme="majorBidi" w:cstheme="majorBidi"/>
              </w:rPr>
              <w:t>Other costs hospital</w:t>
            </w:r>
          </w:p>
        </w:tc>
        <w:tc>
          <w:tcPr>
            <w:tcW w:w="709" w:type="dxa"/>
            <w:shd w:val="clear" w:color="auto" w:fill="auto"/>
            <w:vAlign w:val="bottom"/>
          </w:tcPr>
          <w:p w14:paraId="0328241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£17,543</w:t>
            </w:r>
          </w:p>
        </w:tc>
        <w:tc>
          <w:tcPr>
            <w:tcW w:w="709" w:type="dxa"/>
            <w:shd w:val="clear" w:color="auto" w:fill="auto"/>
            <w:vAlign w:val="bottom"/>
          </w:tcPr>
          <w:p w14:paraId="35FE791A"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£26,651</w:t>
            </w:r>
          </w:p>
        </w:tc>
        <w:tc>
          <w:tcPr>
            <w:tcW w:w="696" w:type="dxa"/>
            <w:shd w:val="clear" w:color="auto" w:fill="auto"/>
            <w:vAlign w:val="bottom"/>
          </w:tcPr>
          <w:p w14:paraId="7E78AAFE"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£16,803</w:t>
            </w:r>
          </w:p>
        </w:tc>
        <w:tc>
          <w:tcPr>
            <w:tcW w:w="816" w:type="dxa"/>
            <w:shd w:val="clear" w:color="auto" w:fill="auto"/>
            <w:vAlign w:val="bottom"/>
          </w:tcPr>
          <w:p w14:paraId="7644CD3A"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£26,289</w:t>
            </w:r>
          </w:p>
        </w:tc>
        <w:tc>
          <w:tcPr>
            <w:tcW w:w="899" w:type="dxa"/>
            <w:shd w:val="clear" w:color="auto" w:fill="auto"/>
            <w:vAlign w:val="bottom"/>
          </w:tcPr>
          <w:p w14:paraId="48822D1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£16,694</w:t>
            </w:r>
          </w:p>
        </w:tc>
        <w:tc>
          <w:tcPr>
            <w:tcW w:w="1274" w:type="dxa"/>
            <w:shd w:val="clear" w:color="auto" w:fill="auto"/>
            <w:vAlign w:val="bottom"/>
          </w:tcPr>
          <w:p w14:paraId="4509CC4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-£9,108</w:t>
            </w:r>
          </w:p>
        </w:tc>
        <w:tc>
          <w:tcPr>
            <w:tcW w:w="1276" w:type="dxa"/>
            <w:shd w:val="clear" w:color="auto" w:fill="auto"/>
            <w:vAlign w:val="bottom"/>
          </w:tcPr>
          <w:p w14:paraId="23EE038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£739</w:t>
            </w:r>
          </w:p>
        </w:tc>
      </w:tr>
      <w:tr w:rsidR="00A4788F" w:rsidRPr="003306F4" w14:paraId="692C5096" w14:textId="77777777" w:rsidTr="00A4788F">
        <w:trPr>
          <w:trHeight w:hRule="exact" w:val="284"/>
        </w:trPr>
        <w:tc>
          <w:tcPr>
            <w:tcW w:w="2405" w:type="dxa"/>
            <w:shd w:val="clear" w:color="auto" w:fill="auto"/>
          </w:tcPr>
          <w:p w14:paraId="2C874413" w14:textId="77777777" w:rsidR="00A4788F" w:rsidRPr="003306F4" w:rsidRDefault="00A4788F" w:rsidP="00A4788F">
            <w:pPr>
              <w:rPr>
                <w:rFonts w:asciiTheme="majorBidi" w:hAnsiTheme="majorBidi" w:cstheme="majorBidi"/>
              </w:rPr>
            </w:pPr>
            <w:r w:rsidRPr="003306F4">
              <w:rPr>
                <w:rFonts w:asciiTheme="majorBidi" w:hAnsiTheme="majorBidi" w:cstheme="majorBidi"/>
              </w:rPr>
              <w:t>Long-term costs</w:t>
            </w:r>
          </w:p>
        </w:tc>
        <w:tc>
          <w:tcPr>
            <w:tcW w:w="709" w:type="dxa"/>
            <w:shd w:val="clear" w:color="auto" w:fill="auto"/>
            <w:vAlign w:val="bottom"/>
          </w:tcPr>
          <w:p w14:paraId="5C4B45C6"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£641</w:t>
            </w:r>
          </w:p>
        </w:tc>
        <w:tc>
          <w:tcPr>
            <w:tcW w:w="709" w:type="dxa"/>
            <w:shd w:val="clear" w:color="auto" w:fill="auto"/>
            <w:vAlign w:val="bottom"/>
          </w:tcPr>
          <w:p w14:paraId="4EC0919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£553</w:t>
            </w:r>
          </w:p>
        </w:tc>
        <w:tc>
          <w:tcPr>
            <w:tcW w:w="696" w:type="dxa"/>
            <w:shd w:val="clear" w:color="auto" w:fill="auto"/>
            <w:vAlign w:val="bottom"/>
          </w:tcPr>
          <w:p w14:paraId="4C9E7E2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£617</w:t>
            </w:r>
          </w:p>
        </w:tc>
        <w:tc>
          <w:tcPr>
            <w:tcW w:w="816" w:type="dxa"/>
            <w:shd w:val="clear" w:color="auto" w:fill="auto"/>
            <w:vAlign w:val="bottom"/>
          </w:tcPr>
          <w:p w14:paraId="775AD41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£564</w:t>
            </w:r>
          </w:p>
        </w:tc>
        <w:tc>
          <w:tcPr>
            <w:tcW w:w="899" w:type="dxa"/>
            <w:shd w:val="clear" w:color="auto" w:fill="auto"/>
            <w:vAlign w:val="bottom"/>
          </w:tcPr>
          <w:p w14:paraId="7287777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£620</w:t>
            </w:r>
          </w:p>
        </w:tc>
        <w:tc>
          <w:tcPr>
            <w:tcW w:w="1274" w:type="dxa"/>
            <w:shd w:val="clear" w:color="auto" w:fill="auto"/>
            <w:vAlign w:val="bottom"/>
          </w:tcPr>
          <w:p w14:paraId="51FE9C25"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£88</w:t>
            </w:r>
          </w:p>
        </w:tc>
        <w:tc>
          <w:tcPr>
            <w:tcW w:w="1276" w:type="dxa"/>
            <w:shd w:val="clear" w:color="auto" w:fill="auto"/>
            <w:vAlign w:val="bottom"/>
          </w:tcPr>
          <w:p w14:paraId="2FB90CC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£24</w:t>
            </w:r>
          </w:p>
        </w:tc>
      </w:tr>
      <w:tr w:rsidR="00A4788F" w:rsidRPr="003306F4" w14:paraId="25ACBCDF" w14:textId="77777777" w:rsidTr="00A4788F">
        <w:trPr>
          <w:trHeight w:hRule="exact" w:val="284"/>
        </w:trPr>
        <w:tc>
          <w:tcPr>
            <w:tcW w:w="2405" w:type="dxa"/>
            <w:shd w:val="clear" w:color="auto" w:fill="auto"/>
          </w:tcPr>
          <w:p w14:paraId="641C74F7" w14:textId="77777777" w:rsidR="00A4788F" w:rsidRPr="003306F4" w:rsidRDefault="00A4788F" w:rsidP="00A4788F">
            <w:pPr>
              <w:rPr>
                <w:rFonts w:asciiTheme="majorBidi" w:hAnsiTheme="majorBidi" w:cstheme="majorBidi"/>
              </w:rPr>
            </w:pPr>
            <w:r w:rsidRPr="003306F4">
              <w:rPr>
                <w:rFonts w:asciiTheme="majorBidi" w:hAnsiTheme="majorBidi" w:cstheme="majorBidi"/>
              </w:rPr>
              <w:t>Total costs</w:t>
            </w:r>
          </w:p>
        </w:tc>
        <w:tc>
          <w:tcPr>
            <w:tcW w:w="709" w:type="dxa"/>
            <w:shd w:val="clear" w:color="auto" w:fill="auto"/>
            <w:vAlign w:val="bottom"/>
          </w:tcPr>
          <w:p w14:paraId="32C005D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£19,957</w:t>
            </w:r>
          </w:p>
        </w:tc>
        <w:tc>
          <w:tcPr>
            <w:tcW w:w="709" w:type="dxa"/>
            <w:shd w:val="clear" w:color="auto" w:fill="auto"/>
            <w:vAlign w:val="bottom"/>
          </w:tcPr>
          <w:p w14:paraId="0BACE85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£29,737</w:t>
            </w:r>
          </w:p>
        </w:tc>
        <w:tc>
          <w:tcPr>
            <w:tcW w:w="696" w:type="dxa"/>
            <w:shd w:val="clear" w:color="auto" w:fill="auto"/>
            <w:vAlign w:val="bottom"/>
          </w:tcPr>
          <w:p w14:paraId="035A264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£20,179</w:t>
            </w:r>
          </w:p>
        </w:tc>
        <w:tc>
          <w:tcPr>
            <w:tcW w:w="816" w:type="dxa"/>
            <w:shd w:val="clear" w:color="auto" w:fill="auto"/>
            <w:vAlign w:val="bottom"/>
          </w:tcPr>
          <w:p w14:paraId="347B2F0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£29,234</w:t>
            </w:r>
          </w:p>
        </w:tc>
        <w:tc>
          <w:tcPr>
            <w:tcW w:w="899" w:type="dxa"/>
            <w:shd w:val="clear" w:color="auto" w:fill="auto"/>
            <w:vAlign w:val="bottom"/>
          </w:tcPr>
          <w:p w14:paraId="74C748E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£20,049</w:t>
            </w:r>
          </w:p>
        </w:tc>
        <w:tc>
          <w:tcPr>
            <w:tcW w:w="1274" w:type="dxa"/>
            <w:shd w:val="clear" w:color="auto" w:fill="auto"/>
            <w:vAlign w:val="bottom"/>
          </w:tcPr>
          <w:p w14:paraId="1C4586D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-£9,779</w:t>
            </w:r>
          </w:p>
        </w:tc>
        <w:tc>
          <w:tcPr>
            <w:tcW w:w="1276" w:type="dxa"/>
            <w:shd w:val="clear" w:color="auto" w:fill="auto"/>
            <w:vAlign w:val="bottom"/>
          </w:tcPr>
          <w:p w14:paraId="32529862"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-£221</w:t>
            </w:r>
          </w:p>
        </w:tc>
      </w:tr>
      <w:tr w:rsidR="00A4788F" w:rsidRPr="003306F4" w14:paraId="35D3B676" w14:textId="77777777" w:rsidTr="00A4788F">
        <w:trPr>
          <w:trHeight w:hRule="exact" w:val="284"/>
        </w:trPr>
        <w:tc>
          <w:tcPr>
            <w:tcW w:w="2405" w:type="dxa"/>
            <w:shd w:val="clear" w:color="auto" w:fill="auto"/>
          </w:tcPr>
          <w:p w14:paraId="6ED6859C" w14:textId="77777777" w:rsidR="00A4788F" w:rsidRPr="003306F4" w:rsidRDefault="00A4788F" w:rsidP="00A4788F">
            <w:pPr>
              <w:rPr>
                <w:rFonts w:asciiTheme="majorBidi" w:hAnsiTheme="majorBidi" w:cstheme="majorBidi"/>
              </w:rPr>
            </w:pPr>
            <w:r w:rsidRPr="003306F4">
              <w:rPr>
                <w:rFonts w:asciiTheme="majorBidi" w:hAnsiTheme="majorBidi" w:cstheme="majorBidi"/>
              </w:rPr>
              <w:t>Life years</w:t>
            </w:r>
          </w:p>
        </w:tc>
        <w:tc>
          <w:tcPr>
            <w:tcW w:w="709" w:type="dxa"/>
            <w:shd w:val="clear" w:color="auto" w:fill="auto"/>
            <w:vAlign w:val="bottom"/>
          </w:tcPr>
          <w:p w14:paraId="36D0A044"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2.880</w:t>
            </w:r>
          </w:p>
        </w:tc>
        <w:tc>
          <w:tcPr>
            <w:tcW w:w="709" w:type="dxa"/>
            <w:shd w:val="clear" w:color="auto" w:fill="auto"/>
            <w:vAlign w:val="bottom"/>
          </w:tcPr>
          <w:p w14:paraId="7CA12E6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2.421</w:t>
            </w:r>
          </w:p>
        </w:tc>
        <w:tc>
          <w:tcPr>
            <w:tcW w:w="696" w:type="dxa"/>
            <w:shd w:val="clear" w:color="auto" w:fill="auto"/>
            <w:vAlign w:val="bottom"/>
          </w:tcPr>
          <w:p w14:paraId="4E7F6171"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2.662</w:t>
            </w:r>
          </w:p>
        </w:tc>
        <w:tc>
          <w:tcPr>
            <w:tcW w:w="816" w:type="dxa"/>
            <w:shd w:val="clear" w:color="auto" w:fill="auto"/>
            <w:vAlign w:val="bottom"/>
          </w:tcPr>
          <w:p w14:paraId="07CA157B"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2.480</w:t>
            </w:r>
          </w:p>
        </w:tc>
        <w:tc>
          <w:tcPr>
            <w:tcW w:w="899" w:type="dxa"/>
            <w:shd w:val="clear" w:color="auto" w:fill="auto"/>
            <w:vAlign w:val="bottom"/>
          </w:tcPr>
          <w:p w14:paraId="6EA6B299"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2.675</w:t>
            </w:r>
          </w:p>
        </w:tc>
        <w:tc>
          <w:tcPr>
            <w:tcW w:w="1274" w:type="dxa"/>
            <w:shd w:val="clear" w:color="auto" w:fill="auto"/>
            <w:vAlign w:val="bottom"/>
          </w:tcPr>
          <w:p w14:paraId="0C1E8A2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0.459</w:t>
            </w:r>
          </w:p>
        </w:tc>
        <w:tc>
          <w:tcPr>
            <w:tcW w:w="1276" w:type="dxa"/>
            <w:shd w:val="clear" w:color="auto" w:fill="auto"/>
            <w:vAlign w:val="bottom"/>
          </w:tcPr>
          <w:p w14:paraId="0AA6A34F"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0.218</w:t>
            </w:r>
          </w:p>
        </w:tc>
      </w:tr>
      <w:tr w:rsidR="00A4788F" w:rsidRPr="003306F4" w14:paraId="39ADDB64" w14:textId="77777777" w:rsidTr="00A4788F">
        <w:trPr>
          <w:trHeight w:hRule="exact" w:val="284"/>
        </w:trPr>
        <w:tc>
          <w:tcPr>
            <w:tcW w:w="2405" w:type="dxa"/>
            <w:shd w:val="clear" w:color="auto" w:fill="auto"/>
          </w:tcPr>
          <w:p w14:paraId="160B9F84" w14:textId="77777777" w:rsidR="00A4788F" w:rsidRPr="003306F4" w:rsidRDefault="00A4788F" w:rsidP="00A4788F">
            <w:pPr>
              <w:rPr>
                <w:rFonts w:asciiTheme="majorBidi" w:hAnsiTheme="majorBidi" w:cstheme="majorBidi"/>
              </w:rPr>
            </w:pPr>
            <w:r w:rsidRPr="003306F4">
              <w:rPr>
                <w:rFonts w:asciiTheme="majorBidi" w:hAnsiTheme="majorBidi" w:cstheme="majorBidi"/>
              </w:rPr>
              <w:t>QALYs</w:t>
            </w:r>
          </w:p>
        </w:tc>
        <w:tc>
          <w:tcPr>
            <w:tcW w:w="709" w:type="dxa"/>
            <w:shd w:val="clear" w:color="auto" w:fill="auto"/>
            <w:vAlign w:val="bottom"/>
          </w:tcPr>
          <w:p w14:paraId="56F34BD7"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2.024</w:t>
            </w:r>
          </w:p>
        </w:tc>
        <w:tc>
          <w:tcPr>
            <w:tcW w:w="709" w:type="dxa"/>
            <w:shd w:val="clear" w:color="auto" w:fill="auto"/>
            <w:vAlign w:val="bottom"/>
          </w:tcPr>
          <w:p w14:paraId="4EB15C7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1.702</w:t>
            </w:r>
          </w:p>
        </w:tc>
        <w:tc>
          <w:tcPr>
            <w:tcW w:w="696" w:type="dxa"/>
            <w:shd w:val="clear" w:color="auto" w:fill="auto"/>
            <w:vAlign w:val="bottom"/>
          </w:tcPr>
          <w:p w14:paraId="0535D1AC"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1.871</w:t>
            </w:r>
          </w:p>
        </w:tc>
        <w:tc>
          <w:tcPr>
            <w:tcW w:w="816" w:type="dxa"/>
            <w:shd w:val="clear" w:color="auto" w:fill="auto"/>
            <w:vAlign w:val="bottom"/>
          </w:tcPr>
          <w:p w14:paraId="7CB9780A"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1.743</w:t>
            </w:r>
          </w:p>
        </w:tc>
        <w:tc>
          <w:tcPr>
            <w:tcW w:w="899" w:type="dxa"/>
            <w:shd w:val="clear" w:color="auto" w:fill="auto"/>
            <w:vAlign w:val="bottom"/>
          </w:tcPr>
          <w:p w14:paraId="723F1F8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1.880</w:t>
            </w:r>
          </w:p>
        </w:tc>
        <w:tc>
          <w:tcPr>
            <w:tcW w:w="1274" w:type="dxa"/>
            <w:shd w:val="clear" w:color="auto" w:fill="auto"/>
            <w:vAlign w:val="bottom"/>
          </w:tcPr>
          <w:p w14:paraId="7AAA513D"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0.322</w:t>
            </w:r>
          </w:p>
        </w:tc>
        <w:tc>
          <w:tcPr>
            <w:tcW w:w="1276" w:type="dxa"/>
            <w:shd w:val="clear" w:color="auto" w:fill="auto"/>
            <w:vAlign w:val="bottom"/>
          </w:tcPr>
          <w:p w14:paraId="72FB9C7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0.152</w:t>
            </w:r>
          </w:p>
        </w:tc>
      </w:tr>
      <w:tr w:rsidR="00A4788F" w:rsidRPr="003306F4" w14:paraId="00ED582B" w14:textId="77777777" w:rsidTr="00A4788F">
        <w:trPr>
          <w:trHeight w:hRule="exact" w:val="284"/>
        </w:trPr>
        <w:tc>
          <w:tcPr>
            <w:tcW w:w="2405" w:type="dxa"/>
            <w:shd w:val="clear" w:color="auto" w:fill="auto"/>
          </w:tcPr>
          <w:p w14:paraId="5DC66FA8" w14:textId="77777777" w:rsidR="00A4788F" w:rsidRPr="003306F4" w:rsidRDefault="00A4788F" w:rsidP="00A4788F">
            <w:pPr>
              <w:rPr>
                <w:rFonts w:asciiTheme="majorBidi" w:hAnsiTheme="majorBidi" w:cstheme="majorBidi"/>
              </w:rPr>
            </w:pPr>
            <w:r w:rsidRPr="003306F4">
              <w:rPr>
                <w:rFonts w:asciiTheme="majorBidi" w:hAnsiTheme="majorBidi" w:cstheme="majorBidi"/>
              </w:rPr>
              <w:t>Per person NHE (QALYs)</w:t>
            </w:r>
          </w:p>
        </w:tc>
        <w:tc>
          <w:tcPr>
            <w:tcW w:w="709" w:type="dxa"/>
            <w:shd w:val="clear" w:color="auto" w:fill="auto"/>
            <w:vAlign w:val="bottom"/>
          </w:tcPr>
          <w:p w14:paraId="20B66231"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1.026</w:t>
            </w:r>
          </w:p>
        </w:tc>
        <w:tc>
          <w:tcPr>
            <w:tcW w:w="709" w:type="dxa"/>
            <w:shd w:val="clear" w:color="auto" w:fill="auto"/>
            <w:vAlign w:val="bottom"/>
          </w:tcPr>
          <w:p w14:paraId="0FE1A355"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0.215</w:t>
            </w:r>
          </w:p>
        </w:tc>
        <w:tc>
          <w:tcPr>
            <w:tcW w:w="696" w:type="dxa"/>
            <w:shd w:val="clear" w:color="auto" w:fill="auto"/>
            <w:vAlign w:val="bottom"/>
          </w:tcPr>
          <w:p w14:paraId="5E43A9D3"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0.862</w:t>
            </w:r>
          </w:p>
        </w:tc>
        <w:tc>
          <w:tcPr>
            <w:tcW w:w="816" w:type="dxa"/>
            <w:shd w:val="clear" w:color="auto" w:fill="auto"/>
            <w:vAlign w:val="bottom"/>
          </w:tcPr>
          <w:p w14:paraId="64D6FB76"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0.281</w:t>
            </w:r>
          </w:p>
        </w:tc>
        <w:tc>
          <w:tcPr>
            <w:tcW w:w="899" w:type="dxa"/>
            <w:shd w:val="clear" w:color="auto" w:fill="auto"/>
            <w:vAlign w:val="bottom"/>
          </w:tcPr>
          <w:p w14:paraId="2679C8B8"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0.878</w:t>
            </w:r>
          </w:p>
        </w:tc>
        <w:tc>
          <w:tcPr>
            <w:tcW w:w="1274" w:type="dxa"/>
            <w:shd w:val="clear" w:color="auto" w:fill="auto"/>
            <w:vAlign w:val="bottom"/>
          </w:tcPr>
          <w:p w14:paraId="2915EF12"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0.811</w:t>
            </w:r>
          </w:p>
        </w:tc>
        <w:tc>
          <w:tcPr>
            <w:tcW w:w="1276" w:type="dxa"/>
            <w:shd w:val="clear" w:color="auto" w:fill="auto"/>
            <w:vAlign w:val="bottom"/>
          </w:tcPr>
          <w:p w14:paraId="4981502B" w14:textId="77777777" w:rsidR="00A4788F" w:rsidRPr="003306F4" w:rsidRDefault="00A4788F" w:rsidP="00A4788F">
            <w:pPr>
              <w:jc w:val="right"/>
              <w:rPr>
                <w:rFonts w:asciiTheme="majorBidi" w:hAnsiTheme="majorBidi" w:cstheme="majorBidi"/>
              </w:rPr>
            </w:pPr>
            <w:r w:rsidRPr="003306F4">
              <w:rPr>
                <w:rFonts w:asciiTheme="majorBidi" w:hAnsiTheme="majorBidi" w:cstheme="majorBidi"/>
                <w:color w:val="000000"/>
              </w:rPr>
              <w:t>0.163</w:t>
            </w:r>
          </w:p>
        </w:tc>
      </w:tr>
      <w:tr w:rsidR="00A4788F" w:rsidRPr="003306F4" w14:paraId="63A74755" w14:textId="77777777" w:rsidTr="00A4788F">
        <w:trPr>
          <w:trHeight w:hRule="exact" w:val="284"/>
        </w:trPr>
        <w:tc>
          <w:tcPr>
            <w:tcW w:w="8784" w:type="dxa"/>
            <w:gridSpan w:val="8"/>
            <w:shd w:val="clear" w:color="auto" w:fill="auto"/>
          </w:tcPr>
          <w:p w14:paraId="2C5C153B" w14:textId="5597F85B" w:rsidR="00A4788F" w:rsidRPr="003306F4" w:rsidRDefault="00A4788F" w:rsidP="00A4788F">
            <w:pPr>
              <w:rPr>
                <w:rFonts w:asciiTheme="majorBidi" w:hAnsiTheme="majorBidi" w:cstheme="majorBidi"/>
                <w:color w:val="000000"/>
              </w:rPr>
            </w:pPr>
            <w:r w:rsidRPr="003306F4">
              <w:rPr>
                <w:rFonts w:asciiTheme="majorBidi" w:hAnsiTheme="majorBidi" w:cstheme="majorBidi"/>
                <w:b/>
                <w:bCs/>
              </w:rPr>
              <w:t xml:space="preserve">Patients without OXA-48 </w:t>
            </w:r>
            <w:proofErr w:type="spellStart"/>
            <w:r w:rsidR="00381A08" w:rsidRPr="00381A08">
              <w:rPr>
                <w:rFonts w:asciiTheme="majorBidi" w:hAnsiTheme="majorBidi" w:cstheme="majorBidi"/>
                <w:b/>
                <w:bCs/>
                <w:i/>
                <w:iCs/>
              </w:rPr>
              <w:t>Enterobacterales</w:t>
            </w:r>
            <w:proofErr w:type="spellEnd"/>
          </w:p>
        </w:tc>
      </w:tr>
      <w:tr w:rsidR="00A4788F" w:rsidRPr="003306F4" w14:paraId="79BCABE8" w14:textId="77777777" w:rsidTr="00A4788F">
        <w:trPr>
          <w:trHeight w:hRule="exact" w:val="284"/>
        </w:trPr>
        <w:tc>
          <w:tcPr>
            <w:tcW w:w="8784" w:type="dxa"/>
            <w:gridSpan w:val="8"/>
            <w:shd w:val="clear" w:color="auto" w:fill="auto"/>
          </w:tcPr>
          <w:p w14:paraId="2368777D" w14:textId="77777777" w:rsidR="00A4788F" w:rsidRPr="003306F4" w:rsidRDefault="00A4788F" w:rsidP="00A4788F">
            <w:pPr>
              <w:rPr>
                <w:rFonts w:asciiTheme="majorBidi" w:hAnsiTheme="majorBidi" w:cstheme="majorBidi"/>
                <w:color w:val="000000"/>
              </w:rPr>
            </w:pPr>
            <w:r w:rsidRPr="003306F4">
              <w:rPr>
                <w:rFonts w:asciiTheme="majorBidi" w:hAnsiTheme="majorBidi" w:cstheme="majorBidi"/>
                <w:b/>
                <w:bCs/>
                <w:i/>
              </w:rPr>
              <w:t>Summary of in-hospital outcomes (proportions) across both lines of treatment available</w:t>
            </w:r>
          </w:p>
        </w:tc>
      </w:tr>
      <w:tr w:rsidR="00A4788F" w:rsidRPr="003306F4" w14:paraId="37CC61B6" w14:textId="77777777" w:rsidTr="00A4788F">
        <w:trPr>
          <w:trHeight w:hRule="exact" w:val="284"/>
        </w:trPr>
        <w:tc>
          <w:tcPr>
            <w:tcW w:w="2405" w:type="dxa"/>
            <w:shd w:val="clear" w:color="auto" w:fill="auto"/>
          </w:tcPr>
          <w:p w14:paraId="561BD7A5" w14:textId="77777777" w:rsidR="00A4788F" w:rsidRPr="003306F4" w:rsidRDefault="00A4788F" w:rsidP="00A4788F">
            <w:pPr>
              <w:rPr>
                <w:rFonts w:asciiTheme="majorBidi" w:hAnsiTheme="majorBidi" w:cstheme="majorBidi"/>
                <w:b/>
                <w:bCs/>
                <w:i/>
              </w:rPr>
            </w:pPr>
            <w:r w:rsidRPr="003306F4">
              <w:rPr>
                <w:rFonts w:asciiTheme="majorBidi" w:hAnsiTheme="majorBidi" w:cstheme="majorBidi"/>
              </w:rPr>
              <w:t>Death</w:t>
            </w:r>
          </w:p>
        </w:tc>
        <w:tc>
          <w:tcPr>
            <w:tcW w:w="709" w:type="dxa"/>
            <w:shd w:val="clear" w:color="auto" w:fill="auto"/>
            <w:vAlign w:val="bottom"/>
          </w:tcPr>
          <w:p w14:paraId="052CB23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0.357</w:t>
            </w:r>
          </w:p>
        </w:tc>
        <w:tc>
          <w:tcPr>
            <w:tcW w:w="709" w:type="dxa"/>
            <w:shd w:val="clear" w:color="auto" w:fill="auto"/>
            <w:vAlign w:val="bottom"/>
          </w:tcPr>
          <w:p w14:paraId="1EBE3A62"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0.357</w:t>
            </w:r>
          </w:p>
        </w:tc>
        <w:tc>
          <w:tcPr>
            <w:tcW w:w="696" w:type="dxa"/>
            <w:shd w:val="clear" w:color="auto" w:fill="auto"/>
            <w:vAlign w:val="bottom"/>
          </w:tcPr>
          <w:p w14:paraId="02D276E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0.409</w:t>
            </w:r>
          </w:p>
        </w:tc>
        <w:tc>
          <w:tcPr>
            <w:tcW w:w="816" w:type="dxa"/>
            <w:shd w:val="clear" w:color="auto" w:fill="auto"/>
            <w:vAlign w:val="bottom"/>
          </w:tcPr>
          <w:p w14:paraId="5F274ED5"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0.357</w:t>
            </w:r>
          </w:p>
        </w:tc>
        <w:tc>
          <w:tcPr>
            <w:tcW w:w="899" w:type="dxa"/>
            <w:shd w:val="clear" w:color="auto" w:fill="auto"/>
            <w:vAlign w:val="bottom"/>
          </w:tcPr>
          <w:p w14:paraId="02082AF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0.409</w:t>
            </w:r>
          </w:p>
        </w:tc>
        <w:tc>
          <w:tcPr>
            <w:tcW w:w="1274" w:type="dxa"/>
            <w:shd w:val="clear" w:color="auto" w:fill="auto"/>
            <w:vAlign w:val="bottom"/>
          </w:tcPr>
          <w:p w14:paraId="0E64C0D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4A47992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-0.052</w:t>
            </w:r>
          </w:p>
        </w:tc>
      </w:tr>
      <w:tr w:rsidR="00A4788F" w:rsidRPr="003306F4" w14:paraId="56355539" w14:textId="77777777" w:rsidTr="00A4788F">
        <w:trPr>
          <w:trHeight w:hRule="exact" w:val="284"/>
        </w:trPr>
        <w:tc>
          <w:tcPr>
            <w:tcW w:w="2405" w:type="dxa"/>
            <w:shd w:val="clear" w:color="auto" w:fill="auto"/>
          </w:tcPr>
          <w:p w14:paraId="36CD6174"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no AKI</w:t>
            </w:r>
          </w:p>
        </w:tc>
        <w:tc>
          <w:tcPr>
            <w:tcW w:w="709" w:type="dxa"/>
            <w:shd w:val="clear" w:color="auto" w:fill="auto"/>
            <w:vAlign w:val="bottom"/>
          </w:tcPr>
          <w:p w14:paraId="00206CE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0.517</w:t>
            </w:r>
          </w:p>
        </w:tc>
        <w:tc>
          <w:tcPr>
            <w:tcW w:w="709" w:type="dxa"/>
            <w:shd w:val="clear" w:color="auto" w:fill="auto"/>
            <w:vAlign w:val="bottom"/>
          </w:tcPr>
          <w:p w14:paraId="76FF3BA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0.517</w:t>
            </w:r>
          </w:p>
        </w:tc>
        <w:tc>
          <w:tcPr>
            <w:tcW w:w="696" w:type="dxa"/>
            <w:shd w:val="clear" w:color="auto" w:fill="auto"/>
            <w:vAlign w:val="bottom"/>
          </w:tcPr>
          <w:p w14:paraId="38A1408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0.423</w:t>
            </w:r>
          </w:p>
        </w:tc>
        <w:tc>
          <w:tcPr>
            <w:tcW w:w="816" w:type="dxa"/>
            <w:shd w:val="clear" w:color="auto" w:fill="auto"/>
            <w:vAlign w:val="bottom"/>
          </w:tcPr>
          <w:p w14:paraId="1D364E3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0.517</w:t>
            </w:r>
          </w:p>
        </w:tc>
        <w:tc>
          <w:tcPr>
            <w:tcW w:w="899" w:type="dxa"/>
            <w:shd w:val="clear" w:color="auto" w:fill="auto"/>
            <w:vAlign w:val="bottom"/>
          </w:tcPr>
          <w:p w14:paraId="4764856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0.423</w:t>
            </w:r>
          </w:p>
        </w:tc>
        <w:tc>
          <w:tcPr>
            <w:tcW w:w="1274" w:type="dxa"/>
            <w:shd w:val="clear" w:color="auto" w:fill="auto"/>
            <w:vAlign w:val="bottom"/>
          </w:tcPr>
          <w:p w14:paraId="765DA07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00E116D3"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0.094</w:t>
            </w:r>
          </w:p>
        </w:tc>
      </w:tr>
      <w:tr w:rsidR="00A4788F" w:rsidRPr="003306F4" w14:paraId="33A8964C" w14:textId="77777777" w:rsidTr="00A4788F">
        <w:trPr>
          <w:trHeight w:hRule="exact" w:val="284"/>
        </w:trPr>
        <w:tc>
          <w:tcPr>
            <w:tcW w:w="2405" w:type="dxa"/>
            <w:shd w:val="clear" w:color="auto" w:fill="auto"/>
          </w:tcPr>
          <w:p w14:paraId="57134ADE"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AKI</w:t>
            </w:r>
          </w:p>
        </w:tc>
        <w:tc>
          <w:tcPr>
            <w:tcW w:w="709" w:type="dxa"/>
            <w:shd w:val="clear" w:color="auto" w:fill="auto"/>
            <w:vAlign w:val="bottom"/>
          </w:tcPr>
          <w:p w14:paraId="1A2BFFD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0.125</w:t>
            </w:r>
          </w:p>
        </w:tc>
        <w:tc>
          <w:tcPr>
            <w:tcW w:w="709" w:type="dxa"/>
            <w:shd w:val="clear" w:color="auto" w:fill="auto"/>
            <w:vAlign w:val="bottom"/>
          </w:tcPr>
          <w:p w14:paraId="2501AE3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0.125</w:t>
            </w:r>
          </w:p>
        </w:tc>
        <w:tc>
          <w:tcPr>
            <w:tcW w:w="696" w:type="dxa"/>
            <w:shd w:val="clear" w:color="auto" w:fill="auto"/>
            <w:vAlign w:val="bottom"/>
          </w:tcPr>
          <w:p w14:paraId="4C867F0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0.167</w:t>
            </w:r>
          </w:p>
        </w:tc>
        <w:tc>
          <w:tcPr>
            <w:tcW w:w="816" w:type="dxa"/>
            <w:shd w:val="clear" w:color="auto" w:fill="auto"/>
            <w:vAlign w:val="bottom"/>
          </w:tcPr>
          <w:p w14:paraId="5EC3143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0.125</w:t>
            </w:r>
          </w:p>
        </w:tc>
        <w:tc>
          <w:tcPr>
            <w:tcW w:w="899" w:type="dxa"/>
            <w:shd w:val="clear" w:color="auto" w:fill="auto"/>
            <w:vAlign w:val="bottom"/>
          </w:tcPr>
          <w:p w14:paraId="7CEB6D6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0.167</w:t>
            </w:r>
          </w:p>
        </w:tc>
        <w:tc>
          <w:tcPr>
            <w:tcW w:w="1274" w:type="dxa"/>
            <w:shd w:val="clear" w:color="auto" w:fill="auto"/>
            <w:vAlign w:val="bottom"/>
          </w:tcPr>
          <w:p w14:paraId="6ED1DA9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03BAE324"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-0.042</w:t>
            </w:r>
          </w:p>
        </w:tc>
      </w:tr>
      <w:tr w:rsidR="00A4788F" w:rsidRPr="003306F4" w14:paraId="22EDC605" w14:textId="77777777" w:rsidTr="00A4788F">
        <w:trPr>
          <w:trHeight w:hRule="exact" w:val="284"/>
        </w:trPr>
        <w:tc>
          <w:tcPr>
            <w:tcW w:w="2405" w:type="dxa"/>
            <w:shd w:val="clear" w:color="auto" w:fill="auto"/>
          </w:tcPr>
          <w:p w14:paraId="659AC09E" w14:textId="77777777" w:rsidR="00A4788F" w:rsidRPr="003306F4" w:rsidRDefault="00A4788F" w:rsidP="00A4788F">
            <w:pPr>
              <w:rPr>
                <w:rFonts w:asciiTheme="majorBidi" w:hAnsiTheme="majorBidi" w:cstheme="majorBidi"/>
              </w:rPr>
            </w:pPr>
            <w:r w:rsidRPr="003306F4">
              <w:rPr>
                <w:rFonts w:asciiTheme="majorBidi" w:hAnsiTheme="majorBidi" w:cstheme="majorBidi"/>
              </w:rPr>
              <w:t>Survival CKD</w:t>
            </w:r>
          </w:p>
        </w:tc>
        <w:tc>
          <w:tcPr>
            <w:tcW w:w="709" w:type="dxa"/>
            <w:shd w:val="clear" w:color="auto" w:fill="auto"/>
            <w:vAlign w:val="bottom"/>
          </w:tcPr>
          <w:p w14:paraId="7CDC538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709" w:type="dxa"/>
            <w:shd w:val="clear" w:color="auto" w:fill="auto"/>
            <w:vAlign w:val="bottom"/>
          </w:tcPr>
          <w:p w14:paraId="2B7D2BA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696" w:type="dxa"/>
            <w:shd w:val="clear" w:color="auto" w:fill="auto"/>
            <w:vAlign w:val="bottom"/>
          </w:tcPr>
          <w:p w14:paraId="7BFF5AF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816" w:type="dxa"/>
            <w:shd w:val="clear" w:color="auto" w:fill="auto"/>
            <w:vAlign w:val="bottom"/>
          </w:tcPr>
          <w:p w14:paraId="0E5268C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899" w:type="dxa"/>
            <w:shd w:val="clear" w:color="auto" w:fill="auto"/>
            <w:vAlign w:val="bottom"/>
          </w:tcPr>
          <w:p w14:paraId="0A8ACEF3"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4" w:type="dxa"/>
            <w:shd w:val="clear" w:color="auto" w:fill="auto"/>
            <w:vAlign w:val="bottom"/>
          </w:tcPr>
          <w:p w14:paraId="0A31F14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3902290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r>
      <w:tr w:rsidR="00A4788F" w:rsidRPr="003306F4" w14:paraId="22133317" w14:textId="77777777" w:rsidTr="00A4788F">
        <w:trPr>
          <w:trHeight w:hRule="exact" w:val="284"/>
        </w:trPr>
        <w:tc>
          <w:tcPr>
            <w:tcW w:w="8784" w:type="dxa"/>
            <w:gridSpan w:val="8"/>
            <w:shd w:val="clear" w:color="auto" w:fill="auto"/>
          </w:tcPr>
          <w:p w14:paraId="16D26FAE" w14:textId="77777777" w:rsidR="00A4788F" w:rsidRPr="003306F4" w:rsidRDefault="00A4788F" w:rsidP="00A4788F">
            <w:pPr>
              <w:rPr>
                <w:rFonts w:asciiTheme="majorBidi" w:hAnsiTheme="majorBidi" w:cstheme="majorBidi"/>
                <w:color w:val="000000"/>
              </w:rPr>
            </w:pPr>
            <w:r w:rsidRPr="003306F4">
              <w:rPr>
                <w:rFonts w:asciiTheme="majorBidi" w:hAnsiTheme="majorBidi" w:cstheme="majorBidi"/>
                <w:b/>
                <w:bCs/>
                <w:i/>
              </w:rPr>
              <w:t>Economic outcomes (all discounted)</w:t>
            </w:r>
          </w:p>
        </w:tc>
      </w:tr>
      <w:tr w:rsidR="00A4788F" w:rsidRPr="003306F4" w14:paraId="24E4DEDF" w14:textId="77777777" w:rsidTr="00A4788F">
        <w:trPr>
          <w:trHeight w:hRule="exact" w:val="284"/>
        </w:trPr>
        <w:tc>
          <w:tcPr>
            <w:tcW w:w="2405" w:type="dxa"/>
            <w:shd w:val="clear" w:color="auto" w:fill="auto"/>
          </w:tcPr>
          <w:p w14:paraId="559BBAC4" w14:textId="77777777" w:rsidR="00A4788F" w:rsidRPr="003306F4" w:rsidRDefault="00A4788F" w:rsidP="00A4788F">
            <w:pPr>
              <w:rPr>
                <w:rFonts w:asciiTheme="majorBidi" w:hAnsiTheme="majorBidi" w:cstheme="majorBidi"/>
                <w:b/>
                <w:bCs/>
                <w:i/>
              </w:rPr>
            </w:pPr>
            <w:r w:rsidRPr="003306F4">
              <w:rPr>
                <w:rFonts w:asciiTheme="majorBidi" w:hAnsiTheme="majorBidi" w:cstheme="majorBidi"/>
              </w:rPr>
              <w:t>Treatment costs</w:t>
            </w:r>
          </w:p>
        </w:tc>
        <w:tc>
          <w:tcPr>
            <w:tcW w:w="709" w:type="dxa"/>
            <w:shd w:val="clear" w:color="auto" w:fill="auto"/>
            <w:vAlign w:val="bottom"/>
          </w:tcPr>
          <w:p w14:paraId="5258E0F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£34</w:t>
            </w:r>
          </w:p>
        </w:tc>
        <w:tc>
          <w:tcPr>
            <w:tcW w:w="709" w:type="dxa"/>
            <w:shd w:val="clear" w:color="auto" w:fill="auto"/>
            <w:vAlign w:val="bottom"/>
          </w:tcPr>
          <w:p w14:paraId="36BC70C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£44</w:t>
            </w:r>
          </w:p>
        </w:tc>
        <w:tc>
          <w:tcPr>
            <w:tcW w:w="696" w:type="dxa"/>
            <w:shd w:val="clear" w:color="auto" w:fill="auto"/>
            <w:vAlign w:val="bottom"/>
          </w:tcPr>
          <w:p w14:paraId="763F497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£440</w:t>
            </w:r>
          </w:p>
        </w:tc>
        <w:tc>
          <w:tcPr>
            <w:tcW w:w="816" w:type="dxa"/>
            <w:shd w:val="clear" w:color="auto" w:fill="auto"/>
            <w:vAlign w:val="bottom"/>
          </w:tcPr>
          <w:p w14:paraId="74F2963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£44</w:t>
            </w:r>
          </w:p>
        </w:tc>
        <w:tc>
          <w:tcPr>
            <w:tcW w:w="899" w:type="dxa"/>
            <w:shd w:val="clear" w:color="auto" w:fill="auto"/>
            <w:vAlign w:val="bottom"/>
          </w:tcPr>
          <w:p w14:paraId="1979FED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£440</w:t>
            </w:r>
          </w:p>
        </w:tc>
        <w:tc>
          <w:tcPr>
            <w:tcW w:w="1274" w:type="dxa"/>
            <w:shd w:val="clear" w:color="auto" w:fill="auto"/>
            <w:vAlign w:val="bottom"/>
          </w:tcPr>
          <w:p w14:paraId="783375B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w:t>
            </w:r>
          </w:p>
        </w:tc>
        <w:tc>
          <w:tcPr>
            <w:tcW w:w="1276" w:type="dxa"/>
            <w:shd w:val="clear" w:color="auto" w:fill="auto"/>
            <w:vAlign w:val="bottom"/>
          </w:tcPr>
          <w:p w14:paraId="6938035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-£406</w:t>
            </w:r>
          </w:p>
        </w:tc>
      </w:tr>
      <w:tr w:rsidR="00A4788F" w:rsidRPr="003306F4" w14:paraId="10251F8C" w14:textId="77777777" w:rsidTr="00A4788F">
        <w:trPr>
          <w:trHeight w:hRule="exact" w:val="284"/>
        </w:trPr>
        <w:tc>
          <w:tcPr>
            <w:tcW w:w="2405" w:type="dxa"/>
            <w:shd w:val="clear" w:color="auto" w:fill="auto"/>
          </w:tcPr>
          <w:p w14:paraId="7B46E8AD" w14:textId="77777777" w:rsidR="00A4788F" w:rsidRPr="003306F4" w:rsidRDefault="00A4788F" w:rsidP="00A4788F">
            <w:pPr>
              <w:rPr>
                <w:rFonts w:asciiTheme="majorBidi" w:hAnsiTheme="majorBidi" w:cstheme="majorBidi"/>
              </w:rPr>
            </w:pPr>
            <w:r w:rsidRPr="003306F4">
              <w:rPr>
                <w:rFonts w:asciiTheme="majorBidi" w:hAnsiTheme="majorBidi" w:cstheme="majorBidi"/>
              </w:rPr>
              <w:t>AKI costs hospital</w:t>
            </w:r>
          </w:p>
        </w:tc>
        <w:tc>
          <w:tcPr>
            <w:tcW w:w="709" w:type="dxa"/>
            <w:shd w:val="clear" w:color="auto" w:fill="auto"/>
            <w:vAlign w:val="bottom"/>
          </w:tcPr>
          <w:p w14:paraId="6A59229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£1,714</w:t>
            </w:r>
          </w:p>
        </w:tc>
        <w:tc>
          <w:tcPr>
            <w:tcW w:w="709" w:type="dxa"/>
            <w:shd w:val="clear" w:color="auto" w:fill="auto"/>
            <w:vAlign w:val="bottom"/>
          </w:tcPr>
          <w:p w14:paraId="7891E54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£1,714</w:t>
            </w:r>
          </w:p>
        </w:tc>
        <w:tc>
          <w:tcPr>
            <w:tcW w:w="696" w:type="dxa"/>
            <w:shd w:val="clear" w:color="auto" w:fill="auto"/>
            <w:vAlign w:val="bottom"/>
          </w:tcPr>
          <w:p w14:paraId="1015EBD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£2,318</w:t>
            </w:r>
          </w:p>
        </w:tc>
        <w:tc>
          <w:tcPr>
            <w:tcW w:w="816" w:type="dxa"/>
            <w:shd w:val="clear" w:color="auto" w:fill="auto"/>
            <w:vAlign w:val="bottom"/>
          </w:tcPr>
          <w:p w14:paraId="3405C4D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£1,714</w:t>
            </w:r>
          </w:p>
        </w:tc>
        <w:tc>
          <w:tcPr>
            <w:tcW w:w="899" w:type="dxa"/>
            <w:shd w:val="clear" w:color="auto" w:fill="auto"/>
            <w:vAlign w:val="bottom"/>
          </w:tcPr>
          <w:p w14:paraId="5C5E34B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£2,318</w:t>
            </w:r>
          </w:p>
        </w:tc>
        <w:tc>
          <w:tcPr>
            <w:tcW w:w="1274" w:type="dxa"/>
            <w:shd w:val="clear" w:color="auto" w:fill="auto"/>
            <w:vAlign w:val="bottom"/>
          </w:tcPr>
          <w:p w14:paraId="251A2A6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w:t>
            </w:r>
          </w:p>
        </w:tc>
        <w:tc>
          <w:tcPr>
            <w:tcW w:w="1276" w:type="dxa"/>
            <w:shd w:val="clear" w:color="auto" w:fill="auto"/>
            <w:vAlign w:val="bottom"/>
          </w:tcPr>
          <w:p w14:paraId="77DA636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-£604</w:t>
            </w:r>
          </w:p>
        </w:tc>
      </w:tr>
      <w:tr w:rsidR="00A4788F" w:rsidRPr="003306F4" w14:paraId="356D83BC" w14:textId="77777777" w:rsidTr="00A4788F">
        <w:trPr>
          <w:trHeight w:hRule="exact" w:val="284"/>
        </w:trPr>
        <w:tc>
          <w:tcPr>
            <w:tcW w:w="2405" w:type="dxa"/>
            <w:shd w:val="clear" w:color="auto" w:fill="auto"/>
          </w:tcPr>
          <w:p w14:paraId="7B37F454" w14:textId="77777777" w:rsidR="00A4788F" w:rsidRPr="003306F4" w:rsidRDefault="00A4788F" w:rsidP="00A4788F">
            <w:pPr>
              <w:rPr>
                <w:rFonts w:asciiTheme="majorBidi" w:hAnsiTheme="majorBidi" w:cstheme="majorBidi"/>
              </w:rPr>
            </w:pPr>
            <w:r w:rsidRPr="003306F4">
              <w:rPr>
                <w:rFonts w:asciiTheme="majorBidi" w:hAnsiTheme="majorBidi" w:cstheme="majorBidi"/>
              </w:rPr>
              <w:t>Other costs hospital</w:t>
            </w:r>
          </w:p>
        </w:tc>
        <w:tc>
          <w:tcPr>
            <w:tcW w:w="709" w:type="dxa"/>
            <w:shd w:val="clear" w:color="auto" w:fill="auto"/>
            <w:vAlign w:val="bottom"/>
          </w:tcPr>
          <w:p w14:paraId="2CA53CB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£17,213</w:t>
            </w:r>
          </w:p>
        </w:tc>
        <w:tc>
          <w:tcPr>
            <w:tcW w:w="709" w:type="dxa"/>
            <w:shd w:val="clear" w:color="auto" w:fill="auto"/>
            <w:vAlign w:val="bottom"/>
          </w:tcPr>
          <w:p w14:paraId="5A18132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£17,213</w:t>
            </w:r>
          </w:p>
        </w:tc>
        <w:tc>
          <w:tcPr>
            <w:tcW w:w="696" w:type="dxa"/>
            <w:shd w:val="clear" w:color="auto" w:fill="auto"/>
            <w:vAlign w:val="bottom"/>
          </w:tcPr>
          <w:p w14:paraId="68A46A2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£16,803</w:t>
            </w:r>
          </w:p>
        </w:tc>
        <w:tc>
          <w:tcPr>
            <w:tcW w:w="816" w:type="dxa"/>
            <w:shd w:val="clear" w:color="auto" w:fill="auto"/>
            <w:vAlign w:val="bottom"/>
          </w:tcPr>
          <w:p w14:paraId="06886A74"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£17,213</w:t>
            </w:r>
          </w:p>
        </w:tc>
        <w:tc>
          <w:tcPr>
            <w:tcW w:w="899" w:type="dxa"/>
            <w:shd w:val="clear" w:color="auto" w:fill="auto"/>
            <w:vAlign w:val="bottom"/>
          </w:tcPr>
          <w:p w14:paraId="3A689E4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£16,803</w:t>
            </w:r>
          </w:p>
        </w:tc>
        <w:tc>
          <w:tcPr>
            <w:tcW w:w="1274" w:type="dxa"/>
            <w:shd w:val="clear" w:color="auto" w:fill="auto"/>
            <w:vAlign w:val="bottom"/>
          </w:tcPr>
          <w:p w14:paraId="5A8D2E8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w:t>
            </w:r>
          </w:p>
        </w:tc>
        <w:tc>
          <w:tcPr>
            <w:tcW w:w="1276" w:type="dxa"/>
            <w:shd w:val="clear" w:color="auto" w:fill="auto"/>
            <w:vAlign w:val="bottom"/>
          </w:tcPr>
          <w:p w14:paraId="75400E32"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£409</w:t>
            </w:r>
          </w:p>
        </w:tc>
      </w:tr>
      <w:tr w:rsidR="00A4788F" w:rsidRPr="003306F4" w14:paraId="69060AB3" w14:textId="77777777" w:rsidTr="00A4788F">
        <w:trPr>
          <w:trHeight w:hRule="exact" w:val="284"/>
        </w:trPr>
        <w:tc>
          <w:tcPr>
            <w:tcW w:w="2405" w:type="dxa"/>
            <w:shd w:val="clear" w:color="auto" w:fill="auto"/>
          </w:tcPr>
          <w:p w14:paraId="4563889B" w14:textId="77777777" w:rsidR="00A4788F" w:rsidRPr="003306F4" w:rsidRDefault="00A4788F" w:rsidP="00A4788F">
            <w:pPr>
              <w:rPr>
                <w:rFonts w:asciiTheme="majorBidi" w:hAnsiTheme="majorBidi" w:cstheme="majorBidi"/>
              </w:rPr>
            </w:pPr>
            <w:r w:rsidRPr="003306F4">
              <w:rPr>
                <w:rFonts w:asciiTheme="majorBidi" w:hAnsiTheme="majorBidi" w:cstheme="majorBidi"/>
              </w:rPr>
              <w:t>Long-term costs</w:t>
            </w:r>
          </w:p>
        </w:tc>
        <w:tc>
          <w:tcPr>
            <w:tcW w:w="709" w:type="dxa"/>
            <w:shd w:val="clear" w:color="auto" w:fill="auto"/>
            <w:vAlign w:val="bottom"/>
          </w:tcPr>
          <w:p w14:paraId="167C7CD3"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£644</w:t>
            </w:r>
          </w:p>
        </w:tc>
        <w:tc>
          <w:tcPr>
            <w:tcW w:w="709" w:type="dxa"/>
            <w:shd w:val="clear" w:color="auto" w:fill="auto"/>
            <w:vAlign w:val="bottom"/>
          </w:tcPr>
          <w:p w14:paraId="40CD6E5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£644</w:t>
            </w:r>
          </w:p>
        </w:tc>
        <w:tc>
          <w:tcPr>
            <w:tcW w:w="696" w:type="dxa"/>
            <w:shd w:val="clear" w:color="auto" w:fill="auto"/>
            <w:vAlign w:val="bottom"/>
          </w:tcPr>
          <w:p w14:paraId="240DCDB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£617</w:t>
            </w:r>
          </w:p>
        </w:tc>
        <w:tc>
          <w:tcPr>
            <w:tcW w:w="816" w:type="dxa"/>
            <w:shd w:val="clear" w:color="auto" w:fill="auto"/>
            <w:vAlign w:val="bottom"/>
          </w:tcPr>
          <w:p w14:paraId="409A2A2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£644</w:t>
            </w:r>
          </w:p>
        </w:tc>
        <w:tc>
          <w:tcPr>
            <w:tcW w:w="899" w:type="dxa"/>
            <w:shd w:val="clear" w:color="auto" w:fill="auto"/>
            <w:vAlign w:val="bottom"/>
          </w:tcPr>
          <w:p w14:paraId="7550860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£617</w:t>
            </w:r>
          </w:p>
        </w:tc>
        <w:tc>
          <w:tcPr>
            <w:tcW w:w="1274" w:type="dxa"/>
            <w:shd w:val="clear" w:color="auto" w:fill="auto"/>
            <w:vAlign w:val="bottom"/>
          </w:tcPr>
          <w:p w14:paraId="2D33265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w:t>
            </w:r>
          </w:p>
        </w:tc>
        <w:tc>
          <w:tcPr>
            <w:tcW w:w="1276" w:type="dxa"/>
            <w:shd w:val="clear" w:color="auto" w:fill="auto"/>
            <w:vAlign w:val="bottom"/>
          </w:tcPr>
          <w:p w14:paraId="1E52C96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£27</w:t>
            </w:r>
          </w:p>
        </w:tc>
      </w:tr>
      <w:tr w:rsidR="00A4788F" w:rsidRPr="003306F4" w14:paraId="24DC8A90" w14:textId="77777777" w:rsidTr="00A4788F">
        <w:trPr>
          <w:trHeight w:hRule="exact" w:val="284"/>
        </w:trPr>
        <w:tc>
          <w:tcPr>
            <w:tcW w:w="2405" w:type="dxa"/>
            <w:shd w:val="clear" w:color="auto" w:fill="auto"/>
          </w:tcPr>
          <w:p w14:paraId="27D56665" w14:textId="77777777" w:rsidR="00A4788F" w:rsidRPr="003306F4" w:rsidRDefault="00A4788F" w:rsidP="00A4788F">
            <w:pPr>
              <w:rPr>
                <w:rFonts w:asciiTheme="majorBidi" w:hAnsiTheme="majorBidi" w:cstheme="majorBidi"/>
              </w:rPr>
            </w:pPr>
            <w:r w:rsidRPr="003306F4">
              <w:rPr>
                <w:rFonts w:asciiTheme="majorBidi" w:hAnsiTheme="majorBidi" w:cstheme="majorBidi"/>
              </w:rPr>
              <w:t>Total costs</w:t>
            </w:r>
          </w:p>
        </w:tc>
        <w:tc>
          <w:tcPr>
            <w:tcW w:w="709" w:type="dxa"/>
            <w:shd w:val="clear" w:color="auto" w:fill="auto"/>
            <w:vAlign w:val="bottom"/>
          </w:tcPr>
          <w:p w14:paraId="40C603B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£19,604</w:t>
            </w:r>
          </w:p>
        </w:tc>
        <w:tc>
          <w:tcPr>
            <w:tcW w:w="709" w:type="dxa"/>
            <w:shd w:val="clear" w:color="auto" w:fill="auto"/>
            <w:vAlign w:val="bottom"/>
          </w:tcPr>
          <w:p w14:paraId="078940D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£19,614</w:t>
            </w:r>
          </w:p>
        </w:tc>
        <w:tc>
          <w:tcPr>
            <w:tcW w:w="696" w:type="dxa"/>
            <w:shd w:val="clear" w:color="auto" w:fill="auto"/>
            <w:vAlign w:val="bottom"/>
          </w:tcPr>
          <w:p w14:paraId="3789959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£20,179</w:t>
            </w:r>
          </w:p>
        </w:tc>
        <w:tc>
          <w:tcPr>
            <w:tcW w:w="816" w:type="dxa"/>
            <w:shd w:val="clear" w:color="auto" w:fill="auto"/>
            <w:vAlign w:val="bottom"/>
          </w:tcPr>
          <w:p w14:paraId="343D2DC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£19,614</w:t>
            </w:r>
          </w:p>
        </w:tc>
        <w:tc>
          <w:tcPr>
            <w:tcW w:w="899" w:type="dxa"/>
            <w:shd w:val="clear" w:color="auto" w:fill="auto"/>
            <w:vAlign w:val="bottom"/>
          </w:tcPr>
          <w:p w14:paraId="2A13112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£20,179</w:t>
            </w:r>
          </w:p>
        </w:tc>
        <w:tc>
          <w:tcPr>
            <w:tcW w:w="1274" w:type="dxa"/>
            <w:shd w:val="clear" w:color="auto" w:fill="auto"/>
            <w:vAlign w:val="bottom"/>
          </w:tcPr>
          <w:p w14:paraId="3885CC6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w:t>
            </w:r>
          </w:p>
        </w:tc>
        <w:tc>
          <w:tcPr>
            <w:tcW w:w="1276" w:type="dxa"/>
            <w:shd w:val="clear" w:color="auto" w:fill="auto"/>
            <w:vAlign w:val="bottom"/>
          </w:tcPr>
          <w:p w14:paraId="0000417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-£574</w:t>
            </w:r>
          </w:p>
        </w:tc>
      </w:tr>
      <w:tr w:rsidR="00A4788F" w:rsidRPr="003306F4" w14:paraId="1E61BF62" w14:textId="77777777" w:rsidTr="00A4788F">
        <w:trPr>
          <w:trHeight w:hRule="exact" w:val="284"/>
        </w:trPr>
        <w:tc>
          <w:tcPr>
            <w:tcW w:w="2405" w:type="dxa"/>
            <w:shd w:val="clear" w:color="auto" w:fill="auto"/>
          </w:tcPr>
          <w:p w14:paraId="3BBC745B" w14:textId="77777777" w:rsidR="00A4788F" w:rsidRPr="003306F4" w:rsidRDefault="00A4788F" w:rsidP="00A4788F">
            <w:pPr>
              <w:rPr>
                <w:rFonts w:asciiTheme="majorBidi" w:hAnsiTheme="majorBidi" w:cstheme="majorBidi"/>
              </w:rPr>
            </w:pPr>
            <w:r w:rsidRPr="003306F4">
              <w:rPr>
                <w:rFonts w:asciiTheme="majorBidi" w:hAnsiTheme="majorBidi" w:cstheme="majorBidi"/>
              </w:rPr>
              <w:t>Life years</w:t>
            </w:r>
          </w:p>
        </w:tc>
        <w:tc>
          <w:tcPr>
            <w:tcW w:w="709" w:type="dxa"/>
            <w:shd w:val="clear" w:color="auto" w:fill="auto"/>
            <w:vAlign w:val="bottom"/>
          </w:tcPr>
          <w:p w14:paraId="47C8979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2.895</w:t>
            </w:r>
          </w:p>
        </w:tc>
        <w:tc>
          <w:tcPr>
            <w:tcW w:w="709" w:type="dxa"/>
            <w:shd w:val="clear" w:color="auto" w:fill="auto"/>
            <w:vAlign w:val="bottom"/>
          </w:tcPr>
          <w:p w14:paraId="756CF943"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2.895</w:t>
            </w:r>
          </w:p>
        </w:tc>
        <w:tc>
          <w:tcPr>
            <w:tcW w:w="696" w:type="dxa"/>
            <w:shd w:val="clear" w:color="auto" w:fill="auto"/>
            <w:vAlign w:val="bottom"/>
          </w:tcPr>
          <w:p w14:paraId="70A36504"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2.662</w:t>
            </w:r>
          </w:p>
        </w:tc>
        <w:tc>
          <w:tcPr>
            <w:tcW w:w="816" w:type="dxa"/>
            <w:shd w:val="clear" w:color="auto" w:fill="auto"/>
            <w:vAlign w:val="bottom"/>
          </w:tcPr>
          <w:p w14:paraId="4767370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2.895</w:t>
            </w:r>
          </w:p>
        </w:tc>
        <w:tc>
          <w:tcPr>
            <w:tcW w:w="899" w:type="dxa"/>
            <w:shd w:val="clear" w:color="auto" w:fill="auto"/>
            <w:vAlign w:val="bottom"/>
          </w:tcPr>
          <w:p w14:paraId="5DB6C2A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2.662</w:t>
            </w:r>
          </w:p>
        </w:tc>
        <w:tc>
          <w:tcPr>
            <w:tcW w:w="1274" w:type="dxa"/>
            <w:shd w:val="clear" w:color="auto" w:fill="auto"/>
            <w:vAlign w:val="bottom"/>
          </w:tcPr>
          <w:p w14:paraId="4756B34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642945A5"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0.233</w:t>
            </w:r>
          </w:p>
        </w:tc>
      </w:tr>
      <w:tr w:rsidR="00A4788F" w:rsidRPr="003306F4" w14:paraId="7748C5D6" w14:textId="77777777" w:rsidTr="00A4788F">
        <w:trPr>
          <w:trHeight w:hRule="exact" w:val="284"/>
        </w:trPr>
        <w:tc>
          <w:tcPr>
            <w:tcW w:w="2405" w:type="dxa"/>
            <w:shd w:val="clear" w:color="auto" w:fill="auto"/>
          </w:tcPr>
          <w:p w14:paraId="26F7D06B" w14:textId="77777777" w:rsidR="00A4788F" w:rsidRPr="003306F4" w:rsidRDefault="00A4788F" w:rsidP="00A4788F">
            <w:pPr>
              <w:rPr>
                <w:rFonts w:asciiTheme="majorBidi" w:hAnsiTheme="majorBidi" w:cstheme="majorBidi"/>
              </w:rPr>
            </w:pPr>
            <w:r w:rsidRPr="003306F4">
              <w:rPr>
                <w:rFonts w:asciiTheme="majorBidi" w:hAnsiTheme="majorBidi" w:cstheme="majorBidi"/>
              </w:rPr>
              <w:t>QALYs</w:t>
            </w:r>
          </w:p>
        </w:tc>
        <w:tc>
          <w:tcPr>
            <w:tcW w:w="709" w:type="dxa"/>
            <w:shd w:val="clear" w:color="auto" w:fill="auto"/>
            <w:vAlign w:val="bottom"/>
          </w:tcPr>
          <w:p w14:paraId="0C036D1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2.034</w:t>
            </w:r>
          </w:p>
        </w:tc>
        <w:tc>
          <w:tcPr>
            <w:tcW w:w="709" w:type="dxa"/>
            <w:shd w:val="clear" w:color="auto" w:fill="auto"/>
            <w:vAlign w:val="bottom"/>
          </w:tcPr>
          <w:p w14:paraId="7A7CEB7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2.034</w:t>
            </w:r>
          </w:p>
        </w:tc>
        <w:tc>
          <w:tcPr>
            <w:tcW w:w="696" w:type="dxa"/>
            <w:shd w:val="clear" w:color="auto" w:fill="auto"/>
            <w:vAlign w:val="bottom"/>
          </w:tcPr>
          <w:p w14:paraId="2562F5F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1.871</w:t>
            </w:r>
          </w:p>
        </w:tc>
        <w:tc>
          <w:tcPr>
            <w:tcW w:w="816" w:type="dxa"/>
            <w:shd w:val="clear" w:color="auto" w:fill="auto"/>
            <w:vAlign w:val="bottom"/>
          </w:tcPr>
          <w:p w14:paraId="60832A1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2.034</w:t>
            </w:r>
          </w:p>
        </w:tc>
        <w:tc>
          <w:tcPr>
            <w:tcW w:w="899" w:type="dxa"/>
            <w:shd w:val="clear" w:color="auto" w:fill="auto"/>
            <w:vAlign w:val="bottom"/>
          </w:tcPr>
          <w:p w14:paraId="22F2D65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1.871</w:t>
            </w:r>
          </w:p>
        </w:tc>
        <w:tc>
          <w:tcPr>
            <w:tcW w:w="1274" w:type="dxa"/>
            <w:shd w:val="clear" w:color="auto" w:fill="auto"/>
            <w:vAlign w:val="bottom"/>
          </w:tcPr>
          <w:p w14:paraId="5916094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0.000</w:t>
            </w:r>
          </w:p>
        </w:tc>
        <w:tc>
          <w:tcPr>
            <w:tcW w:w="1276" w:type="dxa"/>
            <w:shd w:val="clear" w:color="auto" w:fill="auto"/>
            <w:vAlign w:val="bottom"/>
          </w:tcPr>
          <w:p w14:paraId="3D6F70D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0.163</w:t>
            </w:r>
          </w:p>
        </w:tc>
      </w:tr>
      <w:tr w:rsidR="00A4788F" w:rsidRPr="003306F4" w14:paraId="2B779A69" w14:textId="77777777" w:rsidTr="00A4788F">
        <w:trPr>
          <w:trHeight w:hRule="exact" w:val="284"/>
        </w:trPr>
        <w:tc>
          <w:tcPr>
            <w:tcW w:w="2405" w:type="dxa"/>
            <w:shd w:val="clear" w:color="auto" w:fill="auto"/>
          </w:tcPr>
          <w:p w14:paraId="3DDAABDD" w14:textId="77777777" w:rsidR="00A4788F" w:rsidRPr="003306F4" w:rsidRDefault="00A4788F" w:rsidP="00A4788F">
            <w:pPr>
              <w:rPr>
                <w:rFonts w:asciiTheme="majorBidi" w:hAnsiTheme="majorBidi" w:cstheme="majorBidi"/>
              </w:rPr>
            </w:pPr>
            <w:r w:rsidRPr="003306F4">
              <w:rPr>
                <w:rFonts w:asciiTheme="majorBidi" w:hAnsiTheme="majorBidi" w:cstheme="majorBidi"/>
              </w:rPr>
              <w:t>Per person NHE (QALYs)</w:t>
            </w:r>
          </w:p>
        </w:tc>
        <w:tc>
          <w:tcPr>
            <w:tcW w:w="709" w:type="dxa"/>
            <w:shd w:val="clear" w:color="auto" w:fill="auto"/>
            <w:vAlign w:val="bottom"/>
          </w:tcPr>
          <w:p w14:paraId="0900005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1.054</w:t>
            </w:r>
          </w:p>
        </w:tc>
        <w:tc>
          <w:tcPr>
            <w:tcW w:w="709" w:type="dxa"/>
            <w:shd w:val="clear" w:color="auto" w:fill="auto"/>
            <w:vAlign w:val="bottom"/>
          </w:tcPr>
          <w:p w14:paraId="601A1F9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1.053</w:t>
            </w:r>
          </w:p>
        </w:tc>
        <w:tc>
          <w:tcPr>
            <w:tcW w:w="696" w:type="dxa"/>
            <w:shd w:val="clear" w:color="auto" w:fill="auto"/>
            <w:vAlign w:val="bottom"/>
          </w:tcPr>
          <w:p w14:paraId="653B963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0.862</w:t>
            </w:r>
          </w:p>
        </w:tc>
        <w:tc>
          <w:tcPr>
            <w:tcW w:w="816" w:type="dxa"/>
            <w:shd w:val="clear" w:color="auto" w:fill="auto"/>
            <w:vAlign w:val="bottom"/>
          </w:tcPr>
          <w:p w14:paraId="39FF719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1.053</w:t>
            </w:r>
          </w:p>
        </w:tc>
        <w:tc>
          <w:tcPr>
            <w:tcW w:w="899" w:type="dxa"/>
            <w:shd w:val="clear" w:color="auto" w:fill="auto"/>
            <w:vAlign w:val="bottom"/>
          </w:tcPr>
          <w:p w14:paraId="17B54FA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0.862</w:t>
            </w:r>
          </w:p>
        </w:tc>
        <w:tc>
          <w:tcPr>
            <w:tcW w:w="1274" w:type="dxa"/>
            <w:shd w:val="clear" w:color="auto" w:fill="auto"/>
            <w:vAlign w:val="bottom"/>
          </w:tcPr>
          <w:p w14:paraId="21BD6A13"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0.001</w:t>
            </w:r>
          </w:p>
        </w:tc>
        <w:tc>
          <w:tcPr>
            <w:tcW w:w="1276" w:type="dxa"/>
            <w:shd w:val="clear" w:color="auto" w:fill="auto"/>
            <w:vAlign w:val="bottom"/>
          </w:tcPr>
          <w:p w14:paraId="7A9B1B6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0.192</w:t>
            </w:r>
          </w:p>
        </w:tc>
      </w:tr>
      <w:tr w:rsidR="00A4788F" w:rsidRPr="003306F4" w14:paraId="0241CEC8" w14:textId="77777777" w:rsidTr="00A4788F">
        <w:trPr>
          <w:trHeight w:hRule="exact" w:val="284"/>
        </w:trPr>
        <w:tc>
          <w:tcPr>
            <w:tcW w:w="8784" w:type="dxa"/>
            <w:gridSpan w:val="8"/>
            <w:shd w:val="clear" w:color="auto" w:fill="auto"/>
          </w:tcPr>
          <w:p w14:paraId="266B6D03" w14:textId="77777777" w:rsidR="00A4788F" w:rsidRPr="003306F4" w:rsidRDefault="00A4788F" w:rsidP="00A4788F">
            <w:pPr>
              <w:rPr>
                <w:rFonts w:asciiTheme="majorBidi" w:hAnsiTheme="majorBidi" w:cstheme="majorBidi"/>
                <w:b/>
                <w:color w:val="000000"/>
              </w:rPr>
            </w:pPr>
            <w:r w:rsidRPr="003306F4">
              <w:rPr>
                <w:rFonts w:asciiTheme="majorBidi" w:hAnsiTheme="majorBidi" w:cstheme="majorBidi"/>
                <w:b/>
                <w:color w:val="000000"/>
              </w:rPr>
              <w:t>All patients presenting in the ES</w:t>
            </w:r>
          </w:p>
        </w:tc>
      </w:tr>
      <w:tr w:rsidR="00A4788F" w:rsidRPr="003306F4" w14:paraId="0C254A26" w14:textId="77777777" w:rsidTr="00A4788F">
        <w:trPr>
          <w:trHeight w:hRule="exact" w:val="284"/>
        </w:trPr>
        <w:tc>
          <w:tcPr>
            <w:tcW w:w="2405" w:type="dxa"/>
            <w:shd w:val="clear" w:color="auto" w:fill="auto"/>
          </w:tcPr>
          <w:p w14:paraId="31A67518" w14:textId="77777777" w:rsidR="00A4788F" w:rsidRPr="003306F4" w:rsidRDefault="00A4788F" w:rsidP="00A4788F">
            <w:pPr>
              <w:rPr>
                <w:rFonts w:asciiTheme="majorBidi" w:hAnsiTheme="majorBidi" w:cstheme="majorBidi"/>
              </w:rPr>
            </w:pPr>
            <w:r w:rsidRPr="003306F4">
              <w:rPr>
                <w:rFonts w:asciiTheme="majorBidi" w:hAnsiTheme="majorBidi" w:cstheme="majorBidi"/>
              </w:rPr>
              <w:t>Total costs</w:t>
            </w:r>
          </w:p>
        </w:tc>
        <w:tc>
          <w:tcPr>
            <w:tcW w:w="709" w:type="dxa"/>
            <w:shd w:val="clear" w:color="auto" w:fill="auto"/>
            <w:vAlign w:val="bottom"/>
          </w:tcPr>
          <w:p w14:paraId="59E6FA8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£19,674</w:t>
            </w:r>
          </w:p>
        </w:tc>
        <w:tc>
          <w:tcPr>
            <w:tcW w:w="709" w:type="dxa"/>
            <w:shd w:val="clear" w:color="auto" w:fill="auto"/>
            <w:vAlign w:val="bottom"/>
          </w:tcPr>
          <w:p w14:paraId="0D25F19A"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£21,601</w:t>
            </w:r>
          </w:p>
        </w:tc>
        <w:tc>
          <w:tcPr>
            <w:tcW w:w="696" w:type="dxa"/>
            <w:shd w:val="clear" w:color="auto" w:fill="auto"/>
            <w:vAlign w:val="bottom"/>
          </w:tcPr>
          <w:p w14:paraId="03B24B4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£20,179</w:t>
            </w:r>
          </w:p>
        </w:tc>
        <w:tc>
          <w:tcPr>
            <w:tcW w:w="816" w:type="dxa"/>
            <w:shd w:val="clear" w:color="auto" w:fill="auto"/>
            <w:vAlign w:val="bottom"/>
          </w:tcPr>
          <w:p w14:paraId="69FED4AF"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£21,503</w:t>
            </w:r>
          </w:p>
        </w:tc>
        <w:tc>
          <w:tcPr>
            <w:tcW w:w="899" w:type="dxa"/>
            <w:shd w:val="clear" w:color="auto" w:fill="auto"/>
            <w:vAlign w:val="bottom"/>
          </w:tcPr>
          <w:p w14:paraId="70321B02"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£20,153</w:t>
            </w:r>
          </w:p>
        </w:tc>
        <w:tc>
          <w:tcPr>
            <w:tcW w:w="1274" w:type="dxa"/>
            <w:shd w:val="clear" w:color="auto" w:fill="auto"/>
            <w:vAlign w:val="bottom"/>
          </w:tcPr>
          <w:p w14:paraId="4D4308F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-£1,928</w:t>
            </w:r>
          </w:p>
        </w:tc>
        <w:tc>
          <w:tcPr>
            <w:tcW w:w="1276" w:type="dxa"/>
            <w:shd w:val="clear" w:color="auto" w:fill="auto"/>
            <w:vAlign w:val="bottom"/>
          </w:tcPr>
          <w:p w14:paraId="1FBC0C0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-£505</w:t>
            </w:r>
          </w:p>
        </w:tc>
      </w:tr>
      <w:tr w:rsidR="00A4788F" w:rsidRPr="003306F4" w14:paraId="02D1FE67" w14:textId="77777777" w:rsidTr="00A4788F">
        <w:trPr>
          <w:trHeight w:hRule="exact" w:val="284"/>
        </w:trPr>
        <w:tc>
          <w:tcPr>
            <w:tcW w:w="2405" w:type="dxa"/>
            <w:shd w:val="clear" w:color="auto" w:fill="auto"/>
          </w:tcPr>
          <w:p w14:paraId="0D9A47BC" w14:textId="77777777" w:rsidR="00A4788F" w:rsidRPr="003306F4" w:rsidRDefault="00A4788F" w:rsidP="00A4788F">
            <w:pPr>
              <w:rPr>
                <w:rFonts w:asciiTheme="majorBidi" w:hAnsiTheme="majorBidi" w:cstheme="majorBidi"/>
              </w:rPr>
            </w:pPr>
            <w:r w:rsidRPr="003306F4">
              <w:rPr>
                <w:rFonts w:asciiTheme="majorBidi" w:hAnsiTheme="majorBidi" w:cstheme="majorBidi"/>
              </w:rPr>
              <w:t>QALYs</w:t>
            </w:r>
          </w:p>
        </w:tc>
        <w:tc>
          <w:tcPr>
            <w:tcW w:w="709" w:type="dxa"/>
            <w:shd w:val="clear" w:color="auto" w:fill="auto"/>
            <w:vAlign w:val="bottom"/>
          </w:tcPr>
          <w:p w14:paraId="72BEA60D"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2.032</w:t>
            </w:r>
          </w:p>
        </w:tc>
        <w:tc>
          <w:tcPr>
            <w:tcW w:w="709" w:type="dxa"/>
            <w:shd w:val="clear" w:color="auto" w:fill="auto"/>
            <w:vAlign w:val="bottom"/>
          </w:tcPr>
          <w:p w14:paraId="16F527C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1.969</w:t>
            </w:r>
          </w:p>
        </w:tc>
        <w:tc>
          <w:tcPr>
            <w:tcW w:w="696" w:type="dxa"/>
            <w:shd w:val="clear" w:color="auto" w:fill="auto"/>
            <w:vAlign w:val="bottom"/>
          </w:tcPr>
          <w:p w14:paraId="5602C14C"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1.871</w:t>
            </w:r>
          </w:p>
        </w:tc>
        <w:tc>
          <w:tcPr>
            <w:tcW w:w="816" w:type="dxa"/>
            <w:shd w:val="clear" w:color="auto" w:fill="auto"/>
            <w:vAlign w:val="bottom"/>
          </w:tcPr>
          <w:p w14:paraId="42BE6490"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1.977</w:t>
            </w:r>
          </w:p>
        </w:tc>
        <w:tc>
          <w:tcPr>
            <w:tcW w:w="899" w:type="dxa"/>
            <w:shd w:val="clear" w:color="auto" w:fill="auto"/>
            <w:vAlign w:val="bottom"/>
          </w:tcPr>
          <w:p w14:paraId="1D24CDFE"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1.873</w:t>
            </w:r>
          </w:p>
        </w:tc>
        <w:tc>
          <w:tcPr>
            <w:tcW w:w="1274" w:type="dxa"/>
            <w:shd w:val="clear" w:color="auto" w:fill="auto"/>
            <w:vAlign w:val="bottom"/>
          </w:tcPr>
          <w:p w14:paraId="27FF4F68"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0.063</w:t>
            </w:r>
          </w:p>
        </w:tc>
        <w:tc>
          <w:tcPr>
            <w:tcW w:w="1276" w:type="dxa"/>
            <w:shd w:val="clear" w:color="auto" w:fill="auto"/>
            <w:vAlign w:val="bottom"/>
          </w:tcPr>
          <w:p w14:paraId="08962339"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0.161</w:t>
            </w:r>
          </w:p>
        </w:tc>
      </w:tr>
      <w:tr w:rsidR="00A4788F" w:rsidRPr="003306F4" w14:paraId="6FFF6243" w14:textId="77777777" w:rsidTr="00A4788F">
        <w:trPr>
          <w:trHeight w:hRule="exact" w:val="284"/>
        </w:trPr>
        <w:tc>
          <w:tcPr>
            <w:tcW w:w="2405" w:type="dxa"/>
            <w:shd w:val="clear" w:color="auto" w:fill="auto"/>
          </w:tcPr>
          <w:p w14:paraId="4D196DD7" w14:textId="77777777" w:rsidR="00A4788F" w:rsidRPr="003306F4" w:rsidRDefault="00A4788F" w:rsidP="00A4788F">
            <w:pPr>
              <w:rPr>
                <w:rFonts w:asciiTheme="majorBidi" w:hAnsiTheme="majorBidi" w:cstheme="majorBidi"/>
              </w:rPr>
            </w:pPr>
            <w:r w:rsidRPr="003306F4">
              <w:rPr>
                <w:rFonts w:asciiTheme="majorBidi" w:hAnsiTheme="majorBidi" w:cstheme="majorBidi"/>
              </w:rPr>
              <w:t>Per person NHE (QALYs)</w:t>
            </w:r>
          </w:p>
        </w:tc>
        <w:tc>
          <w:tcPr>
            <w:tcW w:w="709" w:type="dxa"/>
            <w:shd w:val="clear" w:color="auto" w:fill="auto"/>
            <w:vAlign w:val="bottom"/>
          </w:tcPr>
          <w:p w14:paraId="6397A254"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1.049</w:t>
            </w:r>
          </w:p>
        </w:tc>
        <w:tc>
          <w:tcPr>
            <w:tcW w:w="709" w:type="dxa"/>
            <w:shd w:val="clear" w:color="auto" w:fill="auto"/>
            <w:vAlign w:val="bottom"/>
          </w:tcPr>
          <w:p w14:paraId="4B3B5D76"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0.889</w:t>
            </w:r>
          </w:p>
        </w:tc>
        <w:tc>
          <w:tcPr>
            <w:tcW w:w="696" w:type="dxa"/>
            <w:shd w:val="clear" w:color="auto" w:fill="auto"/>
            <w:vAlign w:val="bottom"/>
          </w:tcPr>
          <w:p w14:paraId="3F7D55C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0.862</w:t>
            </w:r>
          </w:p>
        </w:tc>
        <w:tc>
          <w:tcPr>
            <w:tcW w:w="816" w:type="dxa"/>
            <w:shd w:val="clear" w:color="auto" w:fill="auto"/>
            <w:vAlign w:val="bottom"/>
          </w:tcPr>
          <w:p w14:paraId="464F9771"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0.901</w:t>
            </w:r>
          </w:p>
        </w:tc>
        <w:tc>
          <w:tcPr>
            <w:tcW w:w="899" w:type="dxa"/>
            <w:shd w:val="clear" w:color="auto" w:fill="auto"/>
            <w:vAlign w:val="bottom"/>
          </w:tcPr>
          <w:p w14:paraId="7671AB14"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0.865</w:t>
            </w:r>
          </w:p>
        </w:tc>
        <w:tc>
          <w:tcPr>
            <w:tcW w:w="1274" w:type="dxa"/>
            <w:shd w:val="clear" w:color="auto" w:fill="auto"/>
            <w:vAlign w:val="bottom"/>
          </w:tcPr>
          <w:p w14:paraId="01BD2717"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0.160</w:t>
            </w:r>
          </w:p>
        </w:tc>
        <w:tc>
          <w:tcPr>
            <w:tcW w:w="1276" w:type="dxa"/>
            <w:shd w:val="clear" w:color="auto" w:fill="auto"/>
            <w:vAlign w:val="bottom"/>
          </w:tcPr>
          <w:p w14:paraId="5091448B" w14:textId="77777777" w:rsidR="00A4788F" w:rsidRPr="003306F4" w:rsidRDefault="00A4788F" w:rsidP="00A4788F">
            <w:pPr>
              <w:jc w:val="right"/>
              <w:rPr>
                <w:rFonts w:asciiTheme="majorBidi" w:hAnsiTheme="majorBidi" w:cstheme="majorBidi"/>
                <w:color w:val="000000"/>
              </w:rPr>
            </w:pPr>
            <w:r w:rsidRPr="003306F4">
              <w:rPr>
                <w:rFonts w:asciiTheme="majorBidi" w:hAnsiTheme="majorBidi" w:cstheme="majorBidi"/>
                <w:color w:val="000000"/>
              </w:rPr>
              <w:t>0.186</w:t>
            </w:r>
          </w:p>
        </w:tc>
      </w:tr>
    </w:tbl>
    <w:bookmarkEnd w:id="503"/>
    <w:p w14:paraId="669DCE80" w14:textId="5E27AE31" w:rsidR="00774411" w:rsidRPr="00774411" w:rsidRDefault="00774411" w:rsidP="00774411">
      <w:pPr>
        <w:pStyle w:val="EEPRUtextundertables"/>
      </w:pPr>
      <w:r w:rsidRPr="00774411">
        <w:lastRenderedPageBreak/>
        <w:t>Abbreviations: AKI, acute kidney injury; CKD, chronic kidney disease; NHE, net health effect; QALYs, quality-adjusted life years</w:t>
      </w:r>
    </w:p>
    <w:p w14:paraId="3369860C" w14:textId="4F07FE2F" w:rsidR="00A4788F" w:rsidRPr="001B0FEB" w:rsidRDefault="00774411" w:rsidP="00774411">
      <w:pPr>
        <w:pStyle w:val="EEPRUtextundertables"/>
      </w:pPr>
      <w:r w:rsidRPr="00774411">
        <w:t xml:space="preserve">Comparators: </w:t>
      </w:r>
      <w:r w:rsidR="00A4788F" w:rsidRPr="001B0FEB">
        <w:t xml:space="preserve">E1 = empiric treatment with </w:t>
      </w:r>
      <w:r w:rsidR="00FE2007" w:rsidRPr="001B0FEB">
        <w:t>CAZ-AVI</w:t>
      </w:r>
      <w:r w:rsidR="00A4788F" w:rsidRPr="001B0FEB">
        <w:t xml:space="preserve">, followed by existing therapies in MDS if not susceptible; E2nca = non-colistin or aminoglycoside-based empiric treatment, followed by existing therapies MDS if needed; E2ca = colistin or aminoglycoside-based empiric treatment, followed by existing therapies MDS if needed; E3nca = non-colistin or aminoglycoside-based empiric treatment, followed by followed by </w:t>
      </w:r>
      <w:r w:rsidR="00FE2007" w:rsidRPr="001B0FEB">
        <w:t>CAZ-AVI</w:t>
      </w:r>
      <w:r w:rsidR="00A4788F" w:rsidRPr="001B0FEB">
        <w:t xml:space="preserve"> in MDS if needed; E3ca = colistin or aminoglycoside-based empiric treatment, followed by </w:t>
      </w:r>
      <w:r w:rsidR="00FE2007" w:rsidRPr="001B0FEB">
        <w:t>CAZ-AVI</w:t>
      </w:r>
      <w:r w:rsidR="00A4788F" w:rsidRPr="001B0FEB">
        <w:t xml:space="preserve"> MDS if needed. Net health effects derived using threshold of £20,000/QALY. </w:t>
      </w:r>
    </w:p>
    <w:p w14:paraId="5702976E" w14:textId="77777777" w:rsidR="0019116B" w:rsidRDefault="0019116B" w:rsidP="00A4788F">
      <w:pPr>
        <w:spacing w:line="360" w:lineRule="auto"/>
        <w:jc w:val="both"/>
        <w:rPr>
          <w:rFonts w:asciiTheme="majorBidi" w:hAnsiTheme="majorBidi" w:cstheme="majorBidi"/>
        </w:rPr>
      </w:pPr>
    </w:p>
    <w:p w14:paraId="72484ECD" w14:textId="7B920FB0" w:rsidR="00A4788F" w:rsidRDefault="00A4788F" w:rsidP="00A4788F">
      <w:pPr>
        <w:spacing w:line="360" w:lineRule="auto"/>
        <w:jc w:val="both"/>
        <w:rPr>
          <w:rFonts w:asciiTheme="majorBidi" w:hAnsiTheme="majorBidi" w:cstheme="majorBidi"/>
        </w:rPr>
      </w:pPr>
      <w:r w:rsidRPr="003306F4">
        <w:rPr>
          <w:rFonts w:asciiTheme="majorBidi" w:hAnsiTheme="majorBidi" w:cstheme="majorBidi"/>
        </w:rPr>
        <w:t xml:space="preserve">There is a large degree of parameter uncertainty around the incremental per patient INHEs of CAZ-AVI. The distribution of per patient INHEs is shown in </w:t>
      </w:r>
      <w:r w:rsidR="003662A2" w:rsidRPr="003662A2">
        <w:rPr>
          <w:rFonts w:asciiTheme="majorBidi" w:hAnsiTheme="majorBidi" w:cstheme="majorBidi"/>
        </w:rPr>
        <w:t>Figure 23</w:t>
      </w:r>
      <w:r w:rsidRPr="003306F4">
        <w:rPr>
          <w:rFonts w:asciiTheme="majorBidi" w:hAnsiTheme="majorBidi" w:cstheme="majorBidi"/>
        </w:rPr>
        <w:t xml:space="preserve">. This reflects uncertainty in the probability a patient has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the relative susceptibility of these treatment options, their </w:t>
      </w:r>
      <w:proofErr w:type="gramStart"/>
      <w:r w:rsidRPr="003306F4">
        <w:rPr>
          <w:rFonts w:asciiTheme="majorBidi" w:hAnsiTheme="majorBidi" w:cstheme="majorBidi"/>
        </w:rPr>
        <w:t>safety</w:t>
      </w:r>
      <w:proofErr w:type="gramEnd"/>
      <w:r w:rsidRPr="003306F4">
        <w:rPr>
          <w:rFonts w:asciiTheme="majorBidi" w:hAnsiTheme="majorBidi" w:cstheme="majorBidi"/>
        </w:rPr>
        <w:t xml:space="preserve"> and the benefits of avoided AKIs. </w:t>
      </w:r>
    </w:p>
    <w:p w14:paraId="1A1604CE" w14:textId="62F408C0" w:rsidR="003306F4" w:rsidRPr="003306F4" w:rsidRDefault="003306F4" w:rsidP="003306F4">
      <w:pPr>
        <w:spacing w:line="240" w:lineRule="auto"/>
        <w:jc w:val="both"/>
        <w:rPr>
          <w:rFonts w:asciiTheme="majorBidi" w:hAnsiTheme="majorBidi" w:cstheme="majorBidi"/>
          <w:b/>
          <w:bCs/>
          <w:i/>
          <w:sz w:val="20"/>
          <w:szCs w:val="20"/>
        </w:rPr>
      </w:pPr>
      <w:bookmarkStart w:id="504" w:name="_Ref83584235"/>
      <w:bookmarkStart w:id="505" w:name="_Toc83590018"/>
      <w:bookmarkStart w:id="506" w:name="_Toc86419067"/>
      <w:r w:rsidRPr="003306F4">
        <w:rPr>
          <w:rFonts w:asciiTheme="majorBidi" w:hAnsiTheme="majorBidi" w:cstheme="majorBidi"/>
          <w:b/>
          <w:bCs/>
          <w:sz w:val="20"/>
          <w:szCs w:val="20"/>
        </w:rPr>
        <w:t xml:space="preserve">Figure </w:t>
      </w:r>
      <w:r w:rsidR="0021430F">
        <w:rPr>
          <w:rFonts w:asciiTheme="majorBidi" w:hAnsiTheme="majorBidi" w:cstheme="majorBidi"/>
          <w:b/>
          <w:bCs/>
          <w:noProof/>
          <w:sz w:val="20"/>
          <w:szCs w:val="20"/>
        </w:rPr>
        <w:t>22</w:t>
      </w:r>
      <w:bookmarkEnd w:id="504"/>
      <w:r w:rsidRPr="003306F4">
        <w:rPr>
          <w:rFonts w:asciiTheme="majorBidi" w:hAnsiTheme="majorBidi" w:cstheme="majorBidi"/>
          <w:b/>
          <w:bCs/>
          <w:sz w:val="20"/>
          <w:szCs w:val="20"/>
        </w:rPr>
        <w:t>: Distribution of per patient INHEs of CAZ-AVI in OXA-48 HAP/VAP empiric setting compared to (a) non-colistin/aminoglycoside-based therapy and (b) colistin/aminoglycoside-based therapy and (2,000 simulations)</w:t>
      </w:r>
      <w:bookmarkEnd w:id="505"/>
      <w:bookmarkEnd w:id="506"/>
    </w:p>
    <w:p w14:paraId="4DBA7755" w14:textId="77777777" w:rsidR="003306F4" w:rsidRPr="003306F4" w:rsidRDefault="003306F4" w:rsidP="00A4788F">
      <w:pPr>
        <w:spacing w:line="360" w:lineRule="auto"/>
        <w:jc w:val="both"/>
        <w:rPr>
          <w:rFonts w:asciiTheme="majorBidi" w:hAnsiTheme="majorBidi" w:cstheme="majorBidi"/>
        </w:rPr>
      </w:pPr>
    </w:p>
    <w:p w14:paraId="5B040382" w14:textId="77777777" w:rsidR="00A4788F" w:rsidRPr="008B218B" w:rsidRDefault="00A4788F" w:rsidP="00A4788F">
      <w:pPr>
        <w:spacing w:after="0"/>
        <w:rPr>
          <w:b/>
        </w:rPr>
      </w:pPr>
      <w:bookmarkStart w:id="507" w:name="_Ref82768580"/>
      <w:r w:rsidRPr="008B218B">
        <w:rPr>
          <w:b/>
        </w:rPr>
        <w:t xml:space="preserve"> (a) </w:t>
      </w:r>
      <w:r w:rsidRPr="008B218B">
        <w:rPr>
          <w:b/>
        </w:rPr>
        <w:tab/>
      </w:r>
      <w:r w:rsidRPr="008B218B">
        <w:rPr>
          <w:b/>
        </w:rPr>
        <w:tab/>
      </w:r>
      <w:r w:rsidRPr="008B218B">
        <w:rPr>
          <w:b/>
        </w:rPr>
        <w:tab/>
      </w:r>
      <w:r w:rsidRPr="008B218B">
        <w:rPr>
          <w:b/>
        </w:rPr>
        <w:tab/>
        <w:t xml:space="preserve"> </w:t>
      </w:r>
      <w:r w:rsidRPr="008B218B">
        <w:rPr>
          <w:b/>
        </w:rPr>
        <w:tab/>
      </w:r>
      <w:r w:rsidRPr="008B218B">
        <w:rPr>
          <w:b/>
        </w:rPr>
        <w:tab/>
        <w:t xml:space="preserve">   </w:t>
      </w:r>
      <w:proofErr w:type="gramStart"/>
      <w:r w:rsidRPr="008B218B">
        <w:rPr>
          <w:b/>
        </w:rPr>
        <w:t xml:space="preserve">   (</w:t>
      </w:r>
      <w:proofErr w:type="gramEnd"/>
      <w:r w:rsidRPr="008B218B">
        <w:rPr>
          <w:b/>
        </w:rPr>
        <w:t>b)</w:t>
      </w:r>
    </w:p>
    <w:p w14:paraId="440787F0" w14:textId="4CF84C8F" w:rsidR="00A4788F" w:rsidRDefault="00A4788F" w:rsidP="00A4788F">
      <w:pPr>
        <w:pStyle w:val="Caption"/>
        <w:spacing w:before="120"/>
      </w:pPr>
      <w:r w:rsidRPr="008B218B">
        <w:rPr>
          <w:noProof/>
          <w:lang w:eastAsia="en-GB"/>
        </w:rPr>
        <w:drawing>
          <wp:inline distT="0" distB="0" distL="0" distR="0" wp14:anchorId="01776D03" wp14:editId="6B8BBEFF">
            <wp:extent cx="2857500" cy="3333750"/>
            <wp:effectExtent l="0" t="0" r="0" b="0"/>
            <wp:docPr id="125" name="Picture 125" descr="Histogram to show the distribution of per patient INHEs of CAZ-AVI in OXA-48 HAP/VAP empire setting compared to non-colistin/aminoglycoside-based therapy. The mean =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Histogram to show the distribution of per patient INHEs of CAZ-AVI in OXA-48 HAP/VAP empire setting compared to non-colistin/aminoglycoside-based therapy. The mean = 0.16."/>
                    <pic:cNvPicPr/>
                  </pic:nvPicPr>
                  <pic:blipFill>
                    <a:blip r:embed="rId37">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r w:rsidRPr="008B218B">
        <w:rPr>
          <w:noProof/>
          <w:lang w:eastAsia="en-GB"/>
        </w:rPr>
        <w:drawing>
          <wp:inline distT="0" distB="0" distL="0" distR="0" wp14:anchorId="078032B7" wp14:editId="412A8FDC">
            <wp:extent cx="2857500" cy="3333750"/>
            <wp:effectExtent l="0" t="0" r="0" b="0"/>
            <wp:docPr id="124" name="Picture 124" descr="Histogram to illustrate the distribution of per patient INHEs of CAZ-AVI in OXA-48 HAP/VAP empire setting compared to colistin/aminoglycoside-based therapy. The mean = 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Histogram to illustrate the distribution of per patient INHEs of CAZ-AVI in OXA-48 HAP/VAP empire setting compared to colistin/aminoglycoside-based therapy. The mean = 0.19. "/>
                    <pic:cNvPicPr/>
                  </pic:nvPicPr>
                  <pic:blipFill>
                    <a:blip r:embed="rId38">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p>
    <w:p w14:paraId="6C9DDC85" w14:textId="18DDCDA4" w:rsidR="00342BCE" w:rsidRPr="00342BCE" w:rsidRDefault="00342BCE" w:rsidP="00342BCE">
      <w:pPr>
        <w:pStyle w:val="EEPRUtextundertables"/>
      </w:pPr>
      <w:r>
        <w:t>NHE, net health effects</w:t>
      </w:r>
    </w:p>
    <w:bookmarkEnd w:id="507"/>
    <w:p w14:paraId="6E71D28C" w14:textId="77777777" w:rsidR="00A4788F" w:rsidRPr="008B218B" w:rsidRDefault="00A4788F" w:rsidP="00A4788F"/>
    <w:p w14:paraId="6B3A34C9" w14:textId="64B6D3E1"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Scenario analyses that modified the deterministic base case INHE by more than 10% (and three scenario analyses requested by NICE marked by *) are shown in </w:t>
      </w:r>
      <w:r w:rsidR="003662A2" w:rsidRPr="003662A2">
        <w:rPr>
          <w:rFonts w:asciiTheme="majorBidi" w:hAnsiTheme="majorBidi" w:cstheme="majorBidi"/>
        </w:rPr>
        <w:t xml:space="preserve">Table </w:t>
      </w:r>
      <w:r w:rsidR="003662A2" w:rsidRPr="003662A2">
        <w:rPr>
          <w:rFonts w:asciiTheme="majorBidi" w:hAnsiTheme="majorBidi" w:cstheme="majorBidi"/>
          <w:noProof/>
        </w:rPr>
        <w:t>37</w:t>
      </w:r>
      <w:r w:rsidRPr="003306F4">
        <w:rPr>
          <w:rFonts w:asciiTheme="majorBidi" w:hAnsiTheme="majorBidi" w:cstheme="majorBidi"/>
        </w:rPr>
        <w:t xml:space="preserve">. The main areas of uncertainty relate </w:t>
      </w:r>
      <w:r w:rsidRPr="003306F4">
        <w:rPr>
          <w:rFonts w:asciiTheme="majorBidi" w:hAnsiTheme="majorBidi" w:cstheme="majorBidi"/>
        </w:rPr>
        <w:lastRenderedPageBreak/>
        <w:t xml:space="preserve">to the probability an individual has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the susceptibility scenarios and long-term survival following discharge from hospital.</w:t>
      </w:r>
    </w:p>
    <w:p w14:paraId="3307FFB4" w14:textId="77777777" w:rsidR="00A4788F" w:rsidRPr="003306F4" w:rsidRDefault="00A4788F" w:rsidP="00A4788F">
      <w:pPr>
        <w:spacing w:after="0" w:line="360" w:lineRule="auto"/>
        <w:jc w:val="both"/>
        <w:rPr>
          <w:rFonts w:asciiTheme="majorBidi" w:hAnsiTheme="majorBidi" w:cstheme="majorBidi"/>
        </w:rPr>
      </w:pPr>
    </w:p>
    <w:p w14:paraId="54E95975" w14:textId="118A7021"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When the probability of having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is low</w:t>
      </w:r>
      <w:r w:rsidR="003662A2">
        <w:rPr>
          <w:rFonts w:asciiTheme="majorBidi" w:hAnsiTheme="majorBidi" w:cstheme="majorBidi"/>
        </w:rPr>
        <w:t>,</w:t>
      </w:r>
      <w:r w:rsidRPr="003306F4">
        <w:rPr>
          <w:rFonts w:asciiTheme="majorBidi" w:hAnsiTheme="majorBidi" w:cstheme="majorBidi"/>
        </w:rPr>
        <w:t xml:space="preserve"> the preferred existing treatment option is to use non-colistin/aminoglycoside-based therapy and the efficacy and safety advantage of CAZ-AVI is reduced. This results in per patient INHEs of 0.01 and 0.08 QALYs when the probability of having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is 0 and 0.10, respectively. </w:t>
      </w:r>
    </w:p>
    <w:p w14:paraId="1719B8C5" w14:textId="77777777" w:rsidR="00A4788F" w:rsidRPr="003306F4" w:rsidRDefault="00A4788F" w:rsidP="00A4788F">
      <w:pPr>
        <w:spacing w:after="0" w:line="360" w:lineRule="auto"/>
        <w:jc w:val="both"/>
        <w:rPr>
          <w:rFonts w:asciiTheme="majorBidi" w:hAnsiTheme="majorBidi" w:cstheme="majorBidi"/>
        </w:rPr>
      </w:pPr>
    </w:p>
    <w:p w14:paraId="50D21A2F" w14:textId="02191BC2"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When susceptibility was informed using the </w:t>
      </w:r>
      <w:r w:rsidR="003662A2" w:rsidRPr="003306F4">
        <w:rPr>
          <w:rFonts w:asciiTheme="majorBidi" w:hAnsiTheme="majorBidi" w:cstheme="majorBidi"/>
        </w:rPr>
        <w:t>all-studies network</w:t>
      </w:r>
      <w:r w:rsidRPr="003306F4">
        <w:rPr>
          <w:rFonts w:asciiTheme="majorBidi" w:hAnsiTheme="majorBidi" w:cstheme="majorBidi"/>
        </w:rPr>
        <w:t xml:space="preserve"> meta-analysis (scenario S2), PHE isolate-level data (scenario S3) or the </w:t>
      </w:r>
      <w:proofErr w:type="spellStart"/>
      <w:r w:rsidRPr="003306F4">
        <w:rPr>
          <w:rFonts w:asciiTheme="majorBidi" w:hAnsiTheme="majorBidi" w:cstheme="majorBidi"/>
        </w:rPr>
        <w:t>Vazques</w:t>
      </w:r>
      <w:proofErr w:type="spellEnd"/>
      <w:r w:rsidRPr="003306F4">
        <w:rPr>
          <w:rFonts w:asciiTheme="majorBidi" w:hAnsiTheme="majorBidi" w:cstheme="majorBidi"/>
        </w:rPr>
        <w:t xml:space="preserve"> </w:t>
      </w:r>
      <w:proofErr w:type="spellStart"/>
      <w:r w:rsidRPr="003306F4">
        <w:rPr>
          <w:rFonts w:asciiTheme="majorBidi" w:hAnsiTheme="majorBidi" w:cstheme="majorBidi"/>
        </w:rPr>
        <w:t>Ucha</w:t>
      </w:r>
      <w:proofErr w:type="spellEnd"/>
      <w:r w:rsidRPr="003306F4">
        <w:rPr>
          <w:rFonts w:asciiTheme="majorBidi" w:hAnsiTheme="majorBidi" w:cstheme="majorBidi"/>
        </w:rPr>
        <w:t xml:space="preserve"> study (scenario S4) in place of the EUCAST network meta-analysis, the per patient INHE increased to 0.18-0.23 QALYs, reflecting the decrease in susceptibility to non-colistin/aminoglycoside-based treatment under these scenarios. The increase in the per patient INHE was particularly high in scenarios S2 and S4 where susceptibility to CAZ-AVI also increased from 92% to 97% and 99%. In these </w:t>
      </w:r>
      <w:r w:rsidR="00837CD7" w:rsidRPr="003306F4">
        <w:rPr>
          <w:rFonts w:asciiTheme="majorBidi" w:hAnsiTheme="majorBidi" w:cstheme="majorBidi"/>
        </w:rPr>
        <w:t>scenarios</w:t>
      </w:r>
      <w:r w:rsidRPr="003306F4">
        <w:rPr>
          <w:rFonts w:asciiTheme="majorBidi" w:hAnsiTheme="majorBidi" w:cstheme="majorBidi"/>
        </w:rPr>
        <w:t xml:space="preserve">, the substantial reduction in susceptibility to non-colistin/aminoglycoside-based treatments (from </w:t>
      </w:r>
      <w:r w:rsidR="00C62123">
        <w:rPr>
          <w:rFonts w:asciiTheme="majorBidi" w:hAnsiTheme="majorBidi" w:cstheme="majorBidi"/>
        </w:rPr>
        <w:t>35</w:t>
      </w:r>
      <w:r w:rsidRPr="003306F4">
        <w:rPr>
          <w:rFonts w:asciiTheme="majorBidi" w:hAnsiTheme="majorBidi" w:cstheme="majorBidi"/>
        </w:rPr>
        <w:t>% to 1</w:t>
      </w:r>
      <w:r w:rsidR="00667DDB">
        <w:rPr>
          <w:rFonts w:asciiTheme="majorBidi" w:hAnsiTheme="majorBidi" w:cstheme="majorBidi"/>
        </w:rPr>
        <w:t>8</w:t>
      </w:r>
      <w:r w:rsidRPr="003306F4">
        <w:rPr>
          <w:rFonts w:asciiTheme="majorBidi" w:hAnsiTheme="majorBidi" w:cstheme="majorBidi"/>
        </w:rPr>
        <w:t>% and 7%), along with the increase in susceptibility to colistin/aminoglycosides in scenario 2, meant that colistin/aminoglycosides became the best existing treatment.</w:t>
      </w:r>
      <w:r w:rsidRPr="003306F4" w:rsidDel="00927FFA">
        <w:rPr>
          <w:rFonts w:asciiTheme="majorBidi" w:hAnsiTheme="majorBidi" w:cstheme="majorBidi"/>
        </w:rPr>
        <w:t xml:space="preserve"> </w:t>
      </w:r>
      <w:r w:rsidRPr="003306F4">
        <w:rPr>
          <w:rFonts w:asciiTheme="majorBidi" w:hAnsiTheme="majorBidi" w:cstheme="majorBidi"/>
        </w:rPr>
        <w:t xml:space="preserve"> </w:t>
      </w:r>
    </w:p>
    <w:p w14:paraId="274354E4" w14:textId="77777777" w:rsidR="00A4788F" w:rsidRPr="003306F4" w:rsidRDefault="00A4788F" w:rsidP="00A4788F">
      <w:pPr>
        <w:spacing w:after="0" w:line="360" w:lineRule="auto"/>
        <w:jc w:val="both"/>
        <w:rPr>
          <w:rFonts w:asciiTheme="majorBidi" w:hAnsiTheme="majorBidi" w:cstheme="majorBidi"/>
        </w:rPr>
      </w:pPr>
    </w:p>
    <w:p w14:paraId="5D1C842C" w14:textId="77777777"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The results were also sensitive to the parametric survival model used to predict long-term survival post-discharge. Use of the Weibull model reduced the per patient INHE gain to 0.14 QALYs.</w:t>
      </w:r>
    </w:p>
    <w:p w14:paraId="2A07618E" w14:textId="77777777" w:rsidR="00A4788F" w:rsidRPr="003306F4" w:rsidRDefault="00A4788F" w:rsidP="00A4788F">
      <w:pPr>
        <w:spacing w:after="0" w:line="360" w:lineRule="auto"/>
        <w:jc w:val="both"/>
        <w:rPr>
          <w:rFonts w:asciiTheme="majorBidi" w:hAnsiTheme="majorBidi" w:cstheme="majorBidi"/>
        </w:rPr>
      </w:pPr>
    </w:p>
    <w:p w14:paraId="783648B1" w14:textId="0BA027E2" w:rsidR="00A4788F" w:rsidRDefault="00A4788F" w:rsidP="00A4788F">
      <w:pPr>
        <w:spacing w:after="0" w:line="360" w:lineRule="auto"/>
        <w:jc w:val="both"/>
        <w:rPr>
          <w:rFonts w:asciiTheme="majorBidi" w:hAnsiTheme="majorBidi" w:cstheme="majorBidi"/>
        </w:rPr>
      </w:pPr>
      <w:r w:rsidRPr="003306F4">
        <w:rPr>
          <w:rFonts w:asciiTheme="majorBidi" w:hAnsiTheme="majorBidi" w:cstheme="majorBidi"/>
        </w:rPr>
        <w:t>The per patient INHEs are lower as the cost-effectiveness threshold is increased. In the base case increasing the cost-effectiveness threshold reduces the amount of health generated by the cost savings generated by CAZ-AVI. Using a lower discount rate of 1.5% for costs and outcomes increases the per- patient INHEs to 0.17 QALYs.</w:t>
      </w:r>
    </w:p>
    <w:p w14:paraId="1A26B097" w14:textId="77777777" w:rsidR="003662A2" w:rsidRPr="003306F4" w:rsidRDefault="003662A2" w:rsidP="00A4788F">
      <w:pPr>
        <w:spacing w:after="0" w:line="360" w:lineRule="auto"/>
        <w:jc w:val="both"/>
        <w:rPr>
          <w:rFonts w:asciiTheme="majorBidi" w:hAnsiTheme="majorBidi" w:cstheme="majorBidi"/>
        </w:rPr>
      </w:pPr>
    </w:p>
    <w:p w14:paraId="558FB2C6" w14:textId="63C65FAC" w:rsidR="00A4788F" w:rsidRPr="003662A2" w:rsidRDefault="00A4788F" w:rsidP="00A4788F">
      <w:pPr>
        <w:pStyle w:val="Caption"/>
        <w:rPr>
          <w:rFonts w:asciiTheme="majorBidi" w:hAnsiTheme="majorBidi" w:cstheme="majorBidi"/>
          <w:b/>
          <w:bCs/>
          <w:i w:val="0"/>
          <w:iCs w:val="0"/>
          <w:color w:val="auto"/>
          <w:sz w:val="20"/>
          <w:szCs w:val="20"/>
        </w:rPr>
      </w:pPr>
      <w:bookmarkStart w:id="508" w:name="_Ref82782143"/>
      <w:bookmarkStart w:id="509" w:name="_Toc83589996"/>
      <w:bookmarkStart w:id="510" w:name="_Toc86419014"/>
      <w:r w:rsidRPr="003662A2">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37</w:t>
      </w:r>
      <w:bookmarkEnd w:id="508"/>
      <w:r w:rsidRPr="003662A2">
        <w:rPr>
          <w:rFonts w:asciiTheme="majorBidi" w:hAnsiTheme="majorBidi" w:cstheme="majorBidi"/>
          <w:b/>
          <w:bCs/>
          <w:i w:val="0"/>
          <w:iCs w:val="0"/>
          <w:color w:val="auto"/>
          <w:sz w:val="20"/>
          <w:szCs w:val="20"/>
        </w:rPr>
        <w:t xml:space="preserve">: Per patient scenario analyses: OXA-48 </w:t>
      </w:r>
      <w:proofErr w:type="spellStart"/>
      <w:r w:rsidR="00381A08" w:rsidRPr="00381A08">
        <w:rPr>
          <w:rFonts w:asciiTheme="majorBidi" w:hAnsiTheme="majorBidi" w:cstheme="majorBidi"/>
          <w:b/>
          <w:bCs/>
          <w:color w:val="auto"/>
          <w:sz w:val="20"/>
          <w:szCs w:val="20"/>
        </w:rPr>
        <w:t>Enterobacterales</w:t>
      </w:r>
      <w:proofErr w:type="spellEnd"/>
      <w:r w:rsidRPr="003662A2">
        <w:rPr>
          <w:rFonts w:asciiTheme="majorBidi" w:hAnsiTheme="majorBidi" w:cstheme="majorBidi"/>
          <w:b/>
          <w:bCs/>
          <w:i w:val="0"/>
          <w:iCs w:val="0"/>
          <w:color w:val="auto"/>
          <w:sz w:val="20"/>
          <w:szCs w:val="20"/>
        </w:rPr>
        <w:t xml:space="preserve"> HAP/VAP empiric setting (deterministic</w:t>
      </w:r>
      <w:bookmarkEnd w:id="509"/>
      <w:r w:rsidRPr="003662A2">
        <w:rPr>
          <w:rFonts w:asciiTheme="majorBidi" w:hAnsiTheme="majorBidi" w:cstheme="majorBidi"/>
          <w:b/>
          <w:bCs/>
          <w:i w:val="0"/>
          <w:iCs w:val="0"/>
          <w:color w:val="auto"/>
          <w:sz w:val="20"/>
          <w:szCs w:val="20"/>
        </w:rPr>
        <w:t>)</w:t>
      </w:r>
      <w:bookmarkEnd w:id="510"/>
      <w:r w:rsidRPr="003662A2">
        <w:rPr>
          <w:rFonts w:asciiTheme="majorBidi" w:hAnsiTheme="majorBidi" w:cstheme="majorBidi"/>
          <w:b/>
          <w:bCs/>
          <w:i w:val="0"/>
          <w:iCs w:val="0"/>
          <w:color w:val="auto"/>
          <w:sz w:val="20"/>
          <w:szCs w:val="20"/>
        </w:rPr>
        <w:t xml:space="preserve"> </w:t>
      </w:r>
    </w:p>
    <w:tbl>
      <w:tblPr>
        <w:tblStyle w:val="TableGrid"/>
        <w:tblW w:w="9351" w:type="dxa"/>
        <w:tblLayout w:type="fixed"/>
        <w:tblLook w:val="04A0" w:firstRow="1" w:lastRow="0" w:firstColumn="1" w:lastColumn="0" w:noHBand="0" w:noVBand="1"/>
      </w:tblPr>
      <w:tblGrid>
        <w:gridCol w:w="1413"/>
        <w:gridCol w:w="2410"/>
        <w:gridCol w:w="2409"/>
        <w:gridCol w:w="1701"/>
        <w:gridCol w:w="1418"/>
      </w:tblGrid>
      <w:tr w:rsidR="00A4788F" w:rsidRPr="004A4B7C" w14:paraId="2147ABB9" w14:textId="77777777" w:rsidTr="004A4B7C">
        <w:tc>
          <w:tcPr>
            <w:tcW w:w="1413" w:type="dxa"/>
            <w:shd w:val="clear" w:color="auto" w:fill="auto"/>
          </w:tcPr>
          <w:p w14:paraId="04CA352B" w14:textId="77777777" w:rsidR="00A4788F" w:rsidRPr="004A4B7C" w:rsidRDefault="00A4788F" w:rsidP="004A4B7C">
            <w:pPr>
              <w:rPr>
                <w:rFonts w:ascii="Times New Roman" w:hAnsi="Times New Roman" w:cs="Times New Roman"/>
                <w:b/>
                <w:sz w:val="20"/>
                <w:szCs w:val="20"/>
              </w:rPr>
            </w:pPr>
            <w:bookmarkStart w:id="511" w:name="_Ref82768773"/>
            <w:r w:rsidRPr="004A4B7C">
              <w:rPr>
                <w:rFonts w:ascii="Times New Roman" w:hAnsi="Times New Roman" w:cs="Times New Roman"/>
                <w:b/>
                <w:sz w:val="20"/>
                <w:szCs w:val="20"/>
              </w:rPr>
              <w:t>Scenario name</w:t>
            </w:r>
          </w:p>
        </w:tc>
        <w:tc>
          <w:tcPr>
            <w:tcW w:w="2410" w:type="dxa"/>
            <w:shd w:val="clear" w:color="auto" w:fill="auto"/>
          </w:tcPr>
          <w:p w14:paraId="5C6660ED"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Base case value/assumption</w:t>
            </w:r>
          </w:p>
        </w:tc>
        <w:tc>
          <w:tcPr>
            <w:tcW w:w="2409" w:type="dxa"/>
            <w:shd w:val="clear" w:color="auto" w:fill="auto"/>
          </w:tcPr>
          <w:p w14:paraId="5EA147AD"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Scenario value/assumption</w:t>
            </w:r>
          </w:p>
        </w:tc>
        <w:tc>
          <w:tcPr>
            <w:tcW w:w="1701" w:type="dxa"/>
            <w:shd w:val="clear" w:color="auto" w:fill="auto"/>
          </w:tcPr>
          <w:p w14:paraId="6C47A10B"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Best existing treatment</w:t>
            </w:r>
          </w:p>
        </w:tc>
        <w:tc>
          <w:tcPr>
            <w:tcW w:w="1418" w:type="dxa"/>
          </w:tcPr>
          <w:p w14:paraId="12FA241A" w14:textId="1795DF0C" w:rsidR="00A4788F" w:rsidRPr="004A4B7C" w:rsidRDefault="00342BCE" w:rsidP="00342BCE">
            <w:pPr>
              <w:rPr>
                <w:rFonts w:ascii="Times New Roman" w:hAnsi="Times New Roman" w:cs="Times New Roman"/>
                <w:b/>
                <w:sz w:val="20"/>
                <w:szCs w:val="20"/>
              </w:rPr>
            </w:pPr>
            <w:r>
              <w:rPr>
                <w:rFonts w:ascii="Times New Roman" w:hAnsi="Times New Roman" w:cs="Times New Roman"/>
                <w:b/>
                <w:sz w:val="20"/>
                <w:szCs w:val="20"/>
              </w:rPr>
              <w:t>P</w:t>
            </w:r>
            <w:r w:rsidR="00A4788F" w:rsidRPr="004A4B7C">
              <w:rPr>
                <w:rFonts w:ascii="Times New Roman" w:hAnsi="Times New Roman" w:cs="Times New Roman"/>
                <w:b/>
                <w:sz w:val="20"/>
                <w:szCs w:val="20"/>
              </w:rPr>
              <w:t>atient</w:t>
            </w:r>
            <w:r>
              <w:rPr>
                <w:rFonts w:ascii="Times New Roman" w:hAnsi="Times New Roman" w:cs="Times New Roman"/>
                <w:b/>
                <w:sz w:val="20"/>
                <w:szCs w:val="20"/>
              </w:rPr>
              <w:t>-level I</w:t>
            </w:r>
            <w:r w:rsidR="00A4788F" w:rsidRPr="004A4B7C">
              <w:rPr>
                <w:rFonts w:ascii="Times New Roman" w:hAnsi="Times New Roman" w:cs="Times New Roman"/>
                <w:b/>
                <w:sz w:val="20"/>
                <w:szCs w:val="20"/>
              </w:rPr>
              <w:t xml:space="preserve">NHE of CAZ-AVI </w:t>
            </w:r>
          </w:p>
        </w:tc>
      </w:tr>
      <w:tr w:rsidR="00A4788F" w:rsidRPr="004A4B7C" w14:paraId="5DA2A8F8" w14:textId="77777777" w:rsidTr="004A4B7C">
        <w:tc>
          <w:tcPr>
            <w:tcW w:w="1413" w:type="dxa"/>
            <w:shd w:val="clear" w:color="auto" w:fill="auto"/>
          </w:tcPr>
          <w:p w14:paraId="5593AD7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Base case</w:t>
            </w:r>
          </w:p>
        </w:tc>
        <w:tc>
          <w:tcPr>
            <w:tcW w:w="2410" w:type="dxa"/>
            <w:shd w:val="clear" w:color="auto" w:fill="auto"/>
          </w:tcPr>
          <w:p w14:paraId="1D72EFE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2409" w:type="dxa"/>
            <w:shd w:val="clear" w:color="auto" w:fill="auto"/>
          </w:tcPr>
          <w:p w14:paraId="5D6AF8F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1701" w:type="dxa"/>
            <w:shd w:val="clear" w:color="auto" w:fill="auto"/>
            <w:vAlign w:val="bottom"/>
          </w:tcPr>
          <w:p w14:paraId="6BDDF97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3DB82CF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0.159</w:t>
            </w:r>
          </w:p>
        </w:tc>
      </w:tr>
      <w:tr w:rsidR="00A4788F" w:rsidRPr="004A4B7C" w14:paraId="02A272EA" w14:textId="77777777" w:rsidTr="004A4B7C">
        <w:tc>
          <w:tcPr>
            <w:tcW w:w="1413" w:type="dxa"/>
            <w:shd w:val="clear" w:color="auto" w:fill="auto"/>
          </w:tcPr>
          <w:p w14:paraId="443921BD"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p_bug_survey</w:t>
            </w:r>
            <w:proofErr w:type="spellEnd"/>
          </w:p>
        </w:tc>
        <w:tc>
          <w:tcPr>
            <w:tcW w:w="2410" w:type="dxa"/>
            <w:shd w:val="clear" w:color="auto" w:fill="auto"/>
          </w:tcPr>
          <w:p w14:paraId="5ED01BDC" w14:textId="0F36DE19"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70C9BCB5" w14:textId="7877A6CE"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MBL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0.57 based on BSAC survey data</w:t>
            </w:r>
          </w:p>
        </w:tc>
        <w:tc>
          <w:tcPr>
            <w:tcW w:w="1701" w:type="dxa"/>
            <w:shd w:val="clear" w:color="auto" w:fill="auto"/>
            <w:vAlign w:val="bottom"/>
          </w:tcPr>
          <w:p w14:paraId="06595A4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2CE9064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0.191</w:t>
            </w:r>
          </w:p>
        </w:tc>
      </w:tr>
      <w:tr w:rsidR="00A4788F" w:rsidRPr="004A4B7C" w14:paraId="5C7B6464" w14:textId="77777777" w:rsidTr="004A4B7C">
        <w:tc>
          <w:tcPr>
            <w:tcW w:w="1413" w:type="dxa"/>
            <w:shd w:val="clear" w:color="auto" w:fill="auto"/>
          </w:tcPr>
          <w:p w14:paraId="2D1F396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p_bug_0</w:t>
            </w:r>
          </w:p>
        </w:tc>
        <w:tc>
          <w:tcPr>
            <w:tcW w:w="2410" w:type="dxa"/>
            <w:shd w:val="clear" w:color="auto" w:fill="auto"/>
          </w:tcPr>
          <w:p w14:paraId="21EAC9D7" w14:textId="42BA28D4"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0.20</w:t>
            </w:r>
          </w:p>
        </w:tc>
        <w:tc>
          <w:tcPr>
            <w:tcW w:w="2409" w:type="dxa"/>
            <w:shd w:val="clear" w:color="auto" w:fill="auto"/>
          </w:tcPr>
          <w:p w14:paraId="474E1346" w14:textId="44D9191F"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0.00</w:t>
            </w:r>
          </w:p>
        </w:tc>
        <w:tc>
          <w:tcPr>
            <w:tcW w:w="1701" w:type="dxa"/>
            <w:shd w:val="clear" w:color="auto" w:fill="auto"/>
            <w:vAlign w:val="bottom"/>
          </w:tcPr>
          <w:p w14:paraId="194639E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3628F63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0.001</w:t>
            </w:r>
          </w:p>
        </w:tc>
      </w:tr>
      <w:tr w:rsidR="00A4788F" w:rsidRPr="004A4B7C" w14:paraId="13B3158C" w14:textId="77777777" w:rsidTr="004A4B7C">
        <w:tc>
          <w:tcPr>
            <w:tcW w:w="1413" w:type="dxa"/>
            <w:shd w:val="clear" w:color="auto" w:fill="auto"/>
          </w:tcPr>
          <w:p w14:paraId="04C72F3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lastRenderedPageBreak/>
              <w:t>p_bug_10</w:t>
            </w:r>
          </w:p>
        </w:tc>
        <w:tc>
          <w:tcPr>
            <w:tcW w:w="2410" w:type="dxa"/>
            <w:shd w:val="clear" w:color="auto" w:fill="auto"/>
          </w:tcPr>
          <w:p w14:paraId="686A1CA0" w14:textId="038ED962"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49D91E4F" w14:textId="2DCA20A9"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0.10</w:t>
            </w:r>
          </w:p>
        </w:tc>
        <w:tc>
          <w:tcPr>
            <w:tcW w:w="1701" w:type="dxa"/>
            <w:shd w:val="clear" w:color="auto" w:fill="auto"/>
            <w:vAlign w:val="bottom"/>
          </w:tcPr>
          <w:p w14:paraId="296CA40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47DD668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0.081</w:t>
            </w:r>
          </w:p>
        </w:tc>
      </w:tr>
      <w:tr w:rsidR="00A4788F" w:rsidRPr="004A4B7C" w14:paraId="47A574D3" w14:textId="77777777" w:rsidTr="004A4B7C">
        <w:tc>
          <w:tcPr>
            <w:tcW w:w="1413" w:type="dxa"/>
            <w:shd w:val="clear" w:color="auto" w:fill="auto"/>
            <w:vAlign w:val="bottom"/>
          </w:tcPr>
          <w:p w14:paraId="584E60CB"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p_bug_30</w:t>
            </w:r>
          </w:p>
        </w:tc>
        <w:tc>
          <w:tcPr>
            <w:tcW w:w="2410" w:type="dxa"/>
            <w:shd w:val="clear" w:color="auto" w:fill="auto"/>
          </w:tcPr>
          <w:p w14:paraId="51E429C8" w14:textId="309C00F8"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3923B5EC" w14:textId="3DE54988"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0.30</w:t>
            </w:r>
          </w:p>
        </w:tc>
        <w:tc>
          <w:tcPr>
            <w:tcW w:w="1701" w:type="dxa"/>
            <w:shd w:val="clear" w:color="auto" w:fill="auto"/>
            <w:vAlign w:val="bottom"/>
          </w:tcPr>
          <w:p w14:paraId="2A06F78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6852B2E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0.199</w:t>
            </w:r>
          </w:p>
        </w:tc>
      </w:tr>
      <w:tr w:rsidR="00A4788F" w:rsidRPr="004A4B7C" w14:paraId="212F8FDB" w14:textId="77777777" w:rsidTr="004A4B7C">
        <w:tc>
          <w:tcPr>
            <w:tcW w:w="1413" w:type="dxa"/>
            <w:shd w:val="clear" w:color="auto" w:fill="auto"/>
            <w:vAlign w:val="bottom"/>
          </w:tcPr>
          <w:p w14:paraId="317F8BA2"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p_bug_40</w:t>
            </w:r>
          </w:p>
        </w:tc>
        <w:tc>
          <w:tcPr>
            <w:tcW w:w="2410" w:type="dxa"/>
            <w:shd w:val="clear" w:color="auto" w:fill="auto"/>
          </w:tcPr>
          <w:p w14:paraId="051C9C8C" w14:textId="3DA1EDDE"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35AE6068" w14:textId="154B554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0.40</w:t>
            </w:r>
          </w:p>
        </w:tc>
        <w:tc>
          <w:tcPr>
            <w:tcW w:w="1701" w:type="dxa"/>
            <w:shd w:val="clear" w:color="auto" w:fill="auto"/>
            <w:vAlign w:val="bottom"/>
          </w:tcPr>
          <w:p w14:paraId="7DB53C6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2CDC798B"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0.196</w:t>
            </w:r>
          </w:p>
        </w:tc>
      </w:tr>
      <w:tr w:rsidR="00A4788F" w:rsidRPr="004A4B7C" w14:paraId="00CACA7E" w14:textId="77777777" w:rsidTr="004A4B7C">
        <w:tc>
          <w:tcPr>
            <w:tcW w:w="1413" w:type="dxa"/>
            <w:shd w:val="clear" w:color="auto" w:fill="auto"/>
            <w:vAlign w:val="bottom"/>
          </w:tcPr>
          <w:p w14:paraId="38AE8D8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p_bug_50</w:t>
            </w:r>
          </w:p>
        </w:tc>
        <w:tc>
          <w:tcPr>
            <w:tcW w:w="2410" w:type="dxa"/>
            <w:shd w:val="clear" w:color="auto" w:fill="auto"/>
          </w:tcPr>
          <w:p w14:paraId="1B78BDD4" w14:textId="2A12045C"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02172791" w14:textId="39097745"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0.50</w:t>
            </w:r>
          </w:p>
        </w:tc>
        <w:tc>
          <w:tcPr>
            <w:tcW w:w="1701" w:type="dxa"/>
            <w:shd w:val="clear" w:color="auto" w:fill="auto"/>
            <w:vAlign w:val="bottom"/>
          </w:tcPr>
          <w:p w14:paraId="4D5585F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65015FF3"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0.194</w:t>
            </w:r>
          </w:p>
        </w:tc>
      </w:tr>
      <w:tr w:rsidR="00A4788F" w:rsidRPr="004A4B7C" w14:paraId="7A8CE059" w14:textId="77777777" w:rsidTr="004A4B7C">
        <w:tc>
          <w:tcPr>
            <w:tcW w:w="1413" w:type="dxa"/>
            <w:shd w:val="clear" w:color="auto" w:fill="auto"/>
            <w:vAlign w:val="bottom"/>
          </w:tcPr>
          <w:p w14:paraId="7EC6F5B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p_bug_60</w:t>
            </w:r>
          </w:p>
        </w:tc>
        <w:tc>
          <w:tcPr>
            <w:tcW w:w="2410" w:type="dxa"/>
            <w:shd w:val="clear" w:color="auto" w:fill="auto"/>
          </w:tcPr>
          <w:p w14:paraId="31CEA683" w14:textId="73306780"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5FD6B3D9" w14:textId="41AA2C4B"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0.60</w:t>
            </w:r>
          </w:p>
        </w:tc>
        <w:tc>
          <w:tcPr>
            <w:tcW w:w="1701" w:type="dxa"/>
            <w:shd w:val="clear" w:color="auto" w:fill="auto"/>
            <w:vAlign w:val="bottom"/>
          </w:tcPr>
          <w:p w14:paraId="4ABE77E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0809C9B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0.191</w:t>
            </w:r>
          </w:p>
        </w:tc>
      </w:tr>
      <w:tr w:rsidR="00A4788F" w:rsidRPr="004A4B7C" w14:paraId="692CCDD6" w14:textId="77777777" w:rsidTr="004A4B7C">
        <w:tc>
          <w:tcPr>
            <w:tcW w:w="1413" w:type="dxa"/>
            <w:shd w:val="clear" w:color="auto" w:fill="auto"/>
            <w:vAlign w:val="bottom"/>
          </w:tcPr>
          <w:p w14:paraId="0987B93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p_bug_70</w:t>
            </w:r>
          </w:p>
        </w:tc>
        <w:tc>
          <w:tcPr>
            <w:tcW w:w="2410" w:type="dxa"/>
            <w:shd w:val="clear" w:color="auto" w:fill="auto"/>
          </w:tcPr>
          <w:p w14:paraId="36D9F2DD" w14:textId="0CDCD2F3"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6246C75F" w14:textId="1649B6D0"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0.70</w:t>
            </w:r>
          </w:p>
        </w:tc>
        <w:tc>
          <w:tcPr>
            <w:tcW w:w="1701" w:type="dxa"/>
            <w:shd w:val="clear" w:color="auto" w:fill="auto"/>
            <w:vAlign w:val="bottom"/>
          </w:tcPr>
          <w:p w14:paraId="505B857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621C0D0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0.188</w:t>
            </w:r>
          </w:p>
        </w:tc>
      </w:tr>
      <w:tr w:rsidR="00A4788F" w:rsidRPr="004A4B7C" w14:paraId="3225E8C9" w14:textId="77777777" w:rsidTr="004A4B7C">
        <w:trPr>
          <w:trHeight w:val="369"/>
        </w:trPr>
        <w:tc>
          <w:tcPr>
            <w:tcW w:w="1413" w:type="dxa"/>
            <w:shd w:val="clear" w:color="auto" w:fill="auto"/>
            <w:vAlign w:val="bottom"/>
          </w:tcPr>
          <w:p w14:paraId="76E1741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p_bug_80</w:t>
            </w:r>
          </w:p>
        </w:tc>
        <w:tc>
          <w:tcPr>
            <w:tcW w:w="2410" w:type="dxa"/>
            <w:shd w:val="clear" w:color="auto" w:fill="auto"/>
          </w:tcPr>
          <w:p w14:paraId="422F7F08" w14:textId="32A9968E"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3329264E" w14:textId="6B9312AC"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0.80</w:t>
            </w:r>
          </w:p>
        </w:tc>
        <w:tc>
          <w:tcPr>
            <w:tcW w:w="1701" w:type="dxa"/>
            <w:shd w:val="clear" w:color="auto" w:fill="auto"/>
            <w:vAlign w:val="bottom"/>
          </w:tcPr>
          <w:p w14:paraId="4CAF545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7D43EE9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0.185</w:t>
            </w:r>
          </w:p>
        </w:tc>
      </w:tr>
      <w:tr w:rsidR="00A4788F" w:rsidRPr="004A4B7C" w14:paraId="72454EFE" w14:textId="77777777" w:rsidTr="004A4B7C">
        <w:tc>
          <w:tcPr>
            <w:tcW w:w="1413" w:type="dxa"/>
            <w:shd w:val="clear" w:color="auto" w:fill="auto"/>
            <w:vAlign w:val="bottom"/>
          </w:tcPr>
          <w:p w14:paraId="7360224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p_bug_90</w:t>
            </w:r>
          </w:p>
        </w:tc>
        <w:tc>
          <w:tcPr>
            <w:tcW w:w="2410" w:type="dxa"/>
            <w:shd w:val="clear" w:color="auto" w:fill="auto"/>
          </w:tcPr>
          <w:p w14:paraId="4A103E5C" w14:textId="3239238D"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6C35225D" w14:textId="3A0F9BFF"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0.90</w:t>
            </w:r>
          </w:p>
        </w:tc>
        <w:tc>
          <w:tcPr>
            <w:tcW w:w="1701" w:type="dxa"/>
            <w:shd w:val="clear" w:color="auto" w:fill="auto"/>
            <w:vAlign w:val="bottom"/>
          </w:tcPr>
          <w:p w14:paraId="4D744CE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01B75BB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0.182</w:t>
            </w:r>
          </w:p>
        </w:tc>
      </w:tr>
      <w:tr w:rsidR="00A4788F" w:rsidRPr="004A4B7C" w14:paraId="5DB866C7" w14:textId="77777777" w:rsidTr="004A4B7C">
        <w:tc>
          <w:tcPr>
            <w:tcW w:w="1413" w:type="dxa"/>
            <w:shd w:val="clear" w:color="auto" w:fill="auto"/>
            <w:vAlign w:val="bottom"/>
          </w:tcPr>
          <w:p w14:paraId="67F4613B" w14:textId="77777777" w:rsidR="00A4788F" w:rsidRPr="004A4B7C" w:rsidRDefault="00A4788F" w:rsidP="004A4B7C">
            <w:pPr>
              <w:rPr>
                <w:rFonts w:ascii="Times New Roman" w:hAnsi="Times New Roman" w:cs="Times New Roman"/>
                <w:color w:val="000000"/>
                <w:sz w:val="20"/>
                <w:szCs w:val="20"/>
              </w:rPr>
            </w:pPr>
            <w:r w:rsidRPr="004A4B7C">
              <w:rPr>
                <w:rFonts w:ascii="Times New Roman" w:hAnsi="Times New Roman" w:cs="Times New Roman"/>
                <w:color w:val="000000"/>
                <w:sz w:val="20"/>
                <w:szCs w:val="20"/>
              </w:rPr>
              <w:t>p_bug_100</w:t>
            </w:r>
          </w:p>
        </w:tc>
        <w:tc>
          <w:tcPr>
            <w:tcW w:w="2410" w:type="dxa"/>
            <w:shd w:val="clear" w:color="auto" w:fill="auto"/>
          </w:tcPr>
          <w:p w14:paraId="2543080D" w14:textId="51C9FC58"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409" w:type="dxa"/>
            <w:shd w:val="clear" w:color="auto" w:fill="auto"/>
          </w:tcPr>
          <w:p w14:paraId="1798989E" w14:textId="2E31FA00"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1.00</w:t>
            </w:r>
          </w:p>
        </w:tc>
        <w:tc>
          <w:tcPr>
            <w:tcW w:w="1701" w:type="dxa"/>
            <w:shd w:val="clear" w:color="auto" w:fill="auto"/>
            <w:vAlign w:val="bottom"/>
          </w:tcPr>
          <w:p w14:paraId="54239A3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74E058B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0.179</w:t>
            </w:r>
          </w:p>
        </w:tc>
      </w:tr>
      <w:tr w:rsidR="00A4788F" w:rsidRPr="004A4B7C" w14:paraId="26395492" w14:textId="77777777" w:rsidTr="004A4B7C">
        <w:tc>
          <w:tcPr>
            <w:tcW w:w="1413" w:type="dxa"/>
            <w:shd w:val="clear" w:color="auto" w:fill="auto"/>
          </w:tcPr>
          <w:p w14:paraId="064BDBB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S2</w:t>
            </w:r>
          </w:p>
        </w:tc>
        <w:tc>
          <w:tcPr>
            <w:tcW w:w="2410" w:type="dxa"/>
            <w:shd w:val="clear" w:color="auto" w:fill="auto"/>
          </w:tcPr>
          <w:p w14:paraId="2738421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409" w:type="dxa"/>
            <w:shd w:val="clear" w:color="auto" w:fill="auto"/>
          </w:tcPr>
          <w:p w14:paraId="344C1A9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Network meta-analysis: include all studies regardless of breakpoints, excluding specific arms due to inconsistency</w:t>
            </w:r>
          </w:p>
        </w:tc>
        <w:tc>
          <w:tcPr>
            <w:tcW w:w="1701" w:type="dxa"/>
            <w:shd w:val="clear" w:color="auto" w:fill="auto"/>
            <w:vAlign w:val="bottom"/>
          </w:tcPr>
          <w:p w14:paraId="66A4C91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5AC3D7C4" w14:textId="77777777" w:rsidR="00A4788F" w:rsidRPr="004A4B7C" w:rsidDel="00DA30BE"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0.210</w:t>
            </w:r>
          </w:p>
        </w:tc>
      </w:tr>
      <w:tr w:rsidR="00A4788F" w:rsidRPr="004A4B7C" w14:paraId="66347CAE" w14:textId="77777777" w:rsidTr="004A4B7C">
        <w:tc>
          <w:tcPr>
            <w:tcW w:w="1413" w:type="dxa"/>
            <w:shd w:val="clear" w:color="auto" w:fill="auto"/>
          </w:tcPr>
          <w:p w14:paraId="006E1AC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S3</w:t>
            </w:r>
          </w:p>
        </w:tc>
        <w:tc>
          <w:tcPr>
            <w:tcW w:w="2410" w:type="dxa"/>
            <w:shd w:val="clear" w:color="auto" w:fill="auto"/>
          </w:tcPr>
          <w:p w14:paraId="1B058DB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409" w:type="dxa"/>
            <w:shd w:val="clear" w:color="auto" w:fill="auto"/>
          </w:tcPr>
          <w:p w14:paraId="3F1BA93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Susceptibility based on PHE isolate-level data (excludes </w:t>
            </w:r>
            <w:proofErr w:type="spellStart"/>
            <w:r w:rsidRPr="004A4B7C">
              <w:rPr>
                <w:rFonts w:ascii="Times New Roman" w:hAnsi="Times New Roman" w:cs="Times New Roman"/>
                <w:sz w:val="20"/>
                <w:szCs w:val="20"/>
              </w:rPr>
              <w:t>fosfomycin</w:t>
            </w:r>
            <w:proofErr w:type="spellEnd"/>
            <w:r w:rsidRPr="004A4B7C">
              <w:rPr>
                <w:rFonts w:ascii="Times New Roman" w:hAnsi="Times New Roman" w:cs="Times New Roman"/>
                <w:sz w:val="20"/>
                <w:szCs w:val="20"/>
              </w:rPr>
              <w:t>)</w:t>
            </w:r>
          </w:p>
        </w:tc>
        <w:tc>
          <w:tcPr>
            <w:tcW w:w="1701" w:type="dxa"/>
            <w:shd w:val="clear" w:color="auto" w:fill="auto"/>
            <w:vAlign w:val="bottom"/>
          </w:tcPr>
          <w:p w14:paraId="233847C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Non-colistin/amino based</w:t>
            </w:r>
          </w:p>
        </w:tc>
        <w:tc>
          <w:tcPr>
            <w:tcW w:w="1418" w:type="dxa"/>
            <w:vAlign w:val="bottom"/>
          </w:tcPr>
          <w:p w14:paraId="4125E7A5" w14:textId="77777777" w:rsidR="00A4788F" w:rsidRPr="004A4B7C" w:rsidDel="00DA30BE"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0.179</w:t>
            </w:r>
          </w:p>
        </w:tc>
      </w:tr>
      <w:tr w:rsidR="00A4788F" w:rsidRPr="004A4B7C" w14:paraId="1598E59B" w14:textId="77777777" w:rsidTr="004A4B7C">
        <w:tc>
          <w:tcPr>
            <w:tcW w:w="1413" w:type="dxa"/>
            <w:shd w:val="clear" w:color="auto" w:fill="auto"/>
          </w:tcPr>
          <w:p w14:paraId="06A013F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S4</w:t>
            </w:r>
          </w:p>
        </w:tc>
        <w:tc>
          <w:tcPr>
            <w:tcW w:w="2410" w:type="dxa"/>
            <w:shd w:val="clear" w:color="auto" w:fill="auto"/>
          </w:tcPr>
          <w:p w14:paraId="462A2AF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409" w:type="dxa"/>
            <w:shd w:val="clear" w:color="auto" w:fill="auto"/>
          </w:tcPr>
          <w:p w14:paraId="5ABF2FD4" w14:textId="224A4639"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Susceptibility based on </w:t>
            </w:r>
            <w:r w:rsidR="00837CD7" w:rsidRPr="004A4B7C">
              <w:rPr>
                <w:rFonts w:ascii="Times New Roman" w:hAnsi="Times New Roman" w:cs="Times New Roman"/>
                <w:sz w:val="20"/>
                <w:szCs w:val="20"/>
              </w:rPr>
              <w:t>Vasquez</w:t>
            </w:r>
            <w:r w:rsidRPr="004A4B7C">
              <w:rPr>
                <w:rFonts w:ascii="Times New Roman" w:hAnsi="Times New Roman" w:cs="Times New Roman"/>
                <w:sz w:val="20"/>
                <w:szCs w:val="20"/>
              </w:rPr>
              <w:t>-</w:t>
            </w:r>
            <w:proofErr w:type="spellStart"/>
            <w:r w:rsidRPr="004A4B7C">
              <w:rPr>
                <w:rFonts w:ascii="Times New Roman" w:hAnsi="Times New Roman" w:cs="Times New Roman"/>
                <w:sz w:val="20"/>
                <w:szCs w:val="20"/>
              </w:rPr>
              <w:t>Ucha</w:t>
            </w:r>
            <w:proofErr w:type="spellEnd"/>
            <w:r w:rsidRPr="004A4B7C">
              <w:rPr>
                <w:rFonts w:ascii="Times New Roman" w:hAnsi="Times New Roman" w:cs="Times New Roman"/>
                <w:sz w:val="20"/>
                <w:szCs w:val="20"/>
              </w:rPr>
              <w:t xml:space="preserve"> et al isolate-level data (excludes tigecycline)</w:t>
            </w:r>
          </w:p>
        </w:tc>
        <w:tc>
          <w:tcPr>
            <w:tcW w:w="1701" w:type="dxa"/>
            <w:shd w:val="clear" w:color="auto" w:fill="auto"/>
            <w:vAlign w:val="bottom"/>
          </w:tcPr>
          <w:p w14:paraId="739AB9A5"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Colistin/amino based</w:t>
            </w:r>
          </w:p>
        </w:tc>
        <w:tc>
          <w:tcPr>
            <w:tcW w:w="1418" w:type="dxa"/>
            <w:vAlign w:val="bottom"/>
          </w:tcPr>
          <w:p w14:paraId="11D0E2C9"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0.234</w:t>
            </w:r>
          </w:p>
        </w:tc>
      </w:tr>
      <w:tr w:rsidR="00A4788F" w:rsidRPr="004A4B7C" w14:paraId="5E72224F" w14:textId="77777777" w:rsidTr="004A4B7C">
        <w:tc>
          <w:tcPr>
            <w:tcW w:w="1413" w:type="dxa"/>
            <w:shd w:val="clear" w:color="auto" w:fill="auto"/>
          </w:tcPr>
          <w:p w14:paraId="25AD21B5" w14:textId="66B922BD" w:rsidR="00A4788F" w:rsidRPr="004A4B7C" w:rsidRDefault="00837CD7" w:rsidP="004A4B7C">
            <w:pPr>
              <w:rPr>
                <w:rFonts w:ascii="Times New Roman" w:hAnsi="Times New Roman" w:cs="Times New Roman"/>
                <w:sz w:val="20"/>
                <w:szCs w:val="20"/>
              </w:rPr>
            </w:pPr>
            <w:r w:rsidRPr="004A4B7C">
              <w:rPr>
                <w:rFonts w:ascii="Times New Roman" w:hAnsi="Times New Roman" w:cs="Times New Roman"/>
                <w:sz w:val="20"/>
                <w:szCs w:val="20"/>
              </w:rPr>
              <w:t>Weibull</w:t>
            </w:r>
          </w:p>
        </w:tc>
        <w:tc>
          <w:tcPr>
            <w:tcW w:w="2410" w:type="dxa"/>
            <w:shd w:val="clear" w:color="auto" w:fill="auto"/>
          </w:tcPr>
          <w:p w14:paraId="7DF2F1A5"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Log-normal model fit to CARBAR survival data</w:t>
            </w:r>
          </w:p>
        </w:tc>
        <w:tc>
          <w:tcPr>
            <w:tcW w:w="2409" w:type="dxa"/>
            <w:shd w:val="clear" w:color="auto" w:fill="auto"/>
          </w:tcPr>
          <w:p w14:paraId="6C2D3F6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Weibull model fit to CARBAR survival data</w:t>
            </w:r>
          </w:p>
        </w:tc>
        <w:tc>
          <w:tcPr>
            <w:tcW w:w="1701" w:type="dxa"/>
            <w:shd w:val="clear" w:color="auto" w:fill="auto"/>
            <w:vAlign w:val="bottom"/>
          </w:tcPr>
          <w:p w14:paraId="1EE71570"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222E1F43"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0.135</w:t>
            </w:r>
          </w:p>
        </w:tc>
      </w:tr>
      <w:tr w:rsidR="00A4788F" w:rsidRPr="004A4B7C" w14:paraId="67753170" w14:textId="77777777" w:rsidTr="004A4B7C">
        <w:tc>
          <w:tcPr>
            <w:tcW w:w="1413" w:type="dxa"/>
            <w:shd w:val="clear" w:color="auto" w:fill="auto"/>
          </w:tcPr>
          <w:p w14:paraId="5B9B09C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thresh15*</w:t>
            </w:r>
          </w:p>
        </w:tc>
        <w:tc>
          <w:tcPr>
            <w:tcW w:w="2410" w:type="dxa"/>
            <w:shd w:val="clear" w:color="auto" w:fill="auto"/>
          </w:tcPr>
          <w:p w14:paraId="65D3631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£20,000</w:t>
            </w:r>
          </w:p>
        </w:tc>
        <w:tc>
          <w:tcPr>
            <w:tcW w:w="2409" w:type="dxa"/>
            <w:shd w:val="clear" w:color="auto" w:fill="auto"/>
          </w:tcPr>
          <w:p w14:paraId="798D925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£15,000</w:t>
            </w:r>
          </w:p>
        </w:tc>
        <w:tc>
          <w:tcPr>
            <w:tcW w:w="1701" w:type="dxa"/>
            <w:shd w:val="clear" w:color="auto" w:fill="auto"/>
            <w:vAlign w:val="bottom"/>
          </w:tcPr>
          <w:p w14:paraId="47331E45"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0F1D05D3"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0.190</w:t>
            </w:r>
          </w:p>
        </w:tc>
      </w:tr>
      <w:tr w:rsidR="00A4788F" w:rsidRPr="004A4B7C" w14:paraId="536EA3F8" w14:textId="77777777" w:rsidTr="004A4B7C">
        <w:tc>
          <w:tcPr>
            <w:tcW w:w="1413" w:type="dxa"/>
            <w:shd w:val="clear" w:color="auto" w:fill="auto"/>
          </w:tcPr>
          <w:p w14:paraId="15F681F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thresh30*</w:t>
            </w:r>
          </w:p>
        </w:tc>
        <w:tc>
          <w:tcPr>
            <w:tcW w:w="2410" w:type="dxa"/>
            <w:shd w:val="clear" w:color="auto" w:fill="auto"/>
          </w:tcPr>
          <w:p w14:paraId="2CE47FE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£20,000</w:t>
            </w:r>
          </w:p>
        </w:tc>
        <w:tc>
          <w:tcPr>
            <w:tcW w:w="2409" w:type="dxa"/>
            <w:shd w:val="clear" w:color="auto" w:fill="auto"/>
          </w:tcPr>
          <w:p w14:paraId="550B89F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£30,000</w:t>
            </w:r>
          </w:p>
        </w:tc>
        <w:tc>
          <w:tcPr>
            <w:tcW w:w="1701" w:type="dxa"/>
            <w:shd w:val="clear" w:color="auto" w:fill="auto"/>
            <w:vAlign w:val="bottom"/>
          </w:tcPr>
          <w:p w14:paraId="36B8F31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7053A1AF"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0.126</w:t>
            </w:r>
          </w:p>
        </w:tc>
      </w:tr>
      <w:tr w:rsidR="00A4788F" w:rsidRPr="004A4B7C" w14:paraId="222F2AEA" w14:textId="77777777" w:rsidTr="004A4B7C">
        <w:trPr>
          <w:trHeight w:val="60"/>
        </w:trPr>
        <w:tc>
          <w:tcPr>
            <w:tcW w:w="1413" w:type="dxa"/>
            <w:shd w:val="clear" w:color="auto" w:fill="auto"/>
          </w:tcPr>
          <w:p w14:paraId="5695426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dr1.5*</w:t>
            </w:r>
          </w:p>
        </w:tc>
        <w:tc>
          <w:tcPr>
            <w:tcW w:w="2410" w:type="dxa"/>
            <w:shd w:val="clear" w:color="auto" w:fill="auto"/>
          </w:tcPr>
          <w:p w14:paraId="37222790"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Discount rate for costs and benefits 3.5%</w:t>
            </w:r>
          </w:p>
        </w:tc>
        <w:tc>
          <w:tcPr>
            <w:tcW w:w="2409" w:type="dxa"/>
            <w:shd w:val="clear" w:color="auto" w:fill="auto"/>
          </w:tcPr>
          <w:p w14:paraId="3454A29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Discount rate for costs and benefits 1.5%</w:t>
            </w:r>
          </w:p>
        </w:tc>
        <w:tc>
          <w:tcPr>
            <w:tcW w:w="1701" w:type="dxa"/>
            <w:shd w:val="clear" w:color="auto" w:fill="auto"/>
            <w:vAlign w:val="bottom"/>
          </w:tcPr>
          <w:p w14:paraId="2DEE6E8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Non-colistin/</w:t>
            </w:r>
            <w:proofErr w:type="gramStart"/>
            <w:r w:rsidRPr="004A4B7C">
              <w:rPr>
                <w:rFonts w:ascii="Times New Roman" w:hAnsi="Times New Roman" w:cs="Times New Roman"/>
                <w:sz w:val="20"/>
                <w:szCs w:val="20"/>
              </w:rPr>
              <w:t>amino-based</w:t>
            </w:r>
            <w:proofErr w:type="gramEnd"/>
          </w:p>
        </w:tc>
        <w:tc>
          <w:tcPr>
            <w:tcW w:w="1418" w:type="dxa"/>
            <w:vAlign w:val="bottom"/>
          </w:tcPr>
          <w:p w14:paraId="2F13B5B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0.167</w:t>
            </w:r>
          </w:p>
        </w:tc>
      </w:tr>
    </w:tbl>
    <w:p w14:paraId="65948224" w14:textId="711661AF" w:rsidR="00342BCE" w:rsidRDefault="00342BCE" w:rsidP="00342BCE">
      <w:pPr>
        <w:pStyle w:val="EEPRUtextundertables"/>
      </w:pPr>
      <w:r w:rsidRPr="00342BCE">
        <w:t>Abbreviations: EUCAST, European Committee on Antimicrobial Susceptibility Testing; INHE, incremental net health effects; PHE, Public Health England</w:t>
      </w:r>
      <w:bookmarkEnd w:id="511"/>
    </w:p>
    <w:p w14:paraId="068E0909" w14:textId="6AD91183" w:rsidR="00A4788F" w:rsidRPr="001B0FEB" w:rsidRDefault="00342BCE" w:rsidP="00342BCE">
      <w:pPr>
        <w:pStyle w:val="EEPRUtextundertables"/>
      </w:pPr>
      <w:r>
        <w:t xml:space="preserve">NB: </w:t>
      </w:r>
      <w:r w:rsidR="00A4788F" w:rsidRPr="001B0FEB">
        <w:t>Net health effects derived using threshold of £20,000/QALY.</w:t>
      </w:r>
    </w:p>
    <w:p w14:paraId="3DFF4084" w14:textId="21F33711" w:rsidR="00A4788F" w:rsidRPr="007D52CF" w:rsidRDefault="0019116B" w:rsidP="0019116B">
      <w:pPr>
        <w:pStyle w:val="EEPRUnumberedstylelevel3"/>
        <w:spacing w:line="360" w:lineRule="auto"/>
        <w:ind w:left="1418" w:firstLine="0"/>
        <w:jc w:val="both"/>
      </w:pPr>
      <w:bookmarkStart w:id="512" w:name="_Ref85123158"/>
      <w:bookmarkStart w:id="513" w:name="_Toc85194083"/>
      <w:r>
        <w:rPr>
          <w:sz w:val="24"/>
          <w:szCs w:val="24"/>
        </w:rPr>
        <w:lastRenderedPageBreak/>
        <w:tab/>
      </w:r>
      <w:bookmarkStart w:id="514" w:name="_Toc87463058"/>
      <w:r w:rsidR="007D52CF" w:rsidRPr="007D52CF">
        <w:rPr>
          <w:sz w:val="24"/>
          <w:szCs w:val="24"/>
        </w:rPr>
        <w:t>8</w:t>
      </w:r>
      <w:r w:rsidR="007D52CF" w:rsidRPr="007D52CF">
        <w:t xml:space="preserve">.1.2 </w:t>
      </w:r>
      <w:r w:rsidR="00A4788F" w:rsidRPr="007D52CF">
        <w:t xml:space="preserve">OXA-48 Microbiology-directed setting HAP/VAP and </w:t>
      </w:r>
      <w:proofErr w:type="spellStart"/>
      <w:r w:rsidR="00A4788F" w:rsidRPr="007D52CF">
        <w:t>cUTI</w:t>
      </w:r>
      <w:bookmarkEnd w:id="512"/>
      <w:bookmarkEnd w:id="513"/>
      <w:bookmarkEnd w:id="514"/>
      <w:proofErr w:type="spellEnd"/>
      <w:r w:rsidR="00A4788F" w:rsidRPr="007D52CF">
        <w:t xml:space="preserve"> </w:t>
      </w:r>
    </w:p>
    <w:p w14:paraId="045AE2EC" w14:textId="03F920CF" w:rsidR="00A4788F" w:rsidRPr="003306F4" w:rsidRDefault="00A4788F" w:rsidP="00A4788F">
      <w:pPr>
        <w:spacing w:after="0" w:line="360" w:lineRule="auto"/>
        <w:jc w:val="both"/>
        <w:rPr>
          <w:rFonts w:asciiTheme="majorBidi" w:hAnsiTheme="majorBidi" w:cstheme="majorBidi"/>
        </w:rPr>
      </w:pPr>
      <w:r w:rsidRPr="003306F4">
        <w:rPr>
          <w:rFonts w:asciiTheme="majorBidi" w:hAnsiTheme="majorBidi" w:cstheme="majorBidi"/>
        </w:rPr>
        <w:t xml:space="preserve">The probabilistic base case results are shown in </w:t>
      </w:r>
      <w:r w:rsidR="003662A2" w:rsidRPr="003662A2">
        <w:rPr>
          <w:rFonts w:asciiTheme="majorBidi" w:hAnsiTheme="majorBidi" w:cstheme="majorBidi"/>
        </w:rPr>
        <w:t xml:space="preserve">Table </w:t>
      </w:r>
      <w:r w:rsidR="003662A2" w:rsidRPr="003662A2">
        <w:rPr>
          <w:rFonts w:asciiTheme="majorBidi" w:hAnsiTheme="majorBidi" w:cstheme="majorBidi"/>
          <w:noProof/>
        </w:rPr>
        <w:t>38</w:t>
      </w:r>
      <w:r w:rsidRPr="003306F4">
        <w:rPr>
          <w:rFonts w:asciiTheme="majorBidi" w:hAnsiTheme="majorBidi" w:cstheme="majorBidi"/>
        </w:rPr>
        <w:t xml:space="preserve"> for patients with confirmed OXA-48 </w:t>
      </w:r>
      <w:proofErr w:type="spellStart"/>
      <w:r w:rsidR="00381A08" w:rsidRPr="00381A08">
        <w:rPr>
          <w:rFonts w:asciiTheme="majorBidi" w:hAnsiTheme="majorBidi" w:cstheme="majorBidi"/>
          <w:i/>
          <w:iCs/>
        </w:rPr>
        <w:t>Enterobacterales</w:t>
      </w:r>
      <w:proofErr w:type="spellEnd"/>
      <w:r w:rsidRPr="003306F4">
        <w:rPr>
          <w:rFonts w:asciiTheme="majorBidi" w:hAnsiTheme="majorBidi" w:cstheme="majorBidi"/>
        </w:rPr>
        <w:t xml:space="preserve"> in the MDS who have HAP/VAP or </w:t>
      </w:r>
      <w:proofErr w:type="spellStart"/>
      <w:r w:rsidRPr="003306F4">
        <w:rPr>
          <w:rFonts w:asciiTheme="majorBidi" w:hAnsiTheme="majorBidi" w:cstheme="majorBidi"/>
        </w:rPr>
        <w:t>cUTI</w:t>
      </w:r>
      <w:proofErr w:type="spellEnd"/>
      <w:r w:rsidRPr="003306F4">
        <w:rPr>
          <w:rFonts w:asciiTheme="majorBidi" w:hAnsiTheme="majorBidi" w:cstheme="majorBidi"/>
        </w:rPr>
        <w:t xml:space="preserve">. The advantages of CAZ-AVI are smaller in the MDS as once susceptibility results are known, many patients (65%) can be treated with a non-colistin/aminoglycoside-based option to which they are susceptible and do not receive CAZ-AVI. The per patient INHE associated with CAZ-AVI are driven by avoided safety issues related to use of colistin and </w:t>
      </w:r>
      <w:proofErr w:type="spellStart"/>
      <w:r w:rsidRPr="003306F4">
        <w:rPr>
          <w:rFonts w:asciiTheme="majorBidi" w:hAnsiTheme="majorBidi" w:cstheme="majorBidi"/>
        </w:rPr>
        <w:t>aminolygocides</w:t>
      </w:r>
      <w:proofErr w:type="spellEnd"/>
      <w:r w:rsidRPr="003306F4">
        <w:rPr>
          <w:rFonts w:asciiTheme="majorBidi" w:hAnsiTheme="majorBidi" w:cstheme="majorBidi"/>
        </w:rPr>
        <w:t xml:space="preserve"> in those susceptible to these agents (35% of the MDS cohort).  Overall, the per patient INHE associated with using CAZ-AVI in the MDS are 0.06 QALYs for HAP/VAP and 0.05 QALYs for </w:t>
      </w:r>
      <w:proofErr w:type="spellStart"/>
      <w:r w:rsidRPr="003306F4">
        <w:rPr>
          <w:rFonts w:asciiTheme="majorBidi" w:hAnsiTheme="majorBidi" w:cstheme="majorBidi"/>
        </w:rPr>
        <w:t>cUTI</w:t>
      </w:r>
      <w:proofErr w:type="spellEnd"/>
      <w:r w:rsidRPr="003306F4">
        <w:rPr>
          <w:rFonts w:asciiTheme="majorBidi" w:hAnsiTheme="majorBidi" w:cstheme="majorBidi"/>
        </w:rPr>
        <w:t xml:space="preserve">.  </w:t>
      </w:r>
    </w:p>
    <w:p w14:paraId="2DC0187B" w14:textId="77777777" w:rsidR="00A4788F" w:rsidRPr="008B218B" w:rsidRDefault="00A4788F" w:rsidP="00A4788F">
      <w:pPr>
        <w:spacing w:after="0" w:line="360" w:lineRule="auto"/>
        <w:jc w:val="both"/>
      </w:pPr>
    </w:p>
    <w:p w14:paraId="3D77E89F" w14:textId="05B81A81" w:rsidR="00A4788F" w:rsidRPr="008B218B" w:rsidRDefault="00A4788F" w:rsidP="009E265F">
      <w:pPr>
        <w:pStyle w:val="table"/>
      </w:pPr>
      <w:bookmarkStart w:id="515" w:name="_Ref85027154"/>
      <w:bookmarkStart w:id="516" w:name="_Toc83589997"/>
      <w:bookmarkStart w:id="517" w:name="_Toc86419015"/>
      <w:r w:rsidRPr="008B218B">
        <w:t xml:space="preserve">Table </w:t>
      </w:r>
      <w:r w:rsidR="00F10F0A">
        <w:rPr>
          <w:noProof/>
        </w:rPr>
        <w:t>38</w:t>
      </w:r>
      <w:bookmarkEnd w:id="515"/>
      <w:r w:rsidRPr="008B218B">
        <w:t xml:space="preserve">: Per patient base-case results: OXA-48 </w:t>
      </w:r>
      <w:proofErr w:type="spellStart"/>
      <w:r w:rsidR="00381A08" w:rsidRPr="00381A08">
        <w:rPr>
          <w:i/>
          <w:iCs/>
        </w:rPr>
        <w:t>Enterobacterales</w:t>
      </w:r>
      <w:proofErr w:type="spellEnd"/>
      <w:r w:rsidRPr="008B218B">
        <w:t xml:space="preserve"> HAP/VAP and </w:t>
      </w:r>
      <w:proofErr w:type="spellStart"/>
      <w:r w:rsidRPr="008B218B">
        <w:t>cUTI</w:t>
      </w:r>
      <w:proofErr w:type="spellEnd"/>
      <w:r w:rsidRPr="008B218B">
        <w:t xml:space="preserve"> microbiology-directed setting (probabilistic, 2,000 simulations)</w:t>
      </w:r>
      <w:bookmarkEnd w:id="516"/>
      <w:bookmarkEnd w:id="517"/>
      <w:r w:rsidRPr="008B218B">
        <w:t xml:space="preserve"> </w:t>
      </w:r>
    </w:p>
    <w:tbl>
      <w:tblPr>
        <w:tblStyle w:val="TableGrid"/>
        <w:tblW w:w="7508" w:type="dxa"/>
        <w:tblLayout w:type="fixed"/>
        <w:tblLook w:val="04A0" w:firstRow="1" w:lastRow="0" w:firstColumn="1" w:lastColumn="0" w:noHBand="0" w:noVBand="1"/>
      </w:tblPr>
      <w:tblGrid>
        <w:gridCol w:w="1905"/>
        <w:gridCol w:w="1634"/>
        <w:gridCol w:w="2126"/>
        <w:gridCol w:w="1843"/>
      </w:tblGrid>
      <w:tr w:rsidR="00A4788F" w:rsidRPr="007D52CF" w14:paraId="5BBA840F" w14:textId="77777777" w:rsidTr="00A4788F">
        <w:trPr>
          <w:trHeight w:hRule="exact" w:val="719"/>
        </w:trPr>
        <w:tc>
          <w:tcPr>
            <w:tcW w:w="1905" w:type="dxa"/>
            <w:shd w:val="clear" w:color="auto" w:fill="auto"/>
          </w:tcPr>
          <w:p w14:paraId="49ABF0F7" w14:textId="77777777" w:rsidR="00A4788F" w:rsidRPr="007D52CF" w:rsidRDefault="00A4788F" w:rsidP="00A4788F">
            <w:pPr>
              <w:rPr>
                <w:rFonts w:asciiTheme="majorBidi" w:hAnsiTheme="majorBidi" w:cstheme="majorBidi"/>
                <w:b/>
              </w:rPr>
            </w:pPr>
          </w:p>
        </w:tc>
        <w:tc>
          <w:tcPr>
            <w:tcW w:w="1634" w:type="dxa"/>
            <w:shd w:val="clear" w:color="auto" w:fill="auto"/>
          </w:tcPr>
          <w:p w14:paraId="6447FD88" w14:textId="77777777" w:rsidR="00A4788F" w:rsidRPr="007D52CF" w:rsidRDefault="00A4788F" w:rsidP="00A4788F">
            <w:pPr>
              <w:rPr>
                <w:rFonts w:asciiTheme="majorBidi" w:hAnsiTheme="majorBidi" w:cstheme="majorBidi"/>
                <w:b/>
                <w:lang w:val="en-US"/>
              </w:rPr>
            </w:pPr>
            <w:r w:rsidRPr="007D52CF">
              <w:rPr>
                <w:rFonts w:asciiTheme="majorBidi" w:hAnsiTheme="majorBidi" w:cstheme="majorBidi"/>
                <w:b/>
                <w:lang w:val="en-US"/>
              </w:rPr>
              <w:t>MDS pathway with CAZ-AVI</w:t>
            </w:r>
          </w:p>
        </w:tc>
        <w:tc>
          <w:tcPr>
            <w:tcW w:w="2126" w:type="dxa"/>
            <w:shd w:val="clear" w:color="auto" w:fill="auto"/>
          </w:tcPr>
          <w:p w14:paraId="38D64763" w14:textId="77777777" w:rsidR="00A4788F" w:rsidRPr="007D52CF" w:rsidRDefault="00A4788F" w:rsidP="00A4788F">
            <w:pPr>
              <w:rPr>
                <w:rFonts w:asciiTheme="majorBidi" w:hAnsiTheme="majorBidi" w:cstheme="majorBidi"/>
                <w:b/>
                <w:lang w:val="en-US"/>
              </w:rPr>
            </w:pPr>
            <w:r w:rsidRPr="007D52CF">
              <w:rPr>
                <w:rFonts w:asciiTheme="majorBidi" w:hAnsiTheme="majorBidi" w:cstheme="majorBidi"/>
                <w:b/>
                <w:lang w:val="en-US"/>
              </w:rPr>
              <w:t>MDS pathway without CAZ-AVI</w:t>
            </w:r>
          </w:p>
        </w:tc>
        <w:tc>
          <w:tcPr>
            <w:tcW w:w="1843" w:type="dxa"/>
            <w:shd w:val="clear" w:color="auto" w:fill="auto"/>
          </w:tcPr>
          <w:p w14:paraId="0F7D79E8" w14:textId="77777777" w:rsidR="00A4788F" w:rsidRPr="007D52CF" w:rsidRDefault="00A4788F" w:rsidP="00A4788F">
            <w:pPr>
              <w:rPr>
                <w:rFonts w:asciiTheme="majorBidi" w:hAnsiTheme="majorBidi" w:cstheme="majorBidi"/>
                <w:b/>
                <w:lang w:val="it-IT"/>
              </w:rPr>
            </w:pPr>
            <w:r w:rsidRPr="007D52CF">
              <w:rPr>
                <w:rFonts w:asciiTheme="majorBidi" w:hAnsiTheme="majorBidi" w:cstheme="majorBidi"/>
                <w:b/>
                <w:lang w:val="it-IT"/>
              </w:rPr>
              <w:t xml:space="preserve">Incremental values </w:t>
            </w:r>
          </w:p>
        </w:tc>
      </w:tr>
      <w:tr w:rsidR="00A4788F" w:rsidRPr="007D52CF" w14:paraId="63C7CF30" w14:textId="77777777" w:rsidTr="00A4788F">
        <w:trPr>
          <w:trHeight w:hRule="exact" w:val="284"/>
        </w:trPr>
        <w:tc>
          <w:tcPr>
            <w:tcW w:w="7508" w:type="dxa"/>
            <w:gridSpan w:val="4"/>
            <w:shd w:val="clear" w:color="auto" w:fill="auto"/>
          </w:tcPr>
          <w:p w14:paraId="1D6917EE" w14:textId="77777777" w:rsidR="00A4788F" w:rsidRPr="007D52CF" w:rsidRDefault="00A4788F" w:rsidP="00A4788F">
            <w:pPr>
              <w:rPr>
                <w:rFonts w:asciiTheme="majorBidi" w:hAnsiTheme="majorBidi" w:cstheme="majorBidi"/>
                <w:b/>
                <w:bCs/>
              </w:rPr>
            </w:pPr>
            <w:r w:rsidRPr="007D52CF">
              <w:rPr>
                <w:rFonts w:asciiTheme="majorBidi" w:hAnsiTheme="majorBidi" w:cstheme="majorBidi"/>
                <w:b/>
                <w:bCs/>
              </w:rPr>
              <w:t>HAP/VAP</w:t>
            </w:r>
          </w:p>
        </w:tc>
      </w:tr>
      <w:tr w:rsidR="00A4788F" w:rsidRPr="007D52CF" w14:paraId="3BEECAD7" w14:textId="77777777" w:rsidTr="00A4788F">
        <w:trPr>
          <w:trHeight w:hRule="exact" w:val="284"/>
        </w:trPr>
        <w:tc>
          <w:tcPr>
            <w:tcW w:w="7508" w:type="dxa"/>
            <w:gridSpan w:val="4"/>
            <w:shd w:val="clear" w:color="auto" w:fill="auto"/>
          </w:tcPr>
          <w:p w14:paraId="03645A74" w14:textId="77777777" w:rsidR="00A4788F" w:rsidRPr="007D52CF" w:rsidRDefault="00A4788F" w:rsidP="00A4788F">
            <w:pPr>
              <w:rPr>
                <w:rFonts w:asciiTheme="majorBidi" w:hAnsiTheme="majorBidi" w:cstheme="majorBidi"/>
                <w:b/>
                <w:bCs/>
                <w:i/>
              </w:rPr>
            </w:pPr>
            <w:r w:rsidRPr="007D52CF">
              <w:rPr>
                <w:rFonts w:asciiTheme="majorBidi" w:hAnsiTheme="majorBidi" w:cstheme="majorBidi"/>
                <w:b/>
                <w:bCs/>
                <w:i/>
              </w:rPr>
              <w:t>Summary of in-hospital outcomes (proportions) across both lines of treatment available</w:t>
            </w:r>
          </w:p>
        </w:tc>
      </w:tr>
      <w:tr w:rsidR="00A4788F" w:rsidRPr="007D52CF" w14:paraId="28940742" w14:textId="77777777" w:rsidTr="00A4788F">
        <w:trPr>
          <w:trHeight w:hRule="exact" w:val="284"/>
        </w:trPr>
        <w:tc>
          <w:tcPr>
            <w:tcW w:w="1905" w:type="dxa"/>
            <w:shd w:val="clear" w:color="auto" w:fill="auto"/>
          </w:tcPr>
          <w:p w14:paraId="52E86482" w14:textId="77777777" w:rsidR="00A4788F" w:rsidRPr="007D52CF" w:rsidRDefault="00A4788F" w:rsidP="00A4788F">
            <w:pPr>
              <w:rPr>
                <w:rFonts w:asciiTheme="majorBidi" w:hAnsiTheme="majorBidi" w:cstheme="majorBidi"/>
              </w:rPr>
            </w:pPr>
            <w:r w:rsidRPr="007D52CF">
              <w:rPr>
                <w:rFonts w:asciiTheme="majorBidi" w:hAnsiTheme="majorBidi" w:cstheme="majorBidi"/>
              </w:rPr>
              <w:t>Death</w:t>
            </w:r>
          </w:p>
        </w:tc>
        <w:tc>
          <w:tcPr>
            <w:tcW w:w="1634" w:type="dxa"/>
            <w:shd w:val="clear" w:color="auto" w:fill="auto"/>
            <w:vAlign w:val="bottom"/>
          </w:tcPr>
          <w:p w14:paraId="3864B73A"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0.373</w:t>
            </w:r>
          </w:p>
        </w:tc>
        <w:tc>
          <w:tcPr>
            <w:tcW w:w="2126" w:type="dxa"/>
            <w:shd w:val="clear" w:color="auto" w:fill="auto"/>
            <w:vAlign w:val="bottom"/>
          </w:tcPr>
          <w:p w14:paraId="0AD60A6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0.388</w:t>
            </w:r>
          </w:p>
        </w:tc>
        <w:tc>
          <w:tcPr>
            <w:tcW w:w="1843" w:type="dxa"/>
            <w:shd w:val="clear" w:color="auto" w:fill="auto"/>
            <w:vAlign w:val="bottom"/>
          </w:tcPr>
          <w:p w14:paraId="505A058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-0.014</w:t>
            </w:r>
          </w:p>
        </w:tc>
      </w:tr>
      <w:tr w:rsidR="00A4788F" w:rsidRPr="007D52CF" w14:paraId="267E17E8" w14:textId="77777777" w:rsidTr="00A4788F">
        <w:trPr>
          <w:trHeight w:hRule="exact" w:val="284"/>
        </w:trPr>
        <w:tc>
          <w:tcPr>
            <w:tcW w:w="1905" w:type="dxa"/>
            <w:shd w:val="clear" w:color="auto" w:fill="auto"/>
          </w:tcPr>
          <w:p w14:paraId="51E72D51"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no AKI</w:t>
            </w:r>
          </w:p>
        </w:tc>
        <w:tc>
          <w:tcPr>
            <w:tcW w:w="1634" w:type="dxa"/>
            <w:shd w:val="clear" w:color="auto" w:fill="auto"/>
            <w:vAlign w:val="bottom"/>
          </w:tcPr>
          <w:p w14:paraId="2CC25B10"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0.497</w:t>
            </w:r>
          </w:p>
        </w:tc>
        <w:tc>
          <w:tcPr>
            <w:tcW w:w="2126" w:type="dxa"/>
            <w:shd w:val="clear" w:color="auto" w:fill="auto"/>
            <w:vAlign w:val="bottom"/>
          </w:tcPr>
          <w:p w14:paraId="372C381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0.466</w:t>
            </w:r>
          </w:p>
        </w:tc>
        <w:tc>
          <w:tcPr>
            <w:tcW w:w="1843" w:type="dxa"/>
            <w:shd w:val="clear" w:color="auto" w:fill="auto"/>
            <w:vAlign w:val="bottom"/>
          </w:tcPr>
          <w:p w14:paraId="3670F545"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0.030</w:t>
            </w:r>
          </w:p>
        </w:tc>
      </w:tr>
      <w:tr w:rsidR="00A4788F" w:rsidRPr="007D52CF" w14:paraId="5DE9D840" w14:textId="77777777" w:rsidTr="00A4788F">
        <w:trPr>
          <w:trHeight w:hRule="exact" w:val="284"/>
        </w:trPr>
        <w:tc>
          <w:tcPr>
            <w:tcW w:w="1905" w:type="dxa"/>
            <w:shd w:val="clear" w:color="auto" w:fill="auto"/>
          </w:tcPr>
          <w:p w14:paraId="4E67EFD4"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AKI</w:t>
            </w:r>
          </w:p>
        </w:tc>
        <w:tc>
          <w:tcPr>
            <w:tcW w:w="1634" w:type="dxa"/>
            <w:shd w:val="clear" w:color="auto" w:fill="auto"/>
            <w:vAlign w:val="bottom"/>
          </w:tcPr>
          <w:p w14:paraId="04687BF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0.130</w:t>
            </w:r>
          </w:p>
        </w:tc>
        <w:tc>
          <w:tcPr>
            <w:tcW w:w="2126" w:type="dxa"/>
            <w:shd w:val="clear" w:color="auto" w:fill="auto"/>
            <w:vAlign w:val="bottom"/>
          </w:tcPr>
          <w:p w14:paraId="3768BEC6"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0.146</w:t>
            </w:r>
          </w:p>
        </w:tc>
        <w:tc>
          <w:tcPr>
            <w:tcW w:w="1843" w:type="dxa"/>
            <w:shd w:val="clear" w:color="auto" w:fill="auto"/>
            <w:vAlign w:val="bottom"/>
          </w:tcPr>
          <w:p w14:paraId="486B7810"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-0.016</w:t>
            </w:r>
          </w:p>
        </w:tc>
      </w:tr>
      <w:tr w:rsidR="00A4788F" w:rsidRPr="007D52CF" w14:paraId="3531BFC1" w14:textId="77777777" w:rsidTr="00A4788F">
        <w:trPr>
          <w:trHeight w:hRule="exact" w:val="284"/>
        </w:trPr>
        <w:tc>
          <w:tcPr>
            <w:tcW w:w="1905" w:type="dxa"/>
            <w:shd w:val="clear" w:color="auto" w:fill="auto"/>
          </w:tcPr>
          <w:p w14:paraId="6F19F24D"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CKD</w:t>
            </w:r>
          </w:p>
        </w:tc>
        <w:tc>
          <w:tcPr>
            <w:tcW w:w="1634" w:type="dxa"/>
            <w:shd w:val="clear" w:color="auto" w:fill="auto"/>
            <w:vAlign w:val="bottom"/>
          </w:tcPr>
          <w:p w14:paraId="5171791F"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0.000</w:t>
            </w:r>
          </w:p>
        </w:tc>
        <w:tc>
          <w:tcPr>
            <w:tcW w:w="2126" w:type="dxa"/>
            <w:shd w:val="clear" w:color="auto" w:fill="auto"/>
            <w:vAlign w:val="bottom"/>
          </w:tcPr>
          <w:p w14:paraId="09406B90"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0.000</w:t>
            </w:r>
          </w:p>
        </w:tc>
        <w:tc>
          <w:tcPr>
            <w:tcW w:w="1843" w:type="dxa"/>
            <w:shd w:val="clear" w:color="auto" w:fill="auto"/>
            <w:vAlign w:val="bottom"/>
          </w:tcPr>
          <w:p w14:paraId="076B29DD"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0.000</w:t>
            </w:r>
          </w:p>
        </w:tc>
      </w:tr>
      <w:tr w:rsidR="00A4788F" w:rsidRPr="007D52CF" w14:paraId="2949A5DC" w14:textId="77777777" w:rsidTr="00A4788F">
        <w:trPr>
          <w:trHeight w:hRule="exact" w:val="284"/>
        </w:trPr>
        <w:tc>
          <w:tcPr>
            <w:tcW w:w="7508" w:type="dxa"/>
            <w:gridSpan w:val="4"/>
            <w:shd w:val="clear" w:color="auto" w:fill="auto"/>
          </w:tcPr>
          <w:p w14:paraId="509618FE" w14:textId="77777777" w:rsidR="00A4788F" w:rsidRPr="007D52CF" w:rsidRDefault="00A4788F" w:rsidP="00A4788F">
            <w:pPr>
              <w:rPr>
                <w:rFonts w:asciiTheme="majorBidi" w:hAnsiTheme="majorBidi" w:cstheme="majorBidi"/>
                <w:i/>
              </w:rPr>
            </w:pPr>
            <w:r w:rsidRPr="007D52CF">
              <w:rPr>
                <w:rFonts w:asciiTheme="majorBidi" w:hAnsiTheme="majorBidi" w:cstheme="majorBidi"/>
                <w:b/>
                <w:bCs/>
                <w:i/>
              </w:rPr>
              <w:t>Economic outcomes (all discounted)</w:t>
            </w:r>
          </w:p>
        </w:tc>
      </w:tr>
      <w:tr w:rsidR="00A4788F" w:rsidRPr="007D52CF" w14:paraId="5A43672C" w14:textId="77777777" w:rsidTr="00A4788F">
        <w:trPr>
          <w:trHeight w:hRule="exact" w:val="284"/>
        </w:trPr>
        <w:tc>
          <w:tcPr>
            <w:tcW w:w="1905" w:type="dxa"/>
            <w:shd w:val="clear" w:color="auto" w:fill="auto"/>
          </w:tcPr>
          <w:p w14:paraId="096CBDBF" w14:textId="77777777" w:rsidR="00A4788F" w:rsidRPr="007D52CF" w:rsidRDefault="00A4788F" w:rsidP="00A4788F">
            <w:pPr>
              <w:rPr>
                <w:rFonts w:asciiTheme="majorBidi" w:hAnsiTheme="majorBidi" w:cstheme="majorBidi"/>
              </w:rPr>
            </w:pPr>
            <w:r w:rsidRPr="007D52CF">
              <w:rPr>
                <w:rFonts w:asciiTheme="majorBidi" w:hAnsiTheme="majorBidi" w:cstheme="majorBidi"/>
              </w:rPr>
              <w:t>Treatment costs</w:t>
            </w:r>
          </w:p>
        </w:tc>
        <w:tc>
          <w:tcPr>
            <w:tcW w:w="1634" w:type="dxa"/>
            <w:shd w:val="clear" w:color="auto" w:fill="auto"/>
            <w:vAlign w:val="bottom"/>
          </w:tcPr>
          <w:p w14:paraId="2BB7ED2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£189</w:t>
            </w:r>
          </w:p>
        </w:tc>
        <w:tc>
          <w:tcPr>
            <w:tcW w:w="2126" w:type="dxa"/>
            <w:shd w:val="clear" w:color="auto" w:fill="auto"/>
            <w:vAlign w:val="bottom"/>
          </w:tcPr>
          <w:p w14:paraId="4A12B84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£264</w:t>
            </w:r>
          </w:p>
        </w:tc>
        <w:tc>
          <w:tcPr>
            <w:tcW w:w="1843" w:type="dxa"/>
            <w:shd w:val="clear" w:color="auto" w:fill="auto"/>
            <w:vAlign w:val="bottom"/>
          </w:tcPr>
          <w:p w14:paraId="4B3563D3"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-£74</w:t>
            </w:r>
          </w:p>
        </w:tc>
      </w:tr>
      <w:tr w:rsidR="00A4788F" w:rsidRPr="007D52CF" w14:paraId="54F7B20A" w14:textId="77777777" w:rsidTr="00A4788F">
        <w:trPr>
          <w:trHeight w:hRule="exact" w:val="284"/>
        </w:trPr>
        <w:tc>
          <w:tcPr>
            <w:tcW w:w="1905" w:type="dxa"/>
            <w:shd w:val="clear" w:color="auto" w:fill="auto"/>
          </w:tcPr>
          <w:p w14:paraId="66D9F4CC" w14:textId="77777777" w:rsidR="00A4788F" w:rsidRPr="007D52CF" w:rsidRDefault="00A4788F" w:rsidP="00A4788F">
            <w:pPr>
              <w:rPr>
                <w:rFonts w:asciiTheme="majorBidi" w:hAnsiTheme="majorBidi" w:cstheme="majorBidi"/>
              </w:rPr>
            </w:pPr>
            <w:r w:rsidRPr="007D52CF">
              <w:rPr>
                <w:rFonts w:asciiTheme="majorBidi" w:hAnsiTheme="majorBidi" w:cstheme="majorBidi"/>
              </w:rPr>
              <w:t>AKI costs hospital</w:t>
            </w:r>
          </w:p>
        </w:tc>
        <w:tc>
          <w:tcPr>
            <w:tcW w:w="1634" w:type="dxa"/>
            <w:shd w:val="clear" w:color="auto" w:fill="auto"/>
            <w:vAlign w:val="bottom"/>
          </w:tcPr>
          <w:p w14:paraId="529132F0"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£1,673</w:t>
            </w:r>
          </w:p>
        </w:tc>
        <w:tc>
          <w:tcPr>
            <w:tcW w:w="2126" w:type="dxa"/>
            <w:shd w:val="clear" w:color="auto" w:fill="auto"/>
            <w:vAlign w:val="bottom"/>
          </w:tcPr>
          <w:p w14:paraId="275C128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£1,884</w:t>
            </w:r>
          </w:p>
        </w:tc>
        <w:tc>
          <w:tcPr>
            <w:tcW w:w="1843" w:type="dxa"/>
            <w:shd w:val="clear" w:color="auto" w:fill="auto"/>
            <w:vAlign w:val="bottom"/>
          </w:tcPr>
          <w:p w14:paraId="1240A49C"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-£211</w:t>
            </w:r>
          </w:p>
        </w:tc>
      </w:tr>
      <w:tr w:rsidR="00A4788F" w:rsidRPr="007D52CF" w14:paraId="2AAD07D6" w14:textId="77777777" w:rsidTr="00A4788F">
        <w:trPr>
          <w:trHeight w:hRule="exact" w:val="284"/>
        </w:trPr>
        <w:tc>
          <w:tcPr>
            <w:tcW w:w="1905" w:type="dxa"/>
            <w:shd w:val="clear" w:color="auto" w:fill="auto"/>
          </w:tcPr>
          <w:p w14:paraId="3D75FA68" w14:textId="77777777" w:rsidR="00A4788F" w:rsidRPr="007D52CF" w:rsidRDefault="00A4788F" w:rsidP="00A4788F">
            <w:pPr>
              <w:rPr>
                <w:rFonts w:asciiTheme="majorBidi" w:hAnsiTheme="majorBidi" w:cstheme="majorBidi"/>
              </w:rPr>
            </w:pPr>
            <w:r w:rsidRPr="007D52CF">
              <w:rPr>
                <w:rFonts w:asciiTheme="majorBidi" w:hAnsiTheme="majorBidi" w:cstheme="majorBidi"/>
              </w:rPr>
              <w:t>Other costs hospital</w:t>
            </w:r>
          </w:p>
        </w:tc>
        <w:tc>
          <w:tcPr>
            <w:tcW w:w="1634" w:type="dxa"/>
            <w:shd w:val="clear" w:color="auto" w:fill="auto"/>
            <w:vAlign w:val="bottom"/>
          </w:tcPr>
          <w:p w14:paraId="72143A46"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£34,723</w:t>
            </w:r>
          </w:p>
        </w:tc>
        <w:tc>
          <w:tcPr>
            <w:tcW w:w="2126" w:type="dxa"/>
            <w:shd w:val="clear" w:color="auto" w:fill="auto"/>
            <w:vAlign w:val="bottom"/>
          </w:tcPr>
          <w:p w14:paraId="0D0C8F1C"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£34,737</w:t>
            </w:r>
          </w:p>
        </w:tc>
        <w:tc>
          <w:tcPr>
            <w:tcW w:w="1843" w:type="dxa"/>
            <w:shd w:val="clear" w:color="auto" w:fill="auto"/>
            <w:vAlign w:val="bottom"/>
          </w:tcPr>
          <w:p w14:paraId="35DAEC6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-£15</w:t>
            </w:r>
          </w:p>
        </w:tc>
      </w:tr>
      <w:tr w:rsidR="00A4788F" w:rsidRPr="007D52CF" w14:paraId="01DD3963" w14:textId="77777777" w:rsidTr="00A4788F">
        <w:trPr>
          <w:trHeight w:hRule="exact" w:val="284"/>
        </w:trPr>
        <w:tc>
          <w:tcPr>
            <w:tcW w:w="1905" w:type="dxa"/>
            <w:shd w:val="clear" w:color="auto" w:fill="auto"/>
          </w:tcPr>
          <w:p w14:paraId="4B126858" w14:textId="77777777" w:rsidR="00A4788F" w:rsidRPr="007D52CF" w:rsidRDefault="00A4788F" w:rsidP="00A4788F">
            <w:pPr>
              <w:rPr>
                <w:rFonts w:asciiTheme="majorBidi" w:hAnsiTheme="majorBidi" w:cstheme="majorBidi"/>
              </w:rPr>
            </w:pPr>
            <w:r w:rsidRPr="007D52CF">
              <w:rPr>
                <w:rFonts w:asciiTheme="majorBidi" w:hAnsiTheme="majorBidi" w:cstheme="majorBidi"/>
              </w:rPr>
              <w:t>Long-term costs</w:t>
            </w:r>
          </w:p>
        </w:tc>
        <w:tc>
          <w:tcPr>
            <w:tcW w:w="1634" w:type="dxa"/>
            <w:shd w:val="clear" w:color="auto" w:fill="auto"/>
            <w:vAlign w:val="bottom"/>
          </w:tcPr>
          <w:p w14:paraId="1C39DC60"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£632</w:t>
            </w:r>
          </w:p>
        </w:tc>
        <w:tc>
          <w:tcPr>
            <w:tcW w:w="2126" w:type="dxa"/>
            <w:shd w:val="clear" w:color="auto" w:fill="auto"/>
            <w:vAlign w:val="bottom"/>
          </w:tcPr>
          <w:p w14:paraId="72C811A2"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£627</w:t>
            </w:r>
          </w:p>
        </w:tc>
        <w:tc>
          <w:tcPr>
            <w:tcW w:w="1843" w:type="dxa"/>
            <w:shd w:val="clear" w:color="auto" w:fill="auto"/>
            <w:vAlign w:val="bottom"/>
          </w:tcPr>
          <w:p w14:paraId="00596DFD"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£5</w:t>
            </w:r>
          </w:p>
        </w:tc>
      </w:tr>
      <w:tr w:rsidR="00A4788F" w:rsidRPr="007D52CF" w14:paraId="6D8574AF" w14:textId="77777777" w:rsidTr="00A4788F">
        <w:trPr>
          <w:trHeight w:hRule="exact" w:val="284"/>
        </w:trPr>
        <w:tc>
          <w:tcPr>
            <w:tcW w:w="1905" w:type="dxa"/>
            <w:shd w:val="clear" w:color="auto" w:fill="auto"/>
          </w:tcPr>
          <w:p w14:paraId="1EEF4078" w14:textId="77777777" w:rsidR="00A4788F" w:rsidRPr="007D52CF" w:rsidRDefault="00A4788F" w:rsidP="00A4788F">
            <w:pPr>
              <w:rPr>
                <w:rFonts w:asciiTheme="majorBidi" w:hAnsiTheme="majorBidi" w:cstheme="majorBidi"/>
              </w:rPr>
            </w:pPr>
            <w:r w:rsidRPr="007D52CF">
              <w:rPr>
                <w:rFonts w:asciiTheme="majorBidi" w:hAnsiTheme="majorBidi" w:cstheme="majorBidi"/>
              </w:rPr>
              <w:t>Total costs</w:t>
            </w:r>
          </w:p>
        </w:tc>
        <w:tc>
          <w:tcPr>
            <w:tcW w:w="1634" w:type="dxa"/>
            <w:shd w:val="clear" w:color="auto" w:fill="auto"/>
            <w:vAlign w:val="bottom"/>
          </w:tcPr>
          <w:p w14:paraId="5B88F19B"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£37,218</w:t>
            </w:r>
          </w:p>
        </w:tc>
        <w:tc>
          <w:tcPr>
            <w:tcW w:w="2126" w:type="dxa"/>
            <w:shd w:val="clear" w:color="auto" w:fill="auto"/>
            <w:vAlign w:val="bottom"/>
          </w:tcPr>
          <w:p w14:paraId="2FA99FD6"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£37,512</w:t>
            </w:r>
          </w:p>
        </w:tc>
        <w:tc>
          <w:tcPr>
            <w:tcW w:w="1843" w:type="dxa"/>
            <w:shd w:val="clear" w:color="auto" w:fill="auto"/>
            <w:vAlign w:val="bottom"/>
          </w:tcPr>
          <w:p w14:paraId="1965B2B4"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-£295</w:t>
            </w:r>
          </w:p>
        </w:tc>
      </w:tr>
      <w:tr w:rsidR="00A4788F" w:rsidRPr="007D52CF" w14:paraId="25786D4B" w14:textId="77777777" w:rsidTr="00A4788F">
        <w:trPr>
          <w:trHeight w:hRule="exact" w:val="284"/>
        </w:trPr>
        <w:tc>
          <w:tcPr>
            <w:tcW w:w="1905" w:type="dxa"/>
            <w:shd w:val="clear" w:color="auto" w:fill="auto"/>
          </w:tcPr>
          <w:p w14:paraId="33DA60DA" w14:textId="77777777" w:rsidR="00A4788F" w:rsidRPr="007D52CF" w:rsidRDefault="00A4788F" w:rsidP="00A4788F">
            <w:pPr>
              <w:rPr>
                <w:rFonts w:asciiTheme="majorBidi" w:hAnsiTheme="majorBidi" w:cstheme="majorBidi"/>
              </w:rPr>
            </w:pPr>
            <w:r w:rsidRPr="007D52CF">
              <w:rPr>
                <w:rFonts w:asciiTheme="majorBidi" w:hAnsiTheme="majorBidi" w:cstheme="majorBidi"/>
              </w:rPr>
              <w:t>Life years</w:t>
            </w:r>
          </w:p>
        </w:tc>
        <w:tc>
          <w:tcPr>
            <w:tcW w:w="1634" w:type="dxa"/>
            <w:shd w:val="clear" w:color="auto" w:fill="auto"/>
            <w:vAlign w:val="bottom"/>
          </w:tcPr>
          <w:p w14:paraId="5BC247A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2.823</w:t>
            </w:r>
          </w:p>
        </w:tc>
        <w:tc>
          <w:tcPr>
            <w:tcW w:w="2126" w:type="dxa"/>
            <w:shd w:val="clear" w:color="auto" w:fill="auto"/>
            <w:vAlign w:val="bottom"/>
          </w:tcPr>
          <w:p w14:paraId="47440EA3"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2.759</w:t>
            </w:r>
          </w:p>
        </w:tc>
        <w:tc>
          <w:tcPr>
            <w:tcW w:w="1843" w:type="dxa"/>
            <w:shd w:val="clear" w:color="auto" w:fill="auto"/>
            <w:vAlign w:val="bottom"/>
          </w:tcPr>
          <w:p w14:paraId="18F260C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0.064</w:t>
            </w:r>
          </w:p>
        </w:tc>
      </w:tr>
      <w:tr w:rsidR="00A4788F" w:rsidRPr="007D52CF" w14:paraId="116D0657" w14:textId="77777777" w:rsidTr="00A4788F">
        <w:trPr>
          <w:trHeight w:hRule="exact" w:val="284"/>
        </w:trPr>
        <w:tc>
          <w:tcPr>
            <w:tcW w:w="1905" w:type="dxa"/>
            <w:shd w:val="clear" w:color="auto" w:fill="auto"/>
          </w:tcPr>
          <w:p w14:paraId="1805A167" w14:textId="77777777" w:rsidR="00A4788F" w:rsidRPr="007D52CF" w:rsidRDefault="00A4788F" w:rsidP="00A4788F">
            <w:pPr>
              <w:rPr>
                <w:rFonts w:asciiTheme="majorBidi" w:hAnsiTheme="majorBidi" w:cstheme="majorBidi"/>
              </w:rPr>
            </w:pPr>
            <w:r w:rsidRPr="007D52CF">
              <w:rPr>
                <w:rFonts w:asciiTheme="majorBidi" w:hAnsiTheme="majorBidi" w:cstheme="majorBidi"/>
              </w:rPr>
              <w:t>QALYs</w:t>
            </w:r>
          </w:p>
        </w:tc>
        <w:tc>
          <w:tcPr>
            <w:tcW w:w="1634" w:type="dxa"/>
            <w:shd w:val="clear" w:color="auto" w:fill="auto"/>
            <w:vAlign w:val="bottom"/>
          </w:tcPr>
          <w:p w14:paraId="2B0DA703"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1.984</w:t>
            </w:r>
          </w:p>
        </w:tc>
        <w:tc>
          <w:tcPr>
            <w:tcW w:w="2126" w:type="dxa"/>
            <w:shd w:val="clear" w:color="auto" w:fill="auto"/>
            <w:vAlign w:val="bottom"/>
          </w:tcPr>
          <w:p w14:paraId="45CCF994"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1.939</w:t>
            </w:r>
          </w:p>
        </w:tc>
        <w:tc>
          <w:tcPr>
            <w:tcW w:w="1843" w:type="dxa"/>
            <w:shd w:val="clear" w:color="auto" w:fill="auto"/>
            <w:vAlign w:val="bottom"/>
          </w:tcPr>
          <w:p w14:paraId="638F744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0.045</w:t>
            </w:r>
          </w:p>
        </w:tc>
      </w:tr>
      <w:tr w:rsidR="00A4788F" w:rsidRPr="007D52CF" w14:paraId="5C9BD23C" w14:textId="77777777" w:rsidTr="00A4788F">
        <w:trPr>
          <w:trHeight w:hRule="exact" w:val="284"/>
        </w:trPr>
        <w:tc>
          <w:tcPr>
            <w:tcW w:w="1905" w:type="dxa"/>
            <w:shd w:val="clear" w:color="auto" w:fill="auto"/>
          </w:tcPr>
          <w:p w14:paraId="1E98E7B6" w14:textId="77777777" w:rsidR="00A4788F" w:rsidRPr="007D52CF" w:rsidRDefault="00A4788F" w:rsidP="00A4788F">
            <w:pPr>
              <w:rPr>
                <w:rFonts w:asciiTheme="majorBidi" w:hAnsiTheme="majorBidi" w:cstheme="majorBidi"/>
              </w:rPr>
            </w:pPr>
            <w:r w:rsidRPr="007D52CF">
              <w:rPr>
                <w:rFonts w:asciiTheme="majorBidi" w:hAnsiTheme="majorBidi" w:cstheme="majorBidi"/>
              </w:rPr>
              <w:t>Per person NHE</w:t>
            </w:r>
          </w:p>
        </w:tc>
        <w:tc>
          <w:tcPr>
            <w:tcW w:w="1634" w:type="dxa"/>
            <w:shd w:val="clear" w:color="auto" w:fill="auto"/>
            <w:vAlign w:val="bottom"/>
          </w:tcPr>
          <w:p w14:paraId="6AFDFC1E"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0.123</w:t>
            </w:r>
          </w:p>
        </w:tc>
        <w:tc>
          <w:tcPr>
            <w:tcW w:w="2126" w:type="dxa"/>
            <w:shd w:val="clear" w:color="auto" w:fill="auto"/>
            <w:vAlign w:val="bottom"/>
          </w:tcPr>
          <w:p w14:paraId="2CBE0449"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0.063</w:t>
            </w:r>
          </w:p>
        </w:tc>
        <w:tc>
          <w:tcPr>
            <w:tcW w:w="1843" w:type="dxa"/>
            <w:shd w:val="clear" w:color="auto" w:fill="auto"/>
            <w:vAlign w:val="bottom"/>
          </w:tcPr>
          <w:p w14:paraId="10B721E4" w14:textId="77777777" w:rsidR="00A4788F" w:rsidRPr="007D52CF" w:rsidRDefault="00A4788F" w:rsidP="00A4788F">
            <w:pPr>
              <w:jc w:val="right"/>
              <w:rPr>
                <w:rFonts w:asciiTheme="majorBidi" w:hAnsiTheme="majorBidi" w:cstheme="majorBidi"/>
              </w:rPr>
            </w:pPr>
            <w:r w:rsidRPr="007D52CF">
              <w:rPr>
                <w:rFonts w:asciiTheme="majorBidi" w:hAnsiTheme="majorBidi" w:cstheme="majorBidi"/>
                <w:color w:val="000000"/>
              </w:rPr>
              <w:t>0.060</w:t>
            </w:r>
          </w:p>
        </w:tc>
      </w:tr>
      <w:tr w:rsidR="00A4788F" w:rsidRPr="007D52CF" w14:paraId="23064659" w14:textId="77777777" w:rsidTr="00A4788F">
        <w:trPr>
          <w:trHeight w:hRule="exact" w:val="284"/>
        </w:trPr>
        <w:tc>
          <w:tcPr>
            <w:tcW w:w="7508" w:type="dxa"/>
            <w:gridSpan w:val="4"/>
            <w:shd w:val="clear" w:color="auto" w:fill="auto"/>
          </w:tcPr>
          <w:p w14:paraId="60DD40A8" w14:textId="77777777" w:rsidR="00A4788F" w:rsidRPr="007D52CF" w:rsidRDefault="00A4788F" w:rsidP="00A4788F">
            <w:pPr>
              <w:rPr>
                <w:rFonts w:asciiTheme="majorBidi" w:hAnsiTheme="majorBidi" w:cstheme="majorBidi"/>
                <w:color w:val="000000"/>
              </w:rPr>
            </w:pPr>
            <w:proofErr w:type="spellStart"/>
            <w:r w:rsidRPr="007D52CF">
              <w:rPr>
                <w:rFonts w:asciiTheme="majorBidi" w:hAnsiTheme="majorBidi" w:cstheme="majorBidi"/>
                <w:b/>
                <w:bCs/>
              </w:rPr>
              <w:t>cUTI</w:t>
            </w:r>
            <w:proofErr w:type="spellEnd"/>
          </w:p>
        </w:tc>
      </w:tr>
      <w:tr w:rsidR="00A4788F" w:rsidRPr="007D52CF" w14:paraId="2F88EFBB" w14:textId="77777777" w:rsidTr="00A4788F">
        <w:trPr>
          <w:trHeight w:hRule="exact" w:val="284"/>
        </w:trPr>
        <w:tc>
          <w:tcPr>
            <w:tcW w:w="7508" w:type="dxa"/>
            <w:gridSpan w:val="4"/>
            <w:shd w:val="clear" w:color="auto" w:fill="auto"/>
          </w:tcPr>
          <w:p w14:paraId="42C58B97" w14:textId="77777777" w:rsidR="00A4788F" w:rsidRPr="007D52CF" w:rsidRDefault="00A4788F" w:rsidP="00A4788F">
            <w:pPr>
              <w:rPr>
                <w:rFonts w:asciiTheme="majorBidi" w:hAnsiTheme="majorBidi" w:cstheme="majorBidi"/>
                <w:color w:val="000000"/>
              </w:rPr>
            </w:pPr>
            <w:r w:rsidRPr="007D52CF">
              <w:rPr>
                <w:rFonts w:asciiTheme="majorBidi" w:hAnsiTheme="majorBidi" w:cstheme="majorBidi"/>
                <w:b/>
                <w:bCs/>
                <w:i/>
              </w:rPr>
              <w:t>Summary of in-hospital outcomes (proportions) across both lines of treatment available</w:t>
            </w:r>
          </w:p>
        </w:tc>
      </w:tr>
      <w:tr w:rsidR="00A4788F" w:rsidRPr="007D52CF" w14:paraId="4265143D" w14:textId="77777777" w:rsidTr="00A4788F">
        <w:trPr>
          <w:trHeight w:hRule="exact" w:val="284"/>
        </w:trPr>
        <w:tc>
          <w:tcPr>
            <w:tcW w:w="1905" w:type="dxa"/>
            <w:shd w:val="clear" w:color="auto" w:fill="auto"/>
          </w:tcPr>
          <w:p w14:paraId="3361A48A" w14:textId="77777777" w:rsidR="00A4788F" w:rsidRPr="007D52CF" w:rsidRDefault="00A4788F" w:rsidP="00A4788F">
            <w:pPr>
              <w:rPr>
                <w:rFonts w:asciiTheme="majorBidi" w:hAnsiTheme="majorBidi" w:cstheme="majorBidi"/>
                <w:b/>
                <w:bCs/>
                <w:i/>
              </w:rPr>
            </w:pPr>
            <w:r w:rsidRPr="007D52CF">
              <w:rPr>
                <w:rFonts w:asciiTheme="majorBidi" w:hAnsiTheme="majorBidi" w:cstheme="majorBidi"/>
              </w:rPr>
              <w:t>Death</w:t>
            </w:r>
          </w:p>
        </w:tc>
        <w:tc>
          <w:tcPr>
            <w:tcW w:w="1634" w:type="dxa"/>
            <w:shd w:val="clear" w:color="auto" w:fill="auto"/>
            <w:vAlign w:val="bottom"/>
          </w:tcPr>
          <w:p w14:paraId="43F2002C"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0.125</w:t>
            </w:r>
          </w:p>
        </w:tc>
        <w:tc>
          <w:tcPr>
            <w:tcW w:w="2126" w:type="dxa"/>
            <w:shd w:val="clear" w:color="auto" w:fill="auto"/>
            <w:vAlign w:val="bottom"/>
          </w:tcPr>
          <w:p w14:paraId="35FD811C"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0.136</w:t>
            </w:r>
          </w:p>
        </w:tc>
        <w:tc>
          <w:tcPr>
            <w:tcW w:w="1843" w:type="dxa"/>
            <w:shd w:val="clear" w:color="auto" w:fill="auto"/>
            <w:vAlign w:val="bottom"/>
          </w:tcPr>
          <w:p w14:paraId="594EE2F1"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-0.011</w:t>
            </w:r>
          </w:p>
        </w:tc>
      </w:tr>
      <w:tr w:rsidR="00A4788F" w:rsidRPr="007D52CF" w14:paraId="02D86D08" w14:textId="77777777" w:rsidTr="00A4788F">
        <w:trPr>
          <w:trHeight w:hRule="exact" w:val="284"/>
        </w:trPr>
        <w:tc>
          <w:tcPr>
            <w:tcW w:w="1905" w:type="dxa"/>
            <w:shd w:val="clear" w:color="auto" w:fill="auto"/>
          </w:tcPr>
          <w:p w14:paraId="3AC63616"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no AKI</w:t>
            </w:r>
          </w:p>
        </w:tc>
        <w:tc>
          <w:tcPr>
            <w:tcW w:w="1634" w:type="dxa"/>
            <w:shd w:val="clear" w:color="auto" w:fill="auto"/>
            <w:vAlign w:val="bottom"/>
          </w:tcPr>
          <w:p w14:paraId="6115C03C"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0.646</w:t>
            </w:r>
          </w:p>
        </w:tc>
        <w:tc>
          <w:tcPr>
            <w:tcW w:w="2126" w:type="dxa"/>
            <w:shd w:val="clear" w:color="auto" w:fill="auto"/>
            <w:vAlign w:val="bottom"/>
          </w:tcPr>
          <w:p w14:paraId="1A7C9A43"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0.607</w:t>
            </w:r>
          </w:p>
        </w:tc>
        <w:tc>
          <w:tcPr>
            <w:tcW w:w="1843" w:type="dxa"/>
            <w:shd w:val="clear" w:color="auto" w:fill="auto"/>
            <w:vAlign w:val="bottom"/>
          </w:tcPr>
          <w:p w14:paraId="3936B55C"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0.039</w:t>
            </w:r>
          </w:p>
        </w:tc>
      </w:tr>
      <w:tr w:rsidR="00A4788F" w:rsidRPr="007D52CF" w14:paraId="67098B84" w14:textId="77777777" w:rsidTr="00A4788F">
        <w:trPr>
          <w:trHeight w:hRule="exact" w:val="284"/>
        </w:trPr>
        <w:tc>
          <w:tcPr>
            <w:tcW w:w="1905" w:type="dxa"/>
            <w:shd w:val="clear" w:color="auto" w:fill="auto"/>
          </w:tcPr>
          <w:p w14:paraId="43DB80E1"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AKI</w:t>
            </w:r>
          </w:p>
        </w:tc>
        <w:tc>
          <w:tcPr>
            <w:tcW w:w="1634" w:type="dxa"/>
            <w:shd w:val="clear" w:color="auto" w:fill="auto"/>
            <w:vAlign w:val="bottom"/>
          </w:tcPr>
          <w:p w14:paraId="56EC21B0"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0.228</w:t>
            </w:r>
          </w:p>
        </w:tc>
        <w:tc>
          <w:tcPr>
            <w:tcW w:w="2126" w:type="dxa"/>
            <w:shd w:val="clear" w:color="auto" w:fill="auto"/>
            <w:vAlign w:val="bottom"/>
          </w:tcPr>
          <w:p w14:paraId="3BD547A3"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0.257</w:t>
            </w:r>
          </w:p>
        </w:tc>
        <w:tc>
          <w:tcPr>
            <w:tcW w:w="1843" w:type="dxa"/>
            <w:shd w:val="clear" w:color="auto" w:fill="auto"/>
            <w:vAlign w:val="bottom"/>
          </w:tcPr>
          <w:p w14:paraId="002A04DF"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-0.028</w:t>
            </w:r>
          </w:p>
        </w:tc>
      </w:tr>
      <w:tr w:rsidR="00A4788F" w:rsidRPr="007D52CF" w14:paraId="42DB173B" w14:textId="77777777" w:rsidTr="00A4788F">
        <w:trPr>
          <w:trHeight w:hRule="exact" w:val="284"/>
        </w:trPr>
        <w:tc>
          <w:tcPr>
            <w:tcW w:w="1905" w:type="dxa"/>
            <w:shd w:val="clear" w:color="auto" w:fill="auto"/>
          </w:tcPr>
          <w:p w14:paraId="743A431C" w14:textId="77777777" w:rsidR="00A4788F" w:rsidRPr="007D52CF" w:rsidRDefault="00A4788F" w:rsidP="00A4788F">
            <w:pPr>
              <w:rPr>
                <w:rFonts w:asciiTheme="majorBidi" w:hAnsiTheme="majorBidi" w:cstheme="majorBidi"/>
              </w:rPr>
            </w:pPr>
            <w:r w:rsidRPr="007D52CF">
              <w:rPr>
                <w:rFonts w:asciiTheme="majorBidi" w:hAnsiTheme="majorBidi" w:cstheme="majorBidi"/>
              </w:rPr>
              <w:t>Survival CKD</w:t>
            </w:r>
          </w:p>
        </w:tc>
        <w:tc>
          <w:tcPr>
            <w:tcW w:w="1634" w:type="dxa"/>
            <w:shd w:val="clear" w:color="auto" w:fill="auto"/>
            <w:vAlign w:val="bottom"/>
          </w:tcPr>
          <w:p w14:paraId="7A2D7092"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0.000</w:t>
            </w:r>
          </w:p>
        </w:tc>
        <w:tc>
          <w:tcPr>
            <w:tcW w:w="2126" w:type="dxa"/>
            <w:shd w:val="clear" w:color="auto" w:fill="auto"/>
            <w:vAlign w:val="bottom"/>
          </w:tcPr>
          <w:p w14:paraId="3C44845B"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0.000</w:t>
            </w:r>
          </w:p>
        </w:tc>
        <w:tc>
          <w:tcPr>
            <w:tcW w:w="1843" w:type="dxa"/>
            <w:shd w:val="clear" w:color="auto" w:fill="auto"/>
            <w:vAlign w:val="bottom"/>
          </w:tcPr>
          <w:p w14:paraId="2B965F84"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0.000</w:t>
            </w:r>
          </w:p>
        </w:tc>
      </w:tr>
      <w:tr w:rsidR="00A4788F" w:rsidRPr="007D52CF" w14:paraId="10BA710E" w14:textId="77777777" w:rsidTr="00A4788F">
        <w:trPr>
          <w:trHeight w:hRule="exact" w:val="284"/>
        </w:trPr>
        <w:tc>
          <w:tcPr>
            <w:tcW w:w="7508" w:type="dxa"/>
            <w:gridSpan w:val="4"/>
            <w:shd w:val="clear" w:color="auto" w:fill="auto"/>
          </w:tcPr>
          <w:p w14:paraId="6A1708D3" w14:textId="77777777" w:rsidR="00A4788F" w:rsidRPr="007D52CF" w:rsidRDefault="00A4788F" w:rsidP="00A4788F">
            <w:pPr>
              <w:rPr>
                <w:rFonts w:asciiTheme="majorBidi" w:hAnsiTheme="majorBidi" w:cstheme="majorBidi"/>
                <w:color w:val="000000"/>
              </w:rPr>
            </w:pPr>
            <w:r w:rsidRPr="007D52CF">
              <w:rPr>
                <w:rFonts w:asciiTheme="majorBidi" w:hAnsiTheme="majorBidi" w:cstheme="majorBidi"/>
                <w:b/>
                <w:bCs/>
                <w:i/>
              </w:rPr>
              <w:t>Economic outcomes (all discounted)</w:t>
            </w:r>
          </w:p>
        </w:tc>
      </w:tr>
      <w:tr w:rsidR="00A4788F" w:rsidRPr="007D52CF" w14:paraId="4CAF93FA" w14:textId="77777777" w:rsidTr="00A4788F">
        <w:trPr>
          <w:trHeight w:hRule="exact" w:val="284"/>
        </w:trPr>
        <w:tc>
          <w:tcPr>
            <w:tcW w:w="1905" w:type="dxa"/>
            <w:shd w:val="clear" w:color="auto" w:fill="auto"/>
          </w:tcPr>
          <w:p w14:paraId="5B8FD6DD" w14:textId="77777777" w:rsidR="00A4788F" w:rsidRPr="007D52CF" w:rsidRDefault="00A4788F" w:rsidP="00A4788F">
            <w:pPr>
              <w:rPr>
                <w:rFonts w:asciiTheme="majorBidi" w:hAnsiTheme="majorBidi" w:cstheme="majorBidi"/>
                <w:b/>
                <w:bCs/>
                <w:i/>
              </w:rPr>
            </w:pPr>
            <w:r w:rsidRPr="007D52CF">
              <w:rPr>
                <w:rFonts w:asciiTheme="majorBidi" w:hAnsiTheme="majorBidi" w:cstheme="majorBidi"/>
              </w:rPr>
              <w:t>Treatment costs</w:t>
            </w:r>
          </w:p>
        </w:tc>
        <w:tc>
          <w:tcPr>
            <w:tcW w:w="1634" w:type="dxa"/>
            <w:shd w:val="clear" w:color="auto" w:fill="auto"/>
            <w:vAlign w:val="bottom"/>
          </w:tcPr>
          <w:p w14:paraId="3832BFA4"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£189</w:t>
            </w:r>
          </w:p>
        </w:tc>
        <w:tc>
          <w:tcPr>
            <w:tcW w:w="2126" w:type="dxa"/>
            <w:shd w:val="clear" w:color="auto" w:fill="auto"/>
            <w:vAlign w:val="bottom"/>
          </w:tcPr>
          <w:p w14:paraId="0DEECAE0"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£264</w:t>
            </w:r>
          </w:p>
        </w:tc>
        <w:tc>
          <w:tcPr>
            <w:tcW w:w="1843" w:type="dxa"/>
            <w:shd w:val="clear" w:color="auto" w:fill="auto"/>
            <w:vAlign w:val="bottom"/>
          </w:tcPr>
          <w:p w14:paraId="1CE9B41E"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-£74</w:t>
            </w:r>
          </w:p>
        </w:tc>
      </w:tr>
      <w:tr w:rsidR="00A4788F" w:rsidRPr="007D52CF" w14:paraId="56D04EDF" w14:textId="77777777" w:rsidTr="00A4788F">
        <w:trPr>
          <w:trHeight w:hRule="exact" w:val="284"/>
        </w:trPr>
        <w:tc>
          <w:tcPr>
            <w:tcW w:w="1905" w:type="dxa"/>
            <w:shd w:val="clear" w:color="auto" w:fill="auto"/>
          </w:tcPr>
          <w:p w14:paraId="06CCB6B0" w14:textId="77777777" w:rsidR="00A4788F" w:rsidRPr="007D52CF" w:rsidRDefault="00A4788F" w:rsidP="00A4788F">
            <w:pPr>
              <w:rPr>
                <w:rFonts w:asciiTheme="majorBidi" w:hAnsiTheme="majorBidi" w:cstheme="majorBidi"/>
              </w:rPr>
            </w:pPr>
            <w:r w:rsidRPr="007D52CF">
              <w:rPr>
                <w:rFonts w:asciiTheme="majorBidi" w:hAnsiTheme="majorBidi" w:cstheme="majorBidi"/>
              </w:rPr>
              <w:t>AKI costs hospital</w:t>
            </w:r>
          </w:p>
        </w:tc>
        <w:tc>
          <w:tcPr>
            <w:tcW w:w="1634" w:type="dxa"/>
            <w:shd w:val="clear" w:color="auto" w:fill="auto"/>
            <w:vAlign w:val="bottom"/>
          </w:tcPr>
          <w:p w14:paraId="768941BF"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£1,673</w:t>
            </w:r>
          </w:p>
        </w:tc>
        <w:tc>
          <w:tcPr>
            <w:tcW w:w="2126" w:type="dxa"/>
            <w:shd w:val="clear" w:color="auto" w:fill="auto"/>
            <w:vAlign w:val="bottom"/>
          </w:tcPr>
          <w:p w14:paraId="0AAC24FD"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£1,884</w:t>
            </w:r>
          </w:p>
        </w:tc>
        <w:tc>
          <w:tcPr>
            <w:tcW w:w="1843" w:type="dxa"/>
            <w:shd w:val="clear" w:color="auto" w:fill="auto"/>
            <w:vAlign w:val="bottom"/>
          </w:tcPr>
          <w:p w14:paraId="0913C745"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-£211</w:t>
            </w:r>
          </w:p>
        </w:tc>
      </w:tr>
      <w:tr w:rsidR="00A4788F" w:rsidRPr="007D52CF" w14:paraId="7EFA0F04" w14:textId="77777777" w:rsidTr="00A4788F">
        <w:trPr>
          <w:trHeight w:hRule="exact" w:val="284"/>
        </w:trPr>
        <w:tc>
          <w:tcPr>
            <w:tcW w:w="1905" w:type="dxa"/>
            <w:shd w:val="clear" w:color="auto" w:fill="auto"/>
          </w:tcPr>
          <w:p w14:paraId="106EB2AE" w14:textId="77777777" w:rsidR="00A4788F" w:rsidRPr="007D52CF" w:rsidRDefault="00A4788F" w:rsidP="00A4788F">
            <w:pPr>
              <w:rPr>
                <w:rFonts w:asciiTheme="majorBidi" w:hAnsiTheme="majorBidi" w:cstheme="majorBidi"/>
              </w:rPr>
            </w:pPr>
            <w:r w:rsidRPr="007D52CF">
              <w:rPr>
                <w:rFonts w:asciiTheme="majorBidi" w:hAnsiTheme="majorBidi" w:cstheme="majorBidi"/>
              </w:rPr>
              <w:t>Other costs hospital</w:t>
            </w:r>
          </w:p>
        </w:tc>
        <w:tc>
          <w:tcPr>
            <w:tcW w:w="1634" w:type="dxa"/>
            <w:shd w:val="clear" w:color="auto" w:fill="auto"/>
            <w:vAlign w:val="bottom"/>
          </w:tcPr>
          <w:p w14:paraId="01C985BF"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£17,344</w:t>
            </w:r>
          </w:p>
        </w:tc>
        <w:tc>
          <w:tcPr>
            <w:tcW w:w="2126" w:type="dxa"/>
            <w:shd w:val="clear" w:color="auto" w:fill="auto"/>
            <w:vAlign w:val="bottom"/>
          </w:tcPr>
          <w:p w14:paraId="2B1C9D45"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£17,355</w:t>
            </w:r>
          </w:p>
        </w:tc>
        <w:tc>
          <w:tcPr>
            <w:tcW w:w="1843" w:type="dxa"/>
            <w:shd w:val="clear" w:color="auto" w:fill="auto"/>
            <w:vAlign w:val="bottom"/>
          </w:tcPr>
          <w:p w14:paraId="03CA3258"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-£11</w:t>
            </w:r>
          </w:p>
        </w:tc>
      </w:tr>
      <w:tr w:rsidR="00A4788F" w:rsidRPr="007D52CF" w14:paraId="15EBAC87" w14:textId="77777777" w:rsidTr="00A4788F">
        <w:trPr>
          <w:trHeight w:hRule="exact" w:val="284"/>
        </w:trPr>
        <w:tc>
          <w:tcPr>
            <w:tcW w:w="1905" w:type="dxa"/>
            <w:shd w:val="clear" w:color="auto" w:fill="auto"/>
          </w:tcPr>
          <w:p w14:paraId="5A1EFD5E" w14:textId="77777777" w:rsidR="00A4788F" w:rsidRPr="007D52CF" w:rsidRDefault="00A4788F" w:rsidP="00A4788F">
            <w:pPr>
              <w:rPr>
                <w:rFonts w:asciiTheme="majorBidi" w:hAnsiTheme="majorBidi" w:cstheme="majorBidi"/>
              </w:rPr>
            </w:pPr>
            <w:r w:rsidRPr="007D52CF">
              <w:rPr>
                <w:rFonts w:asciiTheme="majorBidi" w:hAnsiTheme="majorBidi" w:cstheme="majorBidi"/>
              </w:rPr>
              <w:t>Long-term costs</w:t>
            </w:r>
          </w:p>
        </w:tc>
        <w:tc>
          <w:tcPr>
            <w:tcW w:w="1634" w:type="dxa"/>
            <w:shd w:val="clear" w:color="auto" w:fill="auto"/>
            <w:vAlign w:val="bottom"/>
          </w:tcPr>
          <w:p w14:paraId="71EAF528"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£904</w:t>
            </w:r>
          </w:p>
        </w:tc>
        <w:tc>
          <w:tcPr>
            <w:tcW w:w="2126" w:type="dxa"/>
            <w:shd w:val="clear" w:color="auto" w:fill="auto"/>
            <w:vAlign w:val="bottom"/>
          </w:tcPr>
          <w:p w14:paraId="5DCC02F4"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£907</w:t>
            </w:r>
          </w:p>
        </w:tc>
        <w:tc>
          <w:tcPr>
            <w:tcW w:w="1843" w:type="dxa"/>
            <w:shd w:val="clear" w:color="auto" w:fill="auto"/>
            <w:vAlign w:val="bottom"/>
          </w:tcPr>
          <w:p w14:paraId="769A3B8E"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-£4</w:t>
            </w:r>
          </w:p>
        </w:tc>
      </w:tr>
      <w:tr w:rsidR="00A4788F" w:rsidRPr="007D52CF" w14:paraId="18A46692" w14:textId="77777777" w:rsidTr="00A4788F">
        <w:trPr>
          <w:trHeight w:hRule="exact" w:val="284"/>
        </w:trPr>
        <w:tc>
          <w:tcPr>
            <w:tcW w:w="1905" w:type="dxa"/>
            <w:shd w:val="clear" w:color="auto" w:fill="auto"/>
          </w:tcPr>
          <w:p w14:paraId="0D4666ED" w14:textId="77777777" w:rsidR="00A4788F" w:rsidRPr="007D52CF" w:rsidRDefault="00A4788F" w:rsidP="00A4788F">
            <w:pPr>
              <w:rPr>
                <w:rFonts w:asciiTheme="majorBidi" w:hAnsiTheme="majorBidi" w:cstheme="majorBidi"/>
              </w:rPr>
            </w:pPr>
            <w:r w:rsidRPr="007D52CF">
              <w:rPr>
                <w:rFonts w:asciiTheme="majorBidi" w:hAnsiTheme="majorBidi" w:cstheme="majorBidi"/>
              </w:rPr>
              <w:t>Total costs</w:t>
            </w:r>
          </w:p>
        </w:tc>
        <w:tc>
          <w:tcPr>
            <w:tcW w:w="1634" w:type="dxa"/>
            <w:shd w:val="clear" w:color="auto" w:fill="auto"/>
            <w:vAlign w:val="bottom"/>
          </w:tcPr>
          <w:p w14:paraId="60E74832"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£20,110</w:t>
            </w:r>
          </w:p>
        </w:tc>
        <w:tc>
          <w:tcPr>
            <w:tcW w:w="2126" w:type="dxa"/>
            <w:shd w:val="clear" w:color="auto" w:fill="auto"/>
            <w:vAlign w:val="bottom"/>
          </w:tcPr>
          <w:p w14:paraId="23C9858D"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£20,410</w:t>
            </w:r>
          </w:p>
        </w:tc>
        <w:tc>
          <w:tcPr>
            <w:tcW w:w="1843" w:type="dxa"/>
            <w:shd w:val="clear" w:color="auto" w:fill="auto"/>
            <w:vAlign w:val="bottom"/>
          </w:tcPr>
          <w:p w14:paraId="05152E78"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-£300</w:t>
            </w:r>
          </w:p>
        </w:tc>
      </w:tr>
      <w:tr w:rsidR="00A4788F" w:rsidRPr="007D52CF" w14:paraId="4249428F" w14:textId="77777777" w:rsidTr="00A4788F">
        <w:trPr>
          <w:trHeight w:hRule="exact" w:val="284"/>
        </w:trPr>
        <w:tc>
          <w:tcPr>
            <w:tcW w:w="1905" w:type="dxa"/>
            <w:shd w:val="clear" w:color="auto" w:fill="auto"/>
          </w:tcPr>
          <w:p w14:paraId="75FFB29F" w14:textId="77777777" w:rsidR="00A4788F" w:rsidRPr="007D52CF" w:rsidRDefault="00A4788F" w:rsidP="00A4788F">
            <w:pPr>
              <w:rPr>
                <w:rFonts w:asciiTheme="majorBidi" w:hAnsiTheme="majorBidi" w:cstheme="majorBidi"/>
              </w:rPr>
            </w:pPr>
            <w:r w:rsidRPr="007D52CF">
              <w:rPr>
                <w:rFonts w:asciiTheme="majorBidi" w:hAnsiTheme="majorBidi" w:cstheme="majorBidi"/>
              </w:rPr>
              <w:t>Life years</w:t>
            </w:r>
          </w:p>
        </w:tc>
        <w:tc>
          <w:tcPr>
            <w:tcW w:w="1634" w:type="dxa"/>
            <w:shd w:val="clear" w:color="auto" w:fill="auto"/>
            <w:vAlign w:val="bottom"/>
          </w:tcPr>
          <w:p w14:paraId="6D7477D1"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3.944</w:t>
            </w:r>
          </w:p>
        </w:tc>
        <w:tc>
          <w:tcPr>
            <w:tcW w:w="2126" w:type="dxa"/>
            <w:shd w:val="clear" w:color="auto" w:fill="auto"/>
            <w:vAlign w:val="bottom"/>
          </w:tcPr>
          <w:p w14:paraId="28258915"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3.896</w:t>
            </w:r>
          </w:p>
        </w:tc>
        <w:tc>
          <w:tcPr>
            <w:tcW w:w="1843" w:type="dxa"/>
            <w:shd w:val="clear" w:color="auto" w:fill="auto"/>
            <w:vAlign w:val="bottom"/>
          </w:tcPr>
          <w:p w14:paraId="4308C3B8"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0.049</w:t>
            </w:r>
          </w:p>
        </w:tc>
      </w:tr>
      <w:tr w:rsidR="00A4788F" w:rsidRPr="007D52CF" w14:paraId="3ADB164B" w14:textId="77777777" w:rsidTr="00A4788F">
        <w:trPr>
          <w:trHeight w:hRule="exact" w:val="284"/>
        </w:trPr>
        <w:tc>
          <w:tcPr>
            <w:tcW w:w="1905" w:type="dxa"/>
            <w:shd w:val="clear" w:color="auto" w:fill="auto"/>
          </w:tcPr>
          <w:p w14:paraId="0F8B4430" w14:textId="77777777" w:rsidR="00A4788F" w:rsidRPr="007D52CF" w:rsidRDefault="00A4788F" w:rsidP="00A4788F">
            <w:pPr>
              <w:rPr>
                <w:rFonts w:asciiTheme="majorBidi" w:hAnsiTheme="majorBidi" w:cstheme="majorBidi"/>
              </w:rPr>
            </w:pPr>
            <w:r w:rsidRPr="007D52CF">
              <w:rPr>
                <w:rFonts w:asciiTheme="majorBidi" w:hAnsiTheme="majorBidi" w:cstheme="majorBidi"/>
              </w:rPr>
              <w:lastRenderedPageBreak/>
              <w:t>QALYs</w:t>
            </w:r>
          </w:p>
        </w:tc>
        <w:tc>
          <w:tcPr>
            <w:tcW w:w="1634" w:type="dxa"/>
            <w:shd w:val="clear" w:color="auto" w:fill="auto"/>
            <w:vAlign w:val="bottom"/>
          </w:tcPr>
          <w:p w14:paraId="6CC3AFEA"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2.772</w:t>
            </w:r>
          </w:p>
        </w:tc>
        <w:tc>
          <w:tcPr>
            <w:tcW w:w="2126" w:type="dxa"/>
            <w:shd w:val="clear" w:color="auto" w:fill="auto"/>
            <w:vAlign w:val="bottom"/>
          </w:tcPr>
          <w:p w14:paraId="2A4092FA"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2.738</w:t>
            </w:r>
          </w:p>
        </w:tc>
        <w:tc>
          <w:tcPr>
            <w:tcW w:w="1843" w:type="dxa"/>
            <w:shd w:val="clear" w:color="auto" w:fill="auto"/>
            <w:vAlign w:val="bottom"/>
          </w:tcPr>
          <w:p w14:paraId="0A535B1D"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0.034</w:t>
            </w:r>
          </w:p>
        </w:tc>
      </w:tr>
      <w:tr w:rsidR="00A4788F" w:rsidRPr="007D52CF" w14:paraId="135C2BFA" w14:textId="77777777" w:rsidTr="00A4788F">
        <w:trPr>
          <w:trHeight w:hRule="exact" w:val="284"/>
        </w:trPr>
        <w:tc>
          <w:tcPr>
            <w:tcW w:w="1905" w:type="dxa"/>
            <w:shd w:val="clear" w:color="auto" w:fill="auto"/>
          </w:tcPr>
          <w:p w14:paraId="01F2FBEA" w14:textId="77777777" w:rsidR="00A4788F" w:rsidRPr="007D52CF" w:rsidRDefault="00A4788F" w:rsidP="00A4788F">
            <w:pPr>
              <w:rPr>
                <w:rFonts w:asciiTheme="majorBidi" w:hAnsiTheme="majorBidi" w:cstheme="majorBidi"/>
              </w:rPr>
            </w:pPr>
            <w:r w:rsidRPr="007D52CF">
              <w:rPr>
                <w:rFonts w:asciiTheme="majorBidi" w:hAnsiTheme="majorBidi" w:cstheme="majorBidi"/>
              </w:rPr>
              <w:t>Per person NHE</w:t>
            </w:r>
          </w:p>
        </w:tc>
        <w:tc>
          <w:tcPr>
            <w:tcW w:w="1634" w:type="dxa"/>
            <w:shd w:val="clear" w:color="auto" w:fill="auto"/>
            <w:vAlign w:val="bottom"/>
          </w:tcPr>
          <w:p w14:paraId="61B6EA1E"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1.767</w:t>
            </w:r>
          </w:p>
        </w:tc>
        <w:tc>
          <w:tcPr>
            <w:tcW w:w="2126" w:type="dxa"/>
            <w:shd w:val="clear" w:color="auto" w:fill="auto"/>
            <w:vAlign w:val="bottom"/>
          </w:tcPr>
          <w:p w14:paraId="41405DE3"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1.718</w:t>
            </w:r>
          </w:p>
        </w:tc>
        <w:tc>
          <w:tcPr>
            <w:tcW w:w="1843" w:type="dxa"/>
            <w:shd w:val="clear" w:color="auto" w:fill="auto"/>
            <w:vAlign w:val="bottom"/>
          </w:tcPr>
          <w:p w14:paraId="5D5EA7E7" w14:textId="77777777" w:rsidR="00A4788F" w:rsidRPr="007D52CF" w:rsidRDefault="00A4788F" w:rsidP="00A4788F">
            <w:pPr>
              <w:jc w:val="right"/>
              <w:rPr>
                <w:rFonts w:asciiTheme="majorBidi" w:hAnsiTheme="majorBidi" w:cstheme="majorBidi"/>
                <w:color w:val="000000"/>
              </w:rPr>
            </w:pPr>
            <w:r w:rsidRPr="007D52CF">
              <w:rPr>
                <w:rFonts w:asciiTheme="majorBidi" w:hAnsiTheme="majorBidi" w:cstheme="majorBidi"/>
                <w:color w:val="000000"/>
              </w:rPr>
              <w:t>0.049</w:t>
            </w:r>
          </w:p>
        </w:tc>
      </w:tr>
    </w:tbl>
    <w:p w14:paraId="2014FB68" w14:textId="25650F61" w:rsidR="00342BCE" w:rsidRPr="00342BCE" w:rsidRDefault="00342BCE" w:rsidP="00342BCE">
      <w:pPr>
        <w:pStyle w:val="EEPRUtextundertables"/>
      </w:pPr>
      <w:r w:rsidRPr="00342BCE">
        <w:t xml:space="preserve">AKI, acute kidney injury; CKD, chronic kidney disease; </w:t>
      </w:r>
      <w:proofErr w:type="spellStart"/>
      <w:r w:rsidRPr="00342BCE">
        <w:t>cUTI</w:t>
      </w:r>
      <w:proofErr w:type="spellEnd"/>
      <w:r w:rsidRPr="00342BCE">
        <w:t xml:space="preserve">, complicated urinary tract infections; HAP/VAP, hospital-acquired </w:t>
      </w:r>
      <w:proofErr w:type="gramStart"/>
      <w:r w:rsidRPr="00342BCE">
        <w:t>pneumonia</w:t>
      </w:r>
      <w:proofErr w:type="gramEnd"/>
      <w:r w:rsidRPr="00342BCE">
        <w:t xml:space="preserve"> or ventilator-associated pneumonia; MDS, microbiology-directed setting; NHE, net health effect; QALYs, quality-adjusted life years</w:t>
      </w:r>
    </w:p>
    <w:p w14:paraId="520FCE3E" w14:textId="5FFD9926" w:rsidR="00A4788F" w:rsidRPr="008B218B" w:rsidRDefault="00342BCE" w:rsidP="00342BCE">
      <w:pPr>
        <w:pStyle w:val="EEPRUtextundertables"/>
      </w:pPr>
      <w:r w:rsidRPr="00342BCE">
        <w:t xml:space="preserve">NB: </w:t>
      </w:r>
      <w:r w:rsidR="00A4788F" w:rsidRPr="008B218B">
        <w:t>Net health effects derived using threshold of £20,000/QALY.</w:t>
      </w:r>
    </w:p>
    <w:p w14:paraId="4367F1BF" w14:textId="77777777" w:rsidR="00A4788F" w:rsidRPr="008B218B" w:rsidRDefault="00A4788F" w:rsidP="00A4788F">
      <w:pPr>
        <w:spacing w:after="0" w:line="360" w:lineRule="auto"/>
      </w:pPr>
    </w:p>
    <w:p w14:paraId="05B20255" w14:textId="0CEBA67A" w:rsidR="00A4788F" w:rsidRPr="003306F4" w:rsidRDefault="00A4788F" w:rsidP="00A4788F">
      <w:pPr>
        <w:spacing w:line="360" w:lineRule="auto"/>
        <w:jc w:val="both"/>
        <w:rPr>
          <w:rFonts w:asciiTheme="majorBidi" w:hAnsiTheme="majorBidi" w:cstheme="majorBidi"/>
        </w:rPr>
      </w:pPr>
      <w:r w:rsidRPr="003306F4">
        <w:rPr>
          <w:rFonts w:asciiTheme="majorBidi" w:hAnsiTheme="majorBidi" w:cstheme="majorBidi"/>
        </w:rPr>
        <w:t xml:space="preserve">There is a moderate degree of uncertainty around the per patient INHEs of CAZ-AVI compared to the existing treatment options. The distribution of per patient INHEs is shown in </w:t>
      </w:r>
      <w:r w:rsidR="003662A2" w:rsidRPr="003662A2">
        <w:rPr>
          <w:rFonts w:asciiTheme="majorBidi" w:hAnsiTheme="majorBidi" w:cstheme="majorBidi"/>
        </w:rPr>
        <w:t>Figure 24</w:t>
      </w:r>
      <w:r w:rsidRPr="003306F4">
        <w:rPr>
          <w:rFonts w:asciiTheme="majorBidi" w:hAnsiTheme="majorBidi" w:cstheme="majorBidi"/>
        </w:rPr>
        <w:t xml:space="preserve">. </w:t>
      </w:r>
    </w:p>
    <w:p w14:paraId="22995372" w14:textId="77777777" w:rsidR="003306F4" w:rsidRDefault="003306F4" w:rsidP="00A4788F">
      <w:pPr>
        <w:spacing w:line="360" w:lineRule="auto"/>
        <w:jc w:val="both"/>
        <w:rPr>
          <w:b/>
        </w:rPr>
      </w:pPr>
    </w:p>
    <w:p w14:paraId="44AE6D35" w14:textId="71E426B1" w:rsidR="008A21E8" w:rsidRPr="008B218B" w:rsidRDefault="008A21E8" w:rsidP="009E265F">
      <w:pPr>
        <w:pStyle w:val="TableofFigures"/>
      </w:pPr>
      <w:bookmarkStart w:id="518" w:name="_Ref83584387"/>
      <w:bookmarkStart w:id="519" w:name="_Ref83584386"/>
      <w:bookmarkStart w:id="520" w:name="_Toc83590019"/>
      <w:bookmarkStart w:id="521" w:name="_Toc86419068"/>
      <w:r w:rsidRPr="008B218B">
        <w:t xml:space="preserve">Figure </w:t>
      </w:r>
      <w:r w:rsidR="0021430F">
        <w:rPr>
          <w:noProof/>
        </w:rPr>
        <w:t>23</w:t>
      </w:r>
      <w:bookmarkEnd w:id="518"/>
      <w:r w:rsidRPr="008B218B">
        <w:t xml:space="preserve">: Distribution of INHEs of introducing CAZ-AVI in to the MDS compared to existing therapies: (a) OXA-48 </w:t>
      </w:r>
      <w:proofErr w:type="spellStart"/>
      <w:r w:rsidR="00381A08" w:rsidRPr="00381A08">
        <w:rPr>
          <w:i/>
          <w:iCs/>
        </w:rPr>
        <w:t>Enterobacterales</w:t>
      </w:r>
      <w:proofErr w:type="spellEnd"/>
      <w:r w:rsidRPr="008B218B">
        <w:t xml:space="preserve"> HAP/VAP and (b) OXA-48 </w:t>
      </w:r>
      <w:proofErr w:type="spellStart"/>
      <w:r w:rsidR="00381A08" w:rsidRPr="00381A08">
        <w:rPr>
          <w:i/>
          <w:iCs/>
        </w:rPr>
        <w:t>Enterobacterales</w:t>
      </w:r>
      <w:proofErr w:type="spellEnd"/>
      <w:r w:rsidRPr="008B218B">
        <w:t xml:space="preserve"> </w:t>
      </w:r>
      <w:proofErr w:type="spellStart"/>
      <w:r w:rsidRPr="008B218B">
        <w:t>cUTI</w:t>
      </w:r>
      <w:proofErr w:type="spellEnd"/>
      <w:r w:rsidRPr="008B218B">
        <w:t xml:space="preserve"> (2,000 simulations)</w:t>
      </w:r>
      <w:bookmarkEnd w:id="519"/>
      <w:bookmarkEnd w:id="520"/>
      <w:bookmarkEnd w:id="521"/>
    </w:p>
    <w:p w14:paraId="265C7983" w14:textId="77777777" w:rsidR="008A21E8" w:rsidRDefault="008A21E8" w:rsidP="00A4788F">
      <w:pPr>
        <w:spacing w:line="360" w:lineRule="auto"/>
        <w:jc w:val="both"/>
        <w:rPr>
          <w:b/>
        </w:rPr>
      </w:pPr>
    </w:p>
    <w:p w14:paraId="19103778" w14:textId="3B076939" w:rsidR="00A4788F" w:rsidRPr="008B218B" w:rsidRDefault="00A4788F" w:rsidP="00A4788F">
      <w:pPr>
        <w:spacing w:line="360" w:lineRule="auto"/>
        <w:jc w:val="both"/>
        <w:rPr>
          <w:b/>
        </w:rPr>
      </w:pPr>
      <w:r w:rsidRPr="008B218B">
        <w:rPr>
          <w:b/>
        </w:rPr>
        <w:t xml:space="preserve"> (a) HAP/VAP</w:t>
      </w:r>
      <w:r w:rsidRPr="008B218B">
        <w:rPr>
          <w:b/>
        </w:rPr>
        <w:tab/>
        <w:t xml:space="preserve"> </w:t>
      </w:r>
      <w:r w:rsidRPr="008B218B">
        <w:rPr>
          <w:b/>
        </w:rPr>
        <w:tab/>
      </w:r>
      <w:r w:rsidRPr="008B218B">
        <w:rPr>
          <w:b/>
        </w:rPr>
        <w:tab/>
        <w:t xml:space="preserve"> </w:t>
      </w:r>
      <w:r w:rsidRPr="008B218B">
        <w:rPr>
          <w:b/>
        </w:rPr>
        <w:tab/>
      </w:r>
      <w:r w:rsidRPr="008B218B">
        <w:rPr>
          <w:b/>
        </w:rPr>
        <w:tab/>
        <w:t xml:space="preserve">  </w:t>
      </w:r>
      <w:proofErr w:type="gramStart"/>
      <w:r w:rsidRPr="008B218B">
        <w:rPr>
          <w:b/>
        </w:rPr>
        <w:t xml:space="preserve">   (</w:t>
      </w:r>
      <w:proofErr w:type="gramEnd"/>
      <w:r w:rsidRPr="008B218B">
        <w:rPr>
          <w:b/>
        </w:rPr>
        <w:t xml:space="preserve">b) </w:t>
      </w:r>
      <w:proofErr w:type="spellStart"/>
      <w:r w:rsidRPr="008B218B">
        <w:rPr>
          <w:b/>
        </w:rPr>
        <w:t>cUTI</w:t>
      </w:r>
      <w:proofErr w:type="spellEnd"/>
    </w:p>
    <w:p w14:paraId="1E2CC01A" w14:textId="7E4DC201" w:rsidR="00A4788F" w:rsidRDefault="00A4788F" w:rsidP="00A4788F">
      <w:pPr>
        <w:spacing w:line="360" w:lineRule="auto"/>
        <w:jc w:val="both"/>
      </w:pPr>
      <w:r w:rsidRPr="008B218B">
        <w:rPr>
          <w:noProof/>
          <w:lang w:eastAsia="en-GB"/>
        </w:rPr>
        <w:drawing>
          <wp:inline distT="0" distB="0" distL="0" distR="0" wp14:anchorId="4465E860" wp14:editId="7D799F5D">
            <wp:extent cx="2857500" cy="3333750"/>
            <wp:effectExtent l="0" t="0" r="0" b="0"/>
            <wp:docPr id="132" name="Picture 132" descr="Histogram illustrating the distribution of INHEs of introducing CAZ-AVI in to the MDS compared to existing therapy OXA-48 Enterobacterales HAP/V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Histogram illustrating the distribution of INHEs of introducing CAZ-AVI in to the MDS compared to existing therapy OXA-48 Enterobacterales HAP/VAP "/>
                    <pic:cNvPicPr/>
                  </pic:nvPicPr>
                  <pic:blipFill>
                    <a:blip r:embed="rId39">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r w:rsidRPr="008B218B">
        <w:rPr>
          <w:noProof/>
          <w:lang w:eastAsia="en-GB"/>
        </w:rPr>
        <w:drawing>
          <wp:inline distT="0" distB="0" distL="0" distR="0" wp14:anchorId="04DBEDB4" wp14:editId="485981BA">
            <wp:extent cx="2857500" cy="3333750"/>
            <wp:effectExtent l="0" t="0" r="0" b="0"/>
            <wp:docPr id="133" name="Picture 133" descr="Histogram illustrating the distribution of INHEs of introducing CAZ-AVI in to the MDS compared to existing therapy OXA-48 Enterobacterales c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Histogram illustrating the distribution of INHEs of introducing CAZ-AVI in to the MDS compared to existing therapy OXA-48 Enterobacterales cUTI"/>
                    <pic:cNvPicPr/>
                  </pic:nvPicPr>
                  <pic:blipFill>
                    <a:blip r:embed="rId40">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bookmarkStart w:id="522" w:name="_Ref83037433"/>
    </w:p>
    <w:p w14:paraId="4D4F4DE3" w14:textId="77777777" w:rsidR="00342BCE" w:rsidRDefault="00342BCE" w:rsidP="00342BCE">
      <w:pPr>
        <w:pStyle w:val="EEPRUtextundertables"/>
      </w:pPr>
      <w:r>
        <w:t>MDS, microbiology-directed setting; NHE, net health effects</w:t>
      </w:r>
    </w:p>
    <w:bookmarkEnd w:id="522"/>
    <w:p w14:paraId="62C0FADC" w14:textId="77777777" w:rsidR="00A4788F" w:rsidRPr="008B218B" w:rsidRDefault="00A4788F" w:rsidP="00A4788F">
      <w:pPr>
        <w:spacing w:after="0" w:line="360" w:lineRule="auto"/>
        <w:jc w:val="both"/>
        <w:rPr>
          <w:b/>
        </w:rPr>
      </w:pPr>
    </w:p>
    <w:p w14:paraId="2064B991" w14:textId="5339A1A0" w:rsidR="00A4788F" w:rsidRPr="008A21E8" w:rsidRDefault="00A4788F" w:rsidP="00A4788F">
      <w:pPr>
        <w:spacing w:line="360" w:lineRule="auto"/>
        <w:jc w:val="both"/>
        <w:rPr>
          <w:rFonts w:asciiTheme="majorBidi" w:hAnsiTheme="majorBidi" w:cstheme="majorBidi"/>
        </w:rPr>
      </w:pPr>
      <w:r w:rsidRPr="008A21E8">
        <w:rPr>
          <w:rFonts w:asciiTheme="majorBidi" w:hAnsiTheme="majorBidi" w:cstheme="majorBidi"/>
        </w:rPr>
        <w:t xml:space="preserve">Scenario analyses that modified the deterministic base case INHE by more than 10% (and three scenario analyses requested by NICE marked by *) are shown in </w:t>
      </w:r>
      <w:r w:rsidR="003662A2" w:rsidRPr="003662A2">
        <w:rPr>
          <w:rFonts w:asciiTheme="majorBidi" w:hAnsiTheme="majorBidi" w:cstheme="majorBidi"/>
        </w:rPr>
        <w:t xml:space="preserve">Table </w:t>
      </w:r>
      <w:r w:rsidR="003662A2" w:rsidRPr="003662A2">
        <w:rPr>
          <w:rFonts w:asciiTheme="majorBidi" w:hAnsiTheme="majorBidi" w:cstheme="majorBidi"/>
          <w:noProof/>
        </w:rPr>
        <w:t>39</w:t>
      </w:r>
      <w:r w:rsidRPr="008A21E8">
        <w:rPr>
          <w:rFonts w:asciiTheme="majorBidi" w:hAnsiTheme="majorBidi" w:cstheme="majorBidi"/>
        </w:rPr>
        <w:t xml:space="preserve">. The main areas of uncertainty relate to the susceptibility scenarios, the impact of colistin/aminoglycoside-based therapy on AKI risk and </w:t>
      </w:r>
      <w:r w:rsidR="00837CD7" w:rsidRPr="008A21E8">
        <w:rPr>
          <w:rFonts w:asciiTheme="majorBidi" w:hAnsiTheme="majorBidi" w:cstheme="majorBidi"/>
        </w:rPr>
        <w:t>its</w:t>
      </w:r>
      <w:r w:rsidRPr="008A21E8">
        <w:rPr>
          <w:rFonts w:asciiTheme="majorBidi" w:hAnsiTheme="majorBidi" w:cstheme="majorBidi"/>
        </w:rPr>
        <w:t xml:space="preserve"> long-term implications, and long-term survival following discharge from hospital. </w:t>
      </w:r>
    </w:p>
    <w:p w14:paraId="532FBBE1" w14:textId="77777777" w:rsidR="00A4788F" w:rsidRPr="008A21E8" w:rsidRDefault="00A4788F" w:rsidP="00A4788F">
      <w:pPr>
        <w:spacing w:after="0" w:line="360" w:lineRule="auto"/>
        <w:jc w:val="both"/>
        <w:rPr>
          <w:rFonts w:asciiTheme="majorBidi" w:hAnsiTheme="majorBidi" w:cstheme="majorBidi"/>
        </w:rPr>
      </w:pPr>
    </w:p>
    <w:p w14:paraId="69477629" w14:textId="533369D7"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In both HAP/VAP and </w:t>
      </w:r>
      <w:proofErr w:type="spellStart"/>
      <w:r w:rsidRPr="008A21E8">
        <w:rPr>
          <w:rFonts w:asciiTheme="majorBidi" w:hAnsiTheme="majorBidi" w:cstheme="majorBidi"/>
        </w:rPr>
        <w:t>cUTI</w:t>
      </w:r>
      <w:proofErr w:type="spellEnd"/>
      <w:r w:rsidRPr="008A21E8">
        <w:rPr>
          <w:rFonts w:asciiTheme="majorBidi" w:hAnsiTheme="majorBidi" w:cstheme="majorBidi"/>
        </w:rPr>
        <w:t xml:space="preserve"> when the network meta-analysis of susceptibility data included all studies regardless of breakpoints (S2)</w:t>
      </w:r>
      <w:r w:rsidR="003662A2">
        <w:rPr>
          <w:rFonts w:asciiTheme="majorBidi" w:hAnsiTheme="majorBidi" w:cstheme="majorBidi"/>
        </w:rPr>
        <w:t>,</w:t>
      </w:r>
      <w:r w:rsidRPr="008A21E8">
        <w:rPr>
          <w:rFonts w:asciiTheme="majorBidi" w:hAnsiTheme="majorBidi" w:cstheme="majorBidi"/>
        </w:rPr>
        <w:t xml:space="preserve"> the per patient INHEs were lower at 0.06 and 0.05 QALYs for HAP/VAP and </w:t>
      </w:r>
      <w:proofErr w:type="spellStart"/>
      <w:r w:rsidRPr="008A21E8">
        <w:rPr>
          <w:rFonts w:asciiTheme="majorBidi" w:hAnsiTheme="majorBidi" w:cstheme="majorBidi"/>
        </w:rPr>
        <w:t>cUTI</w:t>
      </w:r>
      <w:proofErr w:type="spellEnd"/>
      <w:r w:rsidRPr="008A21E8">
        <w:rPr>
          <w:rFonts w:asciiTheme="majorBidi" w:hAnsiTheme="majorBidi" w:cstheme="majorBidi"/>
        </w:rPr>
        <w:t xml:space="preserve"> respectively. In this scenario although susceptibility to CAZ-AVI is higher the proportion susceptible to a non-colistin/aminoglycoside-based treatment is also higher so a smaller proportion of individuals receive CAZ-AVI in the model. The per patient INHEs were higher when using the Vasquez-</w:t>
      </w:r>
      <w:proofErr w:type="spellStart"/>
      <w:r w:rsidRPr="008A21E8">
        <w:rPr>
          <w:rFonts w:asciiTheme="majorBidi" w:hAnsiTheme="majorBidi" w:cstheme="majorBidi"/>
        </w:rPr>
        <w:t>Ucha</w:t>
      </w:r>
      <w:proofErr w:type="spellEnd"/>
      <w:r w:rsidRPr="008A21E8">
        <w:rPr>
          <w:rFonts w:asciiTheme="majorBidi" w:hAnsiTheme="majorBidi" w:cstheme="majorBidi"/>
        </w:rPr>
        <w:t xml:space="preserve"> data (S4) to inform susceptibility at 0.10 and 0.09 QALYs for HAP/VAP and </w:t>
      </w:r>
      <w:proofErr w:type="spellStart"/>
      <w:r w:rsidRPr="008A21E8">
        <w:rPr>
          <w:rFonts w:asciiTheme="majorBidi" w:hAnsiTheme="majorBidi" w:cstheme="majorBidi"/>
        </w:rPr>
        <w:t>cUTI</w:t>
      </w:r>
      <w:proofErr w:type="spellEnd"/>
      <w:r w:rsidRPr="008A21E8">
        <w:rPr>
          <w:rFonts w:asciiTheme="majorBidi" w:hAnsiTheme="majorBidi" w:cstheme="majorBidi"/>
        </w:rPr>
        <w:t xml:space="preserve"> respectively. This reflects the higher proportion of individuals who are only susceptible to a colistin/aminoglycoside-based therapy in this scenario and who are therefore eligible to receive CAZ-AVI within the model</w:t>
      </w:r>
      <w:r w:rsidR="00667DDB">
        <w:rPr>
          <w:rFonts w:asciiTheme="majorBidi" w:hAnsiTheme="majorBidi" w:cstheme="majorBidi"/>
        </w:rPr>
        <w:t xml:space="preserve"> (though we note that this is largely driven by the fact that tigecycline is not available in this scenario)</w:t>
      </w:r>
      <w:r w:rsidRPr="008A21E8">
        <w:rPr>
          <w:rFonts w:asciiTheme="majorBidi" w:hAnsiTheme="majorBidi" w:cstheme="majorBidi"/>
        </w:rPr>
        <w:t xml:space="preserve">. </w:t>
      </w:r>
    </w:p>
    <w:p w14:paraId="758CF169" w14:textId="77777777" w:rsidR="00A4788F" w:rsidRPr="008A21E8" w:rsidRDefault="00A4788F" w:rsidP="00A4788F">
      <w:pPr>
        <w:spacing w:after="0" w:line="360" w:lineRule="auto"/>
        <w:jc w:val="both"/>
        <w:rPr>
          <w:rFonts w:asciiTheme="majorBidi" w:hAnsiTheme="majorBidi" w:cstheme="majorBidi"/>
        </w:rPr>
      </w:pPr>
    </w:p>
    <w:p w14:paraId="3B164647" w14:textId="77777777"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Using the </w:t>
      </w:r>
      <w:proofErr w:type="spellStart"/>
      <w:r w:rsidRPr="008A21E8">
        <w:rPr>
          <w:rFonts w:asciiTheme="majorBidi" w:hAnsiTheme="majorBidi" w:cstheme="majorBidi"/>
        </w:rPr>
        <w:t>Wagenlehner</w:t>
      </w:r>
      <w:proofErr w:type="spellEnd"/>
      <w:r w:rsidRPr="008A21E8">
        <w:rPr>
          <w:rFonts w:asciiTheme="majorBidi" w:hAnsiTheme="majorBidi" w:cstheme="majorBidi"/>
        </w:rPr>
        <w:t xml:space="preserve"> 2021 meta-analysis to inform the effect of colistin/aminoglycoside-based therapy on AKI risk rather than the </w:t>
      </w:r>
      <w:proofErr w:type="spellStart"/>
      <w:r w:rsidRPr="008A21E8">
        <w:rPr>
          <w:rFonts w:asciiTheme="majorBidi" w:hAnsiTheme="majorBidi" w:cstheme="majorBidi"/>
        </w:rPr>
        <w:t>Chien</w:t>
      </w:r>
      <w:proofErr w:type="spellEnd"/>
      <w:r w:rsidRPr="008A21E8">
        <w:rPr>
          <w:rFonts w:asciiTheme="majorBidi" w:hAnsiTheme="majorBidi" w:cstheme="majorBidi"/>
        </w:rPr>
        <w:t xml:space="preserve"> meta-analysis also increased the INHEs to 0.09 and 0.07 QALYs in HAP/VAP and </w:t>
      </w:r>
      <w:proofErr w:type="spellStart"/>
      <w:r w:rsidRPr="008A21E8">
        <w:rPr>
          <w:rFonts w:asciiTheme="majorBidi" w:hAnsiTheme="majorBidi" w:cstheme="majorBidi"/>
        </w:rPr>
        <w:t>cUTI</w:t>
      </w:r>
      <w:proofErr w:type="spellEnd"/>
      <w:r w:rsidRPr="008A21E8">
        <w:rPr>
          <w:rFonts w:asciiTheme="majorBidi" w:hAnsiTheme="majorBidi" w:cstheme="majorBidi"/>
        </w:rPr>
        <w:t xml:space="preserve">, respectively. Similar effects were observed for HAP/VAP when exploring alternative assumptions about the long-term implications of AKIs. Reduced within-hospital mortality from AKI decreased the INHE to 0.05 for HAP/VAP and 0.04 for </w:t>
      </w:r>
      <w:proofErr w:type="spellStart"/>
      <w:r w:rsidRPr="008A21E8">
        <w:rPr>
          <w:rFonts w:asciiTheme="majorBidi" w:hAnsiTheme="majorBidi" w:cstheme="majorBidi"/>
        </w:rPr>
        <w:t>cUTI</w:t>
      </w:r>
      <w:proofErr w:type="spellEnd"/>
      <w:r w:rsidRPr="008A21E8">
        <w:rPr>
          <w:rFonts w:asciiTheme="majorBidi" w:hAnsiTheme="majorBidi" w:cstheme="majorBidi"/>
        </w:rPr>
        <w:t xml:space="preserve"> as this reduces the safety advantage of CAZ-AVI.</w:t>
      </w:r>
    </w:p>
    <w:p w14:paraId="6092D274" w14:textId="77777777" w:rsidR="00A4788F" w:rsidRPr="008A21E8" w:rsidRDefault="00A4788F" w:rsidP="00A4788F">
      <w:pPr>
        <w:spacing w:after="0" w:line="360" w:lineRule="auto"/>
        <w:jc w:val="both"/>
        <w:rPr>
          <w:rFonts w:asciiTheme="majorBidi" w:hAnsiTheme="majorBidi" w:cstheme="majorBidi"/>
        </w:rPr>
      </w:pPr>
    </w:p>
    <w:p w14:paraId="7BA0A2F9" w14:textId="77777777" w:rsidR="00A4788F" w:rsidRPr="008A21E8" w:rsidRDefault="00A4788F" w:rsidP="00A4788F">
      <w:pPr>
        <w:spacing w:after="0" w:line="360" w:lineRule="auto"/>
        <w:jc w:val="both"/>
        <w:rPr>
          <w:rFonts w:asciiTheme="majorBidi" w:hAnsiTheme="majorBidi" w:cstheme="majorBidi"/>
          <w:sz w:val="18"/>
          <w:szCs w:val="18"/>
        </w:rPr>
      </w:pPr>
      <w:r w:rsidRPr="008A21E8">
        <w:rPr>
          <w:rFonts w:asciiTheme="majorBidi" w:hAnsiTheme="majorBidi" w:cstheme="majorBidi"/>
        </w:rPr>
        <w:t xml:space="preserve">Using a Weibull model to inform long-term mortality reduced the per patient INHEs to 0.05 QALYs in HAP/VAP and 0.04 in </w:t>
      </w:r>
      <w:proofErr w:type="spellStart"/>
      <w:r w:rsidRPr="008A21E8">
        <w:rPr>
          <w:rFonts w:asciiTheme="majorBidi" w:hAnsiTheme="majorBidi" w:cstheme="majorBidi"/>
        </w:rPr>
        <w:t>cUTI</w:t>
      </w:r>
      <w:proofErr w:type="spellEnd"/>
      <w:r w:rsidRPr="008A21E8">
        <w:rPr>
          <w:rFonts w:asciiTheme="majorBidi" w:hAnsiTheme="majorBidi" w:cstheme="majorBidi"/>
        </w:rPr>
        <w:t>.</w:t>
      </w:r>
      <w:r w:rsidRPr="008A21E8">
        <w:rPr>
          <w:rFonts w:asciiTheme="majorBidi" w:hAnsiTheme="majorBidi" w:cstheme="majorBidi"/>
          <w:sz w:val="18"/>
          <w:szCs w:val="18"/>
        </w:rPr>
        <w:t xml:space="preserve"> </w:t>
      </w:r>
    </w:p>
    <w:p w14:paraId="7B7F21B5" w14:textId="77777777" w:rsidR="00A4788F" w:rsidRPr="008A21E8" w:rsidRDefault="00A4788F" w:rsidP="00A4788F">
      <w:pPr>
        <w:spacing w:after="0" w:line="360" w:lineRule="auto"/>
        <w:jc w:val="both"/>
        <w:rPr>
          <w:rFonts w:asciiTheme="majorBidi" w:hAnsiTheme="majorBidi" w:cstheme="majorBidi"/>
          <w:b/>
        </w:rPr>
      </w:pPr>
    </w:p>
    <w:p w14:paraId="573D0FD8" w14:textId="1FCAEEB9" w:rsidR="00A4788F" w:rsidRPr="008B218B" w:rsidRDefault="00A4788F" w:rsidP="009E265F">
      <w:pPr>
        <w:pStyle w:val="table"/>
      </w:pPr>
      <w:bookmarkStart w:id="523" w:name="_Ref84688931"/>
      <w:bookmarkStart w:id="524" w:name="_Toc83589998"/>
      <w:bookmarkStart w:id="525" w:name="_Toc86419016"/>
      <w:r w:rsidRPr="008B218B">
        <w:t xml:space="preserve">Table </w:t>
      </w:r>
      <w:r w:rsidR="00F10F0A">
        <w:rPr>
          <w:noProof/>
        </w:rPr>
        <w:t>39</w:t>
      </w:r>
      <w:bookmarkEnd w:id="523"/>
      <w:r w:rsidRPr="008B218B">
        <w:t xml:space="preserve">: Per patient scenario analyses: OXA-48 HAP/VAP and </w:t>
      </w:r>
      <w:proofErr w:type="spellStart"/>
      <w:r w:rsidRPr="008B218B">
        <w:t>cUTI</w:t>
      </w:r>
      <w:proofErr w:type="spellEnd"/>
      <w:r w:rsidRPr="008B218B">
        <w:t xml:space="preserve"> MDS (deterministic).</w:t>
      </w:r>
      <w:bookmarkEnd w:id="524"/>
      <w:bookmarkEnd w:id="525"/>
      <w:r w:rsidRPr="008B218B">
        <w:t xml:space="preserve"> </w:t>
      </w:r>
    </w:p>
    <w:tbl>
      <w:tblPr>
        <w:tblStyle w:val="TableGrid"/>
        <w:tblW w:w="9776" w:type="dxa"/>
        <w:tblLayout w:type="fixed"/>
        <w:tblLook w:val="04A0" w:firstRow="1" w:lastRow="0" w:firstColumn="1" w:lastColumn="0" w:noHBand="0" w:noVBand="1"/>
      </w:tblPr>
      <w:tblGrid>
        <w:gridCol w:w="1413"/>
        <w:gridCol w:w="2126"/>
        <w:gridCol w:w="2268"/>
        <w:gridCol w:w="1843"/>
        <w:gridCol w:w="2126"/>
      </w:tblGrid>
      <w:tr w:rsidR="00A4788F" w:rsidRPr="004A4B7C" w14:paraId="48F8432A" w14:textId="77777777" w:rsidTr="00A4788F">
        <w:tc>
          <w:tcPr>
            <w:tcW w:w="1413" w:type="dxa"/>
            <w:shd w:val="clear" w:color="auto" w:fill="auto"/>
          </w:tcPr>
          <w:p w14:paraId="74D9C75E"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Scenario name</w:t>
            </w:r>
          </w:p>
        </w:tc>
        <w:tc>
          <w:tcPr>
            <w:tcW w:w="2126" w:type="dxa"/>
            <w:shd w:val="clear" w:color="auto" w:fill="auto"/>
          </w:tcPr>
          <w:p w14:paraId="61C260E6"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Base case value/assumption</w:t>
            </w:r>
          </w:p>
        </w:tc>
        <w:tc>
          <w:tcPr>
            <w:tcW w:w="2268" w:type="dxa"/>
            <w:shd w:val="clear" w:color="auto" w:fill="auto"/>
          </w:tcPr>
          <w:p w14:paraId="790C4C37"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Scenario value/assumption</w:t>
            </w:r>
          </w:p>
        </w:tc>
        <w:tc>
          <w:tcPr>
            <w:tcW w:w="1843" w:type="dxa"/>
          </w:tcPr>
          <w:p w14:paraId="67D4D310"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INHE per patient: HAP/VAP</w:t>
            </w:r>
          </w:p>
        </w:tc>
        <w:tc>
          <w:tcPr>
            <w:tcW w:w="2126" w:type="dxa"/>
          </w:tcPr>
          <w:p w14:paraId="6AB1FB08"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 xml:space="preserve">INHE per patient: </w:t>
            </w:r>
            <w:proofErr w:type="spellStart"/>
            <w:r w:rsidRPr="004A4B7C">
              <w:rPr>
                <w:rFonts w:ascii="Times New Roman" w:hAnsi="Times New Roman" w:cs="Times New Roman"/>
                <w:b/>
                <w:sz w:val="20"/>
                <w:szCs w:val="20"/>
              </w:rPr>
              <w:t>cUTI</w:t>
            </w:r>
            <w:proofErr w:type="spellEnd"/>
          </w:p>
        </w:tc>
      </w:tr>
      <w:tr w:rsidR="00A4788F" w:rsidRPr="004A4B7C" w14:paraId="6E4CE475" w14:textId="77777777" w:rsidTr="00A4788F">
        <w:tc>
          <w:tcPr>
            <w:tcW w:w="1413" w:type="dxa"/>
            <w:shd w:val="clear" w:color="auto" w:fill="auto"/>
          </w:tcPr>
          <w:p w14:paraId="7735734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Base case</w:t>
            </w:r>
          </w:p>
        </w:tc>
        <w:tc>
          <w:tcPr>
            <w:tcW w:w="2126" w:type="dxa"/>
            <w:shd w:val="clear" w:color="auto" w:fill="auto"/>
          </w:tcPr>
          <w:p w14:paraId="58936C03"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2268" w:type="dxa"/>
            <w:shd w:val="clear" w:color="auto" w:fill="auto"/>
          </w:tcPr>
          <w:p w14:paraId="2AA3A26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1843" w:type="dxa"/>
            <w:vAlign w:val="bottom"/>
          </w:tcPr>
          <w:p w14:paraId="629A3829"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0.069</w:t>
            </w:r>
          </w:p>
          <w:p w14:paraId="51696891" w14:textId="77777777" w:rsidR="00A4788F" w:rsidRPr="004A4B7C" w:rsidRDefault="00A4788F" w:rsidP="004A4B7C">
            <w:pPr>
              <w:jc w:val="right"/>
              <w:rPr>
                <w:rFonts w:ascii="Times New Roman" w:hAnsi="Times New Roman" w:cs="Times New Roman"/>
                <w:sz w:val="20"/>
                <w:szCs w:val="20"/>
              </w:rPr>
            </w:pPr>
          </w:p>
        </w:tc>
        <w:tc>
          <w:tcPr>
            <w:tcW w:w="2126" w:type="dxa"/>
          </w:tcPr>
          <w:p w14:paraId="53DD5D30"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0.058</w:t>
            </w:r>
          </w:p>
        </w:tc>
      </w:tr>
      <w:tr w:rsidR="00A4788F" w:rsidRPr="004A4B7C" w14:paraId="7E01170F" w14:textId="77777777" w:rsidTr="00A4788F">
        <w:tc>
          <w:tcPr>
            <w:tcW w:w="1413" w:type="dxa"/>
            <w:shd w:val="clear" w:color="auto" w:fill="auto"/>
          </w:tcPr>
          <w:p w14:paraId="16E55D8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S2</w:t>
            </w:r>
          </w:p>
        </w:tc>
        <w:tc>
          <w:tcPr>
            <w:tcW w:w="2126" w:type="dxa"/>
            <w:shd w:val="clear" w:color="auto" w:fill="auto"/>
          </w:tcPr>
          <w:p w14:paraId="7841FC2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268" w:type="dxa"/>
            <w:shd w:val="clear" w:color="auto" w:fill="auto"/>
          </w:tcPr>
          <w:p w14:paraId="16734487"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Network meta-analysis: include all studies regardless of breakpoints, excluding specific arms due to inconsistency</w:t>
            </w:r>
          </w:p>
        </w:tc>
        <w:tc>
          <w:tcPr>
            <w:tcW w:w="1843" w:type="dxa"/>
            <w:vAlign w:val="bottom"/>
          </w:tcPr>
          <w:p w14:paraId="5F18B94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0.057</w:t>
            </w:r>
          </w:p>
        </w:tc>
        <w:tc>
          <w:tcPr>
            <w:tcW w:w="2126" w:type="dxa"/>
            <w:vAlign w:val="bottom"/>
          </w:tcPr>
          <w:p w14:paraId="528972A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sz w:val="20"/>
                <w:szCs w:val="20"/>
              </w:rPr>
              <w:t>0.048</w:t>
            </w:r>
          </w:p>
        </w:tc>
      </w:tr>
      <w:tr w:rsidR="00A4788F" w:rsidRPr="004A4B7C" w14:paraId="0F37149D" w14:textId="77777777" w:rsidTr="00A4788F">
        <w:tc>
          <w:tcPr>
            <w:tcW w:w="1413" w:type="dxa"/>
            <w:shd w:val="clear" w:color="auto" w:fill="auto"/>
          </w:tcPr>
          <w:p w14:paraId="0ADE8DD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S4</w:t>
            </w:r>
          </w:p>
        </w:tc>
        <w:tc>
          <w:tcPr>
            <w:tcW w:w="2126" w:type="dxa"/>
            <w:shd w:val="clear" w:color="auto" w:fill="auto"/>
          </w:tcPr>
          <w:p w14:paraId="16F44075"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268" w:type="dxa"/>
            <w:shd w:val="clear" w:color="auto" w:fill="auto"/>
          </w:tcPr>
          <w:p w14:paraId="335989B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Vasquez-</w:t>
            </w:r>
            <w:proofErr w:type="spellStart"/>
            <w:r w:rsidRPr="004A4B7C">
              <w:rPr>
                <w:rFonts w:ascii="Times New Roman" w:hAnsi="Times New Roman" w:cs="Times New Roman"/>
                <w:sz w:val="20"/>
                <w:szCs w:val="20"/>
              </w:rPr>
              <w:t>Ucha</w:t>
            </w:r>
            <w:proofErr w:type="spellEnd"/>
            <w:r w:rsidRPr="004A4B7C">
              <w:rPr>
                <w:rFonts w:ascii="Times New Roman" w:hAnsi="Times New Roman" w:cs="Times New Roman"/>
                <w:sz w:val="20"/>
                <w:szCs w:val="20"/>
              </w:rPr>
              <w:t xml:space="preserve"> et al isolate-level data</w:t>
            </w:r>
          </w:p>
        </w:tc>
        <w:tc>
          <w:tcPr>
            <w:tcW w:w="1843" w:type="dxa"/>
            <w:vAlign w:val="bottom"/>
          </w:tcPr>
          <w:p w14:paraId="0D04263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0.104</w:t>
            </w:r>
          </w:p>
        </w:tc>
        <w:tc>
          <w:tcPr>
            <w:tcW w:w="2126" w:type="dxa"/>
            <w:vAlign w:val="bottom"/>
          </w:tcPr>
          <w:p w14:paraId="7339E5F0"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0.088</w:t>
            </w:r>
          </w:p>
        </w:tc>
      </w:tr>
      <w:tr w:rsidR="00A4788F" w:rsidRPr="004A4B7C" w14:paraId="7FFB5423" w14:textId="77777777" w:rsidTr="00A4788F">
        <w:tc>
          <w:tcPr>
            <w:tcW w:w="1413" w:type="dxa"/>
            <w:shd w:val="clear" w:color="auto" w:fill="auto"/>
          </w:tcPr>
          <w:p w14:paraId="4F1E7837"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p_AKI_Chien</w:t>
            </w:r>
            <w:proofErr w:type="spellEnd"/>
          </w:p>
        </w:tc>
        <w:tc>
          <w:tcPr>
            <w:tcW w:w="2126" w:type="dxa"/>
            <w:shd w:val="clear" w:color="auto" w:fill="auto"/>
          </w:tcPr>
          <w:p w14:paraId="5EF6C420"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of AKI with colistin/aminoglycoside therapy based on </w:t>
            </w:r>
            <w:proofErr w:type="spellStart"/>
            <w:r w:rsidRPr="004A4B7C">
              <w:rPr>
                <w:rFonts w:ascii="Times New Roman" w:hAnsi="Times New Roman" w:cs="Times New Roman"/>
                <w:sz w:val="20"/>
                <w:szCs w:val="20"/>
              </w:rPr>
              <w:t>Sisay</w:t>
            </w:r>
            <w:proofErr w:type="spellEnd"/>
            <w:r w:rsidRPr="004A4B7C">
              <w:rPr>
                <w:rFonts w:ascii="Times New Roman" w:hAnsi="Times New Roman" w:cs="Times New Roman"/>
                <w:sz w:val="20"/>
                <w:szCs w:val="20"/>
              </w:rPr>
              <w:t xml:space="preserve"> 2021 (0.45)</w:t>
            </w:r>
          </w:p>
        </w:tc>
        <w:tc>
          <w:tcPr>
            <w:tcW w:w="2268" w:type="dxa"/>
            <w:shd w:val="clear" w:color="auto" w:fill="auto"/>
          </w:tcPr>
          <w:p w14:paraId="3BCED9E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of AKI with colistin/aminoglycoside therapy based on </w:t>
            </w:r>
            <w:proofErr w:type="spellStart"/>
            <w:r w:rsidRPr="004A4B7C">
              <w:rPr>
                <w:rFonts w:ascii="Times New Roman" w:hAnsi="Times New Roman" w:cs="Times New Roman"/>
                <w:sz w:val="20"/>
                <w:szCs w:val="20"/>
              </w:rPr>
              <w:t>Chien</w:t>
            </w:r>
            <w:proofErr w:type="spellEnd"/>
            <w:r w:rsidRPr="004A4B7C">
              <w:rPr>
                <w:rFonts w:ascii="Times New Roman" w:hAnsi="Times New Roman" w:cs="Times New Roman"/>
                <w:sz w:val="20"/>
                <w:szCs w:val="20"/>
              </w:rPr>
              <w:t xml:space="preserve"> (0.32)</w:t>
            </w:r>
          </w:p>
        </w:tc>
        <w:tc>
          <w:tcPr>
            <w:tcW w:w="1843" w:type="dxa"/>
            <w:vAlign w:val="bottom"/>
          </w:tcPr>
          <w:p w14:paraId="098ABB2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0.058</w:t>
            </w:r>
          </w:p>
        </w:tc>
        <w:tc>
          <w:tcPr>
            <w:tcW w:w="2126" w:type="dxa"/>
            <w:vAlign w:val="bottom"/>
          </w:tcPr>
          <w:p w14:paraId="2A39A1A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0.049</w:t>
            </w:r>
          </w:p>
        </w:tc>
      </w:tr>
      <w:tr w:rsidR="00A4788F" w:rsidRPr="004A4B7C" w14:paraId="0161CE02" w14:textId="77777777" w:rsidTr="00A4788F">
        <w:tc>
          <w:tcPr>
            <w:tcW w:w="1413" w:type="dxa"/>
            <w:shd w:val="clear" w:color="auto" w:fill="auto"/>
          </w:tcPr>
          <w:p w14:paraId="67D7C610"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OR_AKI_Wagenlehner</w:t>
            </w:r>
            <w:proofErr w:type="spellEnd"/>
          </w:p>
        </w:tc>
        <w:tc>
          <w:tcPr>
            <w:tcW w:w="2126" w:type="dxa"/>
            <w:shd w:val="clear" w:color="auto" w:fill="auto"/>
          </w:tcPr>
          <w:p w14:paraId="5BD63DA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Odds ratio comparing AKI for colistin/ </w:t>
            </w:r>
            <w:r w:rsidRPr="004A4B7C">
              <w:rPr>
                <w:rFonts w:ascii="Times New Roman" w:hAnsi="Times New Roman" w:cs="Times New Roman"/>
                <w:sz w:val="20"/>
                <w:szCs w:val="20"/>
              </w:rPr>
              <w:lastRenderedPageBreak/>
              <w:t xml:space="preserve">aminoglycoside-based therapy to non-colistin/aminoglycoside-based therapy from all studies analysis in </w:t>
            </w:r>
            <w:proofErr w:type="spellStart"/>
            <w:r w:rsidRPr="004A4B7C">
              <w:rPr>
                <w:rFonts w:ascii="Times New Roman" w:hAnsi="Times New Roman" w:cs="Times New Roman"/>
                <w:sz w:val="20"/>
                <w:szCs w:val="20"/>
              </w:rPr>
              <w:t>Chien</w:t>
            </w:r>
            <w:proofErr w:type="spellEnd"/>
            <w:r w:rsidRPr="004A4B7C">
              <w:rPr>
                <w:rFonts w:ascii="Times New Roman" w:hAnsi="Times New Roman" w:cs="Times New Roman"/>
                <w:sz w:val="20"/>
                <w:szCs w:val="20"/>
              </w:rPr>
              <w:t xml:space="preserve"> 2020 (1.81)</w:t>
            </w:r>
          </w:p>
        </w:tc>
        <w:tc>
          <w:tcPr>
            <w:tcW w:w="2268" w:type="dxa"/>
            <w:shd w:val="clear" w:color="auto" w:fill="auto"/>
          </w:tcPr>
          <w:p w14:paraId="450955A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lastRenderedPageBreak/>
              <w:t xml:space="preserve">Odds ratio comparing AKI for colistin/ </w:t>
            </w:r>
            <w:r w:rsidRPr="004A4B7C">
              <w:rPr>
                <w:rFonts w:ascii="Times New Roman" w:hAnsi="Times New Roman" w:cs="Times New Roman"/>
                <w:sz w:val="20"/>
                <w:szCs w:val="20"/>
              </w:rPr>
              <w:lastRenderedPageBreak/>
              <w:t xml:space="preserve">aminoglycoside-based therapy to non-colistin/aminoglycoside-based therapy from all studies analysis in </w:t>
            </w:r>
            <w:proofErr w:type="spellStart"/>
            <w:r w:rsidRPr="004A4B7C">
              <w:rPr>
                <w:rFonts w:ascii="Times New Roman" w:hAnsi="Times New Roman" w:cs="Times New Roman"/>
                <w:sz w:val="20"/>
                <w:szCs w:val="20"/>
              </w:rPr>
              <w:t>Wagenlehner</w:t>
            </w:r>
            <w:proofErr w:type="spellEnd"/>
            <w:r w:rsidRPr="004A4B7C">
              <w:rPr>
                <w:rFonts w:ascii="Times New Roman" w:hAnsi="Times New Roman" w:cs="Times New Roman"/>
                <w:sz w:val="20"/>
                <w:szCs w:val="20"/>
              </w:rPr>
              <w:t xml:space="preserve"> 2021 (2.23)</w:t>
            </w:r>
          </w:p>
        </w:tc>
        <w:tc>
          <w:tcPr>
            <w:tcW w:w="1843" w:type="dxa"/>
            <w:vAlign w:val="bottom"/>
          </w:tcPr>
          <w:p w14:paraId="1228349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lastRenderedPageBreak/>
              <w:t>0.089</w:t>
            </w:r>
          </w:p>
        </w:tc>
        <w:tc>
          <w:tcPr>
            <w:tcW w:w="2126" w:type="dxa"/>
            <w:vAlign w:val="bottom"/>
          </w:tcPr>
          <w:p w14:paraId="2B76A34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0.074</w:t>
            </w:r>
          </w:p>
        </w:tc>
      </w:tr>
      <w:tr w:rsidR="00A4788F" w:rsidRPr="004A4B7C" w14:paraId="1904D2D4" w14:textId="77777777" w:rsidTr="00A4788F">
        <w:tc>
          <w:tcPr>
            <w:tcW w:w="1413" w:type="dxa"/>
            <w:shd w:val="clear" w:color="auto" w:fill="auto"/>
          </w:tcPr>
          <w:p w14:paraId="2028CA97"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OR_AKI_ChienRIFLE</w:t>
            </w:r>
            <w:proofErr w:type="spellEnd"/>
          </w:p>
        </w:tc>
        <w:tc>
          <w:tcPr>
            <w:tcW w:w="2126" w:type="dxa"/>
            <w:shd w:val="clear" w:color="auto" w:fill="auto"/>
          </w:tcPr>
          <w:p w14:paraId="57F0CE9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Odds ratio comparing AKI for colistin/ aminoglycoside-based therapy to non-colistin/aminoglycoside-based therapy from all studies analysis in </w:t>
            </w:r>
            <w:proofErr w:type="spellStart"/>
            <w:r w:rsidRPr="004A4B7C">
              <w:rPr>
                <w:rFonts w:ascii="Times New Roman" w:hAnsi="Times New Roman" w:cs="Times New Roman"/>
                <w:sz w:val="20"/>
                <w:szCs w:val="20"/>
              </w:rPr>
              <w:t>Chien</w:t>
            </w:r>
            <w:proofErr w:type="spellEnd"/>
            <w:r w:rsidRPr="004A4B7C">
              <w:rPr>
                <w:rFonts w:ascii="Times New Roman" w:hAnsi="Times New Roman" w:cs="Times New Roman"/>
                <w:sz w:val="20"/>
                <w:szCs w:val="20"/>
              </w:rPr>
              <w:t xml:space="preserve"> 2020 (1.81)</w:t>
            </w:r>
          </w:p>
        </w:tc>
        <w:tc>
          <w:tcPr>
            <w:tcW w:w="2268" w:type="dxa"/>
            <w:shd w:val="clear" w:color="auto" w:fill="auto"/>
          </w:tcPr>
          <w:p w14:paraId="4C330E2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Odds ratio comparing AKI for colistin/ aminoglycoside-based therapy to non-colistin/aminoglycoside-based therapy from RIFLE criteria studies analysis in </w:t>
            </w:r>
            <w:proofErr w:type="spellStart"/>
            <w:r w:rsidRPr="004A4B7C">
              <w:rPr>
                <w:rFonts w:ascii="Times New Roman" w:hAnsi="Times New Roman" w:cs="Times New Roman"/>
                <w:sz w:val="20"/>
                <w:szCs w:val="20"/>
              </w:rPr>
              <w:t>Chien</w:t>
            </w:r>
            <w:proofErr w:type="spellEnd"/>
            <w:r w:rsidRPr="004A4B7C">
              <w:rPr>
                <w:rFonts w:ascii="Times New Roman" w:hAnsi="Times New Roman" w:cs="Times New Roman"/>
                <w:sz w:val="20"/>
                <w:szCs w:val="20"/>
              </w:rPr>
              <w:t xml:space="preserve"> 2020 (1.61)</w:t>
            </w:r>
          </w:p>
        </w:tc>
        <w:tc>
          <w:tcPr>
            <w:tcW w:w="1843" w:type="dxa"/>
            <w:vAlign w:val="bottom"/>
          </w:tcPr>
          <w:p w14:paraId="5DB2B74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0.057</w:t>
            </w:r>
          </w:p>
        </w:tc>
        <w:tc>
          <w:tcPr>
            <w:tcW w:w="2126" w:type="dxa"/>
            <w:vAlign w:val="bottom"/>
          </w:tcPr>
          <w:p w14:paraId="2C2EC33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0.048</w:t>
            </w:r>
          </w:p>
        </w:tc>
      </w:tr>
      <w:tr w:rsidR="00A4788F" w:rsidRPr="004A4B7C" w14:paraId="30487AA9" w14:textId="77777777" w:rsidTr="00A4788F">
        <w:tc>
          <w:tcPr>
            <w:tcW w:w="1413" w:type="dxa"/>
            <w:shd w:val="clear" w:color="auto" w:fill="auto"/>
          </w:tcPr>
          <w:p w14:paraId="6918D66C"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OR_AKI_death_halved</w:t>
            </w:r>
            <w:proofErr w:type="spellEnd"/>
          </w:p>
        </w:tc>
        <w:tc>
          <w:tcPr>
            <w:tcW w:w="2126" w:type="dxa"/>
            <w:shd w:val="clear" w:color="auto" w:fill="auto"/>
          </w:tcPr>
          <w:p w14:paraId="78E6CB0B"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Odds ratio of mortality for AKI compared to no AKI derived from Kerr (2014) (5.11)</w:t>
            </w:r>
          </w:p>
        </w:tc>
        <w:tc>
          <w:tcPr>
            <w:tcW w:w="2268" w:type="dxa"/>
            <w:shd w:val="clear" w:color="auto" w:fill="auto"/>
          </w:tcPr>
          <w:p w14:paraId="49084EB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Odds ratio of mortality for AKI compared to no AKI halved (2.56)</w:t>
            </w:r>
          </w:p>
        </w:tc>
        <w:tc>
          <w:tcPr>
            <w:tcW w:w="1843" w:type="dxa"/>
            <w:vAlign w:val="bottom"/>
          </w:tcPr>
          <w:p w14:paraId="5EC0CE12"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0.049</w:t>
            </w:r>
          </w:p>
        </w:tc>
        <w:tc>
          <w:tcPr>
            <w:tcW w:w="2126" w:type="dxa"/>
            <w:vAlign w:val="bottom"/>
          </w:tcPr>
          <w:p w14:paraId="25AE7197"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0.037</w:t>
            </w:r>
          </w:p>
        </w:tc>
      </w:tr>
      <w:tr w:rsidR="00A4788F" w:rsidRPr="004A4B7C" w14:paraId="00884DC2" w14:textId="77777777" w:rsidTr="00A4788F">
        <w:tc>
          <w:tcPr>
            <w:tcW w:w="1413" w:type="dxa"/>
            <w:shd w:val="clear" w:color="auto" w:fill="auto"/>
          </w:tcPr>
          <w:p w14:paraId="67965FD6" w14:textId="77777777" w:rsidR="00A4788F" w:rsidRPr="004A4B7C" w:rsidRDefault="00A4788F" w:rsidP="004A4B7C">
            <w:pPr>
              <w:rPr>
                <w:rFonts w:ascii="Times New Roman" w:hAnsi="Times New Roman" w:cs="Times New Roman"/>
                <w:sz w:val="20"/>
                <w:szCs w:val="20"/>
              </w:rPr>
            </w:pPr>
            <w:proofErr w:type="spellStart"/>
            <w:proofErr w:type="gramStart"/>
            <w:r w:rsidRPr="004A4B7C">
              <w:rPr>
                <w:rFonts w:ascii="Times New Roman" w:hAnsi="Times New Roman" w:cs="Times New Roman"/>
                <w:sz w:val="20"/>
                <w:szCs w:val="20"/>
              </w:rPr>
              <w:t>double.ckd.risk</w:t>
            </w:r>
            <w:proofErr w:type="spellEnd"/>
            <w:proofErr w:type="gramEnd"/>
          </w:p>
        </w:tc>
        <w:tc>
          <w:tcPr>
            <w:tcW w:w="2126" w:type="dxa"/>
            <w:shd w:val="clear" w:color="auto" w:fill="auto"/>
          </w:tcPr>
          <w:p w14:paraId="0EE788A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Risk of CKD as observed in </w:t>
            </w:r>
            <w:proofErr w:type="spellStart"/>
            <w:r w:rsidRPr="004A4B7C">
              <w:rPr>
                <w:rFonts w:ascii="Times New Roman" w:hAnsi="Times New Roman" w:cs="Times New Roman"/>
                <w:sz w:val="20"/>
                <w:szCs w:val="20"/>
              </w:rPr>
              <w:t>Bucaloiu</w:t>
            </w:r>
            <w:proofErr w:type="spellEnd"/>
            <w:r w:rsidRPr="004A4B7C">
              <w:rPr>
                <w:rFonts w:ascii="Times New Roman" w:hAnsi="Times New Roman" w:cs="Times New Roman"/>
                <w:sz w:val="20"/>
                <w:szCs w:val="20"/>
              </w:rPr>
              <w:t xml:space="preserve"> 2012</w:t>
            </w:r>
          </w:p>
        </w:tc>
        <w:tc>
          <w:tcPr>
            <w:tcW w:w="2268" w:type="dxa"/>
            <w:shd w:val="clear" w:color="auto" w:fill="auto"/>
          </w:tcPr>
          <w:p w14:paraId="63726ECB"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Risk of CKD doubled to reflect potential higher propensity for CKD in HVCS</w:t>
            </w:r>
          </w:p>
        </w:tc>
        <w:tc>
          <w:tcPr>
            <w:tcW w:w="1843" w:type="dxa"/>
            <w:vAlign w:val="bottom"/>
          </w:tcPr>
          <w:p w14:paraId="381152D0"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0.061</w:t>
            </w:r>
          </w:p>
        </w:tc>
        <w:tc>
          <w:tcPr>
            <w:tcW w:w="2126" w:type="dxa"/>
            <w:vAlign w:val="bottom"/>
          </w:tcPr>
          <w:p w14:paraId="0BA2D31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0.053</w:t>
            </w:r>
          </w:p>
        </w:tc>
      </w:tr>
      <w:tr w:rsidR="00A4788F" w:rsidRPr="004A4B7C" w14:paraId="570E2A36" w14:textId="77777777" w:rsidTr="00A4788F">
        <w:tc>
          <w:tcPr>
            <w:tcW w:w="1413" w:type="dxa"/>
            <w:shd w:val="clear" w:color="auto" w:fill="auto"/>
          </w:tcPr>
          <w:p w14:paraId="081BB464" w14:textId="77777777" w:rsidR="00A4788F" w:rsidRPr="004A4B7C" w:rsidRDefault="00A4788F" w:rsidP="004A4B7C">
            <w:pPr>
              <w:rPr>
                <w:rFonts w:ascii="Times New Roman" w:hAnsi="Times New Roman" w:cs="Times New Roman"/>
                <w:sz w:val="20"/>
                <w:szCs w:val="20"/>
              </w:rPr>
            </w:pPr>
            <w:proofErr w:type="spellStart"/>
            <w:proofErr w:type="gramStart"/>
            <w:r w:rsidRPr="004A4B7C">
              <w:rPr>
                <w:rFonts w:ascii="Times New Roman" w:hAnsi="Times New Roman" w:cs="Times New Roman"/>
                <w:sz w:val="20"/>
                <w:szCs w:val="20"/>
              </w:rPr>
              <w:t>abs.increase</w:t>
            </w:r>
            <w:proofErr w:type="spellEnd"/>
            <w:proofErr w:type="gramEnd"/>
          </w:p>
        </w:tc>
        <w:tc>
          <w:tcPr>
            <w:tcW w:w="2126" w:type="dxa"/>
            <w:shd w:val="clear" w:color="auto" w:fill="auto"/>
          </w:tcPr>
          <w:p w14:paraId="29E41A8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Odds ratios on mortality associated with nephrotoxicity </w:t>
            </w:r>
            <w:proofErr w:type="gramStart"/>
            <w:r w:rsidRPr="004A4B7C">
              <w:rPr>
                <w:rFonts w:ascii="Times New Roman" w:hAnsi="Times New Roman" w:cs="Times New Roman"/>
                <w:sz w:val="20"/>
                <w:szCs w:val="20"/>
              </w:rPr>
              <w:t xml:space="preserve">from  </w:t>
            </w:r>
            <w:proofErr w:type="spellStart"/>
            <w:r w:rsidRPr="004A4B7C">
              <w:rPr>
                <w:rFonts w:ascii="Times New Roman" w:hAnsi="Times New Roman" w:cs="Times New Roman"/>
                <w:sz w:val="20"/>
                <w:szCs w:val="20"/>
              </w:rPr>
              <w:t>Bucaloiu</w:t>
            </w:r>
            <w:proofErr w:type="spellEnd"/>
            <w:proofErr w:type="gramEnd"/>
            <w:r w:rsidRPr="004A4B7C">
              <w:rPr>
                <w:rFonts w:ascii="Times New Roman" w:hAnsi="Times New Roman" w:cs="Times New Roman"/>
                <w:sz w:val="20"/>
                <w:szCs w:val="20"/>
              </w:rPr>
              <w:t xml:space="preserve"> 2012 are applied multiplicatively to underlying risk in HVCS</w:t>
            </w:r>
          </w:p>
        </w:tc>
        <w:tc>
          <w:tcPr>
            <w:tcW w:w="2268" w:type="dxa"/>
            <w:shd w:val="clear" w:color="auto" w:fill="auto"/>
          </w:tcPr>
          <w:p w14:paraId="2EDB575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Absolute risk increases </w:t>
            </w:r>
            <w:proofErr w:type="gramStart"/>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Bucaloiu</w:t>
            </w:r>
            <w:proofErr w:type="spellEnd"/>
            <w:proofErr w:type="gramEnd"/>
            <w:r w:rsidRPr="004A4B7C">
              <w:rPr>
                <w:rFonts w:ascii="Times New Roman" w:hAnsi="Times New Roman" w:cs="Times New Roman"/>
                <w:sz w:val="20"/>
                <w:szCs w:val="20"/>
              </w:rPr>
              <w:t xml:space="preserve"> 2012 are assumed to apply</w:t>
            </w:r>
          </w:p>
        </w:tc>
        <w:tc>
          <w:tcPr>
            <w:tcW w:w="1843" w:type="dxa"/>
            <w:vAlign w:val="bottom"/>
          </w:tcPr>
          <w:p w14:paraId="2FB3A5E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0.083</w:t>
            </w:r>
          </w:p>
        </w:tc>
        <w:tc>
          <w:tcPr>
            <w:tcW w:w="2126" w:type="dxa"/>
            <w:vAlign w:val="bottom"/>
          </w:tcPr>
          <w:p w14:paraId="19F13F1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0.073</w:t>
            </w:r>
          </w:p>
        </w:tc>
      </w:tr>
      <w:tr w:rsidR="00A4788F" w:rsidRPr="004A4B7C" w14:paraId="1353EE2D" w14:textId="77777777" w:rsidTr="00A4788F">
        <w:tc>
          <w:tcPr>
            <w:tcW w:w="1413" w:type="dxa"/>
            <w:shd w:val="clear" w:color="auto" w:fill="auto"/>
          </w:tcPr>
          <w:p w14:paraId="55763B6F"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all.aki.lt</w:t>
            </w:r>
            <w:proofErr w:type="spellEnd"/>
          </w:p>
        </w:tc>
        <w:tc>
          <w:tcPr>
            <w:tcW w:w="2126" w:type="dxa"/>
            <w:shd w:val="clear" w:color="auto" w:fill="auto"/>
          </w:tcPr>
          <w:p w14:paraId="33D3035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Base case assumptions with respect to long-term effects of AKI</w:t>
            </w:r>
          </w:p>
        </w:tc>
        <w:tc>
          <w:tcPr>
            <w:tcW w:w="2268" w:type="dxa"/>
            <w:shd w:val="clear" w:color="auto" w:fill="auto"/>
          </w:tcPr>
          <w:p w14:paraId="4134F228"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Applying a range of alternative assumptions to model the long-term effects of AKI</w:t>
            </w:r>
          </w:p>
        </w:tc>
        <w:tc>
          <w:tcPr>
            <w:tcW w:w="1843" w:type="dxa"/>
            <w:vAlign w:val="bottom"/>
          </w:tcPr>
          <w:p w14:paraId="273ACD89"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0.083</w:t>
            </w:r>
          </w:p>
        </w:tc>
        <w:tc>
          <w:tcPr>
            <w:tcW w:w="2126" w:type="dxa"/>
            <w:vAlign w:val="bottom"/>
          </w:tcPr>
          <w:p w14:paraId="15EBD4EB"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0.073</w:t>
            </w:r>
          </w:p>
        </w:tc>
      </w:tr>
      <w:tr w:rsidR="00A4788F" w:rsidRPr="004A4B7C" w14:paraId="5C87FECA" w14:textId="77777777" w:rsidTr="00A4788F">
        <w:tc>
          <w:tcPr>
            <w:tcW w:w="1413" w:type="dxa"/>
            <w:shd w:val="clear" w:color="auto" w:fill="auto"/>
          </w:tcPr>
          <w:p w14:paraId="15E4EDAC" w14:textId="22CA4712" w:rsidR="00A4788F" w:rsidRPr="004A4B7C" w:rsidRDefault="00AF0F42" w:rsidP="004A4B7C">
            <w:pPr>
              <w:rPr>
                <w:rFonts w:ascii="Times New Roman" w:hAnsi="Times New Roman" w:cs="Times New Roman"/>
                <w:sz w:val="20"/>
                <w:szCs w:val="20"/>
              </w:rPr>
            </w:pPr>
            <w:r w:rsidRPr="004A4B7C">
              <w:rPr>
                <w:rFonts w:ascii="Times New Roman" w:hAnsi="Times New Roman" w:cs="Times New Roman"/>
                <w:sz w:val="20"/>
                <w:szCs w:val="20"/>
              </w:rPr>
              <w:t>Weibull</w:t>
            </w:r>
          </w:p>
        </w:tc>
        <w:tc>
          <w:tcPr>
            <w:tcW w:w="2126" w:type="dxa"/>
            <w:shd w:val="clear" w:color="auto" w:fill="auto"/>
          </w:tcPr>
          <w:p w14:paraId="0A7E913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Log-normal model fit to CARBAR survival data</w:t>
            </w:r>
          </w:p>
        </w:tc>
        <w:tc>
          <w:tcPr>
            <w:tcW w:w="2268" w:type="dxa"/>
            <w:shd w:val="clear" w:color="auto" w:fill="auto"/>
          </w:tcPr>
          <w:p w14:paraId="34969C0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Weibull model fit to CARBAR survival data</w:t>
            </w:r>
          </w:p>
        </w:tc>
        <w:tc>
          <w:tcPr>
            <w:tcW w:w="1843" w:type="dxa"/>
            <w:vAlign w:val="bottom"/>
          </w:tcPr>
          <w:p w14:paraId="10EC0A8A"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0.050</w:t>
            </w:r>
          </w:p>
          <w:p w14:paraId="4A5D15BE" w14:textId="77777777" w:rsidR="00A4788F" w:rsidRPr="004A4B7C" w:rsidRDefault="00A4788F" w:rsidP="004A4B7C">
            <w:pPr>
              <w:jc w:val="right"/>
              <w:rPr>
                <w:rFonts w:ascii="Times New Roman" w:hAnsi="Times New Roman" w:cs="Times New Roman"/>
                <w:sz w:val="20"/>
                <w:szCs w:val="20"/>
              </w:rPr>
            </w:pPr>
          </w:p>
        </w:tc>
        <w:tc>
          <w:tcPr>
            <w:tcW w:w="2126" w:type="dxa"/>
            <w:vAlign w:val="bottom"/>
          </w:tcPr>
          <w:p w14:paraId="7017EA0B"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0.044</w:t>
            </w:r>
          </w:p>
          <w:p w14:paraId="607AA7E6" w14:textId="77777777" w:rsidR="00A4788F" w:rsidRPr="004A4B7C" w:rsidRDefault="00A4788F" w:rsidP="004A4B7C">
            <w:pPr>
              <w:jc w:val="right"/>
              <w:rPr>
                <w:rFonts w:ascii="Times New Roman" w:hAnsi="Times New Roman" w:cs="Times New Roman"/>
                <w:sz w:val="20"/>
                <w:szCs w:val="20"/>
              </w:rPr>
            </w:pPr>
          </w:p>
        </w:tc>
      </w:tr>
      <w:tr w:rsidR="00A4788F" w:rsidRPr="004A4B7C" w14:paraId="3ECC4542" w14:textId="77777777" w:rsidTr="00A4788F">
        <w:tc>
          <w:tcPr>
            <w:tcW w:w="1413" w:type="dxa"/>
            <w:shd w:val="clear" w:color="auto" w:fill="auto"/>
          </w:tcPr>
          <w:p w14:paraId="68467C39" w14:textId="77777777" w:rsidR="00A4788F" w:rsidRPr="004A4B7C" w:rsidRDefault="00A4788F" w:rsidP="004A4B7C">
            <w:pPr>
              <w:rPr>
                <w:rFonts w:ascii="Times New Roman" w:hAnsi="Times New Roman" w:cs="Times New Roman"/>
                <w:sz w:val="20"/>
                <w:szCs w:val="20"/>
              </w:rPr>
            </w:pPr>
            <w:proofErr w:type="spellStart"/>
            <w:proofErr w:type="gramStart"/>
            <w:r w:rsidRPr="004A4B7C">
              <w:rPr>
                <w:rFonts w:ascii="Times New Roman" w:hAnsi="Times New Roman" w:cs="Times New Roman"/>
                <w:sz w:val="20"/>
                <w:szCs w:val="20"/>
              </w:rPr>
              <w:t>lt.care</w:t>
            </w:r>
            <w:proofErr w:type="spellEnd"/>
            <w:proofErr w:type="gramEnd"/>
          </w:p>
        </w:tc>
        <w:tc>
          <w:tcPr>
            <w:tcW w:w="2126" w:type="dxa"/>
            <w:shd w:val="clear" w:color="auto" w:fill="auto"/>
          </w:tcPr>
          <w:p w14:paraId="731885A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No costs of long-term care</w:t>
            </w:r>
          </w:p>
        </w:tc>
        <w:tc>
          <w:tcPr>
            <w:tcW w:w="2268" w:type="dxa"/>
            <w:shd w:val="clear" w:color="auto" w:fill="auto"/>
          </w:tcPr>
          <w:p w14:paraId="0ECD181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Costs of discharge to long-term care included </w:t>
            </w:r>
          </w:p>
        </w:tc>
        <w:tc>
          <w:tcPr>
            <w:tcW w:w="1843" w:type="dxa"/>
            <w:vAlign w:val="bottom"/>
          </w:tcPr>
          <w:p w14:paraId="6D20EBF6"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0.077</w:t>
            </w:r>
          </w:p>
          <w:p w14:paraId="23092784" w14:textId="77777777" w:rsidR="00A4788F" w:rsidRPr="004A4B7C" w:rsidRDefault="00A4788F" w:rsidP="004A4B7C">
            <w:pPr>
              <w:jc w:val="right"/>
              <w:rPr>
                <w:rFonts w:ascii="Times New Roman" w:hAnsi="Times New Roman" w:cs="Times New Roman"/>
                <w:sz w:val="20"/>
                <w:szCs w:val="20"/>
              </w:rPr>
            </w:pPr>
          </w:p>
        </w:tc>
        <w:tc>
          <w:tcPr>
            <w:tcW w:w="2126" w:type="dxa"/>
            <w:vAlign w:val="bottom"/>
          </w:tcPr>
          <w:p w14:paraId="313DC334"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0.080</w:t>
            </w:r>
          </w:p>
          <w:p w14:paraId="297669F9" w14:textId="77777777" w:rsidR="00A4788F" w:rsidRPr="004A4B7C" w:rsidRDefault="00A4788F" w:rsidP="004A4B7C">
            <w:pPr>
              <w:jc w:val="right"/>
              <w:rPr>
                <w:rFonts w:ascii="Times New Roman" w:hAnsi="Times New Roman" w:cs="Times New Roman"/>
                <w:sz w:val="20"/>
                <w:szCs w:val="20"/>
              </w:rPr>
            </w:pPr>
          </w:p>
        </w:tc>
      </w:tr>
      <w:tr w:rsidR="00A4788F" w:rsidRPr="004A4B7C" w14:paraId="23D3F1F9" w14:textId="77777777" w:rsidTr="00A4788F">
        <w:tc>
          <w:tcPr>
            <w:tcW w:w="1413" w:type="dxa"/>
            <w:shd w:val="clear" w:color="auto" w:fill="auto"/>
          </w:tcPr>
          <w:p w14:paraId="3D89B99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thresh15*</w:t>
            </w:r>
          </w:p>
        </w:tc>
        <w:tc>
          <w:tcPr>
            <w:tcW w:w="2126" w:type="dxa"/>
            <w:shd w:val="clear" w:color="auto" w:fill="auto"/>
          </w:tcPr>
          <w:p w14:paraId="67A27E32"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£20,000</w:t>
            </w:r>
          </w:p>
        </w:tc>
        <w:tc>
          <w:tcPr>
            <w:tcW w:w="2268" w:type="dxa"/>
            <w:shd w:val="clear" w:color="auto" w:fill="auto"/>
          </w:tcPr>
          <w:p w14:paraId="5FD02CE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£15,000</w:t>
            </w:r>
          </w:p>
        </w:tc>
        <w:tc>
          <w:tcPr>
            <w:tcW w:w="1843" w:type="dxa"/>
            <w:vAlign w:val="bottom"/>
          </w:tcPr>
          <w:p w14:paraId="5057E44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0.074</w:t>
            </w:r>
          </w:p>
        </w:tc>
        <w:tc>
          <w:tcPr>
            <w:tcW w:w="2126" w:type="dxa"/>
            <w:vAlign w:val="bottom"/>
          </w:tcPr>
          <w:p w14:paraId="56DE28E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0.062</w:t>
            </w:r>
          </w:p>
        </w:tc>
      </w:tr>
      <w:tr w:rsidR="00A4788F" w:rsidRPr="004A4B7C" w14:paraId="6C3485EB" w14:textId="77777777" w:rsidTr="00A4788F">
        <w:tc>
          <w:tcPr>
            <w:tcW w:w="1413" w:type="dxa"/>
            <w:shd w:val="clear" w:color="auto" w:fill="auto"/>
          </w:tcPr>
          <w:p w14:paraId="14F69EF3"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thresh30*</w:t>
            </w:r>
          </w:p>
        </w:tc>
        <w:tc>
          <w:tcPr>
            <w:tcW w:w="2126" w:type="dxa"/>
            <w:shd w:val="clear" w:color="auto" w:fill="auto"/>
          </w:tcPr>
          <w:p w14:paraId="543C7A50"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£20,000</w:t>
            </w:r>
          </w:p>
        </w:tc>
        <w:tc>
          <w:tcPr>
            <w:tcW w:w="2268" w:type="dxa"/>
            <w:shd w:val="clear" w:color="auto" w:fill="auto"/>
          </w:tcPr>
          <w:p w14:paraId="2F2D2515"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Cost-effectiveness threshold £30,000</w:t>
            </w:r>
          </w:p>
        </w:tc>
        <w:tc>
          <w:tcPr>
            <w:tcW w:w="1843" w:type="dxa"/>
            <w:vAlign w:val="bottom"/>
          </w:tcPr>
          <w:p w14:paraId="71F45E2F"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0.064</w:t>
            </w:r>
          </w:p>
        </w:tc>
        <w:tc>
          <w:tcPr>
            <w:tcW w:w="2126" w:type="dxa"/>
            <w:vAlign w:val="bottom"/>
          </w:tcPr>
          <w:p w14:paraId="46CE1CD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0.053</w:t>
            </w:r>
          </w:p>
        </w:tc>
      </w:tr>
      <w:tr w:rsidR="00A4788F" w:rsidRPr="004A4B7C" w14:paraId="4442E845" w14:textId="77777777" w:rsidTr="00A4788F">
        <w:tc>
          <w:tcPr>
            <w:tcW w:w="1413" w:type="dxa"/>
            <w:shd w:val="clear" w:color="auto" w:fill="auto"/>
          </w:tcPr>
          <w:p w14:paraId="36027C3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dr1.5*</w:t>
            </w:r>
          </w:p>
        </w:tc>
        <w:tc>
          <w:tcPr>
            <w:tcW w:w="2126" w:type="dxa"/>
            <w:shd w:val="clear" w:color="auto" w:fill="auto"/>
          </w:tcPr>
          <w:p w14:paraId="1863F69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Discount rate for costs and benefits 3.5%</w:t>
            </w:r>
          </w:p>
        </w:tc>
        <w:tc>
          <w:tcPr>
            <w:tcW w:w="2268" w:type="dxa"/>
            <w:shd w:val="clear" w:color="auto" w:fill="auto"/>
          </w:tcPr>
          <w:p w14:paraId="4DF6CF13"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Discount rate for costs and benefits 1.5%</w:t>
            </w:r>
          </w:p>
        </w:tc>
        <w:tc>
          <w:tcPr>
            <w:tcW w:w="1843" w:type="dxa"/>
            <w:vAlign w:val="bottom"/>
          </w:tcPr>
          <w:p w14:paraId="1072E0C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0.078</w:t>
            </w:r>
          </w:p>
        </w:tc>
        <w:tc>
          <w:tcPr>
            <w:tcW w:w="2126" w:type="dxa"/>
            <w:vAlign w:val="bottom"/>
          </w:tcPr>
          <w:p w14:paraId="2226C43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0.066</w:t>
            </w:r>
          </w:p>
        </w:tc>
      </w:tr>
    </w:tbl>
    <w:p w14:paraId="05747204" w14:textId="00E536BA" w:rsidR="00342BCE" w:rsidRPr="00342BCE" w:rsidRDefault="00342BCE" w:rsidP="00342BCE">
      <w:pPr>
        <w:pStyle w:val="EEPRUtextundertables"/>
      </w:pPr>
      <w:r w:rsidRPr="00342BCE">
        <w:t>AKI, acute kidney injury; CKD, chronic kidney disease; EUCAST, European Committee on Antimicrobial Susceptibility Testing; HVCS, high value clinical scenario; INHE, incremental net health effects; PHE, Public Health England</w:t>
      </w:r>
    </w:p>
    <w:p w14:paraId="55D57AED" w14:textId="5F46B85A" w:rsidR="00A4788F" w:rsidRPr="0094563B" w:rsidRDefault="00342BCE" w:rsidP="00342BCE">
      <w:pPr>
        <w:pStyle w:val="EEPRUtextundertables"/>
      </w:pPr>
      <w:r w:rsidRPr="00342BCE">
        <w:t xml:space="preserve">NB: </w:t>
      </w:r>
      <w:r w:rsidR="00A4788F" w:rsidRPr="008B218B">
        <w:t xml:space="preserve"> </w:t>
      </w:r>
      <w:r w:rsidR="00A4788F" w:rsidRPr="008B218B">
        <w:rPr>
          <w:sz w:val="18"/>
        </w:rPr>
        <w:t>Net health effects derived using threshold of £20,000/QALY.</w:t>
      </w:r>
    </w:p>
    <w:p w14:paraId="79D9CA75" w14:textId="77777777" w:rsidR="00A4788F" w:rsidRPr="0094563B" w:rsidRDefault="00A4788F" w:rsidP="00A4788F">
      <w:pPr>
        <w:spacing w:after="0"/>
        <w:rPr>
          <w:b/>
        </w:rPr>
      </w:pPr>
    </w:p>
    <w:p w14:paraId="31B35D7A" w14:textId="08A01729" w:rsidR="00A4788F" w:rsidRDefault="00A4788F" w:rsidP="00A4788F">
      <w:pPr>
        <w:spacing w:after="0" w:line="360" w:lineRule="auto"/>
        <w:jc w:val="both"/>
        <w:rPr>
          <w:b/>
        </w:rPr>
      </w:pPr>
    </w:p>
    <w:p w14:paraId="6775A660" w14:textId="77777777" w:rsidR="00A4788F" w:rsidRDefault="00A4788F" w:rsidP="005A3BE6">
      <w:pPr>
        <w:pStyle w:val="EEPRUNumberedsubheading"/>
        <w:numPr>
          <w:ilvl w:val="1"/>
          <w:numId w:val="114"/>
        </w:numPr>
      </w:pPr>
      <w:bookmarkStart w:id="526" w:name="_Toc85194088"/>
      <w:bookmarkStart w:id="527" w:name="_Ref86315931"/>
      <w:bookmarkStart w:id="528" w:name="_Toc87463059"/>
      <w:r>
        <w:lastRenderedPageBreak/>
        <w:t xml:space="preserve">Direct </w:t>
      </w:r>
      <w:r w:rsidRPr="00251805">
        <w:t>population</w:t>
      </w:r>
      <w:r>
        <w:t xml:space="preserve"> net health effects in HVCS and broader areas of expected usage</w:t>
      </w:r>
      <w:bookmarkEnd w:id="526"/>
      <w:bookmarkEnd w:id="527"/>
      <w:bookmarkEnd w:id="528"/>
    </w:p>
    <w:p w14:paraId="277CAF48" w14:textId="2DFA63B1" w:rsidR="00A4788F" w:rsidRPr="008A21E8" w:rsidRDefault="003662A2" w:rsidP="00460DC9">
      <w:pPr>
        <w:spacing w:after="0" w:line="360" w:lineRule="auto"/>
        <w:jc w:val="both"/>
        <w:rPr>
          <w:rFonts w:asciiTheme="majorBidi" w:hAnsiTheme="majorBidi" w:cstheme="majorBidi"/>
          <w:noProof/>
        </w:rPr>
      </w:pPr>
      <w:r w:rsidRPr="003662A2">
        <w:rPr>
          <w:rFonts w:asciiTheme="majorBidi" w:hAnsiTheme="majorBidi" w:cstheme="majorBidi"/>
        </w:rPr>
        <w:t xml:space="preserve">Figure </w:t>
      </w:r>
      <w:r w:rsidRPr="003662A2">
        <w:rPr>
          <w:rFonts w:asciiTheme="majorBidi" w:hAnsiTheme="majorBidi" w:cstheme="majorBidi"/>
          <w:noProof/>
        </w:rPr>
        <w:t>25</w:t>
      </w:r>
      <w:r w:rsidR="00A4788F" w:rsidRPr="008A21E8">
        <w:rPr>
          <w:rFonts w:asciiTheme="majorBidi" w:hAnsiTheme="majorBidi" w:cstheme="majorBidi"/>
          <w:noProof/>
        </w:rPr>
        <w:t xml:space="preserve"> shows the population INHE over 20 years</w:t>
      </w:r>
      <w:r>
        <w:rPr>
          <w:rFonts w:asciiTheme="majorBidi" w:hAnsiTheme="majorBidi" w:cstheme="majorBidi"/>
          <w:noProof/>
        </w:rPr>
        <w:t>,</w:t>
      </w:r>
      <w:r w:rsidR="00A4788F" w:rsidRPr="008A21E8">
        <w:rPr>
          <w:rFonts w:asciiTheme="majorBidi" w:hAnsiTheme="majorBidi" w:cstheme="majorBidi"/>
          <w:noProof/>
        </w:rPr>
        <w:t xml:space="preserve"> derived using alternative assumptions about the population size (based on different categorisation of specimen types), population growth (derived with different models for the population growth predictions) and resistance emergence (reaching 1%, 10% and 30% at 20 years – 5% scenario not shown for parimony). Population INHE declines year on year in scenarios where the discount rate exceeds the rate of population growth in all period; rises and then declines in scenarios where the population growth rate exceeds the discount rate in earlier periods but then falls below the discount rate in later periods; and rises year on year in scenarios where the rate of population growth exceeds the discount rate.  </w:t>
      </w:r>
      <w:r w:rsidRPr="003662A2">
        <w:rPr>
          <w:rFonts w:asciiTheme="majorBidi" w:hAnsiTheme="majorBidi" w:cstheme="majorBidi"/>
          <w:noProof/>
        </w:rPr>
        <w:t>Table 40</w:t>
      </w:r>
      <w:r w:rsidR="00A4788F" w:rsidRPr="008A21E8">
        <w:rPr>
          <w:rFonts w:asciiTheme="majorBidi" w:hAnsiTheme="majorBidi" w:cstheme="majorBidi"/>
          <w:noProof/>
        </w:rPr>
        <w:t xml:space="preserve"> shows the total discounted populatoin INHE aggregated over the 20 year period. </w:t>
      </w:r>
    </w:p>
    <w:p w14:paraId="755D210A" w14:textId="77777777" w:rsidR="00A4788F" w:rsidRPr="008A21E8" w:rsidRDefault="00A4788F" w:rsidP="00A4788F">
      <w:pPr>
        <w:spacing w:after="0" w:line="360" w:lineRule="auto"/>
        <w:jc w:val="both"/>
        <w:rPr>
          <w:rFonts w:asciiTheme="majorBidi" w:hAnsiTheme="majorBidi" w:cstheme="majorBidi"/>
          <w:noProof/>
        </w:rPr>
      </w:pPr>
    </w:p>
    <w:p w14:paraId="1A48CC34" w14:textId="7C71047F" w:rsidR="0038313F" w:rsidRDefault="00A4788F" w:rsidP="00460DC9">
      <w:pPr>
        <w:spacing w:line="360" w:lineRule="auto"/>
        <w:jc w:val="both"/>
        <w:rPr>
          <w:rFonts w:asciiTheme="majorBidi" w:hAnsiTheme="majorBidi" w:cstheme="majorBidi"/>
          <w:noProof/>
        </w:rPr>
      </w:pPr>
      <w:bookmarkStart w:id="529" w:name="_Hlk83997752"/>
      <w:r w:rsidRPr="008A21E8">
        <w:rPr>
          <w:rFonts w:asciiTheme="majorBidi" w:hAnsiTheme="majorBidi" w:cstheme="majorBidi"/>
          <w:noProof/>
        </w:rPr>
        <w:t>HAP/VAP and BSIs, are the key drivers of population-level benefit consistently across all scenarios due to the population size. The impact of the population size is evident when comparing results across different scenarios, where different categorisations of specimen types (which determine the baseline number of infections) have the greatest impact, changing the total 20 year population INHE from between 493 and 1299</w:t>
      </w:r>
      <w:r w:rsidRPr="008A21E8">
        <w:rPr>
          <w:rFonts w:asciiTheme="majorBidi" w:hAnsiTheme="majorBidi" w:cstheme="majorBidi"/>
          <w:color w:val="000000"/>
        </w:rPr>
        <w:t xml:space="preserve"> </w:t>
      </w:r>
      <w:r w:rsidRPr="008A21E8">
        <w:rPr>
          <w:rFonts w:asciiTheme="majorBidi" w:hAnsiTheme="majorBidi" w:cstheme="majorBidi"/>
          <w:noProof/>
        </w:rPr>
        <w:t xml:space="preserve">to between 837 and </w:t>
      </w:r>
      <w:r w:rsidR="00837CD7" w:rsidRPr="008A21E8">
        <w:rPr>
          <w:rFonts w:asciiTheme="majorBidi" w:hAnsiTheme="majorBidi" w:cstheme="majorBidi"/>
          <w:noProof/>
        </w:rPr>
        <w:t>2,211 QALYs</w:t>
      </w:r>
      <w:r w:rsidRPr="008A21E8">
        <w:rPr>
          <w:rFonts w:asciiTheme="majorBidi" w:hAnsiTheme="majorBidi" w:cstheme="majorBidi"/>
          <w:color w:val="000000"/>
        </w:rPr>
        <w:t xml:space="preserve">. </w:t>
      </w:r>
      <w:bookmarkEnd w:id="529"/>
      <w:r w:rsidRPr="008A21E8">
        <w:rPr>
          <w:rFonts w:asciiTheme="majorBidi" w:hAnsiTheme="majorBidi" w:cstheme="majorBidi"/>
          <w:color w:val="000000"/>
        </w:rPr>
        <w:t>Population growth impacts population level INHE to a greater extent than resistance, as shown by the red and black lines which represent different population growth scenarios diverging more than the solid and dashed lines which represent different resistance scenarios</w:t>
      </w:r>
      <w:r w:rsidRPr="008A21E8">
        <w:rPr>
          <w:rFonts w:asciiTheme="majorBidi" w:hAnsiTheme="majorBidi" w:cstheme="majorBidi"/>
          <w:noProof/>
        </w:rPr>
        <w:t xml:space="preserve">. Resistance between 1% and 10% results in similar total INHE. </w:t>
      </w:r>
    </w:p>
    <w:p w14:paraId="16C6766C" w14:textId="77777777" w:rsidR="0038313F" w:rsidRDefault="0038313F">
      <w:pPr>
        <w:rPr>
          <w:rFonts w:asciiTheme="majorBidi" w:hAnsiTheme="majorBidi" w:cstheme="majorBidi"/>
          <w:noProof/>
        </w:rPr>
      </w:pPr>
      <w:r>
        <w:rPr>
          <w:rFonts w:asciiTheme="majorBidi" w:hAnsiTheme="majorBidi" w:cstheme="majorBidi"/>
          <w:noProof/>
        </w:rPr>
        <w:br w:type="page"/>
      </w:r>
    </w:p>
    <w:p w14:paraId="1623F4BF" w14:textId="77777777" w:rsidR="00A4788F" w:rsidRDefault="00A4788F" w:rsidP="00460DC9">
      <w:pPr>
        <w:spacing w:line="360" w:lineRule="auto"/>
        <w:jc w:val="both"/>
        <w:rPr>
          <w:rFonts w:asciiTheme="majorBidi" w:hAnsiTheme="majorBidi" w:cstheme="majorBidi"/>
          <w:noProof/>
        </w:rPr>
      </w:pPr>
    </w:p>
    <w:p w14:paraId="217779CD" w14:textId="5ED4A1EE" w:rsidR="008A21E8" w:rsidRPr="008A21E8" w:rsidRDefault="008A21E8" w:rsidP="008A21E8">
      <w:pPr>
        <w:spacing w:before="120" w:after="0" w:line="240" w:lineRule="auto"/>
        <w:rPr>
          <w:rFonts w:asciiTheme="majorBidi" w:hAnsiTheme="majorBidi" w:cstheme="majorBidi"/>
          <w:b/>
          <w:bCs/>
          <w:sz w:val="20"/>
          <w:szCs w:val="20"/>
        </w:rPr>
      </w:pPr>
      <w:bookmarkStart w:id="530" w:name="_Ref83490667"/>
      <w:bookmarkStart w:id="531" w:name="_Toc83590024"/>
      <w:bookmarkStart w:id="532" w:name="_Toc86419069"/>
      <w:r w:rsidRPr="008A21E8">
        <w:rPr>
          <w:rFonts w:asciiTheme="majorBidi" w:hAnsiTheme="majorBidi" w:cstheme="majorBidi"/>
          <w:b/>
          <w:bCs/>
          <w:sz w:val="20"/>
          <w:szCs w:val="20"/>
        </w:rPr>
        <w:t xml:space="preserve">Figure </w:t>
      </w:r>
      <w:r w:rsidR="0021430F">
        <w:rPr>
          <w:rFonts w:asciiTheme="majorBidi" w:hAnsiTheme="majorBidi" w:cstheme="majorBidi"/>
          <w:b/>
          <w:bCs/>
          <w:noProof/>
          <w:sz w:val="20"/>
          <w:szCs w:val="20"/>
        </w:rPr>
        <w:t>24</w:t>
      </w:r>
      <w:bookmarkEnd w:id="530"/>
      <w:r w:rsidRPr="008A21E8">
        <w:rPr>
          <w:rFonts w:asciiTheme="majorBidi" w:hAnsiTheme="majorBidi" w:cstheme="majorBidi"/>
          <w:b/>
          <w:bCs/>
          <w:sz w:val="20"/>
          <w:szCs w:val="20"/>
        </w:rPr>
        <w:t>. Population INHE (QALYs) over 20 years based on two population size scenarios</w:t>
      </w:r>
      <w:bookmarkEnd w:id="531"/>
      <w:r w:rsidRPr="008A21E8">
        <w:rPr>
          <w:rFonts w:asciiTheme="majorBidi" w:hAnsiTheme="majorBidi" w:cstheme="majorBidi"/>
          <w:b/>
          <w:bCs/>
          <w:sz w:val="20"/>
          <w:szCs w:val="20"/>
        </w:rPr>
        <w:t>. P1: baseline population based on PHE categorisation of infection sites; P2: baseline population based on clinical advisors’ categorisation of infection sites; G1: damped growth rate; G2: growth rate not damped; R1: 1% resistance after 20 years; R2: 10% resistance after 20 years; R3: 30% resistance after 20 years</w:t>
      </w:r>
      <w:bookmarkEnd w:id="532"/>
    </w:p>
    <w:p w14:paraId="05301A8E" w14:textId="77777777" w:rsidR="008A21E8" w:rsidRPr="008A21E8" w:rsidRDefault="008A21E8" w:rsidP="00460DC9">
      <w:pPr>
        <w:spacing w:line="360" w:lineRule="auto"/>
        <w:jc w:val="both"/>
        <w:rPr>
          <w:rFonts w:asciiTheme="majorBidi" w:hAnsiTheme="majorBidi" w:cstheme="majorBidi"/>
          <w:b/>
          <w:bCs/>
          <w:noProof/>
        </w:rPr>
      </w:pPr>
    </w:p>
    <w:p w14:paraId="496D4289" w14:textId="77777777" w:rsidR="0019116B" w:rsidRDefault="00A4788F" w:rsidP="00460DC9">
      <w:pPr>
        <w:pStyle w:val="Caption"/>
        <w:spacing w:after="0"/>
        <w:rPr>
          <w:rFonts w:asciiTheme="majorBidi" w:hAnsiTheme="majorBidi" w:cstheme="majorBidi"/>
          <w:b/>
          <w:bCs/>
          <w:i w:val="0"/>
          <w:iCs w:val="0"/>
          <w:sz w:val="20"/>
          <w:szCs w:val="20"/>
        </w:rPr>
      </w:pPr>
      <w:r w:rsidRPr="008A21E8">
        <w:rPr>
          <w:rFonts w:asciiTheme="majorBidi" w:hAnsiTheme="majorBidi" w:cstheme="majorBidi"/>
          <w:b/>
          <w:bCs/>
          <w:i w:val="0"/>
          <w:iCs w:val="0"/>
          <w:sz w:val="20"/>
          <w:szCs w:val="20"/>
        </w:rPr>
        <w:t>a) PHE categorisation</w:t>
      </w:r>
    </w:p>
    <w:p w14:paraId="121EB8A9" w14:textId="29CD70CD" w:rsidR="00A4788F" w:rsidRPr="006A2142" w:rsidRDefault="00A4788F" w:rsidP="00460DC9">
      <w:pPr>
        <w:pStyle w:val="Caption"/>
        <w:spacing w:after="0"/>
        <w:rPr>
          <w:highlight w:val="green"/>
        </w:rPr>
      </w:pPr>
      <w:r>
        <w:rPr>
          <w:noProof/>
          <w:lang w:eastAsia="en-GB"/>
        </w:rPr>
        <w:drawing>
          <wp:inline distT="0" distB="0" distL="0" distR="0" wp14:anchorId="1765156A" wp14:editId="22807EBD">
            <wp:extent cx="5715000" cy="3810000"/>
            <wp:effectExtent l="0" t="0" r="0" b="0"/>
            <wp:docPr id="41" name="Picture 41" descr="Population INHE (QALYs) over 20 years based on PHE categorisation of infection sites. 4 line graphs each plotting INHE (QALYs) over time for HAP/VAP (ES), cUTI (MDS), BSI (ES) and IAI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opulation INHE (QALYs) over 20 years based on PHE categorisation of infection sites. 4 line graphs each plotting INHE (QALYs) over time for HAP/VAP (ES), cUTI (MDS), BSI (ES) and IAI (MDS)."/>
                    <pic:cNvPicPr/>
                  </pic:nvPicPr>
                  <pic:blipFill>
                    <a:blip r:embed="rId41">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r>
        <w:rPr>
          <w:noProof/>
          <w:lang w:eastAsia="en-GB"/>
        </w:rPr>
        <w:drawing>
          <wp:inline distT="0" distB="0" distL="0" distR="0" wp14:anchorId="5C7A3440" wp14:editId="3438FEE2">
            <wp:extent cx="5715000" cy="381000"/>
            <wp:effectExtent l="0" t="0" r="0" b="0"/>
            <wp:docPr id="42" name="Picture 42" descr="Key for previous cha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Key for previous charts">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715000" cy="381000"/>
                    </a:xfrm>
                    <a:prstGeom prst="rect">
                      <a:avLst/>
                    </a:prstGeom>
                  </pic:spPr>
                </pic:pic>
              </a:graphicData>
            </a:graphic>
          </wp:inline>
        </w:drawing>
      </w:r>
    </w:p>
    <w:p w14:paraId="4492026C" w14:textId="77777777" w:rsidR="00460DC9" w:rsidRDefault="00460DC9" w:rsidP="00A4788F">
      <w:pPr>
        <w:spacing w:after="0" w:line="240" w:lineRule="auto"/>
        <w:rPr>
          <w:b/>
        </w:rPr>
      </w:pPr>
    </w:p>
    <w:p w14:paraId="71334B2E" w14:textId="77777777" w:rsidR="008A21E8" w:rsidRDefault="008A21E8" w:rsidP="00A4788F">
      <w:pPr>
        <w:spacing w:after="0" w:line="240" w:lineRule="auto"/>
        <w:rPr>
          <w:rFonts w:asciiTheme="majorBidi" w:hAnsiTheme="majorBidi" w:cstheme="majorBidi"/>
          <w:b/>
          <w:sz w:val="20"/>
          <w:szCs w:val="20"/>
        </w:rPr>
      </w:pPr>
    </w:p>
    <w:p w14:paraId="15B38A20" w14:textId="77777777" w:rsidR="008A21E8" w:rsidRDefault="008A21E8" w:rsidP="00A4788F">
      <w:pPr>
        <w:spacing w:after="0" w:line="240" w:lineRule="auto"/>
        <w:rPr>
          <w:rFonts w:asciiTheme="majorBidi" w:hAnsiTheme="majorBidi" w:cstheme="majorBidi"/>
          <w:b/>
          <w:sz w:val="20"/>
          <w:szCs w:val="20"/>
        </w:rPr>
      </w:pPr>
    </w:p>
    <w:p w14:paraId="181BFD3B" w14:textId="77777777" w:rsidR="008A21E8" w:rsidRDefault="008A21E8" w:rsidP="00A4788F">
      <w:pPr>
        <w:spacing w:after="0" w:line="240" w:lineRule="auto"/>
        <w:rPr>
          <w:rFonts w:asciiTheme="majorBidi" w:hAnsiTheme="majorBidi" w:cstheme="majorBidi"/>
          <w:b/>
          <w:sz w:val="20"/>
          <w:szCs w:val="20"/>
        </w:rPr>
      </w:pPr>
    </w:p>
    <w:p w14:paraId="7F1C24FE" w14:textId="77777777" w:rsidR="008A21E8" w:rsidRDefault="008A21E8" w:rsidP="00A4788F">
      <w:pPr>
        <w:spacing w:after="0" w:line="240" w:lineRule="auto"/>
        <w:rPr>
          <w:rFonts w:asciiTheme="majorBidi" w:hAnsiTheme="majorBidi" w:cstheme="majorBidi"/>
          <w:b/>
          <w:sz w:val="20"/>
          <w:szCs w:val="20"/>
        </w:rPr>
      </w:pPr>
    </w:p>
    <w:p w14:paraId="02EE7485" w14:textId="77777777" w:rsidR="008A21E8" w:rsidRDefault="008A21E8" w:rsidP="00A4788F">
      <w:pPr>
        <w:spacing w:after="0" w:line="240" w:lineRule="auto"/>
        <w:rPr>
          <w:rFonts w:asciiTheme="majorBidi" w:hAnsiTheme="majorBidi" w:cstheme="majorBidi"/>
          <w:b/>
          <w:sz w:val="20"/>
          <w:szCs w:val="20"/>
        </w:rPr>
      </w:pPr>
    </w:p>
    <w:p w14:paraId="62B39132" w14:textId="77777777" w:rsidR="008A21E8" w:rsidRDefault="008A21E8" w:rsidP="00A4788F">
      <w:pPr>
        <w:spacing w:after="0" w:line="240" w:lineRule="auto"/>
        <w:rPr>
          <w:rFonts w:asciiTheme="majorBidi" w:hAnsiTheme="majorBidi" w:cstheme="majorBidi"/>
          <w:b/>
          <w:sz w:val="20"/>
          <w:szCs w:val="20"/>
        </w:rPr>
      </w:pPr>
    </w:p>
    <w:p w14:paraId="31A6BAD2" w14:textId="77777777" w:rsidR="0038313F" w:rsidRDefault="0038313F">
      <w:pPr>
        <w:rPr>
          <w:rFonts w:asciiTheme="majorBidi" w:hAnsiTheme="majorBidi" w:cstheme="majorBidi"/>
          <w:b/>
          <w:sz w:val="20"/>
          <w:szCs w:val="20"/>
        </w:rPr>
      </w:pPr>
      <w:r>
        <w:rPr>
          <w:rFonts w:asciiTheme="majorBidi" w:hAnsiTheme="majorBidi" w:cstheme="majorBidi"/>
          <w:b/>
          <w:sz w:val="20"/>
          <w:szCs w:val="20"/>
        </w:rPr>
        <w:br w:type="page"/>
      </w:r>
    </w:p>
    <w:p w14:paraId="3F9EDFC5" w14:textId="56B9D17E" w:rsidR="00A4788F" w:rsidRPr="008A21E8" w:rsidRDefault="00A4788F" w:rsidP="00A4788F">
      <w:pPr>
        <w:spacing w:after="0" w:line="240" w:lineRule="auto"/>
        <w:rPr>
          <w:rFonts w:asciiTheme="majorBidi" w:hAnsiTheme="majorBidi" w:cstheme="majorBidi"/>
          <w:b/>
          <w:sz w:val="20"/>
          <w:szCs w:val="20"/>
        </w:rPr>
      </w:pPr>
      <w:r w:rsidRPr="008A21E8">
        <w:rPr>
          <w:rFonts w:asciiTheme="majorBidi" w:hAnsiTheme="majorBidi" w:cstheme="majorBidi"/>
          <w:b/>
          <w:sz w:val="20"/>
          <w:szCs w:val="20"/>
        </w:rPr>
        <w:lastRenderedPageBreak/>
        <w:t>b) Expert-guided categorisation of specimen types</w:t>
      </w:r>
    </w:p>
    <w:p w14:paraId="4CFB6122" w14:textId="77777777" w:rsidR="00A4788F" w:rsidRPr="006A2142" w:rsidRDefault="00A4788F" w:rsidP="00A4788F">
      <w:pPr>
        <w:spacing w:after="0" w:line="240" w:lineRule="auto"/>
        <w:rPr>
          <w:noProof/>
          <w:highlight w:val="green"/>
        </w:rPr>
      </w:pPr>
      <w:r>
        <w:rPr>
          <w:noProof/>
          <w:lang w:eastAsia="en-GB"/>
        </w:rPr>
        <w:drawing>
          <wp:inline distT="0" distB="0" distL="0" distR="0" wp14:anchorId="6C33ACE6" wp14:editId="7EEE0BBC">
            <wp:extent cx="5715000" cy="3810000"/>
            <wp:effectExtent l="0" t="0" r="0" b="0"/>
            <wp:docPr id="44" name="Picture 44" descr="Population INHE (QALYs) over 20 years based on expert-guided categorisation of specimen types. 4 line graphs each plotting INHE (QALYs) over time for HAP/VAP (ES), cUTI (MDS), BSI (ES) and IAI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opulation INHE (QALYs) over 20 years based on expert-guided categorisation of specimen types. 4 line graphs each plotting INHE (QALYs) over time for HAP/VAP (ES), cUTI (MDS), BSI (ES) and IAI (MDS)"/>
                    <pic:cNvPicPr/>
                  </pic:nvPicPr>
                  <pic:blipFill>
                    <a:blip r:embed="rId4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r>
        <w:rPr>
          <w:noProof/>
          <w:lang w:eastAsia="en-GB"/>
        </w:rPr>
        <w:drawing>
          <wp:inline distT="0" distB="0" distL="0" distR="0" wp14:anchorId="71FCD51F" wp14:editId="34AB6C3A">
            <wp:extent cx="5715000" cy="381000"/>
            <wp:effectExtent l="0" t="0" r="0" b="0"/>
            <wp:docPr id="45" name="Picture 45" descr="Key for previous cha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Key for previous charts">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5715000" cy="381000"/>
                    </a:xfrm>
                    <a:prstGeom prst="rect">
                      <a:avLst/>
                    </a:prstGeom>
                  </pic:spPr>
                </pic:pic>
              </a:graphicData>
            </a:graphic>
          </wp:inline>
        </w:drawing>
      </w:r>
    </w:p>
    <w:p w14:paraId="7FC69063" w14:textId="77777777" w:rsidR="00A4788F" w:rsidRPr="007E0A82" w:rsidRDefault="00A4788F" w:rsidP="00A4788F">
      <w:pPr>
        <w:spacing w:after="0" w:line="360" w:lineRule="auto"/>
      </w:pPr>
    </w:p>
    <w:p w14:paraId="7F9E142E" w14:textId="00B35840" w:rsidR="00A4788F" w:rsidRPr="0038313F" w:rsidRDefault="00A4788F" w:rsidP="00A4788F">
      <w:pPr>
        <w:pStyle w:val="Caption"/>
        <w:rPr>
          <w:rFonts w:asciiTheme="majorBidi" w:hAnsiTheme="majorBidi" w:cstheme="majorBidi"/>
          <w:b/>
          <w:bCs/>
          <w:i w:val="0"/>
          <w:iCs w:val="0"/>
          <w:color w:val="auto"/>
          <w:sz w:val="20"/>
          <w:szCs w:val="20"/>
        </w:rPr>
      </w:pPr>
      <w:bookmarkStart w:id="533" w:name="_Ref83493257"/>
      <w:bookmarkStart w:id="534" w:name="_Toc83590007"/>
      <w:bookmarkStart w:id="535" w:name="_Toc86419017"/>
      <w:r w:rsidRPr="0038313F">
        <w:rPr>
          <w:rFonts w:asciiTheme="majorBidi" w:hAnsiTheme="majorBidi" w:cstheme="majorBidi"/>
          <w:b/>
          <w:bCs/>
          <w:i w:val="0"/>
          <w:iCs w:val="0"/>
          <w:color w:val="auto"/>
          <w:sz w:val="20"/>
          <w:szCs w:val="20"/>
        </w:rPr>
        <w:t xml:space="preserve">Table </w:t>
      </w:r>
      <w:r w:rsidR="00F10F0A">
        <w:rPr>
          <w:rFonts w:asciiTheme="majorBidi" w:hAnsiTheme="majorBidi" w:cstheme="majorBidi"/>
          <w:b/>
          <w:bCs/>
          <w:i w:val="0"/>
          <w:iCs w:val="0"/>
          <w:noProof/>
          <w:color w:val="auto"/>
          <w:sz w:val="20"/>
          <w:szCs w:val="20"/>
        </w:rPr>
        <w:t>40</w:t>
      </w:r>
      <w:bookmarkEnd w:id="533"/>
      <w:r w:rsidRPr="0038313F">
        <w:rPr>
          <w:rFonts w:asciiTheme="majorBidi" w:hAnsiTheme="majorBidi" w:cstheme="majorBidi"/>
          <w:b/>
          <w:bCs/>
          <w:i w:val="0"/>
          <w:iCs w:val="0"/>
          <w:color w:val="auto"/>
          <w:sz w:val="20"/>
          <w:szCs w:val="20"/>
        </w:rPr>
        <w:t>. Total INHE across 20 years of usage</w:t>
      </w:r>
      <w:bookmarkEnd w:id="534"/>
      <w:bookmarkEnd w:id="535"/>
    </w:p>
    <w:tbl>
      <w:tblPr>
        <w:tblStyle w:val="TableGrid"/>
        <w:tblW w:w="9166" w:type="dxa"/>
        <w:tblLayout w:type="fixed"/>
        <w:tblLook w:val="04A0" w:firstRow="1" w:lastRow="0" w:firstColumn="1" w:lastColumn="0" w:noHBand="0" w:noVBand="1"/>
      </w:tblPr>
      <w:tblGrid>
        <w:gridCol w:w="1493"/>
        <w:gridCol w:w="1304"/>
        <w:gridCol w:w="1134"/>
        <w:gridCol w:w="1167"/>
        <w:gridCol w:w="993"/>
        <w:gridCol w:w="992"/>
        <w:gridCol w:w="1036"/>
        <w:gridCol w:w="1047"/>
      </w:tblGrid>
      <w:tr w:rsidR="00A4788F" w:rsidRPr="008A21E8" w14:paraId="7C8B2072" w14:textId="77777777" w:rsidTr="00A4788F">
        <w:tc>
          <w:tcPr>
            <w:tcW w:w="1493" w:type="dxa"/>
            <w:vAlign w:val="center"/>
          </w:tcPr>
          <w:p w14:paraId="6E793067"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Baseline population</w:t>
            </w:r>
          </w:p>
        </w:tc>
        <w:tc>
          <w:tcPr>
            <w:tcW w:w="1304" w:type="dxa"/>
            <w:tcBorders>
              <w:bottom w:val="single" w:sz="12" w:space="0" w:color="000000"/>
            </w:tcBorders>
            <w:vAlign w:val="center"/>
          </w:tcPr>
          <w:p w14:paraId="3A42DDD3"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Population growth rate</w:t>
            </w:r>
          </w:p>
        </w:tc>
        <w:tc>
          <w:tcPr>
            <w:tcW w:w="1134" w:type="dxa"/>
            <w:tcBorders>
              <w:bottom w:val="single" w:sz="12" w:space="0" w:color="000000"/>
            </w:tcBorders>
            <w:vAlign w:val="center"/>
          </w:tcPr>
          <w:p w14:paraId="3244AB9D"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Change in resistance</w:t>
            </w:r>
          </w:p>
        </w:tc>
        <w:tc>
          <w:tcPr>
            <w:tcW w:w="1167" w:type="dxa"/>
            <w:tcBorders>
              <w:bottom w:val="single" w:sz="12" w:space="0" w:color="000000"/>
            </w:tcBorders>
            <w:vAlign w:val="center"/>
          </w:tcPr>
          <w:p w14:paraId="0F787636"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HAP/VAP</w:t>
            </w:r>
          </w:p>
        </w:tc>
        <w:tc>
          <w:tcPr>
            <w:tcW w:w="993" w:type="dxa"/>
            <w:tcBorders>
              <w:bottom w:val="single" w:sz="12" w:space="0" w:color="000000"/>
            </w:tcBorders>
            <w:vAlign w:val="center"/>
          </w:tcPr>
          <w:p w14:paraId="1B5BB6BC" w14:textId="77777777" w:rsidR="00A4788F" w:rsidRPr="008A21E8" w:rsidRDefault="00A4788F" w:rsidP="00A4788F">
            <w:pPr>
              <w:spacing w:before="60" w:after="60"/>
              <w:rPr>
                <w:rFonts w:asciiTheme="majorBidi" w:hAnsiTheme="majorBidi" w:cstheme="majorBidi"/>
              </w:rPr>
            </w:pPr>
            <w:proofErr w:type="spellStart"/>
            <w:r w:rsidRPr="008A21E8">
              <w:rPr>
                <w:rFonts w:asciiTheme="majorBidi" w:hAnsiTheme="majorBidi" w:cstheme="majorBidi"/>
              </w:rPr>
              <w:t>cUTI</w:t>
            </w:r>
            <w:proofErr w:type="spellEnd"/>
          </w:p>
        </w:tc>
        <w:tc>
          <w:tcPr>
            <w:tcW w:w="992" w:type="dxa"/>
            <w:tcBorders>
              <w:bottom w:val="single" w:sz="12" w:space="0" w:color="000000"/>
            </w:tcBorders>
            <w:vAlign w:val="center"/>
          </w:tcPr>
          <w:p w14:paraId="287DF7DB"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BSI</w:t>
            </w:r>
          </w:p>
        </w:tc>
        <w:tc>
          <w:tcPr>
            <w:tcW w:w="1036" w:type="dxa"/>
            <w:tcBorders>
              <w:bottom w:val="single" w:sz="12" w:space="0" w:color="000000"/>
            </w:tcBorders>
            <w:vAlign w:val="center"/>
          </w:tcPr>
          <w:p w14:paraId="039A50D3"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IAI</w:t>
            </w:r>
          </w:p>
        </w:tc>
        <w:tc>
          <w:tcPr>
            <w:tcW w:w="1047" w:type="dxa"/>
            <w:tcBorders>
              <w:bottom w:val="single" w:sz="12" w:space="0" w:color="000000"/>
            </w:tcBorders>
            <w:vAlign w:val="center"/>
          </w:tcPr>
          <w:p w14:paraId="521B4DF9"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Total</w:t>
            </w:r>
          </w:p>
        </w:tc>
      </w:tr>
      <w:tr w:rsidR="00A4788F" w:rsidRPr="008A21E8" w14:paraId="76B6F096" w14:textId="77777777" w:rsidTr="00A4788F">
        <w:tc>
          <w:tcPr>
            <w:tcW w:w="1493" w:type="dxa"/>
            <w:tcBorders>
              <w:right w:val="single" w:sz="12" w:space="0" w:color="000000"/>
            </w:tcBorders>
            <w:vAlign w:val="center"/>
          </w:tcPr>
          <w:p w14:paraId="0068B133"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PHE categorisation of infection sites</w:t>
            </w:r>
          </w:p>
          <w:p w14:paraId="4B62A7B3"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P1)</w:t>
            </w:r>
          </w:p>
        </w:tc>
        <w:tc>
          <w:tcPr>
            <w:tcW w:w="1304" w:type="dxa"/>
            <w:tcBorders>
              <w:top w:val="single" w:sz="12" w:space="0" w:color="000000"/>
              <w:left w:val="single" w:sz="12" w:space="0" w:color="000000"/>
            </w:tcBorders>
            <w:vAlign w:val="center"/>
          </w:tcPr>
          <w:p w14:paraId="22C86462"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 xml:space="preserve">Model with damped effect </w:t>
            </w:r>
          </w:p>
          <w:p w14:paraId="7CBFCA1B"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G1)</w:t>
            </w:r>
          </w:p>
        </w:tc>
        <w:tc>
          <w:tcPr>
            <w:tcW w:w="1134" w:type="dxa"/>
            <w:tcBorders>
              <w:top w:val="single" w:sz="12" w:space="0" w:color="000000"/>
            </w:tcBorders>
            <w:vAlign w:val="center"/>
          </w:tcPr>
          <w:p w14:paraId="64B96B16"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 (R1)</w:t>
            </w:r>
          </w:p>
        </w:tc>
        <w:tc>
          <w:tcPr>
            <w:tcW w:w="1167" w:type="dxa"/>
            <w:tcBorders>
              <w:top w:val="single" w:sz="12" w:space="0" w:color="000000"/>
            </w:tcBorders>
            <w:vAlign w:val="bottom"/>
          </w:tcPr>
          <w:p w14:paraId="384E1FC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66</w:t>
            </w:r>
          </w:p>
        </w:tc>
        <w:tc>
          <w:tcPr>
            <w:tcW w:w="993" w:type="dxa"/>
            <w:tcBorders>
              <w:top w:val="single" w:sz="12" w:space="0" w:color="000000"/>
            </w:tcBorders>
            <w:vAlign w:val="bottom"/>
          </w:tcPr>
          <w:p w14:paraId="2827027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83</w:t>
            </w:r>
          </w:p>
        </w:tc>
        <w:tc>
          <w:tcPr>
            <w:tcW w:w="992" w:type="dxa"/>
            <w:tcBorders>
              <w:top w:val="single" w:sz="12" w:space="0" w:color="000000"/>
            </w:tcBorders>
            <w:vAlign w:val="bottom"/>
          </w:tcPr>
          <w:p w14:paraId="7B9781B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444</w:t>
            </w:r>
          </w:p>
        </w:tc>
        <w:tc>
          <w:tcPr>
            <w:tcW w:w="1036" w:type="dxa"/>
            <w:tcBorders>
              <w:top w:val="single" w:sz="12" w:space="0" w:color="000000"/>
            </w:tcBorders>
            <w:vAlign w:val="bottom"/>
          </w:tcPr>
          <w:p w14:paraId="7E5984C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36</w:t>
            </w:r>
          </w:p>
        </w:tc>
        <w:tc>
          <w:tcPr>
            <w:tcW w:w="1047" w:type="dxa"/>
            <w:tcBorders>
              <w:top w:val="single" w:sz="12" w:space="0" w:color="000000"/>
              <w:right w:val="single" w:sz="12" w:space="0" w:color="000000"/>
            </w:tcBorders>
            <w:vAlign w:val="bottom"/>
          </w:tcPr>
          <w:p w14:paraId="4B46D06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629</w:t>
            </w:r>
          </w:p>
        </w:tc>
      </w:tr>
      <w:tr w:rsidR="00A4788F" w:rsidRPr="008A21E8" w14:paraId="5E2FA014" w14:textId="77777777" w:rsidTr="00A4788F">
        <w:tc>
          <w:tcPr>
            <w:tcW w:w="1493" w:type="dxa"/>
            <w:tcBorders>
              <w:right w:val="single" w:sz="12" w:space="0" w:color="000000"/>
            </w:tcBorders>
            <w:vAlign w:val="center"/>
          </w:tcPr>
          <w:p w14:paraId="6338A885" w14:textId="1A76BC36"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left w:val="single" w:sz="12" w:space="0" w:color="000000"/>
            </w:tcBorders>
            <w:vAlign w:val="center"/>
          </w:tcPr>
          <w:p w14:paraId="0FA5E43D" w14:textId="2DE7BE86"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G1</w:t>
            </w:r>
          </w:p>
        </w:tc>
        <w:tc>
          <w:tcPr>
            <w:tcW w:w="1134" w:type="dxa"/>
            <w:vAlign w:val="center"/>
          </w:tcPr>
          <w:p w14:paraId="6A31BD8B"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5% (R2)</w:t>
            </w:r>
          </w:p>
        </w:tc>
        <w:tc>
          <w:tcPr>
            <w:tcW w:w="1167" w:type="dxa"/>
            <w:vAlign w:val="bottom"/>
          </w:tcPr>
          <w:p w14:paraId="11415EF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64</w:t>
            </w:r>
          </w:p>
        </w:tc>
        <w:tc>
          <w:tcPr>
            <w:tcW w:w="993" w:type="dxa"/>
            <w:vAlign w:val="bottom"/>
          </w:tcPr>
          <w:p w14:paraId="13E582BA"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81</w:t>
            </w:r>
          </w:p>
        </w:tc>
        <w:tc>
          <w:tcPr>
            <w:tcW w:w="992" w:type="dxa"/>
            <w:vAlign w:val="bottom"/>
          </w:tcPr>
          <w:p w14:paraId="66D4CE3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429</w:t>
            </w:r>
          </w:p>
        </w:tc>
        <w:tc>
          <w:tcPr>
            <w:tcW w:w="1036" w:type="dxa"/>
            <w:vAlign w:val="bottom"/>
          </w:tcPr>
          <w:p w14:paraId="0CF914F7"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36</w:t>
            </w:r>
          </w:p>
        </w:tc>
        <w:tc>
          <w:tcPr>
            <w:tcW w:w="1047" w:type="dxa"/>
            <w:tcBorders>
              <w:right w:val="single" w:sz="12" w:space="0" w:color="000000"/>
            </w:tcBorders>
            <w:vAlign w:val="bottom"/>
          </w:tcPr>
          <w:p w14:paraId="4AA6058C"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610</w:t>
            </w:r>
          </w:p>
        </w:tc>
      </w:tr>
      <w:tr w:rsidR="00A4788F" w:rsidRPr="008A21E8" w14:paraId="34509D6C" w14:textId="77777777" w:rsidTr="00A4788F">
        <w:tc>
          <w:tcPr>
            <w:tcW w:w="1493" w:type="dxa"/>
            <w:tcBorders>
              <w:right w:val="single" w:sz="12" w:space="0" w:color="000000"/>
            </w:tcBorders>
            <w:vAlign w:val="center"/>
          </w:tcPr>
          <w:p w14:paraId="641CFF66" w14:textId="3083BA6B"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left w:val="single" w:sz="12" w:space="0" w:color="000000"/>
            </w:tcBorders>
            <w:vAlign w:val="center"/>
          </w:tcPr>
          <w:p w14:paraId="477EC79E" w14:textId="6DEFE7BE"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G1</w:t>
            </w:r>
          </w:p>
        </w:tc>
        <w:tc>
          <w:tcPr>
            <w:tcW w:w="1134" w:type="dxa"/>
            <w:vAlign w:val="center"/>
          </w:tcPr>
          <w:p w14:paraId="65BCD0E3"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10% (R3)</w:t>
            </w:r>
          </w:p>
        </w:tc>
        <w:tc>
          <w:tcPr>
            <w:tcW w:w="1167" w:type="dxa"/>
            <w:vAlign w:val="bottom"/>
          </w:tcPr>
          <w:p w14:paraId="17A6822A"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61</w:t>
            </w:r>
          </w:p>
        </w:tc>
        <w:tc>
          <w:tcPr>
            <w:tcW w:w="993" w:type="dxa"/>
            <w:vAlign w:val="bottom"/>
          </w:tcPr>
          <w:p w14:paraId="69DC35BC"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79</w:t>
            </w:r>
          </w:p>
        </w:tc>
        <w:tc>
          <w:tcPr>
            <w:tcW w:w="992" w:type="dxa"/>
            <w:vAlign w:val="bottom"/>
          </w:tcPr>
          <w:p w14:paraId="40065B24"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412</w:t>
            </w:r>
          </w:p>
        </w:tc>
        <w:tc>
          <w:tcPr>
            <w:tcW w:w="1036" w:type="dxa"/>
            <w:vAlign w:val="bottom"/>
          </w:tcPr>
          <w:p w14:paraId="4EE358D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35</w:t>
            </w:r>
          </w:p>
        </w:tc>
        <w:tc>
          <w:tcPr>
            <w:tcW w:w="1047" w:type="dxa"/>
            <w:tcBorders>
              <w:right w:val="single" w:sz="12" w:space="0" w:color="000000"/>
            </w:tcBorders>
            <w:vAlign w:val="bottom"/>
          </w:tcPr>
          <w:p w14:paraId="02D4AF2A"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587</w:t>
            </w:r>
          </w:p>
        </w:tc>
      </w:tr>
      <w:tr w:rsidR="00A4788F" w:rsidRPr="008A21E8" w14:paraId="223459F0" w14:textId="77777777" w:rsidTr="00A4788F">
        <w:tc>
          <w:tcPr>
            <w:tcW w:w="1493" w:type="dxa"/>
            <w:tcBorders>
              <w:right w:val="single" w:sz="12" w:space="0" w:color="000000"/>
            </w:tcBorders>
            <w:vAlign w:val="center"/>
          </w:tcPr>
          <w:p w14:paraId="13B416CD" w14:textId="48937263"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left w:val="single" w:sz="12" w:space="0" w:color="000000"/>
              <w:bottom w:val="single" w:sz="12" w:space="0" w:color="000000"/>
            </w:tcBorders>
            <w:vAlign w:val="center"/>
          </w:tcPr>
          <w:p w14:paraId="7EDB636D" w14:textId="279A474E"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G1</w:t>
            </w:r>
          </w:p>
        </w:tc>
        <w:tc>
          <w:tcPr>
            <w:tcW w:w="1134" w:type="dxa"/>
            <w:tcBorders>
              <w:bottom w:val="single" w:sz="12" w:space="0" w:color="000000"/>
            </w:tcBorders>
            <w:vAlign w:val="center"/>
          </w:tcPr>
          <w:p w14:paraId="41824C33"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30% (R4)</w:t>
            </w:r>
          </w:p>
        </w:tc>
        <w:tc>
          <w:tcPr>
            <w:tcW w:w="1167" w:type="dxa"/>
            <w:tcBorders>
              <w:bottom w:val="single" w:sz="12" w:space="0" w:color="000000"/>
            </w:tcBorders>
            <w:vAlign w:val="bottom"/>
          </w:tcPr>
          <w:p w14:paraId="3EB2274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51</w:t>
            </w:r>
          </w:p>
        </w:tc>
        <w:tc>
          <w:tcPr>
            <w:tcW w:w="993" w:type="dxa"/>
            <w:tcBorders>
              <w:bottom w:val="single" w:sz="12" w:space="0" w:color="000000"/>
            </w:tcBorders>
            <w:vAlign w:val="bottom"/>
          </w:tcPr>
          <w:p w14:paraId="5398C39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71</w:t>
            </w:r>
          </w:p>
        </w:tc>
        <w:tc>
          <w:tcPr>
            <w:tcW w:w="992" w:type="dxa"/>
            <w:tcBorders>
              <w:bottom w:val="single" w:sz="12" w:space="0" w:color="000000"/>
            </w:tcBorders>
            <w:vAlign w:val="bottom"/>
          </w:tcPr>
          <w:p w14:paraId="2693CBE0"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341</w:t>
            </w:r>
          </w:p>
        </w:tc>
        <w:tc>
          <w:tcPr>
            <w:tcW w:w="1036" w:type="dxa"/>
            <w:tcBorders>
              <w:bottom w:val="single" w:sz="12" w:space="0" w:color="000000"/>
            </w:tcBorders>
            <w:vAlign w:val="bottom"/>
          </w:tcPr>
          <w:p w14:paraId="0F01125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31</w:t>
            </w:r>
          </w:p>
        </w:tc>
        <w:tc>
          <w:tcPr>
            <w:tcW w:w="1047" w:type="dxa"/>
            <w:tcBorders>
              <w:bottom w:val="single" w:sz="12" w:space="0" w:color="000000"/>
              <w:right w:val="single" w:sz="12" w:space="0" w:color="000000"/>
            </w:tcBorders>
            <w:vAlign w:val="bottom"/>
          </w:tcPr>
          <w:p w14:paraId="37285AE8"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493</w:t>
            </w:r>
          </w:p>
        </w:tc>
      </w:tr>
      <w:tr w:rsidR="00A4788F" w:rsidRPr="008A21E8" w14:paraId="5D74F7B9" w14:textId="77777777" w:rsidTr="00A4788F">
        <w:tc>
          <w:tcPr>
            <w:tcW w:w="1493" w:type="dxa"/>
            <w:tcBorders>
              <w:right w:val="single" w:sz="12" w:space="0" w:color="000000"/>
            </w:tcBorders>
            <w:vAlign w:val="center"/>
          </w:tcPr>
          <w:p w14:paraId="4D6B15FE" w14:textId="5B981FCC"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top w:val="single" w:sz="12" w:space="0" w:color="000000"/>
              <w:left w:val="single" w:sz="12" w:space="0" w:color="000000"/>
            </w:tcBorders>
            <w:vAlign w:val="center"/>
          </w:tcPr>
          <w:p w14:paraId="203787E5"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 xml:space="preserve">Model without damped effect </w:t>
            </w:r>
          </w:p>
          <w:p w14:paraId="0D650EC5"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G2)</w:t>
            </w:r>
          </w:p>
        </w:tc>
        <w:tc>
          <w:tcPr>
            <w:tcW w:w="1134" w:type="dxa"/>
            <w:tcBorders>
              <w:top w:val="single" w:sz="12" w:space="0" w:color="000000"/>
            </w:tcBorders>
            <w:vAlign w:val="center"/>
          </w:tcPr>
          <w:p w14:paraId="78F46657"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 (R1)</w:t>
            </w:r>
          </w:p>
        </w:tc>
        <w:tc>
          <w:tcPr>
            <w:tcW w:w="1167" w:type="dxa"/>
            <w:tcBorders>
              <w:top w:val="single" w:sz="12" w:space="0" w:color="000000"/>
            </w:tcBorders>
            <w:vAlign w:val="bottom"/>
          </w:tcPr>
          <w:p w14:paraId="53072272"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137</w:t>
            </w:r>
          </w:p>
        </w:tc>
        <w:tc>
          <w:tcPr>
            <w:tcW w:w="993" w:type="dxa"/>
            <w:tcBorders>
              <w:top w:val="single" w:sz="12" w:space="0" w:color="000000"/>
            </w:tcBorders>
            <w:vAlign w:val="bottom"/>
          </w:tcPr>
          <w:p w14:paraId="53C15F9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171</w:t>
            </w:r>
          </w:p>
        </w:tc>
        <w:tc>
          <w:tcPr>
            <w:tcW w:w="992" w:type="dxa"/>
            <w:tcBorders>
              <w:top w:val="single" w:sz="12" w:space="0" w:color="000000"/>
            </w:tcBorders>
            <w:vAlign w:val="bottom"/>
          </w:tcPr>
          <w:p w14:paraId="3C7CADB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916</w:t>
            </w:r>
          </w:p>
        </w:tc>
        <w:tc>
          <w:tcPr>
            <w:tcW w:w="1036" w:type="dxa"/>
            <w:tcBorders>
              <w:top w:val="single" w:sz="12" w:space="0" w:color="000000"/>
            </w:tcBorders>
            <w:vAlign w:val="bottom"/>
          </w:tcPr>
          <w:p w14:paraId="16225154"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75</w:t>
            </w:r>
          </w:p>
        </w:tc>
        <w:tc>
          <w:tcPr>
            <w:tcW w:w="1047" w:type="dxa"/>
            <w:tcBorders>
              <w:top w:val="single" w:sz="12" w:space="0" w:color="000000"/>
              <w:right w:val="single" w:sz="12" w:space="0" w:color="000000"/>
            </w:tcBorders>
            <w:vAlign w:val="bottom"/>
          </w:tcPr>
          <w:p w14:paraId="3D96CE4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1299</w:t>
            </w:r>
          </w:p>
        </w:tc>
      </w:tr>
      <w:tr w:rsidR="00A4788F" w:rsidRPr="008A21E8" w14:paraId="026D5416" w14:textId="77777777" w:rsidTr="00A4788F">
        <w:tc>
          <w:tcPr>
            <w:tcW w:w="1493" w:type="dxa"/>
            <w:tcBorders>
              <w:right w:val="single" w:sz="12" w:space="0" w:color="000000"/>
            </w:tcBorders>
            <w:vAlign w:val="center"/>
          </w:tcPr>
          <w:p w14:paraId="6B50644C" w14:textId="7608BB29" w:rsidR="00A4788F" w:rsidRPr="008A21E8" w:rsidRDefault="00E617D9" w:rsidP="00A4788F">
            <w:pPr>
              <w:spacing w:before="60" w:after="60"/>
              <w:rPr>
                <w:rFonts w:asciiTheme="majorBidi" w:hAnsiTheme="majorBidi" w:cstheme="majorBidi"/>
              </w:rPr>
            </w:pPr>
            <w:r>
              <w:rPr>
                <w:rFonts w:asciiTheme="majorBidi" w:hAnsiTheme="majorBidi" w:cstheme="majorBidi"/>
              </w:rPr>
              <w:lastRenderedPageBreak/>
              <w:t>S</w:t>
            </w:r>
            <w:r w:rsidRPr="008A21E8">
              <w:rPr>
                <w:rFonts w:asciiTheme="majorBidi" w:hAnsiTheme="majorBidi" w:cstheme="majorBidi"/>
              </w:rPr>
              <w:t>cenario P1</w:t>
            </w:r>
          </w:p>
        </w:tc>
        <w:tc>
          <w:tcPr>
            <w:tcW w:w="1304" w:type="dxa"/>
            <w:tcBorders>
              <w:left w:val="single" w:sz="12" w:space="0" w:color="000000"/>
            </w:tcBorders>
            <w:vAlign w:val="center"/>
          </w:tcPr>
          <w:p w14:paraId="0624ADA0" w14:textId="66FCF45E"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w:t>
            </w:r>
            <w:r>
              <w:rPr>
                <w:rFonts w:asciiTheme="majorBidi" w:hAnsiTheme="majorBidi" w:cstheme="majorBidi"/>
              </w:rPr>
              <w:t>2</w:t>
            </w:r>
          </w:p>
        </w:tc>
        <w:tc>
          <w:tcPr>
            <w:tcW w:w="1134" w:type="dxa"/>
            <w:vAlign w:val="center"/>
          </w:tcPr>
          <w:p w14:paraId="482589E6"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5% (R2)</w:t>
            </w:r>
          </w:p>
        </w:tc>
        <w:tc>
          <w:tcPr>
            <w:tcW w:w="1167" w:type="dxa"/>
            <w:vAlign w:val="bottom"/>
          </w:tcPr>
          <w:p w14:paraId="63280DED"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131</w:t>
            </w:r>
          </w:p>
        </w:tc>
        <w:tc>
          <w:tcPr>
            <w:tcW w:w="993" w:type="dxa"/>
            <w:vAlign w:val="bottom"/>
          </w:tcPr>
          <w:p w14:paraId="12AB20F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167</w:t>
            </w:r>
          </w:p>
        </w:tc>
        <w:tc>
          <w:tcPr>
            <w:tcW w:w="992" w:type="dxa"/>
            <w:vAlign w:val="bottom"/>
          </w:tcPr>
          <w:p w14:paraId="4A1CF588"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880</w:t>
            </w:r>
          </w:p>
        </w:tc>
        <w:tc>
          <w:tcPr>
            <w:tcW w:w="1036" w:type="dxa"/>
            <w:vAlign w:val="bottom"/>
          </w:tcPr>
          <w:p w14:paraId="54042CA9"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73</w:t>
            </w:r>
          </w:p>
        </w:tc>
        <w:tc>
          <w:tcPr>
            <w:tcW w:w="1047" w:type="dxa"/>
            <w:tcBorders>
              <w:right w:val="single" w:sz="12" w:space="0" w:color="000000"/>
            </w:tcBorders>
            <w:vAlign w:val="bottom"/>
          </w:tcPr>
          <w:p w14:paraId="3F32297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1250</w:t>
            </w:r>
          </w:p>
        </w:tc>
      </w:tr>
      <w:tr w:rsidR="00A4788F" w:rsidRPr="008A21E8" w14:paraId="5476A2E2" w14:textId="77777777" w:rsidTr="00A4788F">
        <w:tc>
          <w:tcPr>
            <w:tcW w:w="1493" w:type="dxa"/>
            <w:tcBorders>
              <w:right w:val="single" w:sz="12" w:space="0" w:color="000000"/>
            </w:tcBorders>
            <w:vAlign w:val="center"/>
          </w:tcPr>
          <w:p w14:paraId="373F76A8" w14:textId="4800FCDE"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left w:val="single" w:sz="12" w:space="0" w:color="000000"/>
            </w:tcBorders>
            <w:vAlign w:val="center"/>
          </w:tcPr>
          <w:p w14:paraId="18B7DA63" w14:textId="2DA9D579"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w:t>
            </w:r>
            <w:r>
              <w:rPr>
                <w:rFonts w:asciiTheme="majorBidi" w:hAnsiTheme="majorBidi" w:cstheme="majorBidi"/>
              </w:rPr>
              <w:t>2</w:t>
            </w:r>
          </w:p>
        </w:tc>
        <w:tc>
          <w:tcPr>
            <w:tcW w:w="1134" w:type="dxa"/>
            <w:vAlign w:val="center"/>
          </w:tcPr>
          <w:p w14:paraId="6041B9CA"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10% (R3)</w:t>
            </w:r>
          </w:p>
        </w:tc>
        <w:tc>
          <w:tcPr>
            <w:tcW w:w="1167" w:type="dxa"/>
            <w:vAlign w:val="bottom"/>
          </w:tcPr>
          <w:p w14:paraId="5481729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124</w:t>
            </w:r>
          </w:p>
        </w:tc>
        <w:tc>
          <w:tcPr>
            <w:tcW w:w="993" w:type="dxa"/>
            <w:vAlign w:val="bottom"/>
          </w:tcPr>
          <w:p w14:paraId="05150C0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161</w:t>
            </w:r>
          </w:p>
        </w:tc>
        <w:tc>
          <w:tcPr>
            <w:tcW w:w="992" w:type="dxa"/>
            <w:vAlign w:val="bottom"/>
          </w:tcPr>
          <w:p w14:paraId="137A4859"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834</w:t>
            </w:r>
          </w:p>
        </w:tc>
        <w:tc>
          <w:tcPr>
            <w:tcW w:w="1036" w:type="dxa"/>
            <w:vAlign w:val="bottom"/>
          </w:tcPr>
          <w:p w14:paraId="55364AD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71</w:t>
            </w:r>
          </w:p>
        </w:tc>
        <w:tc>
          <w:tcPr>
            <w:tcW w:w="1047" w:type="dxa"/>
            <w:tcBorders>
              <w:right w:val="single" w:sz="12" w:space="0" w:color="000000"/>
            </w:tcBorders>
            <w:vAlign w:val="bottom"/>
          </w:tcPr>
          <w:p w14:paraId="1EE1B8A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1190</w:t>
            </w:r>
          </w:p>
        </w:tc>
      </w:tr>
      <w:tr w:rsidR="00A4788F" w:rsidRPr="008A21E8" w14:paraId="41D432CF" w14:textId="77777777" w:rsidTr="00A4788F">
        <w:tc>
          <w:tcPr>
            <w:tcW w:w="1493" w:type="dxa"/>
            <w:tcBorders>
              <w:right w:val="single" w:sz="12" w:space="0" w:color="000000"/>
            </w:tcBorders>
            <w:vAlign w:val="center"/>
          </w:tcPr>
          <w:p w14:paraId="6653905D" w14:textId="68F1BCEB"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P1</w:t>
            </w:r>
          </w:p>
        </w:tc>
        <w:tc>
          <w:tcPr>
            <w:tcW w:w="1304" w:type="dxa"/>
            <w:tcBorders>
              <w:left w:val="single" w:sz="12" w:space="0" w:color="000000"/>
              <w:bottom w:val="single" w:sz="12" w:space="0" w:color="000000"/>
            </w:tcBorders>
            <w:vAlign w:val="center"/>
          </w:tcPr>
          <w:p w14:paraId="2ED63EF1" w14:textId="676F5F0B" w:rsidR="00A4788F" w:rsidRPr="008A21E8" w:rsidRDefault="00E617D9"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w:t>
            </w:r>
            <w:r>
              <w:rPr>
                <w:rFonts w:asciiTheme="majorBidi" w:hAnsiTheme="majorBidi" w:cstheme="majorBidi"/>
              </w:rPr>
              <w:t>2</w:t>
            </w:r>
          </w:p>
        </w:tc>
        <w:tc>
          <w:tcPr>
            <w:tcW w:w="1134" w:type="dxa"/>
            <w:tcBorders>
              <w:bottom w:val="single" w:sz="12" w:space="0" w:color="000000"/>
            </w:tcBorders>
            <w:vAlign w:val="center"/>
          </w:tcPr>
          <w:p w14:paraId="6C396064"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30% (R4)</w:t>
            </w:r>
          </w:p>
        </w:tc>
        <w:tc>
          <w:tcPr>
            <w:tcW w:w="1167" w:type="dxa"/>
            <w:tcBorders>
              <w:bottom w:val="single" w:sz="12" w:space="0" w:color="000000"/>
            </w:tcBorders>
            <w:vAlign w:val="bottom"/>
          </w:tcPr>
          <w:p w14:paraId="7033C90C"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97</w:t>
            </w:r>
          </w:p>
        </w:tc>
        <w:tc>
          <w:tcPr>
            <w:tcW w:w="993" w:type="dxa"/>
            <w:tcBorders>
              <w:bottom w:val="single" w:sz="12" w:space="0" w:color="000000"/>
            </w:tcBorders>
            <w:vAlign w:val="bottom"/>
          </w:tcPr>
          <w:p w14:paraId="0DB4C0C8"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140</w:t>
            </w:r>
          </w:p>
        </w:tc>
        <w:tc>
          <w:tcPr>
            <w:tcW w:w="992" w:type="dxa"/>
            <w:tcBorders>
              <w:bottom w:val="single" w:sz="12" w:space="0" w:color="000000"/>
            </w:tcBorders>
            <w:vAlign w:val="bottom"/>
          </w:tcPr>
          <w:p w14:paraId="6A547007"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652</w:t>
            </w:r>
          </w:p>
        </w:tc>
        <w:tc>
          <w:tcPr>
            <w:tcW w:w="1036" w:type="dxa"/>
            <w:tcBorders>
              <w:bottom w:val="single" w:sz="12" w:space="0" w:color="000000"/>
            </w:tcBorders>
            <w:vAlign w:val="bottom"/>
          </w:tcPr>
          <w:p w14:paraId="445A9F4C"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61</w:t>
            </w:r>
          </w:p>
        </w:tc>
        <w:tc>
          <w:tcPr>
            <w:tcW w:w="1047" w:type="dxa"/>
            <w:tcBorders>
              <w:bottom w:val="single" w:sz="12" w:space="0" w:color="000000"/>
              <w:right w:val="single" w:sz="12" w:space="0" w:color="000000"/>
            </w:tcBorders>
            <w:vAlign w:val="bottom"/>
          </w:tcPr>
          <w:p w14:paraId="639E0FE2"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950</w:t>
            </w:r>
          </w:p>
        </w:tc>
      </w:tr>
      <w:tr w:rsidR="00A4788F" w:rsidRPr="008A21E8" w14:paraId="781B555D" w14:textId="77777777" w:rsidTr="00A4788F">
        <w:tc>
          <w:tcPr>
            <w:tcW w:w="1493" w:type="dxa"/>
            <w:tcBorders>
              <w:right w:val="single" w:sz="12" w:space="0" w:color="000000"/>
            </w:tcBorders>
          </w:tcPr>
          <w:p w14:paraId="04AE03A6"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Clinical advisors’ categorisation of infection sites</w:t>
            </w:r>
          </w:p>
          <w:p w14:paraId="22CE9F9E"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P2)</w:t>
            </w:r>
          </w:p>
        </w:tc>
        <w:tc>
          <w:tcPr>
            <w:tcW w:w="1304" w:type="dxa"/>
            <w:tcBorders>
              <w:top w:val="single" w:sz="12" w:space="0" w:color="000000"/>
              <w:left w:val="single" w:sz="12" w:space="0" w:color="000000"/>
            </w:tcBorders>
            <w:vAlign w:val="center"/>
          </w:tcPr>
          <w:p w14:paraId="6BCE3F98"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 xml:space="preserve">Model with damped effect </w:t>
            </w:r>
          </w:p>
          <w:p w14:paraId="626AAA32"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G1)</w:t>
            </w:r>
          </w:p>
        </w:tc>
        <w:tc>
          <w:tcPr>
            <w:tcW w:w="1134" w:type="dxa"/>
            <w:tcBorders>
              <w:top w:val="single" w:sz="12" w:space="0" w:color="000000"/>
            </w:tcBorders>
            <w:vAlign w:val="center"/>
          </w:tcPr>
          <w:p w14:paraId="3110234C"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 (R1)</w:t>
            </w:r>
          </w:p>
        </w:tc>
        <w:tc>
          <w:tcPr>
            <w:tcW w:w="1167" w:type="dxa"/>
            <w:tcBorders>
              <w:top w:val="single" w:sz="12" w:space="0" w:color="000000"/>
            </w:tcBorders>
            <w:vAlign w:val="bottom"/>
          </w:tcPr>
          <w:p w14:paraId="5326D9F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458</w:t>
            </w:r>
          </w:p>
        </w:tc>
        <w:tc>
          <w:tcPr>
            <w:tcW w:w="993" w:type="dxa"/>
            <w:tcBorders>
              <w:top w:val="single" w:sz="12" w:space="0" w:color="000000"/>
            </w:tcBorders>
            <w:vAlign w:val="bottom"/>
          </w:tcPr>
          <w:p w14:paraId="1485FF1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133</w:t>
            </w:r>
          </w:p>
        </w:tc>
        <w:tc>
          <w:tcPr>
            <w:tcW w:w="992" w:type="dxa"/>
            <w:tcBorders>
              <w:top w:val="single" w:sz="12" w:space="0" w:color="000000"/>
            </w:tcBorders>
            <w:vAlign w:val="bottom"/>
          </w:tcPr>
          <w:p w14:paraId="73985EC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444</w:t>
            </w:r>
          </w:p>
        </w:tc>
        <w:tc>
          <w:tcPr>
            <w:tcW w:w="1036" w:type="dxa"/>
            <w:tcBorders>
              <w:top w:val="single" w:sz="12" w:space="0" w:color="000000"/>
            </w:tcBorders>
            <w:vAlign w:val="bottom"/>
          </w:tcPr>
          <w:p w14:paraId="3778424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36</w:t>
            </w:r>
          </w:p>
        </w:tc>
        <w:tc>
          <w:tcPr>
            <w:tcW w:w="1047" w:type="dxa"/>
            <w:tcBorders>
              <w:top w:val="single" w:sz="12" w:space="0" w:color="000000"/>
              <w:right w:val="single" w:sz="12" w:space="0" w:color="000000"/>
            </w:tcBorders>
            <w:vAlign w:val="bottom"/>
          </w:tcPr>
          <w:p w14:paraId="1B932C68"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1,070</w:t>
            </w:r>
          </w:p>
        </w:tc>
      </w:tr>
      <w:tr w:rsidR="00A4788F" w:rsidRPr="008A21E8" w14:paraId="112D9469" w14:textId="77777777" w:rsidTr="00A4788F">
        <w:tc>
          <w:tcPr>
            <w:tcW w:w="1493" w:type="dxa"/>
            <w:tcBorders>
              <w:right w:val="single" w:sz="12" w:space="0" w:color="000000"/>
            </w:tcBorders>
          </w:tcPr>
          <w:p w14:paraId="4BA6CAD8" w14:textId="2EF4D707"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tcBorders>
            <w:vAlign w:val="center"/>
          </w:tcPr>
          <w:p w14:paraId="58C09643" w14:textId="01BAA1AF"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00E617D9" w:rsidRPr="008A21E8">
              <w:rPr>
                <w:rFonts w:asciiTheme="majorBidi" w:hAnsiTheme="majorBidi" w:cstheme="majorBidi"/>
              </w:rPr>
              <w:t>cenario G1</w:t>
            </w:r>
          </w:p>
        </w:tc>
        <w:tc>
          <w:tcPr>
            <w:tcW w:w="1134" w:type="dxa"/>
            <w:vAlign w:val="center"/>
          </w:tcPr>
          <w:p w14:paraId="6F51615A"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5% (R2)</w:t>
            </w:r>
          </w:p>
        </w:tc>
        <w:tc>
          <w:tcPr>
            <w:tcW w:w="1167" w:type="dxa"/>
            <w:vAlign w:val="bottom"/>
          </w:tcPr>
          <w:p w14:paraId="2010B1C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443</w:t>
            </w:r>
          </w:p>
        </w:tc>
        <w:tc>
          <w:tcPr>
            <w:tcW w:w="993" w:type="dxa"/>
            <w:vAlign w:val="bottom"/>
          </w:tcPr>
          <w:p w14:paraId="3B820C4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130</w:t>
            </w:r>
          </w:p>
        </w:tc>
        <w:tc>
          <w:tcPr>
            <w:tcW w:w="992" w:type="dxa"/>
            <w:vAlign w:val="bottom"/>
          </w:tcPr>
          <w:p w14:paraId="071D8425"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429</w:t>
            </w:r>
          </w:p>
        </w:tc>
        <w:tc>
          <w:tcPr>
            <w:tcW w:w="1036" w:type="dxa"/>
            <w:vAlign w:val="bottom"/>
          </w:tcPr>
          <w:p w14:paraId="12632116"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36</w:t>
            </w:r>
          </w:p>
        </w:tc>
        <w:tc>
          <w:tcPr>
            <w:tcW w:w="1047" w:type="dxa"/>
            <w:tcBorders>
              <w:right w:val="single" w:sz="12" w:space="0" w:color="000000"/>
            </w:tcBorders>
            <w:vAlign w:val="bottom"/>
          </w:tcPr>
          <w:p w14:paraId="7FF911D2"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1,038</w:t>
            </w:r>
          </w:p>
        </w:tc>
      </w:tr>
      <w:tr w:rsidR="00A4788F" w:rsidRPr="008A21E8" w14:paraId="1D329C7A" w14:textId="77777777" w:rsidTr="00A4788F">
        <w:tc>
          <w:tcPr>
            <w:tcW w:w="1493" w:type="dxa"/>
            <w:tcBorders>
              <w:right w:val="single" w:sz="12" w:space="0" w:color="000000"/>
            </w:tcBorders>
          </w:tcPr>
          <w:p w14:paraId="1CA34202" w14:textId="142858D4"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tcBorders>
            <w:vAlign w:val="center"/>
          </w:tcPr>
          <w:p w14:paraId="3E28139A" w14:textId="44FE7FF8"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G1</w:t>
            </w:r>
          </w:p>
        </w:tc>
        <w:tc>
          <w:tcPr>
            <w:tcW w:w="1134" w:type="dxa"/>
            <w:vAlign w:val="center"/>
          </w:tcPr>
          <w:p w14:paraId="2284E2B9"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10% (R3)</w:t>
            </w:r>
          </w:p>
        </w:tc>
        <w:tc>
          <w:tcPr>
            <w:tcW w:w="1167" w:type="dxa"/>
            <w:vAlign w:val="bottom"/>
          </w:tcPr>
          <w:p w14:paraId="5EFA9CA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425</w:t>
            </w:r>
          </w:p>
        </w:tc>
        <w:tc>
          <w:tcPr>
            <w:tcW w:w="993" w:type="dxa"/>
            <w:vAlign w:val="bottom"/>
          </w:tcPr>
          <w:p w14:paraId="4F57F35A"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127</w:t>
            </w:r>
          </w:p>
        </w:tc>
        <w:tc>
          <w:tcPr>
            <w:tcW w:w="992" w:type="dxa"/>
            <w:vAlign w:val="bottom"/>
          </w:tcPr>
          <w:p w14:paraId="7C1FB13D"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412</w:t>
            </w:r>
          </w:p>
        </w:tc>
        <w:tc>
          <w:tcPr>
            <w:tcW w:w="1036" w:type="dxa"/>
            <w:vAlign w:val="bottom"/>
          </w:tcPr>
          <w:p w14:paraId="66DF606D"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35</w:t>
            </w:r>
          </w:p>
        </w:tc>
        <w:tc>
          <w:tcPr>
            <w:tcW w:w="1047" w:type="dxa"/>
            <w:tcBorders>
              <w:right w:val="single" w:sz="12" w:space="0" w:color="000000"/>
            </w:tcBorders>
            <w:vAlign w:val="bottom"/>
          </w:tcPr>
          <w:p w14:paraId="22832BC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998</w:t>
            </w:r>
          </w:p>
        </w:tc>
      </w:tr>
      <w:tr w:rsidR="00A4788F" w:rsidRPr="008A21E8" w14:paraId="085D5C19" w14:textId="77777777" w:rsidTr="00A4788F">
        <w:tc>
          <w:tcPr>
            <w:tcW w:w="1493" w:type="dxa"/>
            <w:tcBorders>
              <w:right w:val="single" w:sz="12" w:space="0" w:color="000000"/>
            </w:tcBorders>
          </w:tcPr>
          <w:p w14:paraId="39A9B67C" w14:textId="6AE47A72"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bottom w:val="single" w:sz="12" w:space="0" w:color="000000"/>
            </w:tcBorders>
            <w:vAlign w:val="center"/>
          </w:tcPr>
          <w:p w14:paraId="3ECA756F" w14:textId="7280176C"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G1</w:t>
            </w:r>
          </w:p>
        </w:tc>
        <w:tc>
          <w:tcPr>
            <w:tcW w:w="1134" w:type="dxa"/>
            <w:tcBorders>
              <w:bottom w:val="single" w:sz="12" w:space="0" w:color="000000"/>
            </w:tcBorders>
            <w:vAlign w:val="center"/>
          </w:tcPr>
          <w:p w14:paraId="7807FA9D"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30% (R4)</w:t>
            </w:r>
          </w:p>
        </w:tc>
        <w:tc>
          <w:tcPr>
            <w:tcW w:w="1167" w:type="dxa"/>
            <w:tcBorders>
              <w:bottom w:val="single" w:sz="12" w:space="0" w:color="000000"/>
            </w:tcBorders>
            <w:vAlign w:val="bottom"/>
          </w:tcPr>
          <w:p w14:paraId="65264A5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352</w:t>
            </w:r>
          </w:p>
        </w:tc>
        <w:tc>
          <w:tcPr>
            <w:tcW w:w="993" w:type="dxa"/>
            <w:tcBorders>
              <w:bottom w:val="single" w:sz="12" w:space="0" w:color="000000"/>
            </w:tcBorders>
            <w:vAlign w:val="bottom"/>
          </w:tcPr>
          <w:p w14:paraId="08FE4492"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113</w:t>
            </w:r>
          </w:p>
        </w:tc>
        <w:tc>
          <w:tcPr>
            <w:tcW w:w="992" w:type="dxa"/>
            <w:tcBorders>
              <w:bottom w:val="single" w:sz="12" w:space="0" w:color="000000"/>
            </w:tcBorders>
            <w:vAlign w:val="bottom"/>
          </w:tcPr>
          <w:p w14:paraId="1D995687"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341</w:t>
            </w:r>
          </w:p>
        </w:tc>
        <w:tc>
          <w:tcPr>
            <w:tcW w:w="1036" w:type="dxa"/>
            <w:tcBorders>
              <w:bottom w:val="single" w:sz="12" w:space="0" w:color="000000"/>
            </w:tcBorders>
            <w:vAlign w:val="bottom"/>
          </w:tcPr>
          <w:p w14:paraId="1E994972"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31</w:t>
            </w:r>
          </w:p>
        </w:tc>
        <w:tc>
          <w:tcPr>
            <w:tcW w:w="1047" w:type="dxa"/>
            <w:tcBorders>
              <w:bottom w:val="single" w:sz="12" w:space="0" w:color="000000"/>
              <w:right w:val="single" w:sz="12" w:space="0" w:color="000000"/>
            </w:tcBorders>
            <w:vAlign w:val="bottom"/>
          </w:tcPr>
          <w:p w14:paraId="79A34A1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837</w:t>
            </w:r>
          </w:p>
        </w:tc>
      </w:tr>
      <w:tr w:rsidR="00A4788F" w:rsidRPr="008A21E8" w14:paraId="6E243AF2" w14:textId="77777777" w:rsidTr="00A4788F">
        <w:tc>
          <w:tcPr>
            <w:tcW w:w="1493" w:type="dxa"/>
            <w:tcBorders>
              <w:right w:val="single" w:sz="12" w:space="0" w:color="000000"/>
            </w:tcBorders>
          </w:tcPr>
          <w:p w14:paraId="00A2F08B" w14:textId="5A3A5645"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top w:val="single" w:sz="12" w:space="0" w:color="000000"/>
              <w:left w:val="single" w:sz="12" w:space="0" w:color="000000"/>
            </w:tcBorders>
            <w:vAlign w:val="center"/>
          </w:tcPr>
          <w:p w14:paraId="05F2C696"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 xml:space="preserve">Model without damped effect </w:t>
            </w:r>
          </w:p>
          <w:p w14:paraId="4DB923E9" w14:textId="77777777" w:rsidR="00A4788F" w:rsidRPr="008A21E8" w:rsidRDefault="00A4788F" w:rsidP="00A4788F">
            <w:pPr>
              <w:spacing w:before="60" w:after="60"/>
              <w:rPr>
                <w:rFonts w:asciiTheme="majorBidi" w:hAnsiTheme="majorBidi" w:cstheme="majorBidi"/>
              </w:rPr>
            </w:pPr>
            <w:r w:rsidRPr="008A21E8">
              <w:rPr>
                <w:rFonts w:asciiTheme="majorBidi" w:hAnsiTheme="majorBidi" w:cstheme="majorBidi"/>
              </w:rPr>
              <w:t>(</w:t>
            </w:r>
            <w:proofErr w:type="gramStart"/>
            <w:r w:rsidRPr="008A21E8">
              <w:rPr>
                <w:rFonts w:asciiTheme="majorBidi" w:hAnsiTheme="majorBidi" w:cstheme="majorBidi"/>
              </w:rPr>
              <w:t>scenario</w:t>
            </w:r>
            <w:proofErr w:type="gramEnd"/>
            <w:r w:rsidRPr="008A21E8">
              <w:rPr>
                <w:rFonts w:asciiTheme="majorBidi" w:hAnsiTheme="majorBidi" w:cstheme="majorBidi"/>
              </w:rPr>
              <w:t xml:space="preserve"> G2)</w:t>
            </w:r>
          </w:p>
        </w:tc>
        <w:tc>
          <w:tcPr>
            <w:tcW w:w="1134" w:type="dxa"/>
            <w:tcBorders>
              <w:top w:val="single" w:sz="12" w:space="0" w:color="000000"/>
            </w:tcBorders>
            <w:vAlign w:val="center"/>
          </w:tcPr>
          <w:p w14:paraId="52A3888E"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 (R1)</w:t>
            </w:r>
          </w:p>
        </w:tc>
        <w:tc>
          <w:tcPr>
            <w:tcW w:w="1167" w:type="dxa"/>
            <w:tcBorders>
              <w:top w:val="single" w:sz="12" w:space="0" w:color="000000"/>
            </w:tcBorders>
            <w:vAlign w:val="bottom"/>
          </w:tcPr>
          <w:p w14:paraId="66BA812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946</w:t>
            </w:r>
          </w:p>
        </w:tc>
        <w:tc>
          <w:tcPr>
            <w:tcW w:w="993" w:type="dxa"/>
            <w:tcBorders>
              <w:top w:val="single" w:sz="12" w:space="0" w:color="000000"/>
            </w:tcBorders>
            <w:vAlign w:val="bottom"/>
          </w:tcPr>
          <w:p w14:paraId="1BFABA7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274</w:t>
            </w:r>
          </w:p>
        </w:tc>
        <w:tc>
          <w:tcPr>
            <w:tcW w:w="992" w:type="dxa"/>
            <w:tcBorders>
              <w:top w:val="single" w:sz="12" w:space="0" w:color="000000"/>
            </w:tcBorders>
            <w:vAlign w:val="bottom"/>
          </w:tcPr>
          <w:p w14:paraId="7CD16C7B"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916</w:t>
            </w:r>
          </w:p>
        </w:tc>
        <w:tc>
          <w:tcPr>
            <w:tcW w:w="1036" w:type="dxa"/>
            <w:tcBorders>
              <w:top w:val="single" w:sz="12" w:space="0" w:color="000000"/>
            </w:tcBorders>
            <w:vAlign w:val="bottom"/>
          </w:tcPr>
          <w:p w14:paraId="093B9C6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75</w:t>
            </w:r>
          </w:p>
        </w:tc>
        <w:tc>
          <w:tcPr>
            <w:tcW w:w="1047" w:type="dxa"/>
            <w:tcBorders>
              <w:top w:val="single" w:sz="12" w:space="0" w:color="000000"/>
              <w:right w:val="single" w:sz="12" w:space="0" w:color="000000"/>
            </w:tcBorders>
            <w:vAlign w:val="bottom"/>
          </w:tcPr>
          <w:p w14:paraId="4EECD13F"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2,211</w:t>
            </w:r>
          </w:p>
        </w:tc>
      </w:tr>
      <w:tr w:rsidR="00A4788F" w:rsidRPr="008A21E8" w14:paraId="60BE1038" w14:textId="77777777" w:rsidTr="00A4788F">
        <w:tc>
          <w:tcPr>
            <w:tcW w:w="1493" w:type="dxa"/>
            <w:tcBorders>
              <w:right w:val="single" w:sz="12" w:space="0" w:color="000000"/>
            </w:tcBorders>
          </w:tcPr>
          <w:p w14:paraId="7EF646AD" w14:textId="0B0C780D"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tcBorders>
          </w:tcPr>
          <w:p w14:paraId="49026949" w14:textId="66B1248F"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G2</w:t>
            </w:r>
          </w:p>
        </w:tc>
        <w:tc>
          <w:tcPr>
            <w:tcW w:w="1134" w:type="dxa"/>
            <w:vAlign w:val="center"/>
          </w:tcPr>
          <w:p w14:paraId="7C8DFAE5"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5% (R2)</w:t>
            </w:r>
          </w:p>
        </w:tc>
        <w:tc>
          <w:tcPr>
            <w:tcW w:w="1167" w:type="dxa"/>
            <w:vAlign w:val="bottom"/>
          </w:tcPr>
          <w:p w14:paraId="6DDF1A2D"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908</w:t>
            </w:r>
          </w:p>
        </w:tc>
        <w:tc>
          <w:tcPr>
            <w:tcW w:w="993" w:type="dxa"/>
            <w:vAlign w:val="bottom"/>
          </w:tcPr>
          <w:p w14:paraId="22FC1B46"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267</w:t>
            </w:r>
          </w:p>
        </w:tc>
        <w:tc>
          <w:tcPr>
            <w:tcW w:w="992" w:type="dxa"/>
            <w:vAlign w:val="bottom"/>
          </w:tcPr>
          <w:p w14:paraId="3CAF07B3"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880</w:t>
            </w:r>
          </w:p>
        </w:tc>
        <w:tc>
          <w:tcPr>
            <w:tcW w:w="1036" w:type="dxa"/>
            <w:vAlign w:val="bottom"/>
          </w:tcPr>
          <w:p w14:paraId="21C72B8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73</w:t>
            </w:r>
          </w:p>
        </w:tc>
        <w:tc>
          <w:tcPr>
            <w:tcW w:w="1047" w:type="dxa"/>
            <w:tcBorders>
              <w:right w:val="single" w:sz="12" w:space="0" w:color="000000"/>
            </w:tcBorders>
            <w:vAlign w:val="bottom"/>
          </w:tcPr>
          <w:p w14:paraId="70DCC6A8"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2,128</w:t>
            </w:r>
          </w:p>
        </w:tc>
      </w:tr>
      <w:tr w:rsidR="00A4788F" w:rsidRPr="008A21E8" w14:paraId="21F0A79A" w14:textId="77777777" w:rsidTr="00A4788F">
        <w:tc>
          <w:tcPr>
            <w:tcW w:w="1493" w:type="dxa"/>
            <w:tcBorders>
              <w:right w:val="single" w:sz="12" w:space="0" w:color="000000"/>
            </w:tcBorders>
          </w:tcPr>
          <w:p w14:paraId="7681117A" w14:textId="78663C2C"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tcBorders>
          </w:tcPr>
          <w:p w14:paraId="50886D0E" w14:textId="2AE85C55"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G2</w:t>
            </w:r>
          </w:p>
        </w:tc>
        <w:tc>
          <w:tcPr>
            <w:tcW w:w="1134" w:type="dxa"/>
            <w:vAlign w:val="center"/>
          </w:tcPr>
          <w:p w14:paraId="1CCC961E"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10% (R3)</w:t>
            </w:r>
          </w:p>
        </w:tc>
        <w:tc>
          <w:tcPr>
            <w:tcW w:w="1167" w:type="dxa"/>
            <w:vAlign w:val="bottom"/>
          </w:tcPr>
          <w:p w14:paraId="6FA7C32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861</w:t>
            </w:r>
          </w:p>
        </w:tc>
        <w:tc>
          <w:tcPr>
            <w:tcW w:w="993" w:type="dxa"/>
            <w:vAlign w:val="bottom"/>
          </w:tcPr>
          <w:p w14:paraId="11F7A417"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259</w:t>
            </w:r>
          </w:p>
        </w:tc>
        <w:tc>
          <w:tcPr>
            <w:tcW w:w="992" w:type="dxa"/>
            <w:vAlign w:val="bottom"/>
          </w:tcPr>
          <w:p w14:paraId="645EBAE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834</w:t>
            </w:r>
          </w:p>
        </w:tc>
        <w:tc>
          <w:tcPr>
            <w:tcW w:w="1036" w:type="dxa"/>
            <w:vAlign w:val="bottom"/>
          </w:tcPr>
          <w:p w14:paraId="2134303E"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71</w:t>
            </w:r>
          </w:p>
        </w:tc>
        <w:tc>
          <w:tcPr>
            <w:tcW w:w="1047" w:type="dxa"/>
            <w:tcBorders>
              <w:right w:val="single" w:sz="12" w:space="0" w:color="000000"/>
            </w:tcBorders>
            <w:vAlign w:val="bottom"/>
          </w:tcPr>
          <w:p w14:paraId="6A2B8094"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2,025</w:t>
            </w:r>
          </w:p>
        </w:tc>
      </w:tr>
      <w:tr w:rsidR="00A4788F" w:rsidRPr="008A21E8" w14:paraId="7C29A14C" w14:textId="77777777" w:rsidTr="00A4788F">
        <w:tc>
          <w:tcPr>
            <w:tcW w:w="1493" w:type="dxa"/>
            <w:tcBorders>
              <w:right w:val="single" w:sz="12" w:space="0" w:color="000000"/>
            </w:tcBorders>
          </w:tcPr>
          <w:p w14:paraId="285A7FC3" w14:textId="051F5FB2"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P2</w:t>
            </w:r>
          </w:p>
        </w:tc>
        <w:tc>
          <w:tcPr>
            <w:tcW w:w="1304" w:type="dxa"/>
            <w:tcBorders>
              <w:left w:val="single" w:sz="12" w:space="0" w:color="000000"/>
              <w:bottom w:val="single" w:sz="12" w:space="0" w:color="000000"/>
            </w:tcBorders>
          </w:tcPr>
          <w:p w14:paraId="32E413E3" w14:textId="2F2AF229" w:rsidR="00A4788F" w:rsidRPr="008A21E8" w:rsidRDefault="00001050" w:rsidP="00A4788F">
            <w:pPr>
              <w:spacing w:before="60" w:after="60"/>
              <w:rPr>
                <w:rFonts w:asciiTheme="majorBidi" w:hAnsiTheme="majorBidi" w:cstheme="majorBidi"/>
              </w:rPr>
            </w:pPr>
            <w:r>
              <w:rPr>
                <w:rFonts w:asciiTheme="majorBidi" w:hAnsiTheme="majorBidi" w:cstheme="majorBidi"/>
              </w:rPr>
              <w:t>S</w:t>
            </w:r>
            <w:r w:rsidRPr="008A21E8">
              <w:rPr>
                <w:rFonts w:asciiTheme="majorBidi" w:hAnsiTheme="majorBidi" w:cstheme="majorBidi"/>
              </w:rPr>
              <w:t>cenario G2</w:t>
            </w:r>
          </w:p>
        </w:tc>
        <w:tc>
          <w:tcPr>
            <w:tcW w:w="1134" w:type="dxa"/>
            <w:tcBorders>
              <w:bottom w:val="single" w:sz="12" w:space="0" w:color="000000"/>
            </w:tcBorders>
            <w:vAlign w:val="center"/>
          </w:tcPr>
          <w:p w14:paraId="72DBC035" w14:textId="77777777" w:rsidR="00A4788F" w:rsidRPr="008A21E8" w:rsidRDefault="00A4788F" w:rsidP="00A4788F">
            <w:pPr>
              <w:spacing w:before="60" w:after="60"/>
              <w:jc w:val="center"/>
              <w:rPr>
                <w:rFonts w:asciiTheme="majorBidi" w:hAnsiTheme="majorBidi" w:cstheme="majorBidi"/>
              </w:rPr>
            </w:pPr>
            <w:r w:rsidRPr="008A21E8">
              <w:rPr>
                <w:rFonts w:asciiTheme="majorBidi" w:hAnsiTheme="majorBidi" w:cstheme="majorBidi"/>
              </w:rPr>
              <w:t>30% (R4)</w:t>
            </w:r>
          </w:p>
        </w:tc>
        <w:tc>
          <w:tcPr>
            <w:tcW w:w="1167" w:type="dxa"/>
            <w:tcBorders>
              <w:bottom w:val="single" w:sz="12" w:space="0" w:color="000000"/>
            </w:tcBorders>
            <w:vAlign w:val="bottom"/>
          </w:tcPr>
          <w:p w14:paraId="73699BCD"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673</w:t>
            </w:r>
          </w:p>
        </w:tc>
        <w:tc>
          <w:tcPr>
            <w:tcW w:w="993" w:type="dxa"/>
            <w:tcBorders>
              <w:bottom w:val="single" w:sz="12" w:space="0" w:color="000000"/>
            </w:tcBorders>
            <w:vAlign w:val="bottom"/>
          </w:tcPr>
          <w:p w14:paraId="358AECB4"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225</w:t>
            </w:r>
          </w:p>
        </w:tc>
        <w:tc>
          <w:tcPr>
            <w:tcW w:w="992" w:type="dxa"/>
            <w:tcBorders>
              <w:bottom w:val="single" w:sz="12" w:space="0" w:color="000000"/>
            </w:tcBorders>
            <w:vAlign w:val="bottom"/>
          </w:tcPr>
          <w:p w14:paraId="2DA77827"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652</w:t>
            </w:r>
          </w:p>
        </w:tc>
        <w:tc>
          <w:tcPr>
            <w:tcW w:w="1036" w:type="dxa"/>
            <w:tcBorders>
              <w:bottom w:val="single" w:sz="12" w:space="0" w:color="000000"/>
            </w:tcBorders>
            <w:vAlign w:val="bottom"/>
          </w:tcPr>
          <w:p w14:paraId="0CB943F1"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61</w:t>
            </w:r>
          </w:p>
        </w:tc>
        <w:tc>
          <w:tcPr>
            <w:tcW w:w="1047" w:type="dxa"/>
            <w:tcBorders>
              <w:bottom w:val="single" w:sz="12" w:space="0" w:color="000000"/>
              <w:right w:val="single" w:sz="12" w:space="0" w:color="000000"/>
            </w:tcBorders>
            <w:vAlign w:val="bottom"/>
          </w:tcPr>
          <w:p w14:paraId="3A702AE0" w14:textId="77777777" w:rsidR="00A4788F" w:rsidRPr="008A21E8" w:rsidRDefault="00A4788F" w:rsidP="00A4788F">
            <w:pPr>
              <w:jc w:val="center"/>
              <w:rPr>
                <w:rFonts w:asciiTheme="majorBidi" w:hAnsiTheme="majorBidi" w:cstheme="majorBidi"/>
                <w:color w:val="000000"/>
              </w:rPr>
            </w:pPr>
            <w:r w:rsidRPr="008A21E8">
              <w:rPr>
                <w:rFonts w:asciiTheme="majorBidi" w:hAnsiTheme="majorBidi" w:cstheme="majorBidi"/>
                <w:color w:val="000000"/>
              </w:rPr>
              <w:t>1,611</w:t>
            </w:r>
          </w:p>
        </w:tc>
      </w:tr>
    </w:tbl>
    <w:p w14:paraId="641DDD37" w14:textId="16B1B413" w:rsidR="00A4788F" w:rsidRDefault="00342BCE" w:rsidP="00342BCE">
      <w:pPr>
        <w:pStyle w:val="EEPRUtextundertables"/>
        <w:rPr>
          <w:noProof/>
        </w:rPr>
      </w:pPr>
      <w:r w:rsidRPr="00342BCE">
        <w:rPr>
          <w:noProof/>
        </w:rPr>
        <w:t>BSI, bloodstream infection; cUTI, complicated urinary tract infection; HAP/VAP, hospital-acquired pneumonia or ventilator-associated pneumonia; IAI, intraabdominal infection; PHE, Pu</w:t>
      </w:r>
      <w:r>
        <w:rPr>
          <w:noProof/>
        </w:rPr>
        <w:t>blic Health England</w:t>
      </w:r>
    </w:p>
    <w:p w14:paraId="1FEA2252" w14:textId="77777777" w:rsidR="00342BCE" w:rsidRDefault="00342BCE" w:rsidP="00342BCE">
      <w:pPr>
        <w:pStyle w:val="EEPRUtextundertables"/>
        <w:rPr>
          <w:noProof/>
        </w:rPr>
      </w:pPr>
    </w:p>
    <w:p w14:paraId="4D0C6AA4" w14:textId="143D9258" w:rsidR="002C3F8A" w:rsidRPr="007D1B7F" w:rsidRDefault="002C3F8A" w:rsidP="00C7405F">
      <w:pPr>
        <w:spacing w:line="360" w:lineRule="auto"/>
        <w:jc w:val="both"/>
        <w:rPr>
          <w:rFonts w:ascii="Times New Roman" w:hAnsi="Times New Roman" w:cs="Times New Roman"/>
        </w:rPr>
      </w:pPr>
      <w:r w:rsidRPr="007D1B7F">
        <w:rPr>
          <w:rFonts w:ascii="Times New Roman" w:hAnsi="Times New Roman" w:cs="Times New Roman"/>
        </w:rPr>
        <w:t>We also estimated how much of the value of CAZ-AVI accrues to patients initiating treatment in the first ten years of use, as this is the period of the contract for the delinked payment. Full results are presented in Appendix 2</w:t>
      </w:r>
      <w:r w:rsidR="009061EF" w:rsidRPr="007D1B7F">
        <w:rPr>
          <w:rFonts w:ascii="Times New Roman" w:hAnsi="Times New Roman" w:cs="Times New Roman"/>
        </w:rPr>
        <w:t>0</w:t>
      </w:r>
      <w:r w:rsidRPr="007D1B7F">
        <w:rPr>
          <w:rFonts w:ascii="Times New Roman" w:hAnsi="Times New Roman" w:cs="Times New Roman"/>
        </w:rPr>
        <w:t xml:space="preserve">. Across scenarios relating to baseline population, population growth and resistance emergence, the proportion of value that accrues in the first 10 years of use is 41%-65%. </w:t>
      </w:r>
      <w:proofErr w:type="gramStart"/>
      <w:r w:rsidRPr="007D1B7F">
        <w:rPr>
          <w:rFonts w:ascii="Times New Roman" w:hAnsi="Times New Roman" w:cs="Times New Roman"/>
        </w:rPr>
        <w:t>With the exception of</w:t>
      </w:r>
      <w:proofErr w:type="gramEnd"/>
      <w:r w:rsidRPr="007D1B7F">
        <w:rPr>
          <w:rFonts w:ascii="Times New Roman" w:hAnsi="Times New Roman" w:cs="Times New Roman"/>
        </w:rPr>
        <w:t xml:space="preserve"> the scenarios examining very high rates of emergence to resistance, the proportion of value accruing in the first 10 years is less than might be expected for other pharmaceuticals. For a pharmaceutical where population size is expected to be stable over </w:t>
      </w:r>
      <w:proofErr w:type="gramStart"/>
      <w:r w:rsidRPr="007D1B7F">
        <w:rPr>
          <w:rFonts w:ascii="Times New Roman" w:hAnsi="Times New Roman" w:cs="Times New Roman"/>
        </w:rPr>
        <w:t>time</w:t>
      </w:r>
      <w:proofErr w:type="gramEnd"/>
      <w:r w:rsidRPr="007D1B7F">
        <w:rPr>
          <w:rFonts w:ascii="Times New Roman" w:hAnsi="Times New Roman" w:cs="Times New Roman"/>
        </w:rPr>
        <w:t xml:space="preserve"> we would expect 59% of the value to accrue in the first 10 years.</w:t>
      </w:r>
    </w:p>
    <w:p w14:paraId="1923FD7B" w14:textId="57C48DAC" w:rsidR="0054067C" w:rsidRPr="007D1B7F" w:rsidRDefault="0054067C" w:rsidP="00C7405F">
      <w:pPr>
        <w:spacing w:line="360" w:lineRule="auto"/>
        <w:jc w:val="both"/>
        <w:rPr>
          <w:rFonts w:ascii="Times New Roman" w:hAnsi="Times New Roman" w:cs="Times New Roman"/>
        </w:rPr>
      </w:pPr>
      <w:r w:rsidRPr="007D1B7F">
        <w:rPr>
          <w:rFonts w:ascii="Times New Roman" w:hAnsi="Times New Roman" w:cs="Times New Roman"/>
        </w:rPr>
        <w:lastRenderedPageBreak/>
        <w:t xml:space="preserve">Following a request from NICE we also assessed the impact on the population-level results of using a 1.5% discount rate. These results reflect an assumption of zero emergence of resistance to </w:t>
      </w:r>
      <w:r w:rsidR="00C7405F">
        <w:rPr>
          <w:rFonts w:ascii="Times New Roman" w:hAnsi="Times New Roman" w:cs="Times New Roman"/>
        </w:rPr>
        <w:t>CAZ-AVI</w:t>
      </w:r>
      <w:r w:rsidRPr="007D1B7F">
        <w:rPr>
          <w:rFonts w:ascii="Times New Roman" w:hAnsi="Times New Roman" w:cs="Times New Roman"/>
        </w:rPr>
        <w:t xml:space="preserve"> and are intended to give an indication of the broad effect of a lower discount rate. Across the scenarios relating to population size and population growth the 20-year population-level INHE ranged from </w:t>
      </w:r>
      <w:r w:rsidR="00C7405F">
        <w:rPr>
          <w:rFonts w:ascii="Times New Roman" w:hAnsi="Times New Roman" w:cs="Times New Roman"/>
        </w:rPr>
        <w:t>808-2,953</w:t>
      </w:r>
      <w:r w:rsidRPr="007D1B7F">
        <w:rPr>
          <w:rFonts w:ascii="Times New Roman" w:hAnsi="Times New Roman" w:cs="Times New Roman"/>
        </w:rPr>
        <w:t xml:space="preserve"> when using a 1.5% discount rate. This indicates a substantive increase compared to the results observed using a 3.5% discount rate. </w:t>
      </w:r>
    </w:p>
    <w:p w14:paraId="75954232" w14:textId="47B623BE" w:rsidR="0054067C" w:rsidRPr="007D1B7F" w:rsidRDefault="00A4788F" w:rsidP="00C7405F">
      <w:pPr>
        <w:spacing w:line="360" w:lineRule="auto"/>
        <w:jc w:val="both"/>
        <w:rPr>
          <w:rFonts w:ascii="Times New Roman" w:hAnsi="Times New Roman" w:cs="Times New Roman"/>
        </w:rPr>
      </w:pPr>
      <w:r w:rsidRPr="007D1B7F">
        <w:rPr>
          <w:rFonts w:ascii="Times New Roman" w:hAnsi="Times New Roman" w:cs="Times New Roman"/>
        </w:rPr>
        <w:t xml:space="preserve">There is a large degree of uncertainty around the population-level INHEs of </w:t>
      </w:r>
      <w:r w:rsidR="00FE2007" w:rsidRPr="007D1B7F">
        <w:rPr>
          <w:rFonts w:ascii="Times New Roman" w:hAnsi="Times New Roman" w:cs="Times New Roman"/>
        </w:rPr>
        <w:t>CAZ-AVI</w:t>
      </w:r>
      <w:r w:rsidRPr="007D1B7F">
        <w:rPr>
          <w:rFonts w:ascii="Times New Roman" w:hAnsi="Times New Roman" w:cs="Times New Roman"/>
        </w:rPr>
        <w:t xml:space="preserve">. The distribution of population INHEs for two population size scenarios (P1G1, P2G2) under a scenario of no resistance emergence to </w:t>
      </w:r>
      <w:r w:rsidR="00FE2007" w:rsidRPr="007D1B7F">
        <w:rPr>
          <w:rFonts w:ascii="Times New Roman" w:hAnsi="Times New Roman" w:cs="Times New Roman"/>
        </w:rPr>
        <w:t>CAZ-AVI</w:t>
      </w:r>
      <w:r w:rsidRPr="007D1B7F">
        <w:rPr>
          <w:rFonts w:ascii="Times New Roman" w:hAnsi="Times New Roman" w:cs="Times New Roman"/>
        </w:rPr>
        <w:t xml:space="preserve">, is shown in </w:t>
      </w:r>
      <w:r w:rsidR="0038313F" w:rsidRPr="007D1B7F">
        <w:rPr>
          <w:rFonts w:ascii="Times New Roman" w:hAnsi="Times New Roman" w:cs="Times New Roman"/>
        </w:rPr>
        <w:t xml:space="preserve">Figure </w:t>
      </w:r>
      <w:r w:rsidR="0038313F" w:rsidRPr="007D1B7F">
        <w:rPr>
          <w:rFonts w:ascii="Times New Roman" w:hAnsi="Times New Roman" w:cs="Times New Roman"/>
          <w:noProof/>
        </w:rPr>
        <w:t>26</w:t>
      </w:r>
      <w:r w:rsidRPr="007D1B7F">
        <w:rPr>
          <w:rFonts w:ascii="Times New Roman" w:hAnsi="Times New Roman" w:cs="Times New Roman"/>
        </w:rPr>
        <w:t xml:space="preserve">. The distribution of population INHE reflects the per patient INHE parameter uncertainty discussed in </w:t>
      </w:r>
      <w:r w:rsidR="0038313F" w:rsidRPr="007D1B7F">
        <w:rPr>
          <w:rFonts w:ascii="Times New Roman" w:hAnsi="Times New Roman" w:cs="Times New Roman"/>
        </w:rPr>
        <w:t>S</w:t>
      </w:r>
      <w:r w:rsidRPr="007D1B7F">
        <w:rPr>
          <w:rFonts w:ascii="Times New Roman" w:hAnsi="Times New Roman" w:cs="Times New Roman"/>
        </w:rPr>
        <w:t>ections 3.1.1-3.1.2, as well as uncertainty in the rate of population growth over time. The difference in dispersion (range) between two histograms indicates the uncertainty in population growth between the two scenarios.</w:t>
      </w:r>
    </w:p>
    <w:p w14:paraId="3A43634D" w14:textId="77777777" w:rsidR="0054067C" w:rsidRDefault="0054067C">
      <w:pPr>
        <w:rPr>
          <w:rFonts w:asciiTheme="majorBidi" w:hAnsiTheme="majorBidi" w:cstheme="majorBidi"/>
        </w:rPr>
      </w:pPr>
      <w:r>
        <w:rPr>
          <w:rFonts w:asciiTheme="majorBidi" w:hAnsiTheme="majorBidi" w:cstheme="majorBidi"/>
        </w:rPr>
        <w:br w:type="page"/>
      </w:r>
    </w:p>
    <w:p w14:paraId="60F66D85" w14:textId="77777777" w:rsidR="00A4788F" w:rsidRDefault="00A4788F" w:rsidP="00A4788F">
      <w:pPr>
        <w:spacing w:line="360" w:lineRule="auto"/>
        <w:jc w:val="both"/>
        <w:rPr>
          <w:rFonts w:asciiTheme="majorBidi" w:hAnsiTheme="majorBidi" w:cstheme="majorBidi"/>
        </w:rPr>
      </w:pPr>
    </w:p>
    <w:p w14:paraId="6FE82275" w14:textId="105BE58D" w:rsidR="008A21E8" w:rsidRPr="008A21E8" w:rsidRDefault="008A21E8" w:rsidP="0019116B">
      <w:pPr>
        <w:pStyle w:val="Caption"/>
        <w:rPr>
          <w:rFonts w:asciiTheme="majorBidi" w:hAnsiTheme="majorBidi" w:cstheme="majorBidi"/>
          <w:b/>
          <w:bCs/>
        </w:rPr>
      </w:pPr>
      <w:bookmarkStart w:id="536" w:name="_Ref85123092"/>
      <w:bookmarkStart w:id="537" w:name="_Toc86419070"/>
      <w:r w:rsidRPr="0038313F">
        <w:rPr>
          <w:rFonts w:asciiTheme="majorBidi" w:hAnsiTheme="majorBidi" w:cstheme="majorBidi"/>
          <w:b/>
          <w:bCs/>
          <w:i w:val="0"/>
          <w:iCs w:val="0"/>
          <w:color w:val="auto"/>
          <w:sz w:val="20"/>
          <w:szCs w:val="20"/>
        </w:rPr>
        <w:t xml:space="preserve">Figure </w:t>
      </w:r>
      <w:r w:rsidR="0021430F">
        <w:rPr>
          <w:rFonts w:asciiTheme="majorBidi" w:hAnsiTheme="majorBidi" w:cstheme="majorBidi"/>
          <w:b/>
          <w:bCs/>
          <w:i w:val="0"/>
          <w:iCs w:val="0"/>
          <w:noProof/>
          <w:color w:val="auto"/>
          <w:sz w:val="20"/>
          <w:szCs w:val="20"/>
        </w:rPr>
        <w:t>25</w:t>
      </w:r>
      <w:bookmarkEnd w:id="536"/>
      <w:r w:rsidRPr="0038313F">
        <w:rPr>
          <w:rFonts w:asciiTheme="majorBidi" w:hAnsiTheme="majorBidi" w:cstheme="majorBidi"/>
          <w:b/>
          <w:bCs/>
          <w:i w:val="0"/>
          <w:iCs w:val="0"/>
          <w:color w:val="auto"/>
          <w:sz w:val="20"/>
          <w:szCs w:val="20"/>
        </w:rPr>
        <w:t>. Distribution of total population INHEs of CAZ-AVI (2,000 simulations)</w:t>
      </w:r>
      <w:bookmarkEnd w:id="537"/>
    </w:p>
    <w:p w14:paraId="7A196E53" w14:textId="2CAF829C" w:rsidR="00A4788F" w:rsidRDefault="00195807" w:rsidP="00A4788F">
      <w:r>
        <w:rPr>
          <w:noProof/>
        </w:rPr>
        <w:drawing>
          <wp:inline distT="0" distB="0" distL="0" distR="0" wp14:anchorId="55243EB6" wp14:editId="3F6FE182">
            <wp:extent cx="5715000" cy="2857500"/>
            <wp:effectExtent l="0" t="0" r="0" b="0"/>
            <wp:docPr id="1" name="Picture 1" descr="Histogram illustrating the distribution of total population INHEs of CAZ-AVI (2,000 simulations).&#10;P1G1, mean = 619 and range = -2 to 1914&#10;P2G2, mean = 2187 and range = -33 to 68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gram illustrating the distribution of total population INHEs of CAZ-AVI (2,000 simulations).&#10;P1G1, mean = 619 and range = -2 to 1914&#10;P2G2, mean = 2187 and range = -33 to 6897&#10;"/>
                    <pic:cNvPicPr/>
                  </pic:nvPicPr>
                  <pic:blipFill>
                    <a:blip r:embed="rId45">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3CAA513A" w14:textId="57279163" w:rsidR="00A4788F" w:rsidRDefault="00A4788F" w:rsidP="00A4788F"/>
    <w:p w14:paraId="70875406" w14:textId="77777777" w:rsidR="00A4788F" w:rsidRPr="008A21E8" w:rsidRDefault="00A4788F" w:rsidP="00A4788F">
      <w:pPr>
        <w:rPr>
          <w:rFonts w:asciiTheme="majorBidi" w:hAnsiTheme="majorBidi" w:cstheme="majorBidi"/>
        </w:rPr>
      </w:pPr>
      <w:r w:rsidRPr="008A21E8">
        <w:rPr>
          <w:rFonts w:asciiTheme="majorBidi" w:hAnsiTheme="majorBidi" w:cstheme="majorBidi"/>
          <w:sz w:val="18"/>
        </w:rPr>
        <w:t>P1G1:</w:t>
      </w:r>
      <w:r w:rsidRPr="008A21E8">
        <w:rPr>
          <w:rFonts w:asciiTheme="majorBidi" w:hAnsiTheme="majorBidi" w:cstheme="majorBidi"/>
          <w:sz w:val="18"/>
          <w:szCs w:val="18"/>
        </w:rPr>
        <w:t xml:space="preserve"> baseline population (point estimate) based on PHE categorisation of infection sites, growth rate damped (uncertain); </w:t>
      </w:r>
      <w:r w:rsidRPr="008A21E8">
        <w:rPr>
          <w:rFonts w:asciiTheme="majorBidi" w:hAnsiTheme="majorBidi" w:cstheme="majorBidi"/>
          <w:sz w:val="18"/>
        </w:rPr>
        <w:t>P2G2</w:t>
      </w:r>
      <w:r w:rsidRPr="008A21E8">
        <w:rPr>
          <w:rFonts w:asciiTheme="majorBidi" w:hAnsiTheme="majorBidi" w:cstheme="majorBidi"/>
          <w:sz w:val="18"/>
          <w:szCs w:val="18"/>
        </w:rPr>
        <w:t>: baseline population (point estimate) based on clinical advisors’ categorisation of infection sites, growth rate not damped (uncertain).</w:t>
      </w:r>
    </w:p>
    <w:p w14:paraId="12AF6417" w14:textId="77777777" w:rsidR="00A4788F" w:rsidRDefault="00A4788F" w:rsidP="00EE4C38">
      <w:pPr>
        <w:spacing w:line="360" w:lineRule="auto"/>
      </w:pPr>
    </w:p>
    <w:p w14:paraId="6D9F8E36" w14:textId="1B3CDB01" w:rsidR="00A4788F" w:rsidRPr="008A21E8" w:rsidRDefault="00A4788F" w:rsidP="00EE4C38">
      <w:pPr>
        <w:spacing w:line="360" w:lineRule="auto"/>
        <w:rPr>
          <w:rFonts w:asciiTheme="majorBidi" w:hAnsiTheme="majorBidi" w:cstheme="majorBidi"/>
        </w:rPr>
      </w:pPr>
      <w:r w:rsidRPr="008A21E8">
        <w:rPr>
          <w:rFonts w:asciiTheme="majorBidi" w:hAnsiTheme="majorBidi" w:cstheme="majorBidi"/>
        </w:rPr>
        <w:t xml:space="preserve">Patient-level scenario analyses that modified the total base case population INHE by more than 10% are shown in </w:t>
      </w:r>
      <w:r w:rsidR="0038313F" w:rsidRPr="0038313F">
        <w:rPr>
          <w:rFonts w:asciiTheme="majorBidi" w:hAnsiTheme="majorBidi" w:cstheme="majorBidi"/>
        </w:rPr>
        <w:t xml:space="preserve">Table </w:t>
      </w:r>
      <w:r w:rsidR="0038313F" w:rsidRPr="0038313F">
        <w:rPr>
          <w:rFonts w:asciiTheme="majorBidi" w:hAnsiTheme="majorBidi" w:cstheme="majorBidi"/>
          <w:noProof/>
        </w:rPr>
        <w:t>41</w:t>
      </w:r>
      <w:r w:rsidRPr="008A21E8">
        <w:rPr>
          <w:rFonts w:asciiTheme="majorBidi" w:hAnsiTheme="majorBidi" w:cstheme="majorBidi"/>
        </w:rPr>
        <w:t xml:space="preserve">. The results are presented as the range based on most and least conservative assumptions about the population size (scenarios P1G1 and P2G2 </w:t>
      </w:r>
      <w:r w:rsidRPr="00D31AF7">
        <w:rPr>
          <w:rFonts w:ascii="Times New Roman" w:hAnsi="Times New Roman" w:cs="Times New Roman"/>
        </w:rPr>
        <w:t xml:space="preserve">in </w:t>
      </w:r>
      <w:r w:rsidR="00F12ADA" w:rsidRPr="00D31AF7">
        <w:rPr>
          <w:rFonts w:ascii="Times New Roman" w:hAnsi="Times New Roman" w:cs="Times New Roman"/>
          <w:bCs/>
        </w:rPr>
        <w:t xml:space="preserve">Figure </w:t>
      </w:r>
      <w:r w:rsidR="00F12ADA" w:rsidRPr="00D31AF7">
        <w:rPr>
          <w:rFonts w:ascii="Times New Roman" w:hAnsi="Times New Roman" w:cs="Times New Roman"/>
          <w:bCs/>
          <w:noProof/>
        </w:rPr>
        <w:t>22</w:t>
      </w:r>
      <w:r w:rsidRPr="00D31AF7">
        <w:rPr>
          <w:rFonts w:ascii="Times New Roman" w:hAnsi="Times New Roman" w:cs="Times New Roman"/>
        </w:rPr>
        <w:t>) a</w:t>
      </w:r>
      <w:r w:rsidRPr="008A21E8">
        <w:rPr>
          <w:rFonts w:asciiTheme="majorBidi" w:hAnsiTheme="majorBidi" w:cstheme="majorBidi"/>
        </w:rPr>
        <w:t xml:space="preserve">nd assuming zero resistance emergence. The scenarios assume that, where applicable the same assumptions apply across populations </w:t>
      </w:r>
      <w:r w:rsidR="0038313F" w:rsidRPr="008A21E8">
        <w:rPr>
          <w:rFonts w:asciiTheme="majorBidi" w:hAnsiTheme="majorBidi" w:cstheme="majorBidi"/>
        </w:rPr>
        <w:t>e.g.,</w:t>
      </w:r>
      <w:r w:rsidRPr="008A21E8">
        <w:rPr>
          <w:rFonts w:asciiTheme="majorBidi" w:hAnsiTheme="majorBidi" w:cstheme="majorBidi"/>
        </w:rPr>
        <w:t xml:space="preserve"> if a certain assumption is considered more appropriate for HAP/VAP ES patients it is also considered more appropriate for BSI ES patients. </w:t>
      </w:r>
    </w:p>
    <w:p w14:paraId="1D1F8EE0" w14:textId="695921CE" w:rsidR="00A4788F" w:rsidRPr="008A21E8" w:rsidRDefault="00A4788F" w:rsidP="00EE4C38">
      <w:pPr>
        <w:spacing w:line="360" w:lineRule="auto"/>
        <w:rPr>
          <w:rFonts w:asciiTheme="majorBidi" w:hAnsiTheme="majorBidi" w:cstheme="majorBidi"/>
          <w:color w:val="000000"/>
        </w:rPr>
      </w:pPr>
      <w:r w:rsidRPr="008A21E8">
        <w:rPr>
          <w:rFonts w:asciiTheme="majorBidi" w:hAnsiTheme="majorBidi" w:cstheme="majorBidi"/>
          <w:color w:val="000000"/>
        </w:rPr>
        <w:t xml:space="preserve">Population growth impacts population level INHE to a greater extent than scenarios in the patient-level model, as the variation in the total INHE across different population size scenarios of 633 to 2,231 QALYs (the base case range in </w:t>
      </w:r>
      <w:r w:rsidR="0038313F" w:rsidRPr="0038313F">
        <w:rPr>
          <w:rFonts w:asciiTheme="majorBidi" w:hAnsiTheme="majorBidi" w:cstheme="majorBidi"/>
        </w:rPr>
        <w:t xml:space="preserve">Table </w:t>
      </w:r>
      <w:r w:rsidR="0038313F" w:rsidRPr="0038313F">
        <w:rPr>
          <w:rFonts w:asciiTheme="majorBidi" w:hAnsiTheme="majorBidi" w:cstheme="majorBidi"/>
          <w:noProof/>
        </w:rPr>
        <w:t>41</w:t>
      </w:r>
      <w:r w:rsidRPr="008A21E8">
        <w:rPr>
          <w:rFonts w:asciiTheme="majorBidi" w:hAnsiTheme="majorBidi" w:cstheme="majorBidi"/>
          <w:color w:val="000000"/>
        </w:rPr>
        <w:t>) is more substantial than the variation across different rows in the table (</w:t>
      </w:r>
      <w:proofErr w:type="gramStart"/>
      <w:r w:rsidRPr="008A21E8">
        <w:rPr>
          <w:rFonts w:asciiTheme="majorBidi" w:hAnsiTheme="majorBidi" w:cstheme="majorBidi"/>
          <w:color w:val="000000"/>
        </w:rPr>
        <w:t>e.g.</w:t>
      </w:r>
      <w:proofErr w:type="gramEnd"/>
      <w:r w:rsidRPr="008A21E8">
        <w:rPr>
          <w:rFonts w:asciiTheme="majorBidi" w:hAnsiTheme="majorBidi" w:cstheme="majorBidi"/>
          <w:color w:val="000000"/>
        </w:rPr>
        <w:t xml:space="preserve"> 383 to 941 QALYs in the more conservative scenario about the population size).</w:t>
      </w:r>
    </w:p>
    <w:p w14:paraId="109615C0" w14:textId="77777777" w:rsidR="00DC3933" w:rsidRDefault="00A4788F" w:rsidP="00EE4C38">
      <w:pPr>
        <w:spacing w:line="360" w:lineRule="auto"/>
        <w:rPr>
          <w:rFonts w:asciiTheme="majorBidi" w:hAnsiTheme="majorBidi" w:cstheme="majorBidi"/>
        </w:rPr>
        <w:sectPr w:rsidR="00DC3933" w:rsidSect="00A4788F">
          <w:pgSz w:w="11906" w:h="16838"/>
          <w:pgMar w:top="1440" w:right="1440" w:bottom="1440" w:left="1440" w:header="708" w:footer="708" w:gutter="0"/>
          <w:cols w:space="708"/>
          <w:docGrid w:linePitch="360"/>
        </w:sectPr>
      </w:pPr>
      <w:r w:rsidRPr="008A21E8">
        <w:rPr>
          <w:rFonts w:asciiTheme="majorBidi" w:hAnsiTheme="majorBidi" w:cstheme="majorBidi"/>
        </w:rPr>
        <w:t xml:space="preserve">The main areas of uncertainty relate to the probability that a patient has </w:t>
      </w:r>
      <w:r w:rsidR="00FE2007">
        <w:rPr>
          <w:rFonts w:asciiTheme="majorBidi" w:hAnsiTheme="majorBidi" w:cstheme="majorBidi"/>
        </w:rPr>
        <w:t xml:space="preserve">OXA-48 </w:t>
      </w:r>
      <w:proofErr w:type="spellStart"/>
      <w:r w:rsidR="00FE2007" w:rsidRPr="00FE2007">
        <w:rPr>
          <w:rFonts w:asciiTheme="majorBidi" w:hAnsiTheme="majorBidi" w:cstheme="majorBidi"/>
          <w:i/>
          <w:iCs/>
        </w:rPr>
        <w:t>Enterobacterales</w:t>
      </w:r>
      <w:proofErr w:type="spellEnd"/>
      <w:r w:rsidRPr="008A21E8">
        <w:rPr>
          <w:rFonts w:asciiTheme="majorBidi" w:hAnsiTheme="majorBidi" w:cstheme="majorBidi"/>
        </w:rPr>
        <w:t xml:space="preserve">, and the susceptibility scenarios. These were the most impactful scenarios in patient-level results in ES </w:t>
      </w:r>
    </w:p>
    <w:p w14:paraId="5EB8F885" w14:textId="194AE7F9" w:rsidR="00A4788F" w:rsidRPr="008A21E8" w:rsidRDefault="00A4788F" w:rsidP="00EE4C38">
      <w:pPr>
        <w:spacing w:line="360" w:lineRule="auto"/>
        <w:rPr>
          <w:rFonts w:asciiTheme="majorBidi" w:hAnsiTheme="majorBidi" w:cstheme="majorBidi"/>
        </w:rPr>
      </w:pPr>
      <w:r w:rsidRPr="008A21E8">
        <w:rPr>
          <w:rFonts w:asciiTheme="majorBidi" w:hAnsiTheme="majorBidi" w:cstheme="majorBidi"/>
        </w:rPr>
        <w:lastRenderedPageBreak/>
        <w:t>(</w:t>
      </w:r>
      <w:r w:rsidR="0038313F">
        <w:rPr>
          <w:rFonts w:asciiTheme="majorBidi" w:hAnsiTheme="majorBidi" w:cstheme="majorBidi"/>
        </w:rPr>
        <w:t>S</w:t>
      </w:r>
      <w:r w:rsidRPr="008A21E8">
        <w:rPr>
          <w:rFonts w:asciiTheme="majorBidi" w:hAnsiTheme="majorBidi" w:cstheme="majorBidi"/>
        </w:rPr>
        <w:t>ection 3.1.1), the setting with the greatest population size.</w:t>
      </w:r>
    </w:p>
    <w:p w14:paraId="4E7DE23A" w14:textId="373E7E37" w:rsidR="00A4788F" w:rsidRPr="003463E5" w:rsidRDefault="00A4788F" w:rsidP="009E265F">
      <w:pPr>
        <w:pStyle w:val="table"/>
      </w:pPr>
      <w:bookmarkStart w:id="538" w:name="_Ref85110837"/>
      <w:bookmarkStart w:id="539" w:name="_Toc86419018"/>
      <w:r w:rsidRPr="003463E5">
        <w:t xml:space="preserve">Table </w:t>
      </w:r>
      <w:r w:rsidR="00F10F0A">
        <w:rPr>
          <w:noProof/>
        </w:rPr>
        <w:t>41</w:t>
      </w:r>
      <w:bookmarkEnd w:id="538"/>
      <w:r w:rsidRPr="003463E5">
        <w:t xml:space="preserve">: </w:t>
      </w:r>
      <w:r>
        <w:t>Population-level INHE (QALYs) for patient-level</w:t>
      </w:r>
      <w:r w:rsidRPr="003463E5">
        <w:t xml:space="preserve"> scenario analyses (deterministic)</w:t>
      </w:r>
      <w:r>
        <w:t xml:space="preserve"> – range derived from different assumptions about the population size (scenarios P1G1 and P2G2 in </w:t>
      </w:r>
      <w:r w:rsidR="00F12ADA" w:rsidRPr="00F12ADA">
        <w:t>Figure 22</w:t>
      </w:r>
      <w:r>
        <w:t>).</w:t>
      </w:r>
      <w:bookmarkEnd w:id="539"/>
    </w:p>
    <w:tbl>
      <w:tblPr>
        <w:tblStyle w:val="TableGrid"/>
        <w:tblW w:w="12305" w:type="dxa"/>
        <w:tblLayout w:type="fixed"/>
        <w:tblLook w:val="04A0" w:firstRow="1" w:lastRow="0" w:firstColumn="1" w:lastColumn="0" w:noHBand="0" w:noVBand="1"/>
      </w:tblPr>
      <w:tblGrid>
        <w:gridCol w:w="1304"/>
        <w:gridCol w:w="2438"/>
        <w:gridCol w:w="2608"/>
        <w:gridCol w:w="1191"/>
        <w:gridCol w:w="1191"/>
        <w:gridCol w:w="1191"/>
        <w:gridCol w:w="1191"/>
        <w:gridCol w:w="1191"/>
      </w:tblGrid>
      <w:tr w:rsidR="00A4788F" w:rsidRPr="004A4B7C" w14:paraId="13EAC207" w14:textId="77777777" w:rsidTr="00A4788F">
        <w:tc>
          <w:tcPr>
            <w:tcW w:w="1304" w:type="dxa"/>
            <w:shd w:val="clear" w:color="auto" w:fill="auto"/>
          </w:tcPr>
          <w:p w14:paraId="55D891AA"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Scenario name</w:t>
            </w:r>
          </w:p>
        </w:tc>
        <w:tc>
          <w:tcPr>
            <w:tcW w:w="2438" w:type="dxa"/>
            <w:shd w:val="clear" w:color="auto" w:fill="auto"/>
          </w:tcPr>
          <w:p w14:paraId="705914E6"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Base case value/assumption</w:t>
            </w:r>
          </w:p>
        </w:tc>
        <w:tc>
          <w:tcPr>
            <w:tcW w:w="2608" w:type="dxa"/>
            <w:shd w:val="clear" w:color="auto" w:fill="auto"/>
          </w:tcPr>
          <w:p w14:paraId="2483BC35" w14:textId="77777777" w:rsidR="00A4788F" w:rsidRPr="004A4B7C" w:rsidRDefault="00A4788F" w:rsidP="004A4B7C">
            <w:pPr>
              <w:rPr>
                <w:rFonts w:ascii="Times New Roman" w:hAnsi="Times New Roman" w:cs="Times New Roman"/>
                <w:b/>
                <w:sz w:val="20"/>
                <w:szCs w:val="20"/>
              </w:rPr>
            </w:pPr>
            <w:r w:rsidRPr="004A4B7C">
              <w:rPr>
                <w:rFonts w:ascii="Times New Roman" w:hAnsi="Times New Roman" w:cs="Times New Roman"/>
                <w:b/>
                <w:sz w:val="20"/>
                <w:szCs w:val="20"/>
              </w:rPr>
              <w:t>Scenario value/assumption</w:t>
            </w:r>
          </w:p>
        </w:tc>
        <w:tc>
          <w:tcPr>
            <w:tcW w:w="1191" w:type="dxa"/>
            <w:vAlign w:val="center"/>
          </w:tcPr>
          <w:p w14:paraId="6CD81272" w14:textId="77777777" w:rsidR="00A4788F" w:rsidRPr="004A4B7C" w:rsidRDefault="00A4788F" w:rsidP="004A4B7C">
            <w:pPr>
              <w:jc w:val="center"/>
              <w:rPr>
                <w:rFonts w:ascii="Times New Roman" w:hAnsi="Times New Roman" w:cs="Times New Roman"/>
                <w:b/>
                <w:sz w:val="20"/>
                <w:szCs w:val="20"/>
              </w:rPr>
            </w:pPr>
            <w:r w:rsidRPr="004A4B7C">
              <w:rPr>
                <w:rFonts w:ascii="Times New Roman" w:hAnsi="Times New Roman" w:cs="Times New Roman"/>
                <w:b/>
                <w:sz w:val="20"/>
                <w:szCs w:val="20"/>
              </w:rPr>
              <w:t>HAP/VAP (ES)</w:t>
            </w:r>
          </w:p>
        </w:tc>
        <w:tc>
          <w:tcPr>
            <w:tcW w:w="1191" w:type="dxa"/>
            <w:vAlign w:val="center"/>
          </w:tcPr>
          <w:p w14:paraId="38488D69" w14:textId="77777777" w:rsidR="00A4788F" w:rsidRPr="004A4B7C" w:rsidRDefault="00A4788F" w:rsidP="004A4B7C">
            <w:pPr>
              <w:jc w:val="center"/>
              <w:rPr>
                <w:rFonts w:ascii="Times New Roman" w:hAnsi="Times New Roman" w:cs="Times New Roman"/>
                <w:b/>
                <w:sz w:val="20"/>
                <w:szCs w:val="20"/>
              </w:rPr>
            </w:pPr>
            <w:proofErr w:type="spellStart"/>
            <w:r w:rsidRPr="004A4B7C">
              <w:rPr>
                <w:rFonts w:ascii="Times New Roman" w:hAnsi="Times New Roman" w:cs="Times New Roman"/>
                <w:b/>
                <w:sz w:val="20"/>
                <w:szCs w:val="20"/>
              </w:rPr>
              <w:t>cUTI</w:t>
            </w:r>
            <w:proofErr w:type="spellEnd"/>
            <w:r w:rsidRPr="004A4B7C">
              <w:rPr>
                <w:rFonts w:ascii="Times New Roman" w:hAnsi="Times New Roman" w:cs="Times New Roman"/>
                <w:b/>
                <w:sz w:val="20"/>
                <w:szCs w:val="20"/>
              </w:rPr>
              <w:t xml:space="preserve"> (MDS)</w:t>
            </w:r>
          </w:p>
        </w:tc>
        <w:tc>
          <w:tcPr>
            <w:tcW w:w="1191" w:type="dxa"/>
            <w:vAlign w:val="center"/>
          </w:tcPr>
          <w:p w14:paraId="5265C17F" w14:textId="77777777" w:rsidR="00A4788F" w:rsidRPr="004A4B7C" w:rsidRDefault="00A4788F" w:rsidP="004A4B7C">
            <w:pPr>
              <w:jc w:val="center"/>
              <w:rPr>
                <w:rFonts w:ascii="Times New Roman" w:hAnsi="Times New Roman" w:cs="Times New Roman"/>
                <w:b/>
                <w:sz w:val="20"/>
                <w:szCs w:val="20"/>
              </w:rPr>
            </w:pPr>
            <w:r w:rsidRPr="004A4B7C">
              <w:rPr>
                <w:rFonts w:ascii="Times New Roman" w:hAnsi="Times New Roman" w:cs="Times New Roman"/>
                <w:b/>
                <w:sz w:val="20"/>
                <w:szCs w:val="20"/>
              </w:rPr>
              <w:t>BSI (ES)</w:t>
            </w:r>
          </w:p>
        </w:tc>
        <w:tc>
          <w:tcPr>
            <w:tcW w:w="1191" w:type="dxa"/>
            <w:vAlign w:val="center"/>
          </w:tcPr>
          <w:p w14:paraId="24BD0280" w14:textId="77777777" w:rsidR="00A4788F" w:rsidRPr="004A4B7C" w:rsidRDefault="00A4788F" w:rsidP="004A4B7C">
            <w:pPr>
              <w:jc w:val="center"/>
              <w:rPr>
                <w:rFonts w:ascii="Times New Roman" w:hAnsi="Times New Roman" w:cs="Times New Roman"/>
                <w:b/>
                <w:sz w:val="20"/>
                <w:szCs w:val="20"/>
              </w:rPr>
            </w:pPr>
            <w:r w:rsidRPr="004A4B7C">
              <w:rPr>
                <w:rFonts w:ascii="Times New Roman" w:hAnsi="Times New Roman" w:cs="Times New Roman"/>
                <w:b/>
                <w:sz w:val="20"/>
                <w:szCs w:val="20"/>
              </w:rPr>
              <w:t>IAI (MDS)</w:t>
            </w:r>
          </w:p>
        </w:tc>
        <w:tc>
          <w:tcPr>
            <w:tcW w:w="1191" w:type="dxa"/>
            <w:vAlign w:val="center"/>
          </w:tcPr>
          <w:p w14:paraId="0215A86B" w14:textId="77777777" w:rsidR="00A4788F" w:rsidRPr="004A4B7C" w:rsidRDefault="00A4788F" w:rsidP="004A4B7C">
            <w:pPr>
              <w:jc w:val="center"/>
              <w:rPr>
                <w:rFonts w:ascii="Times New Roman" w:hAnsi="Times New Roman" w:cs="Times New Roman"/>
                <w:b/>
                <w:sz w:val="20"/>
                <w:szCs w:val="20"/>
              </w:rPr>
            </w:pPr>
            <w:r w:rsidRPr="004A4B7C">
              <w:rPr>
                <w:rFonts w:ascii="Times New Roman" w:hAnsi="Times New Roman" w:cs="Times New Roman"/>
                <w:b/>
                <w:sz w:val="20"/>
                <w:szCs w:val="20"/>
              </w:rPr>
              <w:t>Total</w:t>
            </w:r>
          </w:p>
        </w:tc>
      </w:tr>
      <w:tr w:rsidR="00A4788F" w:rsidRPr="004A4B7C" w14:paraId="6A5D12AD" w14:textId="77777777" w:rsidTr="00A4788F">
        <w:tc>
          <w:tcPr>
            <w:tcW w:w="1304" w:type="dxa"/>
            <w:shd w:val="clear" w:color="auto" w:fill="auto"/>
          </w:tcPr>
          <w:p w14:paraId="3022400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Base case</w:t>
            </w:r>
          </w:p>
        </w:tc>
        <w:tc>
          <w:tcPr>
            <w:tcW w:w="2438" w:type="dxa"/>
            <w:shd w:val="clear" w:color="auto" w:fill="auto"/>
          </w:tcPr>
          <w:p w14:paraId="2CFEB02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2608" w:type="dxa"/>
            <w:shd w:val="clear" w:color="auto" w:fill="auto"/>
          </w:tcPr>
          <w:p w14:paraId="41B85B5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t>
            </w:r>
          </w:p>
        </w:tc>
        <w:tc>
          <w:tcPr>
            <w:tcW w:w="1191" w:type="dxa"/>
            <w:vAlign w:val="bottom"/>
          </w:tcPr>
          <w:p w14:paraId="5895525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67-955</w:t>
            </w:r>
          </w:p>
        </w:tc>
        <w:tc>
          <w:tcPr>
            <w:tcW w:w="1191" w:type="dxa"/>
            <w:vAlign w:val="bottom"/>
          </w:tcPr>
          <w:p w14:paraId="73852B8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56E4866E"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447-925</w:t>
            </w:r>
          </w:p>
        </w:tc>
        <w:tc>
          <w:tcPr>
            <w:tcW w:w="1191" w:type="dxa"/>
            <w:vAlign w:val="bottom"/>
          </w:tcPr>
          <w:p w14:paraId="18060B7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3AF1D3F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633-2,231</w:t>
            </w:r>
          </w:p>
        </w:tc>
      </w:tr>
      <w:tr w:rsidR="00A4788F" w:rsidRPr="004A4B7C" w14:paraId="55D57C4F" w14:textId="77777777" w:rsidTr="00A4788F">
        <w:tc>
          <w:tcPr>
            <w:tcW w:w="1304" w:type="dxa"/>
            <w:shd w:val="clear" w:color="auto" w:fill="auto"/>
          </w:tcPr>
          <w:p w14:paraId="0FA26B4A"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p_bug_survey</w:t>
            </w:r>
            <w:proofErr w:type="spellEnd"/>
          </w:p>
        </w:tc>
        <w:tc>
          <w:tcPr>
            <w:tcW w:w="2438" w:type="dxa"/>
            <w:shd w:val="clear" w:color="auto" w:fill="auto"/>
          </w:tcPr>
          <w:p w14:paraId="64FAB3B2" w14:textId="067A43EA"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proofErr w:type="gram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w:t>
            </w:r>
            <w:proofErr w:type="gramEnd"/>
            <w:r w:rsidRPr="004A4B7C">
              <w:rPr>
                <w:rFonts w:ascii="Times New Roman" w:hAnsi="Times New Roman" w:cs="Times New Roman"/>
                <w:sz w:val="20"/>
                <w:szCs w:val="20"/>
              </w:rPr>
              <w:t xml:space="preserve"> 0.20</w:t>
            </w:r>
          </w:p>
        </w:tc>
        <w:tc>
          <w:tcPr>
            <w:tcW w:w="2608" w:type="dxa"/>
            <w:shd w:val="clear" w:color="auto" w:fill="auto"/>
          </w:tcPr>
          <w:p w14:paraId="00CCAE40" w14:textId="35B462EA" w:rsidR="00A4788F" w:rsidRPr="004A4B7C" w:rsidRDefault="00A4788F" w:rsidP="00342BCE">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w:t>
            </w:r>
            <w:r w:rsidR="00342BCE">
              <w:rPr>
                <w:rFonts w:ascii="Times New Roman" w:hAnsi="Times New Roman" w:cs="Times New Roman"/>
                <w:sz w:val="20"/>
                <w:szCs w:val="20"/>
              </w:rPr>
              <w:t>OXA-48</w:t>
            </w:r>
            <w:r w:rsidRPr="004A4B7C">
              <w:rPr>
                <w:rFonts w:ascii="Times New Roman" w:hAnsi="Times New Roman" w:cs="Times New Roman"/>
                <w:sz w:val="20"/>
                <w:szCs w:val="20"/>
              </w:rPr>
              <w:t xml:space="preserve">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0.57 based on BSAC survey data</w:t>
            </w:r>
          </w:p>
        </w:tc>
        <w:tc>
          <w:tcPr>
            <w:tcW w:w="1191" w:type="dxa"/>
            <w:vAlign w:val="bottom"/>
          </w:tcPr>
          <w:p w14:paraId="47458705"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80-1,152</w:t>
            </w:r>
          </w:p>
        </w:tc>
        <w:tc>
          <w:tcPr>
            <w:tcW w:w="1191" w:type="dxa"/>
            <w:vAlign w:val="bottom"/>
          </w:tcPr>
          <w:p w14:paraId="5159A66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7750BB3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539-1,116</w:t>
            </w:r>
          </w:p>
        </w:tc>
        <w:tc>
          <w:tcPr>
            <w:tcW w:w="1191" w:type="dxa"/>
            <w:vAlign w:val="bottom"/>
          </w:tcPr>
          <w:p w14:paraId="6F2A2C7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3FF930E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738-2,619</w:t>
            </w:r>
          </w:p>
        </w:tc>
      </w:tr>
      <w:tr w:rsidR="00A4788F" w:rsidRPr="004A4B7C" w14:paraId="2FE1ECC4" w14:textId="77777777" w:rsidTr="00A4788F">
        <w:tc>
          <w:tcPr>
            <w:tcW w:w="1304" w:type="dxa"/>
            <w:shd w:val="clear" w:color="auto" w:fill="auto"/>
          </w:tcPr>
          <w:p w14:paraId="7A0EC89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p_bug_10</w:t>
            </w:r>
          </w:p>
        </w:tc>
        <w:tc>
          <w:tcPr>
            <w:tcW w:w="2438" w:type="dxa"/>
            <w:shd w:val="clear" w:color="auto" w:fill="auto"/>
          </w:tcPr>
          <w:p w14:paraId="243296FC" w14:textId="528F0D85"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43D70FB2" w14:textId="75C0CB43"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0.10</w:t>
            </w:r>
          </w:p>
        </w:tc>
        <w:tc>
          <w:tcPr>
            <w:tcW w:w="1191" w:type="dxa"/>
            <w:vAlign w:val="bottom"/>
          </w:tcPr>
          <w:p w14:paraId="2C820AD0"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34-490</w:t>
            </w:r>
          </w:p>
        </w:tc>
        <w:tc>
          <w:tcPr>
            <w:tcW w:w="1191" w:type="dxa"/>
            <w:vAlign w:val="bottom"/>
          </w:tcPr>
          <w:p w14:paraId="13E59DA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6ADE3CE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230-475</w:t>
            </w:r>
          </w:p>
        </w:tc>
        <w:tc>
          <w:tcPr>
            <w:tcW w:w="1191" w:type="dxa"/>
            <w:vAlign w:val="bottom"/>
          </w:tcPr>
          <w:p w14:paraId="6AD341F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45963E5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383-1,316</w:t>
            </w:r>
          </w:p>
        </w:tc>
      </w:tr>
      <w:tr w:rsidR="00A4788F" w:rsidRPr="004A4B7C" w14:paraId="4C2A1568" w14:textId="77777777" w:rsidTr="00A4788F">
        <w:tc>
          <w:tcPr>
            <w:tcW w:w="1304" w:type="dxa"/>
            <w:shd w:val="clear" w:color="auto" w:fill="auto"/>
            <w:vAlign w:val="bottom"/>
          </w:tcPr>
          <w:p w14:paraId="0944E34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p_bug_30</w:t>
            </w:r>
          </w:p>
        </w:tc>
        <w:tc>
          <w:tcPr>
            <w:tcW w:w="2438" w:type="dxa"/>
            <w:shd w:val="clear" w:color="auto" w:fill="auto"/>
          </w:tcPr>
          <w:p w14:paraId="32D03752" w14:textId="19A5B46D"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78E7096C" w14:textId="0A68E101"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0.30</w:t>
            </w:r>
          </w:p>
        </w:tc>
        <w:tc>
          <w:tcPr>
            <w:tcW w:w="1191" w:type="dxa"/>
            <w:vAlign w:val="bottom"/>
          </w:tcPr>
          <w:p w14:paraId="52615CC2"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84-1,199</w:t>
            </w:r>
          </w:p>
        </w:tc>
        <w:tc>
          <w:tcPr>
            <w:tcW w:w="1191" w:type="dxa"/>
            <w:vAlign w:val="bottom"/>
          </w:tcPr>
          <w:p w14:paraId="7C30674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67F7D33B"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562-1,162</w:t>
            </w:r>
          </w:p>
        </w:tc>
        <w:tc>
          <w:tcPr>
            <w:tcW w:w="1191" w:type="dxa"/>
            <w:vAlign w:val="bottom"/>
          </w:tcPr>
          <w:p w14:paraId="296F6BC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3285A57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765-2,712</w:t>
            </w:r>
          </w:p>
        </w:tc>
      </w:tr>
      <w:tr w:rsidR="00A4788F" w:rsidRPr="004A4B7C" w14:paraId="604EFDF5" w14:textId="77777777" w:rsidTr="00A4788F">
        <w:tc>
          <w:tcPr>
            <w:tcW w:w="1304" w:type="dxa"/>
            <w:shd w:val="clear" w:color="auto" w:fill="auto"/>
            <w:vAlign w:val="bottom"/>
          </w:tcPr>
          <w:p w14:paraId="058419B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p_bug_40</w:t>
            </w:r>
          </w:p>
        </w:tc>
        <w:tc>
          <w:tcPr>
            <w:tcW w:w="2438" w:type="dxa"/>
            <w:shd w:val="clear" w:color="auto" w:fill="auto"/>
          </w:tcPr>
          <w:p w14:paraId="37DA45C9" w14:textId="507D1011"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4BB4097C" w14:textId="328E2950"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0.40</w:t>
            </w:r>
          </w:p>
        </w:tc>
        <w:tc>
          <w:tcPr>
            <w:tcW w:w="1191" w:type="dxa"/>
            <w:vAlign w:val="bottom"/>
          </w:tcPr>
          <w:p w14:paraId="54DCAF3D"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82-1,182</w:t>
            </w:r>
          </w:p>
        </w:tc>
        <w:tc>
          <w:tcPr>
            <w:tcW w:w="1191" w:type="dxa"/>
            <w:vAlign w:val="bottom"/>
          </w:tcPr>
          <w:p w14:paraId="313BA52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583BBBE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553-1,145</w:t>
            </w:r>
          </w:p>
        </w:tc>
        <w:tc>
          <w:tcPr>
            <w:tcW w:w="1191" w:type="dxa"/>
            <w:vAlign w:val="bottom"/>
          </w:tcPr>
          <w:p w14:paraId="06A3AA7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4FCF572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754-2,678</w:t>
            </w:r>
          </w:p>
        </w:tc>
      </w:tr>
      <w:tr w:rsidR="00A4788F" w:rsidRPr="004A4B7C" w14:paraId="06567519" w14:textId="77777777" w:rsidTr="00A4788F">
        <w:tc>
          <w:tcPr>
            <w:tcW w:w="1304" w:type="dxa"/>
            <w:shd w:val="clear" w:color="auto" w:fill="auto"/>
            <w:vAlign w:val="bottom"/>
          </w:tcPr>
          <w:p w14:paraId="51717FD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p_bug_50</w:t>
            </w:r>
          </w:p>
        </w:tc>
        <w:tc>
          <w:tcPr>
            <w:tcW w:w="2438" w:type="dxa"/>
            <w:shd w:val="clear" w:color="auto" w:fill="auto"/>
          </w:tcPr>
          <w:p w14:paraId="0A421ACC" w14:textId="5D587B8F"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250AC6B9" w14:textId="6FBB31B1"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0.50</w:t>
            </w:r>
          </w:p>
        </w:tc>
        <w:tc>
          <w:tcPr>
            <w:tcW w:w="1191" w:type="dxa"/>
            <w:vAlign w:val="bottom"/>
          </w:tcPr>
          <w:p w14:paraId="29766D0B"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81-1,164</w:t>
            </w:r>
          </w:p>
        </w:tc>
        <w:tc>
          <w:tcPr>
            <w:tcW w:w="1191" w:type="dxa"/>
            <w:vAlign w:val="bottom"/>
          </w:tcPr>
          <w:p w14:paraId="3F41FD90"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61A94A7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545-1,128</w:t>
            </w:r>
          </w:p>
        </w:tc>
        <w:tc>
          <w:tcPr>
            <w:tcW w:w="1191" w:type="dxa"/>
            <w:vAlign w:val="bottom"/>
          </w:tcPr>
          <w:p w14:paraId="369B7AB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05BEDDF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745-2,643</w:t>
            </w:r>
          </w:p>
        </w:tc>
      </w:tr>
      <w:tr w:rsidR="00A4788F" w:rsidRPr="004A4B7C" w14:paraId="50A8EC32" w14:textId="77777777" w:rsidTr="00A4788F">
        <w:tc>
          <w:tcPr>
            <w:tcW w:w="1304" w:type="dxa"/>
            <w:shd w:val="clear" w:color="auto" w:fill="auto"/>
            <w:vAlign w:val="bottom"/>
          </w:tcPr>
          <w:p w14:paraId="3DD6F92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p_bug_60</w:t>
            </w:r>
          </w:p>
        </w:tc>
        <w:tc>
          <w:tcPr>
            <w:tcW w:w="2438" w:type="dxa"/>
            <w:shd w:val="clear" w:color="auto" w:fill="auto"/>
          </w:tcPr>
          <w:p w14:paraId="7B221CEB" w14:textId="4DE602E4"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66BC60F3" w14:textId="6F5CDB5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0.60</w:t>
            </w:r>
          </w:p>
        </w:tc>
        <w:tc>
          <w:tcPr>
            <w:tcW w:w="1191" w:type="dxa"/>
            <w:vAlign w:val="bottom"/>
          </w:tcPr>
          <w:p w14:paraId="63E03499"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80-1,147</w:t>
            </w:r>
          </w:p>
        </w:tc>
        <w:tc>
          <w:tcPr>
            <w:tcW w:w="1191" w:type="dxa"/>
            <w:vAlign w:val="bottom"/>
          </w:tcPr>
          <w:p w14:paraId="2B4EC81F"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08600E6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537-1,111</w:t>
            </w:r>
          </w:p>
        </w:tc>
        <w:tc>
          <w:tcPr>
            <w:tcW w:w="1191" w:type="dxa"/>
            <w:vAlign w:val="bottom"/>
          </w:tcPr>
          <w:p w14:paraId="68144CCB"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6DD2F25E"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736-2,609</w:t>
            </w:r>
          </w:p>
        </w:tc>
      </w:tr>
      <w:tr w:rsidR="00A4788F" w:rsidRPr="004A4B7C" w14:paraId="332460A4" w14:textId="77777777" w:rsidTr="00A4788F">
        <w:tc>
          <w:tcPr>
            <w:tcW w:w="1304" w:type="dxa"/>
            <w:shd w:val="clear" w:color="auto" w:fill="auto"/>
            <w:vAlign w:val="bottom"/>
          </w:tcPr>
          <w:p w14:paraId="7B7A114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p_bug_70</w:t>
            </w:r>
          </w:p>
        </w:tc>
        <w:tc>
          <w:tcPr>
            <w:tcW w:w="2438" w:type="dxa"/>
            <w:shd w:val="clear" w:color="auto" w:fill="auto"/>
          </w:tcPr>
          <w:p w14:paraId="14F6C0B2" w14:textId="2FD979A0"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594B1ABE" w14:textId="53C8F69F"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0.70</w:t>
            </w:r>
          </w:p>
        </w:tc>
        <w:tc>
          <w:tcPr>
            <w:tcW w:w="1191" w:type="dxa"/>
            <w:vAlign w:val="bottom"/>
          </w:tcPr>
          <w:p w14:paraId="314DE010"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79-1,129</w:t>
            </w:r>
          </w:p>
        </w:tc>
        <w:tc>
          <w:tcPr>
            <w:tcW w:w="1191" w:type="dxa"/>
            <w:vAlign w:val="bottom"/>
          </w:tcPr>
          <w:p w14:paraId="1399950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05F66DB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529-1,095</w:t>
            </w:r>
          </w:p>
        </w:tc>
        <w:tc>
          <w:tcPr>
            <w:tcW w:w="1191" w:type="dxa"/>
            <w:vAlign w:val="bottom"/>
          </w:tcPr>
          <w:p w14:paraId="59DB758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5338551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727-2,575</w:t>
            </w:r>
          </w:p>
        </w:tc>
      </w:tr>
      <w:tr w:rsidR="00A4788F" w:rsidRPr="004A4B7C" w14:paraId="4CCE8C38" w14:textId="77777777" w:rsidTr="00A4788F">
        <w:tc>
          <w:tcPr>
            <w:tcW w:w="1304" w:type="dxa"/>
            <w:shd w:val="clear" w:color="auto" w:fill="auto"/>
            <w:vAlign w:val="bottom"/>
          </w:tcPr>
          <w:p w14:paraId="159C49E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p_bug_80</w:t>
            </w:r>
          </w:p>
        </w:tc>
        <w:tc>
          <w:tcPr>
            <w:tcW w:w="2438" w:type="dxa"/>
            <w:shd w:val="clear" w:color="auto" w:fill="auto"/>
          </w:tcPr>
          <w:p w14:paraId="27CBB9A0" w14:textId="192D08E3"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4D9CE406" w14:textId="68A76EEA"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0.80</w:t>
            </w:r>
          </w:p>
        </w:tc>
        <w:tc>
          <w:tcPr>
            <w:tcW w:w="1191" w:type="dxa"/>
            <w:vAlign w:val="bottom"/>
          </w:tcPr>
          <w:p w14:paraId="16E49D2A"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78-1,112</w:t>
            </w:r>
          </w:p>
        </w:tc>
        <w:tc>
          <w:tcPr>
            <w:tcW w:w="1191" w:type="dxa"/>
            <w:vAlign w:val="bottom"/>
          </w:tcPr>
          <w:p w14:paraId="5B6E05B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26DDEC7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521-1,078</w:t>
            </w:r>
          </w:p>
        </w:tc>
        <w:tc>
          <w:tcPr>
            <w:tcW w:w="1191" w:type="dxa"/>
            <w:vAlign w:val="bottom"/>
          </w:tcPr>
          <w:p w14:paraId="2AC54070"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6C45CCCC"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718-2,541</w:t>
            </w:r>
          </w:p>
        </w:tc>
      </w:tr>
      <w:tr w:rsidR="00A4788F" w:rsidRPr="004A4B7C" w14:paraId="3450856D" w14:textId="77777777" w:rsidTr="00A4788F">
        <w:tc>
          <w:tcPr>
            <w:tcW w:w="1304" w:type="dxa"/>
            <w:shd w:val="clear" w:color="auto" w:fill="auto"/>
            <w:vAlign w:val="bottom"/>
          </w:tcPr>
          <w:p w14:paraId="2AE61F9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color w:val="000000"/>
                <w:sz w:val="20"/>
                <w:szCs w:val="20"/>
              </w:rPr>
              <w:t>p_bug_90</w:t>
            </w:r>
          </w:p>
        </w:tc>
        <w:tc>
          <w:tcPr>
            <w:tcW w:w="2438" w:type="dxa"/>
            <w:shd w:val="clear" w:color="auto" w:fill="auto"/>
          </w:tcPr>
          <w:p w14:paraId="5956456F" w14:textId="75CE0A88"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in ES is 0.20</w:t>
            </w:r>
          </w:p>
        </w:tc>
        <w:tc>
          <w:tcPr>
            <w:tcW w:w="2608" w:type="dxa"/>
            <w:shd w:val="clear" w:color="auto" w:fill="auto"/>
          </w:tcPr>
          <w:p w14:paraId="5DB296E7" w14:textId="79C46C98"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Probability patient has OXA-48 </w:t>
            </w:r>
            <w:proofErr w:type="spellStart"/>
            <w:r w:rsidR="00381A08" w:rsidRPr="004A4B7C">
              <w:rPr>
                <w:rFonts w:ascii="Times New Roman" w:hAnsi="Times New Roman" w:cs="Times New Roman"/>
                <w:i/>
                <w:iCs/>
                <w:sz w:val="20"/>
                <w:szCs w:val="20"/>
              </w:rPr>
              <w:t>Enterobacterales</w:t>
            </w:r>
            <w:proofErr w:type="spellEnd"/>
            <w:r w:rsidRPr="004A4B7C">
              <w:rPr>
                <w:rFonts w:ascii="Times New Roman" w:hAnsi="Times New Roman" w:cs="Times New Roman"/>
                <w:sz w:val="20"/>
                <w:szCs w:val="20"/>
              </w:rPr>
              <w:t xml:space="preserve"> is 0.90</w:t>
            </w:r>
          </w:p>
        </w:tc>
        <w:tc>
          <w:tcPr>
            <w:tcW w:w="1191" w:type="dxa"/>
            <w:vAlign w:val="bottom"/>
          </w:tcPr>
          <w:p w14:paraId="2754051E"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76-1,095</w:t>
            </w:r>
          </w:p>
        </w:tc>
        <w:tc>
          <w:tcPr>
            <w:tcW w:w="1191" w:type="dxa"/>
            <w:vAlign w:val="bottom"/>
          </w:tcPr>
          <w:p w14:paraId="5D552AA3"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83-276</w:t>
            </w:r>
          </w:p>
        </w:tc>
        <w:tc>
          <w:tcPr>
            <w:tcW w:w="1191" w:type="dxa"/>
            <w:vAlign w:val="bottom"/>
          </w:tcPr>
          <w:p w14:paraId="275187C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513-1,061</w:t>
            </w:r>
          </w:p>
        </w:tc>
        <w:tc>
          <w:tcPr>
            <w:tcW w:w="1191" w:type="dxa"/>
            <w:vAlign w:val="bottom"/>
          </w:tcPr>
          <w:p w14:paraId="7DD2D1F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1BCD76B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708-2,507</w:t>
            </w:r>
          </w:p>
        </w:tc>
      </w:tr>
      <w:tr w:rsidR="00A4788F" w:rsidRPr="004A4B7C" w14:paraId="6D32C037" w14:textId="77777777" w:rsidTr="00A4788F">
        <w:tc>
          <w:tcPr>
            <w:tcW w:w="1304" w:type="dxa"/>
            <w:shd w:val="clear" w:color="auto" w:fill="auto"/>
          </w:tcPr>
          <w:p w14:paraId="101B87D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lastRenderedPageBreak/>
              <w:t>S2</w:t>
            </w:r>
          </w:p>
        </w:tc>
        <w:tc>
          <w:tcPr>
            <w:tcW w:w="2438" w:type="dxa"/>
            <w:shd w:val="clear" w:color="auto" w:fill="auto"/>
          </w:tcPr>
          <w:p w14:paraId="0B37AD8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608" w:type="dxa"/>
            <w:shd w:val="clear" w:color="auto" w:fill="auto"/>
          </w:tcPr>
          <w:p w14:paraId="720A07FC"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all studies regardless of breakpoints (excludes inconsistent arms)</w:t>
            </w:r>
          </w:p>
        </w:tc>
        <w:tc>
          <w:tcPr>
            <w:tcW w:w="1191" w:type="dxa"/>
            <w:vAlign w:val="bottom"/>
          </w:tcPr>
          <w:p w14:paraId="05E141DE"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88-1,264</w:t>
            </w:r>
          </w:p>
        </w:tc>
        <w:tc>
          <w:tcPr>
            <w:tcW w:w="1191" w:type="dxa"/>
            <w:vAlign w:val="bottom"/>
          </w:tcPr>
          <w:p w14:paraId="2DA883BE"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69-229</w:t>
            </w:r>
          </w:p>
        </w:tc>
        <w:tc>
          <w:tcPr>
            <w:tcW w:w="1191" w:type="dxa"/>
            <w:vAlign w:val="bottom"/>
          </w:tcPr>
          <w:p w14:paraId="34D2DC4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592-1,224</w:t>
            </w:r>
          </w:p>
        </w:tc>
        <w:tc>
          <w:tcPr>
            <w:tcW w:w="1191" w:type="dxa"/>
            <w:vAlign w:val="bottom"/>
          </w:tcPr>
          <w:p w14:paraId="185A4C5E"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30-63</w:t>
            </w:r>
          </w:p>
        </w:tc>
        <w:tc>
          <w:tcPr>
            <w:tcW w:w="1191" w:type="dxa"/>
            <w:vAlign w:val="bottom"/>
          </w:tcPr>
          <w:p w14:paraId="5B30762F"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779-2,780</w:t>
            </w:r>
          </w:p>
        </w:tc>
      </w:tr>
      <w:tr w:rsidR="00A4788F" w:rsidRPr="004A4B7C" w14:paraId="46AD73B5" w14:textId="77777777" w:rsidTr="00A4788F">
        <w:tc>
          <w:tcPr>
            <w:tcW w:w="1304" w:type="dxa"/>
            <w:shd w:val="clear" w:color="auto" w:fill="auto"/>
          </w:tcPr>
          <w:p w14:paraId="4F04E15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S3</w:t>
            </w:r>
          </w:p>
        </w:tc>
        <w:tc>
          <w:tcPr>
            <w:tcW w:w="2438" w:type="dxa"/>
            <w:shd w:val="clear" w:color="auto" w:fill="auto"/>
          </w:tcPr>
          <w:p w14:paraId="094574B1"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608" w:type="dxa"/>
            <w:shd w:val="clear" w:color="auto" w:fill="auto"/>
          </w:tcPr>
          <w:p w14:paraId="489A529D"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PHE isolate-level data</w:t>
            </w:r>
          </w:p>
        </w:tc>
        <w:tc>
          <w:tcPr>
            <w:tcW w:w="1191" w:type="dxa"/>
            <w:vAlign w:val="bottom"/>
          </w:tcPr>
          <w:p w14:paraId="6360203C"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75-1,076</w:t>
            </w:r>
          </w:p>
        </w:tc>
        <w:tc>
          <w:tcPr>
            <w:tcW w:w="1191" w:type="dxa"/>
            <w:vAlign w:val="bottom"/>
          </w:tcPr>
          <w:p w14:paraId="79C1776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83-275</w:t>
            </w:r>
          </w:p>
        </w:tc>
        <w:tc>
          <w:tcPr>
            <w:tcW w:w="1191" w:type="dxa"/>
            <w:vAlign w:val="bottom"/>
          </w:tcPr>
          <w:p w14:paraId="0E0EDA4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504-1,043</w:t>
            </w:r>
          </w:p>
        </w:tc>
        <w:tc>
          <w:tcPr>
            <w:tcW w:w="1191" w:type="dxa"/>
            <w:vAlign w:val="bottom"/>
          </w:tcPr>
          <w:p w14:paraId="6AD89541"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36-75</w:t>
            </w:r>
          </w:p>
        </w:tc>
        <w:tc>
          <w:tcPr>
            <w:tcW w:w="1191" w:type="dxa"/>
            <w:vAlign w:val="bottom"/>
          </w:tcPr>
          <w:p w14:paraId="11E2D90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698-2,469</w:t>
            </w:r>
          </w:p>
        </w:tc>
      </w:tr>
      <w:tr w:rsidR="00A4788F" w:rsidRPr="004A4B7C" w14:paraId="3C8EE50A" w14:textId="77777777" w:rsidTr="00A4788F">
        <w:tc>
          <w:tcPr>
            <w:tcW w:w="1304" w:type="dxa"/>
            <w:shd w:val="clear" w:color="auto" w:fill="auto"/>
          </w:tcPr>
          <w:p w14:paraId="073CB223"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S4</w:t>
            </w:r>
          </w:p>
        </w:tc>
        <w:tc>
          <w:tcPr>
            <w:tcW w:w="2438" w:type="dxa"/>
            <w:shd w:val="clear" w:color="auto" w:fill="auto"/>
          </w:tcPr>
          <w:p w14:paraId="3E8A91DA"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Susceptibility based on network meta-analysis of EUCAST studies</w:t>
            </w:r>
          </w:p>
        </w:tc>
        <w:tc>
          <w:tcPr>
            <w:tcW w:w="2608" w:type="dxa"/>
            <w:shd w:val="clear" w:color="auto" w:fill="auto"/>
          </w:tcPr>
          <w:p w14:paraId="650A2751" w14:textId="5B3CF5EB"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Susceptibility based on </w:t>
            </w:r>
            <w:r w:rsidR="00837CD7" w:rsidRPr="004A4B7C">
              <w:rPr>
                <w:rFonts w:ascii="Times New Roman" w:hAnsi="Times New Roman" w:cs="Times New Roman"/>
                <w:sz w:val="20"/>
                <w:szCs w:val="20"/>
              </w:rPr>
              <w:t>Vasquez</w:t>
            </w:r>
            <w:r w:rsidRPr="004A4B7C">
              <w:rPr>
                <w:rFonts w:ascii="Times New Roman" w:hAnsi="Times New Roman" w:cs="Times New Roman"/>
                <w:sz w:val="20"/>
                <w:szCs w:val="20"/>
              </w:rPr>
              <w:t>-</w:t>
            </w:r>
            <w:proofErr w:type="spellStart"/>
            <w:r w:rsidRPr="004A4B7C">
              <w:rPr>
                <w:rFonts w:ascii="Times New Roman" w:hAnsi="Times New Roman" w:cs="Times New Roman"/>
                <w:sz w:val="20"/>
                <w:szCs w:val="20"/>
              </w:rPr>
              <w:t>Ucha</w:t>
            </w:r>
            <w:proofErr w:type="spellEnd"/>
            <w:r w:rsidRPr="004A4B7C">
              <w:rPr>
                <w:rFonts w:ascii="Times New Roman" w:hAnsi="Times New Roman" w:cs="Times New Roman"/>
                <w:sz w:val="20"/>
                <w:szCs w:val="20"/>
              </w:rPr>
              <w:t xml:space="preserve"> et al isolate-level data</w:t>
            </w:r>
          </w:p>
        </w:tc>
        <w:tc>
          <w:tcPr>
            <w:tcW w:w="1191" w:type="dxa"/>
            <w:vAlign w:val="bottom"/>
          </w:tcPr>
          <w:p w14:paraId="5193476F"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98-1,409</w:t>
            </w:r>
          </w:p>
        </w:tc>
        <w:tc>
          <w:tcPr>
            <w:tcW w:w="1191" w:type="dxa"/>
            <w:vAlign w:val="bottom"/>
          </w:tcPr>
          <w:p w14:paraId="1A28549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127-422</w:t>
            </w:r>
          </w:p>
        </w:tc>
        <w:tc>
          <w:tcPr>
            <w:tcW w:w="1191" w:type="dxa"/>
            <w:vAlign w:val="bottom"/>
          </w:tcPr>
          <w:p w14:paraId="184170C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660-1,366</w:t>
            </w:r>
          </w:p>
        </w:tc>
        <w:tc>
          <w:tcPr>
            <w:tcW w:w="1191" w:type="dxa"/>
            <w:vAlign w:val="bottom"/>
          </w:tcPr>
          <w:p w14:paraId="21907948"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56-115</w:t>
            </w:r>
          </w:p>
        </w:tc>
        <w:tc>
          <w:tcPr>
            <w:tcW w:w="1191" w:type="dxa"/>
            <w:vAlign w:val="bottom"/>
          </w:tcPr>
          <w:p w14:paraId="3E8983B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941-3,312</w:t>
            </w:r>
          </w:p>
        </w:tc>
      </w:tr>
      <w:tr w:rsidR="00A4788F" w:rsidRPr="004A4B7C" w14:paraId="0B249D98" w14:textId="77777777" w:rsidTr="00A4788F">
        <w:tc>
          <w:tcPr>
            <w:tcW w:w="1304" w:type="dxa"/>
            <w:shd w:val="clear" w:color="auto" w:fill="auto"/>
          </w:tcPr>
          <w:p w14:paraId="50F57724" w14:textId="77777777" w:rsidR="00A4788F" w:rsidRPr="004A4B7C" w:rsidRDefault="00A4788F" w:rsidP="004A4B7C">
            <w:pPr>
              <w:rPr>
                <w:rFonts w:ascii="Times New Roman" w:hAnsi="Times New Roman" w:cs="Times New Roman"/>
                <w:sz w:val="20"/>
                <w:szCs w:val="20"/>
              </w:rPr>
            </w:pPr>
            <w:proofErr w:type="spellStart"/>
            <w:proofErr w:type="gramStart"/>
            <w:r w:rsidRPr="004A4B7C">
              <w:rPr>
                <w:rFonts w:ascii="Times New Roman" w:hAnsi="Times New Roman" w:cs="Times New Roman"/>
                <w:sz w:val="20"/>
                <w:szCs w:val="20"/>
              </w:rPr>
              <w:t>abs.increase</w:t>
            </w:r>
            <w:proofErr w:type="spellEnd"/>
            <w:proofErr w:type="gramEnd"/>
          </w:p>
        </w:tc>
        <w:tc>
          <w:tcPr>
            <w:tcW w:w="2438" w:type="dxa"/>
            <w:shd w:val="clear" w:color="auto" w:fill="auto"/>
          </w:tcPr>
          <w:p w14:paraId="73E876F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Odds ratios on mortality associated with nephrotoxicity </w:t>
            </w:r>
            <w:proofErr w:type="gramStart"/>
            <w:r w:rsidRPr="004A4B7C">
              <w:rPr>
                <w:rFonts w:ascii="Times New Roman" w:hAnsi="Times New Roman" w:cs="Times New Roman"/>
                <w:sz w:val="20"/>
                <w:szCs w:val="20"/>
              </w:rPr>
              <w:t xml:space="preserve">from  </w:t>
            </w:r>
            <w:proofErr w:type="spellStart"/>
            <w:r w:rsidRPr="004A4B7C">
              <w:rPr>
                <w:rFonts w:ascii="Times New Roman" w:hAnsi="Times New Roman" w:cs="Times New Roman"/>
                <w:sz w:val="20"/>
                <w:szCs w:val="20"/>
              </w:rPr>
              <w:t>Bucaloiu</w:t>
            </w:r>
            <w:proofErr w:type="spellEnd"/>
            <w:proofErr w:type="gramEnd"/>
            <w:r w:rsidRPr="004A4B7C">
              <w:rPr>
                <w:rFonts w:ascii="Times New Roman" w:hAnsi="Times New Roman" w:cs="Times New Roman"/>
                <w:sz w:val="20"/>
                <w:szCs w:val="20"/>
              </w:rPr>
              <w:t xml:space="preserve"> 2012 are applied multiplicatively to underlying risk in HVCS</w:t>
            </w:r>
          </w:p>
        </w:tc>
        <w:tc>
          <w:tcPr>
            <w:tcW w:w="2608" w:type="dxa"/>
            <w:shd w:val="clear" w:color="auto" w:fill="auto"/>
          </w:tcPr>
          <w:p w14:paraId="3829E316"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 xml:space="preserve">Absolute risk increases </w:t>
            </w:r>
            <w:proofErr w:type="gramStart"/>
            <w:r w:rsidRPr="004A4B7C">
              <w:rPr>
                <w:rFonts w:ascii="Times New Roman" w:hAnsi="Times New Roman" w:cs="Times New Roman"/>
                <w:sz w:val="20"/>
                <w:szCs w:val="20"/>
              </w:rPr>
              <w:t xml:space="preserve">in  </w:t>
            </w:r>
            <w:proofErr w:type="spellStart"/>
            <w:r w:rsidRPr="004A4B7C">
              <w:rPr>
                <w:rFonts w:ascii="Times New Roman" w:hAnsi="Times New Roman" w:cs="Times New Roman"/>
                <w:sz w:val="20"/>
                <w:szCs w:val="20"/>
              </w:rPr>
              <w:t>Bucaloiu</w:t>
            </w:r>
            <w:proofErr w:type="spellEnd"/>
            <w:proofErr w:type="gramEnd"/>
            <w:r w:rsidRPr="004A4B7C">
              <w:rPr>
                <w:rFonts w:ascii="Times New Roman" w:hAnsi="Times New Roman" w:cs="Times New Roman"/>
                <w:sz w:val="20"/>
                <w:szCs w:val="20"/>
              </w:rPr>
              <w:t xml:space="preserve"> 2012 are assumed to apply</w:t>
            </w:r>
          </w:p>
        </w:tc>
        <w:tc>
          <w:tcPr>
            <w:tcW w:w="1191" w:type="dxa"/>
            <w:vAlign w:val="bottom"/>
          </w:tcPr>
          <w:p w14:paraId="39F9A3B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71-1,023</w:t>
            </w:r>
          </w:p>
        </w:tc>
        <w:tc>
          <w:tcPr>
            <w:tcW w:w="1191" w:type="dxa"/>
            <w:vAlign w:val="bottom"/>
          </w:tcPr>
          <w:p w14:paraId="390ADD27"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105-347</w:t>
            </w:r>
          </w:p>
        </w:tc>
        <w:tc>
          <w:tcPr>
            <w:tcW w:w="1191" w:type="dxa"/>
            <w:vAlign w:val="bottom"/>
          </w:tcPr>
          <w:p w14:paraId="70D2FF0D"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479-992</w:t>
            </w:r>
          </w:p>
        </w:tc>
        <w:tc>
          <w:tcPr>
            <w:tcW w:w="1191" w:type="dxa"/>
            <w:vAlign w:val="bottom"/>
          </w:tcPr>
          <w:p w14:paraId="698F866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46-95</w:t>
            </w:r>
          </w:p>
        </w:tc>
        <w:tc>
          <w:tcPr>
            <w:tcW w:w="1191" w:type="dxa"/>
            <w:vAlign w:val="bottom"/>
          </w:tcPr>
          <w:p w14:paraId="4224718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701-2,457</w:t>
            </w:r>
          </w:p>
        </w:tc>
      </w:tr>
      <w:tr w:rsidR="00A4788F" w:rsidRPr="004A4B7C" w14:paraId="059EC4EF" w14:textId="77777777" w:rsidTr="00A4788F">
        <w:tc>
          <w:tcPr>
            <w:tcW w:w="1304" w:type="dxa"/>
            <w:shd w:val="clear" w:color="auto" w:fill="auto"/>
          </w:tcPr>
          <w:p w14:paraId="16BE7742"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all.aki.lt</w:t>
            </w:r>
            <w:proofErr w:type="spellEnd"/>
          </w:p>
        </w:tc>
        <w:tc>
          <w:tcPr>
            <w:tcW w:w="2438" w:type="dxa"/>
            <w:shd w:val="clear" w:color="auto" w:fill="auto"/>
          </w:tcPr>
          <w:p w14:paraId="23F1EAC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Base case assumptions with respect to long-term effects of AKI</w:t>
            </w:r>
          </w:p>
        </w:tc>
        <w:tc>
          <w:tcPr>
            <w:tcW w:w="2608" w:type="dxa"/>
            <w:shd w:val="clear" w:color="auto" w:fill="auto"/>
          </w:tcPr>
          <w:p w14:paraId="12C9B3C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Applying a range of alternative assumptions to model the long-term effects of AKI</w:t>
            </w:r>
          </w:p>
        </w:tc>
        <w:tc>
          <w:tcPr>
            <w:tcW w:w="1191" w:type="dxa"/>
            <w:vAlign w:val="bottom"/>
          </w:tcPr>
          <w:p w14:paraId="5F02DC6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72-1,027</w:t>
            </w:r>
          </w:p>
        </w:tc>
        <w:tc>
          <w:tcPr>
            <w:tcW w:w="1191" w:type="dxa"/>
            <w:vAlign w:val="bottom"/>
          </w:tcPr>
          <w:p w14:paraId="0BCEC9C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104-347</w:t>
            </w:r>
          </w:p>
        </w:tc>
        <w:tc>
          <w:tcPr>
            <w:tcW w:w="1191" w:type="dxa"/>
            <w:vAlign w:val="bottom"/>
          </w:tcPr>
          <w:p w14:paraId="171F3654"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481-995</w:t>
            </w:r>
          </w:p>
        </w:tc>
        <w:tc>
          <w:tcPr>
            <w:tcW w:w="1191" w:type="dxa"/>
            <w:vAlign w:val="bottom"/>
          </w:tcPr>
          <w:p w14:paraId="2373EAFE"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46-95</w:t>
            </w:r>
          </w:p>
        </w:tc>
        <w:tc>
          <w:tcPr>
            <w:tcW w:w="1191" w:type="dxa"/>
            <w:vAlign w:val="bottom"/>
          </w:tcPr>
          <w:p w14:paraId="310AC7C6"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703-2,464</w:t>
            </w:r>
          </w:p>
        </w:tc>
      </w:tr>
      <w:tr w:rsidR="00A4788F" w:rsidRPr="004A4B7C" w14:paraId="6E7473CA" w14:textId="77777777" w:rsidTr="00A4788F">
        <w:tc>
          <w:tcPr>
            <w:tcW w:w="1304" w:type="dxa"/>
            <w:shd w:val="clear" w:color="auto" w:fill="auto"/>
          </w:tcPr>
          <w:p w14:paraId="36F5BBAC" w14:textId="4CBFF94F" w:rsidR="00A4788F" w:rsidRPr="004A4B7C" w:rsidRDefault="007D52CF" w:rsidP="004A4B7C">
            <w:pPr>
              <w:rPr>
                <w:rFonts w:ascii="Times New Roman" w:hAnsi="Times New Roman" w:cs="Times New Roman"/>
                <w:sz w:val="20"/>
                <w:szCs w:val="20"/>
              </w:rPr>
            </w:pPr>
            <w:r w:rsidRPr="004A4B7C">
              <w:rPr>
                <w:rFonts w:ascii="Times New Roman" w:hAnsi="Times New Roman" w:cs="Times New Roman"/>
                <w:sz w:val="20"/>
                <w:szCs w:val="20"/>
              </w:rPr>
              <w:t>Weibull</w:t>
            </w:r>
          </w:p>
        </w:tc>
        <w:tc>
          <w:tcPr>
            <w:tcW w:w="2438" w:type="dxa"/>
            <w:shd w:val="clear" w:color="auto" w:fill="auto"/>
          </w:tcPr>
          <w:p w14:paraId="0C2D8DD4"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Log-normal model fit to CARBAR survival data</w:t>
            </w:r>
          </w:p>
        </w:tc>
        <w:tc>
          <w:tcPr>
            <w:tcW w:w="2608" w:type="dxa"/>
            <w:shd w:val="clear" w:color="auto" w:fill="auto"/>
          </w:tcPr>
          <w:p w14:paraId="4AA6B769"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Weibull model fit to CARBAR survival data</w:t>
            </w:r>
          </w:p>
        </w:tc>
        <w:tc>
          <w:tcPr>
            <w:tcW w:w="1191" w:type="dxa"/>
            <w:vAlign w:val="bottom"/>
          </w:tcPr>
          <w:p w14:paraId="78D7163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57-813</w:t>
            </w:r>
          </w:p>
        </w:tc>
        <w:tc>
          <w:tcPr>
            <w:tcW w:w="1191" w:type="dxa"/>
            <w:vAlign w:val="bottom"/>
          </w:tcPr>
          <w:p w14:paraId="6E7C9C2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64-211</w:t>
            </w:r>
          </w:p>
        </w:tc>
        <w:tc>
          <w:tcPr>
            <w:tcW w:w="1191" w:type="dxa"/>
            <w:vAlign w:val="bottom"/>
          </w:tcPr>
          <w:p w14:paraId="3D7FE315"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381-788</w:t>
            </w:r>
          </w:p>
        </w:tc>
        <w:tc>
          <w:tcPr>
            <w:tcW w:w="1191" w:type="dxa"/>
            <w:vAlign w:val="bottom"/>
          </w:tcPr>
          <w:p w14:paraId="6E375ECA"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28-58</w:t>
            </w:r>
          </w:p>
        </w:tc>
        <w:tc>
          <w:tcPr>
            <w:tcW w:w="1191" w:type="dxa"/>
            <w:vAlign w:val="bottom"/>
          </w:tcPr>
          <w:p w14:paraId="5D3C5422" w14:textId="77777777" w:rsidR="00A4788F" w:rsidRPr="004A4B7C" w:rsidRDefault="00A4788F" w:rsidP="004A4B7C">
            <w:pPr>
              <w:jc w:val="right"/>
              <w:rPr>
                <w:rFonts w:ascii="Times New Roman" w:hAnsi="Times New Roman" w:cs="Times New Roman"/>
                <w:sz w:val="20"/>
                <w:szCs w:val="20"/>
              </w:rPr>
            </w:pPr>
            <w:r w:rsidRPr="004A4B7C">
              <w:rPr>
                <w:rFonts w:ascii="Times New Roman" w:hAnsi="Times New Roman" w:cs="Times New Roman"/>
                <w:color w:val="000000"/>
                <w:sz w:val="20"/>
                <w:szCs w:val="20"/>
              </w:rPr>
              <w:t>530-1,870</w:t>
            </w:r>
          </w:p>
        </w:tc>
      </w:tr>
      <w:tr w:rsidR="00A4788F" w:rsidRPr="004A4B7C" w14:paraId="7FA9ED4E" w14:textId="77777777" w:rsidTr="00A4788F">
        <w:tc>
          <w:tcPr>
            <w:tcW w:w="1304" w:type="dxa"/>
            <w:shd w:val="clear" w:color="auto" w:fill="auto"/>
          </w:tcPr>
          <w:p w14:paraId="048B0B9D" w14:textId="77777777" w:rsidR="00A4788F" w:rsidRPr="004A4B7C" w:rsidRDefault="00A4788F" w:rsidP="004A4B7C">
            <w:pPr>
              <w:rPr>
                <w:rFonts w:ascii="Times New Roman" w:hAnsi="Times New Roman" w:cs="Times New Roman"/>
                <w:sz w:val="20"/>
                <w:szCs w:val="20"/>
              </w:rPr>
            </w:pPr>
            <w:proofErr w:type="spellStart"/>
            <w:r w:rsidRPr="004A4B7C">
              <w:rPr>
                <w:rFonts w:ascii="Times New Roman" w:hAnsi="Times New Roman" w:cs="Times New Roman"/>
                <w:sz w:val="20"/>
                <w:szCs w:val="20"/>
              </w:rPr>
              <w:t>OR_AKI_death_halved</w:t>
            </w:r>
            <w:proofErr w:type="spellEnd"/>
          </w:p>
        </w:tc>
        <w:tc>
          <w:tcPr>
            <w:tcW w:w="2438" w:type="dxa"/>
            <w:shd w:val="clear" w:color="auto" w:fill="auto"/>
          </w:tcPr>
          <w:p w14:paraId="654949FE"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Odds ratio of mortality for AKI compared to no AKI derived from Kerr (2014) (5.11)</w:t>
            </w:r>
          </w:p>
        </w:tc>
        <w:tc>
          <w:tcPr>
            <w:tcW w:w="2608" w:type="dxa"/>
            <w:shd w:val="clear" w:color="auto" w:fill="auto"/>
          </w:tcPr>
          <w:p w14:paraId="47A88BCF" w14:textId="77777777" w:rsidR="00A4788F" w:rsidRPr="004A4B7C" w:rsidRDefault="00A4788F" w:rsidP="004A4B7C">
            <w:pPr>
              <w:rPr>
                <w:rFonts w:ascii="Times New Roman" w:hAnsi="Times New Roman" w:cs="Times New Roman"/>
                <w:sz w:val="20"/>
                <w:szCs w:val="20"/>
              </w:rPr>
            </w:pPr>
            <w:r w:rsidRPr="004A4B7C">
              <w:rPr>
                <w:rFonts w:ascii="Times New Roman" w:hAnsi="Times New Roman" w:cs="Times New Roman"/>
                <w:sz w:val="20"/>
                <w:szCs w:val="20"/>
              </w:rPr>
              <w:t>Odds ratio of mortality for AKI compared to no AKI halved (2.56)</w:t>
            </w:r>
          </w:p>
        </w:tc>
        <w:tc>
          <w:tcPr>
            <w:tcW w:w="1191" w:type="dxa"/>
            <w:vAlign w:val="bottom"/>
          </w:tcPr>
          <w:p w14:paraId="28086BAD"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62-889</w:t>
            </w:r>
          </w:p>
        </w:tc>
        <w:tc>
          <w:tcPr>
            <w:tcW w:w="1191" w:type="dxa"/>
            <w:vAlign w:val="bottom"/>
          </w:tcPr>
          <w:p w14:paraId="66179FC4"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53-176</w:t>
            </w:r>
          </w:p>
        </w:tc>
        <w:tc>
          <w:tcPr>
            <w:tcW w:w="1191" w:type="dxa"/>
            <w:vAlign w:val="bottom"/>
          </w:tcPr>
          <w:p w14:paraId="33590CD4"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416-861</w:t>
            </w:r>
          </w:p>
        </w:tc>
        <w:tc>
          <w:tcPr>
            <w:tcW w:w="1191" w:type="dxa"/>
            <w:vAlign w:val="bottom"/>
          </w:tcPr>
          <w:p w14:paraId="7A4DE6B2"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23-48</w:t>
            </w:r>
          </w:p>
        </w:tc>
        <w:tc>
          <w:tcPr>
            <w:tcW w:w="1191" w:type="dxa"/>
            <w:vAlign w:val="bottom"/>
          </w:tcPr>
          <w:p w14:paraId="19983806" w14:textId="77777777" w:rsidR="00A4788F" w:rsidRPr="004A4B7C" w:rsidRDefault="00A4788F" w:rsidP="004A4B7C">
            <w:pPr>
              <w:jc w:val="right"/>
              <w:rPr>
                <w:rFonts w:ascii="Times New Roman" w:hAnsi="Times New Roman" w:cs="Times New Roman"/>
                <w:color w:val="000000"/>
                <w:sz w:val="20"/>
                <w:szCs w:val="20"/>
              </w:rPr>
            </w:pPr>
            <w:r w:rsidRPr="004A4B7C">
              <w:rPr>
                <w:rFonts w:ascii="Times New Roman" w:hAnsi="Times New Roman" w:cs="Times New Roman"/>
                <w:color w:val="000000"/>
                <w:sz w:val="20"/>
                <w:szCs w:val="20"/>
              </w:rPr>
              <w:t>554-1,974</w:t>
            </w:r>
          </w:p>
        </w:tc>
      </w:tr>
    </w:tbl>
    <w:p w14:paraId="3501D334" w14:textId="404007B3" w:rsidR="00A4788F" w:rsidRPr="0094563B" w:rsidRDefault="00342BCE" w:rsidP="00342BCE">
      <w:pPr>
        <w:pStyle w:val="EEPRUtextundertables"/>
      </w:pPr>
      <w:r>
        <w:t xml:space="preserve">AKI, acute kidney injury; </w:t>
      </w:r>
      <w:r w:rsidRPr="00342BCE">
        <w:t xml:space="preserve">BSI, bloodstream infection; </w:t>
      </w:r>
      <w:proofErr w:type="spellStart"/>
      <w:r w:rsidRPr="00342BCE">
        <w:t>cUTI</w:t>
      </w:r>
      <w:proofErr w:type="spellEnd"/>
      <w:r w:rsidRPr="00342BCE">
        <w:t xml:space="preserve">, complicated urinary tract infection; </w:t>
      </w:r>
      <w:r>
        <w:t xml:space="preserve">ES, empiric setting; </w:t>
      </w:r>
      <w:r w:rsidRPr="00342BCE">
        <w:t>EUCAST, European Committee on Antimicrobial Susceptibility Testing;</w:t>
      </w:r>
      <w:r>
        <w:t xml:space="preserve"> </w:t>
      </w:r>
      <w:r w:rsidRPr="00342BCE">
        <w:t xml:space="preserve">HAP/VAP, hospital-acquired </w:t>
      </w:r>
      <w:proofErr w:type="gramStart"/>
      <w:r w:rsidRPr="00342BCE">
        <w:t>pneumonia</w:t>
      </w:r>
      <w:proofErr w:type="gramEnd"/>
      <w:r w:rsidRPr="00342BCE">
        <w:t xml:space="preserve"> or ventilator-associated pneumonia; </w:t>
      </w:r>
      <w:r>
        <w:t xml:space="preserve">HVCS, high value clinical scenario; </w:t>
      </w:r>
      <w:r w:rsidRPr="00342BCE">
        <w:t xml:space="preserve">IAI, intraabdominal infection; </w:t>
      </w:r>
      <w:r>
        <w:t>MDS, microbiology-directed setting; PHE, Public Health England</w:t>
      </w:r>
    </w:p>
    <w:p w14:paraId="22105420" w14:textId="77777777" w:rsidR="00A4788F" w:rsidRDefault="00A4788F" w:rsidP="00A4788F">
      <w:r>
        <w:br w:type="page"/>
      </w:r>
    </w:p>
    <w:p w14:paraId="6778081E" w14:textId="77777777" w:rsidR="00A4788F" w:rsidRDefault="00A4788F" w:rsidP="00A4788F">
      <w:pPr>
        <w:spacing w:after="0" w:line="240" w:lineRule="auto"/>
        <w:rPr>
          <w:b/>
          <w:sz w:val="18"/>
          <w:highlight w:val="yellow"/>
        </w:rPr>
        <w:sectPr w:rsidR="00A4788F" w:rsidSect="00DC3933">
          <w:pgSz w:w="16838" w:h="11906" w:orient="landscape"/>
          <w:pgMar w:top="1440" w:right="1440" w:bottom="1440" w:left="1440" w:header="709" w:footer="709" w:gutter="0"/>
          <w:cols w:space="708"/>
          <w:docGrid w:linePitch="360"/>
        </w:sectPr>
      </w:pPr>
    </w:p>
    <w:p w14:paraId="7AC8D11D" w14:textId="77777777" w:rsidR="00A4788F" w:rsidRPr="00B31EE7" w:rsidRDefault="00A4788F" w:rsidP="005A3BE6">
      <w:pPr>
        <w:pStyle w:val="EEPRUNumberedsubheading"/>
        <w:numPr>
          <w:ilvl w:val="1"/>
          <w:numId w:val="114"/>
        </w:numPr>
      </w:pPr>
      <w:bookmarkStart w:id="540" w:name="_Toc85194089"/>
      <w:bookmarkStart w:id="541" w:name="_Toc87463060"/>
      <w:bookmarkStart w:id="542" w:name="_Hlk83296664"/>
      <w:bookmarkEnd w:id="540"/>
      <w:r>
        <w:lastRenderedPageBreak/>
        <w:t>Additional elements of value relevant to AMs</w:t>
      </w:r>
      <w:bookmarkEnd w:id="541"/>
    </w:p>
    <w:bookmarkEnd w:id="542"/>
    <w:p w14:paraId="050B4990" w14:textId="41263654" w:rsidR="00A4788F" w:rsidRDefault="0019116B" w:rsidP="0019116B">
      <w:pPr>
        <w:pStyle w:val="EEPRUnumberedstylelevel3"/>
        <w:ind w:left="1418" w:firstLine="0"/>
      </w:pPr>
      <w:r>
        <w:tab/>
      </w:r>
      <w:bookmarkStart w:id="543" w:name="_Toc87463061"/>
      <w:r w:rsidR="007D52CF" w:rsidRPr="007D52CF">
        <w:t>8.3.1</w:t>
      </w:r>
      <w:r w:rsidR="00A4788F">
        <w:t xml:space="preserve"> </w:t>
      </w:r>
      <w:bookmarkStart w:id="544" w:name="_Toc85194091"/>
      <w:r w:rsidR="00A4788F">
        <w:t>Conceptualisation of additional elements of value</w:t>
      </w:r>
      <w:bookmarkEnd w:id="544"/>
      <w:bookmarkEnd w:id="543"/>
    </w:p>
    <w:p w14:paraId="1D11CEE4" w14:textId="36B9E4F8" w:rsidR="00A4788F" w:rsidRPr="008A21E8" w:rsidRDefault="00A4788F" w:rsidP="00A4788F">
      <w:pPr>
        <w:spacing w:line="360" w:lineRule="auto"/>
        <w:jc w:val="both"/>
        <w:rPr>
          <w:rFonts w:asciiTheme="majorBidi" w:hAnsiTheme="majorBidi" w:cstheme="majorBidi"/>
        </w:rPr>
      </w:pPr>
      <w:r w:rsidRPr="008A21E8">
        <w:rPr>
          <w:rFonts w:asciiTheme="majorBidi" w:hAnsiTheme="majorBidi" w:cstheme="majorBidi"/>
        </w:rPr>
        <w:t xml:space="preserve">The conceptualisation of each additional element of value, and how these additional elements of value may influence the INHEs associated with </w:t>
      </w:r>
      <w:r w:rsidR="00FE2007">
        <w:rPr>
          <w:rFonts w:asciiTheme="majorBidi" w:hAnsiTheme="majorBidi" w:cstheme="majorBidi"/>
        </w:rPr>
        <w:t>CAZ-AVI</w:t>
      </w:r>
      <w:r w:rsidRPr="008A21E8">
        <w:rPr>
          <w:rFonts w:asciiTheme="majorBidi" w:hAnsiTheme="majorBidi" w:cstheme="majorBidi"/>
        </w:rPr>
        <w:t xml:space="preserve"> are presented in</w:t>
      </w:r>
      <w:r w:rsidR="00EE4C38">
        <w:rPr>
          <w:rFonts w:asciiTheme="majorBidi" w:hAnsiTheme="majorBidi" w:cstheme="majorBidi"/>
        </w:rPr>
        <w:t xml:space="preserve"> </w:t>
      </w:r>
      <w:r w:rsidR="0038313F" w:rsidRPr="0038313F">
        <w:rPr>
          <w:rFonts w:asciiTheme="majorBidi" w:hAnsiTheme="majorBidi" w:cstheme="majorBidi"/>
        </w:rPr>
        <w:t>Table 42</w:t>
      </w:r>
      <w:r w:rsidRPr="008A21E8">
        <w:rPr>
          <w:rFonts w:asciiTheme="majorBidi" w:hAnsiTheme="majorBidi" w:cstheme="majorBidi"/>
        </w:rPr>
        <w:t>. These reflect the different viewpoints on the additional elements of value found in the literature, presented by the manufacturer, and discussed by the clinical advisors and other stakeholders to this project.</w:t>
      </w:r>
    </w:p>
    <w:p w14:paraId="4F3AAF6F" w14:textId="7DF09C14" w:rsidR="00A4788F" w:rsidRPr="00533AB0" w:rsidRDefault="00A4788F" w:rsidP="009E265F">
      <w:pPr>
        <w:pStyle w:val="table"/>
        <w:rPr>
          <w:rStyle w:val="Heading1Char"/>
          <w:rFonts w:cs="Times New Roman"/>
          <w:b/>
          <w:bCs w:val="0"/>
          <w:sz w:val="22"/>
          <w:szCs w:val="22"/>
        </w:rPr>
      </w:pPr>
      <w:bookmarkStart w:id="545" w:name="_Ref79054631"/>
      <w:bookmarkStart w:id="546" w:name="_Toc83590009"/>
      <w:bookmarkStart w:id="547" w:name="_Toc86419019"/>
      <w:bookmarkStart w:id="548" w:name="_Hlk83296997"/>
      <w:r w:rsidRPr="007E0A82">
        <w:t xml:space="preserve">Table </w:t>
      </w:r>
      <w:r w:rsidR="00F10F0A">
        <w:rPr>
          <w:noProof/>
          <w:sz w:val="22"/>
          <w:szCs w:val="22"/>
        </w:rPr>
        <w:t>42</w:t>
      </w:r>
      <w:bookmarkEnd w:id="545"/>
      <w:r w:rsidRPr="007E0A82">
        <w:t>: Conceptualisation of additional elements of value</w:t>
      </w:r>
      <w:bookmarkEnd w:id="546"/>
      <w:bookmarkEnd w:id="547"/>
    </w:p>
    <w:tbl>
      <w:tblPr>
        <w:tblStyle w:val="TableGrid"/>
        <w:tblW w:w="5000" w:type="pct"/>
        <w:tblLook w:val="04A0" w:firstRow="1" w:lastRow="0" w:firstColumn="1" w:lastColumn="0" w:noHBand="0" w:noVBand="1"/>
      </w:tblPr>
      <w:tblGrid>
        <w:gridCol w:w="1403"/>
        <w:gridCol w:w="3231"/>
        <w:gridCol w:w="4382"/>
      </w:tblGrid>
      <w:tr w:rsidR="00A4788F" w:rsidRPr="004A4B7C" w14:paraId="4C2E0C2B" w14:textId="77777777" w:rsidTr="000E3737">
        <w:tc>
          <w:tcPr>
            <w:tcW w:w="778" w:type="pct"/>
            <w:hideMark/>
          </w:tcPr>
          <w:bookmarkEnd w:id="548"/>
          <w:p w14:paraId="6E5AD138" w14:textId="77777777" w:rsidR="00A4788F" w:rsidRPr="004A4B7C" w:rsidRDefault="00A4788F" w:rsidP="004A4B7C">
            <w:pPr>
              <w:jc w:val="both"/>
              <w:rPr>
                <w:rFonts w:asciiTheme="majorBidi" w:eastAsia="Times New Roman" w:hAnsiTheme="majorBidi" w:cstheme="majorBidi"/>
                <w:sz w:val="20"/>
                <w:szCs w:val="20"/>
              </w:rPr>
            </w:pPr>
            <w:r w:rsidRPr="004A4B7C">
              <w:rPr>
                <w:rFonts w:asciiTheme="majorBidi" w:eastAsia="Times New Roman" w:hAnsiTheme="majorBidi" w:cstheme="majorBidi"/>
                <w:b/>
                <w:bCs/>
                <w:color w:val="000000"/>
                <w:sz w:val="20"/>
                <w:szCs w:val="20"/>
              </w:rPr>
              <w:t>Element of value</w:t>
            </w:r>
          </w:p>
        </w:tc>
        <w:tc>
          <w:tcPr>
            <w:tcW w:w="1792" w:type="pct"/>
            <w:hideMark/>
          </w:tcPr>
          <w:p w14:paraId="2D1953F2" w14:textId="77777777" w:rsidR="00A4788F" w:rsidRPr="004A4B7C" w:rsidRDefault="00A4788F" w:rsidP="004A4B7C">
            <w:pPr>
              <w:jc w:val="both"/>
              <w:rPr>
                <w:rFonts w:asciiTheme="majorBidi" w:eastAsia="Times New Roman" w:hAnsiTheme="majorBidi" w:cstheme="majorBidi"/>
                <w:b/>
                <w:bCs/>
                <w:color w:val="000000"/>
                <w:sz w:val="20"/>
                <w:szCs w:val="20"/>
              </w:rPr>
            </w:pPr>
            <w:r w:rsidRPr="004A4B7C">
              <w:rPr>
                <w:rFonts w:asciiTheme="majorBidi" w:eastAsia="Times New Roman" w:hAnsiTheme="majorBidi" w:cstheme="majorBidi"/>
                <w:b/>
                <w:bCs/>
                <w:color w:val="000000"/>
                <w:sz w:val="20"/>
                <w:szCs w:val="20"/>
              </w:rPr>
              <w:t>What this represents</w:t>
            </w:r>
          </w:p>
        </w:tc>
        <w:tc>
          <w:tcPr>
            <w:tcW w:w="2430" w:type="pct"/>
          </w:tcPr>
          <w:p w14:paraId="3FB63578" w14:textId="77777777" w:rsidR="00A4788F" w:rsidRPr="004A4B7C" w:rsidRDefault="00A4788F" w:rsidP="004A4B7C">
            <w:pPr>
              <w:jc w:val="both"/>
              <w:rPr>
                <w:rFonts w:asciiTheme="majorBidi" w:eastAsia="Times New Roman" w:hAnsiTheme="majorBidi" w:cstheme="majorBidi"/>
                <w:b/>
                <w:bCs/>
                <w:color w:val="000000"/>
                <w:sz w:val="20"/>
                <w:szCs w:val="20"/>
              </w:rPr>
            </w:pPr>
            <w:r w:rsidRPr="004A4B7C">
              <w:rPr>
                <w:rFonts w:asciiTheme="majorBidi" w:eastAsia="Times New Roman" w:hAnsiTheme="majorBidi" w:cstheme="majorBidi"/>
                <w:b/>
                <w:bCs/>
                <w:color w:val="000000"/>
                <w:sz w:val="20"/>
                <w:szCs w:val="20"/>
              </w:rPr>
              <w:t>Specific pathways to INHEs</w:t>
            </w:r>
            <w:r w:rsidRPr="004A4B7C">
              <w:rPr>
                <w:rFonts w:asciiTheme="majorBidi" w:eastAsia="Times New Roman" w:hAnsiTheme="majorBidi" w:cstheme="majorBidi"/>
                <w:b/>
                <w:bCs/>
                <w:color w:val="000000"/>
                <w:sz w:val="20"/>
                <w:szCs w:val="20"/>
                <w:vertAlign w:val="superscript"/>
              </w:rPr>
              <w:t>1</w:t>
            </w:r>
          </w:p>
        </w:tc>
      </w:tr>
      <w:tr w:rsidR="00A4788F" w:rsidRPr="004A4B7C" w14:paraId="6DD48DEE" w14:textId="77777777" w:rsidTr="000E3737">
        <w:tc>
          <w:tcPr>
            <w:tcW w:w="778" w:type="pct"/>
            <w:hideMark/>
          </w:tcPr>
          <w:p w14:paraId="1D95A3B7" w14:textId="77777777"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Enablement value</w:t>
            </w:r>
          </w:p>
        </w:tc>
        <w:tc>
          <w:tcPr>
            <w:tcW w:w="1792" w:type="pct"/>
            <w:hideMark/>
          </w:tcPr>
          <w:p w14:paraId="10B67202" w14:textId="0D90FD25"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Impact on population health from additional medical procedures being possible </w:t>
            </w:r>
            <w:proofErr w:type="gramStart"/>
            <w:r w:rsidRPr="004A4B7C">
              <w:rPr>
                <w:rFonts w:asciiTheme="majorBidi" w:eastAsia="Times New Roman" w:hAnsiTheme="majorBidi" w:cstheme="majorBidi"/>
                <w:color w:val="000000"/>
                <w:sz w:val="20"/>
                <w:szCs w:val="20"/>
              </w:rPr>
              <w:t>as a result of</w:t>
            </w:r>
            <w:proofErr w:type="gramEnd"/>
            <w:r w:rsidRPr="004A4B7C">
              <w:rPr>
                <w:rFonts w:asciiTheme="majorBidi" w:eastAsia="Times New Roman" w:hAnsiTheme="majorBidi" w:cstheme="majorBidi"/>
                <w:color w:val="000000"/>
                <w:sz w:val="20"/>
                <w:szCs w:val="20"/>
              </w:rPr>
              <w:t xml:space="preserve">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being available to manage otherwise resistant infections with few alternative treatment options.</w:t>
            </w:r>
          </w:p>
        </w:tc>
        <w:tc>
          <w:tcPr>
            <w:tcW w:w="2430" w:type="pct"/>
          </w:tcPr>
          <w:p w14:paraId="424077FD"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Improved treatment of post-operative infections</w:t>
            </w:r>
          </w:p>
          <w:p w14:paraId="3E4806C4"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Improved treatment of pre-operative infections</w:t>
            </w:r>
          </w:p>
          <w:p w14:paraId="6C386F95"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Ability to treat MDR infections increasing number of procedures that can go ahead </w:t>
            </w:r>
          </w:p>
          <w:p w14:paraId="4C1D93ED"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Ability to treat MDR infections keeping wards open during an outbreak of MDR infections</w:t>
            </w:r>
          </w:p>
          <w:p w14:paraId="25C0BB0C"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Reduced use of hospital resources leading to enablement of procedures and health care for other patients </w:t>
            </w:r>
          </w:p>
        </w:tc>
      </w:tr>
      <w:tr w:rsidR="00A4788F" w:rsidRPr="004A4B7C" w14:paraId="1260E4F5" w14:textId="77777777" w:rsidTr="000E3737">
        <w:tc>
          <w:tcPr>
            <w:tcW w:w="778" w:type="pct"/>
            <w:hideMark/>
          </w:tcPr>
          <w:p w14:paraId="0E55C3BF" w14:textId="77777777"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Diversity value </w:t>
            </w:r>
          </w:p>
        </w:tc>
        <w:tc>
          <w:tcPr>
            <w:tcW w:w="1792" w:type="pct"/>
            <w:hideMark/>
          </w:tcPr>
          <w:p w14:paraId="0B43399A" w14:textId="19BB6A06"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Impact on population health over time </w:t>
            </w:r>
            <w:proofErr w:type="gramStart"/>
            <w:r w:rsidRPr="004A4B7C">
              <w:rPr>
                <w:rFonts w:asciiTheme="majorBidi" w:eastAsia="Times New Roman" w:hAnsiTheme="majorBidi" w:cstheme="majorBidi"/>
                <w:color w:val="000000"/>
                <w:sz w:val="20"/>
                <w:szCs w:val="20"/>
              </w:rPr>
              <w:t>as a result of</w:t>
            </w:r>
            <w:proofErr w:type="gramEnd"/>
            <w:r w:rsidRPr="004A4B7C">
              <w:rPr>
                <w:rFonts w:asciiTheme="majorBidi" w:eastAsia="Times New Roman" w:hAnsiTheme="majorBidi" w:cstheme="majorBidi"/>
                <w:color w:val="000000"/>
                <w:sz w:val="20"/>
                <w:szCs w:val="20"/>
              </w:rPr>
              <w:t xml:space="preserve">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being available and adding to the range of treatments currently available.  This can result in a reduction in selection pressure on and resistance to other available treatments, hence retaining their effectiveness for longer.</w:t>
            </w:r>
          </w:p>
        </w:tc>
        <w:tc>
          <w:tcPr>
            <w:tcW w:w="2430" w:type="pct"/>
            <w:hideMark/>
          </w:tcPr>
          <w:p w14:paraId="2D0579CD"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Diverse prescribing</w:t>
            </w:r>
            <w:r w:rsidRPr="004A4B7C">
              <w:rPr>
                <w:rFonts w:asciiTheme="majorBidi" w:eastAsia="Times New Roman" w:hAnsiTheme="majorBidi" w:cstheme="majorBidi"/>
                <w:color w:val="000000"/>
                <w:sz w:val="20"/>
                <w:szCs w:val="20"/>
                <w:vertAlign w:val="superscript"/>
              </w:rPr>
              <w:t>2</w:t>
            </w:r>
            <w:r w:rsidRPr="004A4B7C">
              <w:rPr>
                <w:rFonts w:asciiTheme="majorBidi" w:eastAsia="Times New Roman" w:hAnsiTheme="majorBidi" w:cstheme="majorBidi"/>
                <w:color w:val="000000"/>
                <w:sz w:val="20"/>
                <w:szCs w:val="20"/>
              </w:rPr>
              <w:t xml:space="preserve"> leading to reduced numbers of drug resistant infections over time </w:t>
            </w:r>
          </w:p>
          <w:p w14:paraId="461E716F"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Reduced usage of existing drugs leading to reduced emergence of drug resistant infections over time</w:t>
            </w:r>
          </w:p>
          <w:p w14:paraId="18F27F80" w14:textId="77777777" w:rsidR="00A4788F" w:rsidRPr="004A4B7C" w:rsidRDefault="00A4788F" w:rsidP="004A4B7C">
            <w:pPr>
              <w:jc w:val="both"/>
              <w:rPr>
                <w:rFonts w:asciiTheme="majorBidi" w:eastAsia="Times New Roman" w:hAnsiTheme="majorBidi" w:cstheme="majorBidi"/>
                <w:color w:val="000000"/>
                <w:sz w:val="20"/>
                <w:szCs w:val="20"/>
              </w:rPr>
            </w:pPr>
          </w:p>
          <w:p w14:paraId="2A12129D" w14:textId="77777777" w:rsidR="00A4788F" w:rsidRPr="004A4B7C" w:rsidRDefault="00A4788F" w:rsidP="004A4B7C">
            <w:pPr>
              <w:jc w:val="both"/>
              <w:rPr>
                <w:rFonts w:asciiTheme="majorBidi" w:eastAsia="Times New Roman" w:hAnsiTheme="majorBidi" w:cstheme="majorBidi"/>
                <w:color w:val="000000"/>
                <w:sz w:val="20"/>
                <w:szCs w:val="20"/>
              </w:rPr>
            </w:pPr>
          </w:p>
        </w:tc>
      </w:tr>
      <w:tr w:rsidR="00A4788F" w:rsidRPr="004A4B7C" w14:paraId="06609146" w14:textId="77777777" w:rsidTr="000E3737">
        <w:tc>
          <w:tcPr>
            <w:tcW w:w="778" w:type="pct"/>
            <w:hideMark/>
          </w:tcPr>
          <w:p w14:paraId="2A3C4F44" w14:textId="77777777"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Insurance value</w:t>
            </w:r>
          </w:p>
        </w:tc>
        <w:tc>
          <w:tcPr>
            <w:tcW w:w="1792" w:type="pct"/>
            <w:hideMark/>
          </w:tcPr>
          <w:p w14:paraId="66B9A962" w14:textId="64FEE537"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Insurance value is presented in the literature in different ways (19).  One relates to the impact on population health over time </w:t>
            </w:r>
            <w:proofErr w:type="gramStart"/>
            <w:r w:rsidRPr="004A4B7C">
              <w:rPr>
                <w:rFonts w:asciiTheme="majorBidi" w:eastAsia="Times New Roman" w:hAnsiTheme="majorBidi" w:cstheme="majorBidi"/>
                <w:color w:val="000000"/>
                <w:sz w:val="20"/>
                <w:szCs w:val="20"/>
              </w:rPr>
              <w:t>as a result of</w:t>
            </w:r>
            <w:proofErr w:type="gramEnd"/>
            <w:r w:rsidRPr="004A4B7C">
              <w:rPr>
                <w:rFonts w:asciiTheme="majorBidi" w:eastAsia="Times New Roman" w:hAnsiTheme="majorBidi" w:cstheme="majorBidi"/>
                <w:color w:val="000000"/>
                <w:sz w:val="20"/>
                <w:szCs w:val="20"/>
              </w:rPr>
              <w:t xml:space="preserve">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being ‘held back’ in reserve until resistance to existing treatments effectively eliminates the latter as options. Resistance to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would be limited due to being used less.</w:t>
            </w:r>
          </w:p>
          <w:p w14:paraId="7BA411F4" w14:textId="77777777" w:rsidR="00A4788F" w:rsidRPr="004A4B7C" w:rsidRDefault="00A4788F" w:rsidP="004A4B7C">
            <w:pPr>
              <w:rPr>
                <w:rFonts w:asciiTheme="majorBidi" w:eastAsia="Times New Roman" w:hAnsiTheme="majorBidi" w:cstheme="majorBidi"/>
                <w:color w:val="000000"/>
                <w:sz w:val="20"/>
                <w:szCs w:val="20"/>
              </w:rPr>
            </w:pPr>
          </w:p>
          <w:p w14:paraId="6051B96C" w14:textId="42B5937C"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A second meaning is that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would ameliorate a potentially catastrophic situation where multi-drug resistance becomes so widespread that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is the only option across </w:t>
            </w:r>
            <w:proofErr w:type="gramStart"/>
            <w:r w:rsidRPr="004A4B7C">
              <w:rPr>
                <w:rFonts w:asciiTheme="majorBidi" w:eastAsia="Times New Roman" w:hAnsiTheme="majorBidi" w:cstheme="majorBidi"/>
                <w:color w:val="000000"/>
                <w:sz w:val="20"/>
                <w:szCs w:val="20"/>
              </w:rPr>
              <w:t>a large number of</w:t>
            </w:r>
            <w:proofErr w:type="gramEnd"/>
            <w:r w:rsidRPr="004A4B7C">
              <w:rPr>
                <w:rFonts w:asciiTheme="majorBidi" w:eastAsia="Times New Roman" w:hAnsiTheme="majorBidi" w:cstheme="majorBidi"/>
                <w:color w:val="000000"/>
                <w:sz w:val="20"/>
                <w:szCs w:val="20"/>
              </w:rPr>
              <w:t xml:space="preserve"> clinical scenarios.  This is a low probability but high consequence outcome.</w:t>
            </w:r>
          </w:p>
        </w:tc>
        <w:tc>
          <w:tcPr>
            <w:tcW w:w="2430" w:type="pct"/>
            <w:hideMark/>
          </w:tcPr>
          <w:p w14:paraId="3A4340C6" w14:textId="77777777" w:rsidR="00A4788F" w:rsidRPr="004A4B7C" w:rsidRDefault="00A4788F" w:rsidP="004A4B7C">
            <w:pPr>
              <w:pStyle w:val="ListParagraph"/>
              <w:numPr>
                <w:ilvl w:val="0"/>
                <w:numId w:val="36"/>
              </w:numPr>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Restricting usage to preserve efficacy in the long term </w:t>
            </w:r>
          </w:p>
          <w:p w14:paraId="4118ABEB" w14:textId="77777777" w:rsidR="00A4788F" w:rsidRPr="004A4B7C" w:rsidRDefault="00A4788F" w:rsidP="004A4B7C">
            <w:pPr>
              <w:pStyle w:val="ListParagraph"/>
              <w:numPr>
                <w:ilvl w:val="0"/>
                <w:numId w:val="36"/>
              </w:numPr>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Avoidance of catastrophic health losses, potential for differential societal valuation of this </w:t>
            </w:r>
          </w:p>
          <w:p w14:paraId="6A8834DA" w14:textId="77777777" w:rsidR="00A4788F" w:rsidRPr="004A4B7C" w:rsidRDefault="00A4788F" w:rsidP="004A4B7C">
            <w:pPr>
              <w:jc w:val="both"/>
              <w:rPr>
                <w:rFonts w:asciiTheme="majorBidi" w:eastAsia="Times New Roman" w:hAnsiTheme="majorBidi" w:cstheme="majorBidi"/>
                <w:color w:val="000000"/>
                <w:sz w:val="20"/>
                <w:szCs w:val="20"/>
              </w:rPr>
            </w:pPr>
          </w:p>
        </w:tc>
      </w:tr>
      <w:tr w:rsidR="00A4788F" w:rsidRPr="004A4B7C" w14:paraId="04507333" w14:textId="77777777" w:rsidTr="000E3737">
        <w:tc>
          <w:tcPr>
            <w:tcW w:w="778" w:type="pct"/>
            <w:hideMark/>
          </w:tcPr>
          <w:p w14:paraId="41B1EA7E" w14:textId="77777777" w:rsidR="00A4788F" w:rsidRPr="004A4B7C" w:rsidRDefault="00A4788F" w:rsidP="004A4B7C">
            <w:pPr>
              <w:jc w:val="both"/>
              <w:rPr>
                <w:rFonts w:asciiTheme="majorBidi" w:eastAsia="Times New Roman" w:hAnsiTheme="majorBidi" w:cstheme="majorBidi"/>
                <w:sz w:val="20"/>
                <w:szCs w:val="20"/>
              </w:rPr>
            </w:pPr>
            <w:r w:rsidRPr="004A4B7C">
              <w:rPr>
                <w:rFonts w:asciiTheme="majorBidi" w:eastAsia="Times New Roman" w:hAnsiTheme="majorBidi" w:cstheme="majorBidi"/>
                <w:color w:val="000000"/>
                <w:sz w:val="20"/>
                <w:szCs w:val="20"/>
              </w:rPr>
              <w:t>Transmission value</w:t>
            </w:r>
          </w:p>
        </w:tc>
        <w:tc>
          <w:tcPr>
            <w:tcW w:w="1792" w:type="pct"/>
            <w:hideMark/>
          </w:tcPr>
          <w:p w14:paraId="617DC93A" w14:textId="399DE74E" w:rsidR="00A4788F" w:rsidRPr="004A4B7C" w:rsidRDefault="00A4788F" w:rsidP="004A4B7C">
            <w:p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 xml:space="preserve">The impact on population health over time </w:t>
            </w:r>
            <w:proofErr w:type="gramStart"/>
            <w:r w:rsidRPr="004A4B7C">
              <w:rPr>
                <w:rFonts w:asciiTheme="majorBidi" w:eastAsia="Times New Roman" w:hAnsiTheme="majorBidi" w:cstheme="majorBidi"/>
                <w:color w:val="000000"/>
                <w:sz w:val="20"/>
                <w:szCs w:val="20"/>
              </w:rPr>
              <w:t>as a result of</w:t>
            </w:r>
            <w:proofErr w:type="gramEnd"/>
            <w:r w:rsidRPr="004A4B7C">
              <w:rPr>
                <w:rFonts w:asciiTheme="majorBidi" w:eastAsia="Times New Roman" w:hAnsiTheme="majorBidi" w:cstheme="majorBidi"/>
                <w:color w:val="000000"/>
                <w:sz w:val="20"/>
                <w:szCs w:val="20"/>
              </w:rPr>
              <w:t xml:space="preserve">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reducing </w:t>
            </w:r>
            <w:r w:rsidRPr="004A4B7C">
              <w:rPr>
                <w:rFonts w:asciiTheme="majorBidi" w:eastAsia="Times New Roman" w:hAnsiTheme="majorBidi" w:cstheme="majorBidi"/>
                <w:color w:val="000000"/>
                <w:sz w:val="20"/>
                <w:szCs w:val="20"/>
              </w:rPr>
              <w:lastRenderedPageBreak/>
              <w:t>the rate of transmission of a given pathogen from patients treated with that product to other individuals, potentially reducing the rate of resistant infections.</w:t>
            </w:r>
          </w:p>
        </w:tc>
        <w:tc>
          <w:tcPr>
            <w:tcW w:w="2430" w:type="pct"/>
            <w:hideMark/>
          </w:tcPr>
          <w:p w14:paraId="319D8DAA"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lastRenderedPageBreak/>
              <w:t>Reduced number of resistant infections</w:t>
            </w:r>
          </w:p>
        </w:tc>
      </w:tr>
      <w:tr w:rsidR="00A4788F" w:rsidRPr="004A4B7C" w14:paraId="7F4B7484" w14:textId="77777777" w:rsidTr="000E3737">
        <w:tc>
          <w:tcPr>
            <w:tcW w:w="778" w:type="pct"/>
            <w:hideMark/>
          </w:tcPr>
          <w:p w14:paraId="1D602719" w14:textId="77777777" w:rsidR="00A4788F" w:rsidRPr="004A4B7C" w:rsidRDefault="00A4788F" w:rsidP="004A4B7C">
            <w:pPr>
              <w:jc w:val="both"/>
              <w:rPr>
                <w:rFonts w:asciiTheme="majorBidi" w:eastAsia="Times New Roman" w:hAnsiTheme="majorBidi" w:cstheme="majorBidi"/>
                <w:sz w:val="20"/>
                <w:szCs w:val="20"/>
              </w:rPr>
            </w:pPr>
            <w:r w:rsidRPr="004A4B7C">
              <w:rPr>
                <w:rFonts w:asciiTheme="majorBidi" w:eastAsia="Times New Roman" w:hAnsiTheme="majorBidi" w:cstheme="majorBidi"/>
                <w:color w:val="000000"/>
                <w:sz w:val="20"/>
                <w:szCs w:val="20"/>
              </w:rPr>
              <w:t>Spectrum value</w:t>
            </w:r>
          </w:p>
        </w:tc>
        <w:tc>
          <w:tcPr>
            <w:tcW w:w="1792" w:type="pct"/>
            <w:hideMark/>
          </w:tcPr>
          <w:p w14:paraId="0CC8AD12" w14:textId="3DA397B0" w:rsidR="00A4788F" w:rsidRPr="004A4B7C" w:rsidRDefault="00A4788F" w:rsidP="004A4B7C">
            <w:pPr>
              <w:jc w:val="both"/>
              <w:rPr>
                <w:rFonts w:asciiTheme="majorBidi" w:eastAsia="Times New Roman" w:hAnsiTheme="majorBidi" w:cstheme="majorBidi"/>
                <w:sz w:val="20"/>
                <w:szCs w:val="20"/>
              </w:rPr>
            </w:pPr>
            <w:r w:rsidRPr="004A4B7C">
              <w:rPr>
                <w:rFonts w:asciiTheme="majorBidi" w:eastAsia="Times New Roman" w:hAnsiTheme="majorBidi" w:cstheme="majorBidi"/>
                <w:color w:val="000000"/>
                <w:sz w:val="20"/>
                <w:szCs w:val="20"/>
              </w:rPr>
              <w:t xml:space="preserve">Benefits of </w:t>
            </w:r>
            <w:r w:rsidR="00FE2007" w:rsidRPr="004A4B7C">
              <w:rPr>
                <w:rFonts w:asciiTheme="majorBidi" w:eastAsia="Times New Roman" w:hAnsiTheme="majorBidi" w:cstheme="majorBidi"/>
                <w:color w:val="000000"/>
                <w:sz w:val="20"/>
                <w:szCs w:val="20"/>
              </w:rPr>
              <w:t>CAZ-AVI</w:t>
            </w:r>
            <w:r w:rsidRPr="004A4B7C">
              <w:rPr>
                <w:rFonts w:asciiTheme="majorBidi" w:eastAsia="Times New Roman" w:hAnsiTheme="majorBidi" w:cstheme="majorBidi"/>
                <w:color w:val="000000"/>
                <w:sz w:val="20"/>
                <w:szCs w:val="20"/>
              </w:rPr>
              <w:t xml:space="preserve"> replacing broad spectrum AMs and the problems associated with their over-use: potential collateral damage to the human microbiome resulting in a greater chance of developing resistance to AMs used in the future.</w:t>
            </w:r>
          </w:p>
        </w:tc>
        <w:tc>
          <w:tcPr>
            <w:tcW w:w="2430" w:type="pct"/>
            <w:hideMark/>
          </w:tcPr>
          <w:p w14:paraId="09A44DDB" w14:textId="77777777" w:rsidR="00A4788F" w:rsidRPr="004A4B7C" w:rsidRDefault="00A4788F" w:rsidP="004A4B7C">
            <w:pPr>
              <w:pStyle w:val="ListParagraph"/>
              <w:numPr>
                <w:ilvl w:val="0"/>
                <w:numId w:val="36"/>
              </w:numPr>
              <w:jc w:val="both"/>
              <w:rPr>
                <w:rFonts w:asciiTheme="majorBidi" w:eastAsia="Times New Roman" w:hAnsiTheme="majorBidi" w:cstheme="majorBidi"/>
                <w:color w:val="000000"/>
                <w:sz w:val="20"/>
                <w:szCs w:val="20"/>
              </w:rPr>
            </w:pPr>
            <w:r w:rsidRPr="004A4B7C">
              <w:rPr>
                <w:rFonts w:asciiTheme="majorBidi" w:eastAsia="Times New Roman" w:hAnsiTheme="majorBidi" w:cstheme="majorBidi"/>
                <w:color w:val="000000"/>
                <w:sz w:val="20"/>
                <w:szCs w:val="20"/>
              </w:rPr>
              <w:t>Reduced number of resistant infections</w:t>
            </w:r>
          </w:p>
        </w:tc>
      </w:tr>
    </w:tbl>
    <w:p w14:paraId="1B53524C" w14:textId="129E0B69" w:rsidR="000E3737" w:rsidRPr="000E3737" w:rsidRDefault="000E3737" w:rsidP="000E3737">
      <w:pPr>
        <w:pStyle w:val="EEPRUtextundertables"/>
      </w:pPr>
      <w:r>
        <w:t xml:space="preserve">Abbreviations: </w:t>
      </w:r>
      <w:r w:rsidRPr="0074797F">
        <w:t>INHE, incremental net health effect</w:t>
      </w:r>
    </w:p>
    <w:p w14:paraId="0CC1E15F" w14:textId="23EB777A" w:rsidR="00A4788F" w:rsidRPr="008A21E8" w:rsidRDefault="00A4788F" w:rsidP="000E3737">
      <w:pPr>
        <w:pStyle w:val="EEPRUtextundertables"/>
        <w:rPr>
          <w:rFonts w:asciiTheme="majorBidi" w:hAnsiTheme="majorBidi" w:cstheme="majorBidi"/>
          <w:sz w:val="18"/>
        </w:rPr>
      </w:pPr>
      <w:r w:rsidRPr="008A21E8">
        <w:rPr>
          <w:rFonts w:asciiTheme="majorBidi" w:hAnsiTheme="majorBidi" w:cstheme="majorBidi"/>
          <w:sz w:val="18"/>
          <w:vertAlign w:val="superscript"/>
        </w:rPr>
        <w:t>1</w:t>
      </w:r>
      <w:r w:rsidRPr="008A21E8">
        <w:rPr>
          <w:rFonts w:asciiTheme="majorBidi" w:hAnsiTheme="majorBidi" w:cstheme="majorBidi"/>
          <w:sz w:val="18"/>
        </w:rPr>
        <w:t xml:space="preserve"> Enablement value may also include the benefits of antibiotics used prophylactically to prevent bacterial infections relating to treatments or procedures. The use of </w:t>
      </w:r>
      <w:r w:rsidR="00FE2007">
        <w:rPr>
          <w:rFonts w:asciiTheme="majorBidi" w:hAnsiTheme="majorBidi" w:cstheme="majorBidi"/>
          <w:sz w:val="18"/>
        </w:rPr>
        <w:t>CAZ-AVI</w:t>
      </w:r>
      <w:r w:rsidRPr="008A21E8">
        <w:rPr>
          <w:rFonts w:asciiTheme="majorBidi" w:hAnsiTheme="majorBidi" w:cstheme="majorBidi"/>
          <w:sz w:val="18"/>
        </w:rPr>
        <w:t xml:space="preserve"> as a prophylactic is considered outside of the scope of the drugs license and is not, therefore, discussed further. </w:t>
      </w:r>
    </w:p>
    <w:p w14:paraId="04EF9EE8" w14:textId="77777777" w:rsidR="00A4788F" w:rsidRPr="008A21E8" w:rsidRDefault="00A4788F" w:rsidP="000E3737">
      <w:pPr>
        <w:pStyle w:val="EEPRUtextundertables"/>
        <w:rPr>
          <w:rFonts w:asciiTheme="majorBidi" w:hAnsiTheme="majorBidi" w:cstheme="majorBidi"/>
          <w:sz w:val="18"/>
        </w:rPr>
      </w:pPr>
      <w:r w:rsidRPr="008A21E8">
        <w:rPr>
          <w:rFonts w:asciiTheme="majorBidi" w:hAnsiTheme="majorBidi" w:cstheme="majorBidi"/>
          <w:sz w:val="18"/>
          <w:vertAlign w:val="superscript"/>
        </w:rPr>
        <w:t>2</w:t>
      </w:r>
      <w:r w:rsidRPr="008A21E8">
        <w:rPr>
          <w:rFonts w:asciiTheme="majorBidi" w:hAnsiTheme="majorBidi" w:cstheme="majorBidi"/>
          <w:sz w:val="18"/>
        </w:rPr>
        <w:t xml:space="preserve"> For example rotation of AMs and mixing protocols where a fraction of the population receives different AMs.</w:t>
      </w:r>
    </w:p>
    <w:p w14:paraId="77AFCFE4" w14:textId="77777777" w:rsidR="00A4788F" w:rsidRPr="00533AB0" w:rsidRDefault="00A4788F" w:rsidP="00A4788F">
      <w:pPr>
        <w:spacing w:after="0"/>
      </w:pPr>
    </w:p>
    <w:p w14:paraId="2EC76513" w14:textId="77777777"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The manufacturer also discussed productivity and fiscal benefits associated with the use of CAZ-AVI. These are not considered within the NICE reference case, and it is not clear why AMs would be considered differently with respect to these effects. </w:t>
      </w:r>
    </w:p>
    <w:p w14:paraId="0E9F0AC0" w14:textId="14863761" w:rsidR="00A4788F" w:rsidRPr="00883060" w:rsidRDefault="0019116B" w:rsidP="0019116B">
      <w:pPr>
        <w:pStyle w:val="EEPRUNumberedsubheading"/>
        <w:numPr>
          <w:ilvl w:val="0"/>
          <w:numId w:val="0"/>
        </w:numPr>
        <w:ind w:left="1418"/>
      </w:pPr>
      <w:bookmarkStart w:id="549" w:name="_Toc85194092"/>
      <w:r>
        <w:tab/>
      </w:r>
      <w:bookmarkStart w:id="550" w:name="_Toc87463062"/>
      <w:r w:rsidR="007D52CF" w:rsidRPr="007D52CF">
        <w:t xml:space="preserve">8.3.2 </w:t>
      </w:r>
      <w:r w:rsidR="00A4788F">
        <w:t xml:space="preserve">Importance and quantification of additional elements of </w:t>
      </w:r>
      <w:r w:rsidR="007D52CF">
        <w:tab/>
      </w:r>
      <w:r w:rsidR="007D52CF">
        <w:tab/>
      </w:r>
      <w:r w:rsidR="00A4788F">
        <w:t>value</w:t>
      </w:r>
      <w:bookmarkEnd w:id="549"/>
      <w:bookmarkEnd w:id="550"/>
    </w:p>
    <w:p w14:paraId="066C2EB6" w14:textId="3246F9E4" w:rsidR="00A4788F" w:rsidRDefault="0019116B" w:rsidP="0019116B">
      <w:pPr>
        <w:pStyle w:val="EEPRUnumberedstylelevel3"/>
        <w:tabs>
          <w:tab w:val="left" w:pos="1985"/>
        </w:tabs>
        <w:ind w:left="1418" w:firstLine="0"/>
      </w:pPr>
      <w:r>
        <w:tab/>
      </w:r>
      <w:r>
        <w:tab/>
      </w:r>
      <w:bookmarkStart w:id="551" w:name="_Toc87463063"/>
      <w:r w:rsidR="00FD107F">
        <w:t>8.3.2.1</w:t>
      </w:r>
      <w:r w:rsidR="00A4788F">
        <w:t xml:space="preserve"> </w:t>
      </w:r>
      <w:bookmarkStart w:id="552" w:name="_Toc85194093"/>
      <w:r w:rsidR="00A4788F">
        <w:t>Enablement value</w:t>
      </w:r>
      <w:bookmarkEnd w:id="552"/>
      <w:bookmarkEnd w:id="551"/>
    </w:p>
    <w:p w14:paraId="7F48B01D" w14:textId="77777777"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Improved treatment of pre- and post-operative MDR infections is included within our HVCS and expected usage projections. There is some uncertainty as to whether the full benefits of treatment of pre-operative infections are reflected within our analysis. We assume that all patients who are alive at 30 days experience the same survival.  If, however, the speed of resolution of an </w:t>
      </w:r>
      <w:proofErr w:type="gramStart"/>
      <w:r w:rsidRPr="008A21E8">
        <w:rPr>
          <w:rFonts w:asciiTheme="majorBidi" w:hAnsiTheme="majorBidi" w:cstheme="majorBidi"/>
        </w:rPr>
        <w:t>infection influences</w:t>
      </w:r>
      <w:proofErr w:type="gramEnd"/>
      <w:r w:rsidRPr="008A21E8">
        <w:rPr>
          <w:rFonts w:asciiTheme="majorBidi" w:hAnsiTheme="majorBidi" w:cstheme="majorBidi"/>
        </w:rPr>
        <w:t xml:space="preserve"> whether a procedure or treatment can go ahead, then it is possible that 30 day survival is longer for patients whose infection resolves more quickly as they may be more likely to receive procedures. The magnitude of this effect is uncertain due to uncertainties about the number of patients who experience infections pre-operatively, the impact of infection duration on the likelihood that operations will go ahead, and the implications of operations not going ahead (which will depend on the type of procedure, and whether the procedure is not conducted at all or delayed). </w:t>
      </w:r>
    </w:p>
    <w:p w14:paraId="22994AFD" w14:textId="77777777" w:rsidR="00A4788F" w:rsidRPr="008A21E8" w:rsidRDefault="00A4788F" w:rsidP="00A4788F">
      <w:pPr>
        <w:spacing w:after="0" w:line="360" w:lineRule="auto"/>
        <w:jc w:val="both"/>
        <w:rPr>
          <w:rFonts w:asciiTheme="majorBidi" w:hAnsiTheme="majorBidi" w:cstheme="majorBidi"/>
        </w:rPr>
      </w:pPr>
    </w:p>
    <w:p w14:paraId="6DDE8886" w14:textId="77777777"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Enablement value may be also realised if the risk of MDR infection and </w:t>
      </w:r>
      <w:proofErr w:type="gramStart"/>
      <w:r w:rsidRPr="008A21E8">
        <w:rPr>
          <w:rFonts w:asciiTheme="majorBidi" w:hAnsiTheme="majorBidi" w:cstheme="majorBidi"/>
        </w:rPr>
        <w:t>clinicians</w:t>
      </w:r>
      <w:proofErr w:type="gramEnd"/>
      <w:r w:rsidRPr="008A21E8">
        <w:rPr>
          <w:rFonts w:asciiTheme="majorBidi" w:hAnsiTheme="majorBidi" w:cstheme="majorBidi"/>
        </w:rPr>
        <w:t xml:space="preserve"> ability to treat an MDR infection influences a decision about whether to bring a patient in for a procedure.  An example of this scenario was provided by our clinical advisory group, whereby if an MDR infection is known to be circulating in a haematology unit, certain patients may not receive planned procedures or treatments. This is particularly likely to apply for patients in whom existing antibiotics for MDR infections are not an option. Here, the specific example of myeloma patients was highlighted as myeloma patients are </w:t>
      </w:r>
      <w:r w:rsidRPr="008A21E8">
        <w:rPr>
          <w:rFonts w:asciiTheme="majorBidi" w:hAnsiTheme="majorBidi" w:cstheme="majorBidi"/>
        </w:rPr>
        <w:lastRenderedPageBreak/>
        <w:t>predisposed to renal impairment which rules out key effective treatments for MDR infections such as colistin. There is uncertainty with respect to the number of patients who would be affected as this would depend on both the number of patients whose treatment would be impacted by an outbreak and the frequency of outbreaks in key units such as haematology. There is also uncertainty about the consequences for patients not receiving planned therapy, as this will depend on the nature of the procedure/treatment and whether therapy is not received at all or delayed. These effects are not captured within the EEPRU modelling or any quantitative assessments submitted by the manufacturer.</w:t>
      </w:r>
    </w:p>
    <w:p w14:paraId="0D287ADD" w14:textId="77777777" w:rsidR="00A4788F" w:rsidRPr="008A21E8" w:rsidRDefault="00A4788F" w:rsidP="00A4788F">
      <w:pPr>
        <w:spacing w:after="0" w:line="360" w:lineRule="auto"/>
        <w:jc w:val="both"/>
        <w:rPr>
          <w:rFonts w:asciiTheme="majorBidi" w:hAnsiTheme="majorBidi" w:cstheme="majorBidi"/>
        </w:rPr>
      </w:pPr>
    </w:p>
    <w:p w14:paraId="64FE1F43" w14:textId="331AA6D8" w:rsidR="00A4788F" w:rsidRPr="008A21E8" w:rsidRDefault="00A4788F" w:rsidP="00A4788F">
      <w:pPr>
        <w:spacing w:after="0" w:line="360" w:lineRule="auto"/>
        <w:jc w:val="both"/>
        <w:rPr>
          <w:rFonts w:asciiTheme="majorBidi" w:hAnsiTheme="majorBidi" w:cstheme="majorBidi"/>
        </w:rPr>
      </w:pPr>
      <w:r w:rsidRPr="008A21E8">
        <w:rPr>
          <w:rFonts w:asciiTheme="majorBidi" w:hAnsiTheme="majorBidi" w:cstheme="majorBidi"/>
        </w:rPr>
        <w:t xml:space="preserve">A related way in which enablement value may be realised is if the availability of effective treatments for MDR infections allows wards to be kept open in the face of outbreaks. EEPRU considers it unlikely that </w:t>
      </w:r>
      <w:r w:rsidR="00FE2007">
        <w:rPr>
          <w:rFonts w:asciiTheme="majorBidi" w:hAnsiTheme="majorBidi" w:cstheme="majorBidi"/>
        </w:rPr>
        <w:t>CAZ-AVI</w:t>
      </w:r>
      <w:r w:rsidRPr="008A21E8">
        <w:rPr>
          <w:rFonts w:asciiTheme="majorBidi" w:hAnsiTheme="majorBidi" w:cstheme="majorBidi"/>
        </w:rPr>
        <w:t xml:space="preserve"> would have this effect as most patients with drug-resistant infections do have alternative (albeit more toxic) treatment options - namely colistin. These effects are not captured within the EEPRU modelling or any quantitative assessments submitted by the manufacturer.</w:t>
      </w:r>
    </w:p>
    <w:p w14:paraId="04024946" w14:textId="77777777" w:rsidR="00A4788F" w:rsidRPr="008A21E8" w:rsidRDefault="00A4788F" w:rsidP="00A4788F">
      <w:pPr>
        <w:spacing w:after="0" w:line="360" w:lineRule="auto"/>
        <w:jc w:val="both"/>
        <w:rPr>
          <w:rFonts w:asciiTheme="majorBidi" w:hAnsiTheme="majorBidi" w:cstheme="majorBidi"/>
        </w:rPr>
      </w:pPr>
    </w:p>
    <w:p w14:paraId="66C1C68A" w14:textId="716CF2F4" w:rsidR="00A4788F" w:rsidRPr="008A21E8" w:rsidRDefault="00A4788F" w:rsidP="00A4788F">
      <w:pPr>
        <w:spacing w:line="360" w:lineRule="auto"/>
        <w:jc w:val="both"/>
        <w:rPr>
          <w:rFonts w:asciiTheme="majorBidi" w:hAnsiTheme="majorBidi" w:cstheme="majorBidi"/>
        </w:rPr>
      </w:pPr>
      <w:r w:rsidRPr="008A21E8">
        <w:rPr>
          <w:rFonts w:asciiTheme="majorBidi" w:hAnsiTheme="majorBidi" w:cstheme="majorBidi"/>
        </w:rPr>
        <w:t xml:space="preserve">A final way in which enablement value may be realised is by use of </w:t>
      </w:r>
      <w:r w:rsidR="00FE2007">
        <w:rPr>
          <w:rFonts w:asciiTheme="majorBidi" w:hAnsiTheme="majorBidi" w:cstheme="majorBidi"/>
        </w:rPr>
        <w:t>CAZ-AVI</w:t>
      </w:r>
      <w:r w:rsidRPr="008A21E8">
        <w:rPr>
          <w:rFonts w:asciiTheme="majorBidi" w:hAnsiTheme="majorBidi" w:cstheme="majorBidi"/>
        </w:rPr>
        <w:t xml:space="preserve"> freeing up healthcare resources. For example, use of </w:t>
      </w:r>
      <w:r w:rsidR="00FE2007">
        <w:rPr>
          <w:rFonts w:asciiTheme="majorBidi" w:hAnsiTheme="majorBidi" w:cstheme="majorBidi"/>
        </w:rPr>
        <w:t>CAZ-AVI</w:t>
      </w:r>
      <w:r w:rsidRPr="008A21E8">
        <w:rPr>
          <w:rFonts w:asciiTheme="majorBidi" w:hAnsiTheme="majorBidi" w:cstheme="majorBidi"/>
        </w:rPr>
        <w:t xml:space="preserve"> may reduce time in hospital (alleviating pressure on beds) including time in the ICU/HDU. This may be particularly important where patients with MDR infections consume additional resources and staff time due to the need for additional infection control procedures including isolation measures. Any freed-up resources can then be repurposed to provide care for other patients within the hospital. To the extent possible, the impact of </w:t>
      </w:r>
      <w:r w:rsidR="00FE2007">
        <w:rPr>
          <w:rFonts w:asciiTheme="majorBidi" w:hAnsiTheme="majorBidi" w:cstheme="majorBidi"/>
        </w:rPr>
        <w:t>CAZ-AVI</w:t>
      </w:r>
      <w:r w:rsidRPr="008A21E8">
        <w:rPr>
          <w:rFonts w:asciiTheme="majorBidi" w:hAnsiTheme="majorBidi" w:cstheme="majorBidi"/>
        </w:rPr>
        <w:t xml:space="preserve"> on resource use has been captured in the EEPRU modelling. When calculating the INHEs of </w:t>
      </w:r>
      <w:r w:rsidR="00FE2007">
        <w:rPr>
          <w:rFonts w:asciiTheme="majorBidi" w:hAnsiTheme="majorBidi" w:cstheme="majorBidi"/>
        </w:rPr>
        <w:t>CAZ-AVI</w:t>
      </w:r>
      <w:r w:rsidRPr="008A21E8">
        <w:rPr>
          <w:rFonts w:asciiTheme="majorBidi" w:hAnsiTheme="majorBidi" w:cstheme="majorBidi"/>
        </w:rPr>
        <w:t xml:space="preserve"> we have translated cost savings to health benefits using standard measures of health opportunity cost (which allow monetary savings in health care resources to be translated to health gains across the NHS).</w:t>
      </w:r>
    </w:p>
    <w:p w14:paraId="68607BC1" w14:textId="64E60FF2" w:rsidR="00A4788F" w:rsidRPr="00F21DD1" w:rsidRDefault="0019116B" w:rsidP="0019116B">
      <w:pPr>
        <w:pStyle w:val="EEPRUnumberedstylelevel3"/>
        <w:spacing w:line="360" w:lineRule="auto"/>
        <w:ind w:left="2127" w:firstLine="0"/>
        <w:jc w:val="both"/>
      </w:pPr>
      <w:bookmarkStart w:id="553" w:name="_Toc85194094"/>
      <w:bookmarkStart w:id="554" w:name="_Toc85194095"/>
      <w:bookmarkEnd w:id="553"/>
      <w:r>
        <w:tab/>
      </w:r>
      <w:bookmarkStart w:id="555" w:name="_Toc87463064"/>
      <w:r w:rsidR="007D52CF" w:rsidRPr="0021430F">
        <w:t xml:space="preserve">8.3.2.2 </w:t>
      </w:r>
      <w:r w:rsidR="00A4788F">
        <w:t>Diversity value</w:t>
      </w:r>
      <w:bookmarkEnd w:id="554"/>
      <w:bookmarkEnd w:id="555"/>
    </w:p>
    <w:p w14:paraId="58789625" w14:textId="23AA276D" w:rsidR="00A4788F" w:rsidRPr="00F21DD1" w:rsidRDefault="00A4788F" w:rsidP="00460DC9">
      <w:pPr>
        <w:spacing w:after="0" w:line="360" w:lineRule="auto"/>
        <w:jc w:val="both"/>
        <w:rPr>
          <w:rFonts w:asciiTheme="majorBidi" w:eastAsiaTheme="majorEastAsia" w:hAnsiTheme="majorBidi" w:cstheme="majorBidi"/>
          <w:bCs/>
        </w:rPr>
      </w:pPr>
      <w:r>
        <w:rPr>
          <w:rFonts w:asciiTheme="majorBidi" w:eastAsiaTheme="majorEastAsia" w:hAnsiTheme="majorBidi" w:cstheme="majorBidi"/>
          <w:bCs/>
        </w:rPr>
        <w:t>Our clinical advisors indicated that, within the HVCS, diverse prescribing strategies (</w:t>
      </w:r>
      <w:proofErr w:type="gramStart"/>
      <w:r>
        <w:rPr>
          <w:rFonts w:asciiTheme="majorBidi" w:eastAsiaTheme="majorEastAsia" w:hAnsiTheme="majorBidi" w:cstheme="majorBidi"/>
          <w:bCs/>
        </w:rPr>
        <w:t>e.g.</w:t>
      </w:r>
      <w:proofErr w:type="gramEnd"/>
      <w:r>
        <w:rPr>
          <w:rFonts w:asciiTheme="majorBidi" w:eastAsiaTheme="majorEastAsia" w:hAnsiTheme="majorBidi" w:cstheme="majorBidi"/>
          <w:bCs/>
        </w:rPr>
        <w:t xml:space="preserve"> randomly allocating patients with similar clinical indications to different treatments) were unlikely to be appropriate </w:t>
      </w:r>
      <w:r w:rsidRPr="00F21DD1">
        <w:rPr>
          <w:rFonts w:asciiTheme="majorBidi" w:eastAsiaTheme="majorEastAsia" w:hAnsiTheme="majorBidi" w:cstheme="majorBidi"/>
          <w:bCs/>
        </w:rPr>
        <w:t xml:space="preserve">given the lack of safe and effective alternative treatments. They were not supportive of the use of </w:t>
      </w:r>
      <w:r w:rsidR="00FE2007">
        <w:rPr>
          <w:rFonts w:asciiTheme="majorBidi" w:eastAsiaTheme="majorEastAsia" w:hAnsiTheme="majorBidi" w:cstheme="majorBidi"/>
          <w:bCs/>
        </w:rPr>
        <w:t>CAZ-AVI</w:t>
      </w:r>
      <w:r w:rsidRPr="00F21DD1">
        <w:rPr>
          <w:rFonts w:asciiTheme="majorBidi" w:eastAsiaTheme="majorEastAsia" w:hAnsiTheme="majorBidi" w:cstheme="majorBidi"/>
          <w:bCs/>
        </w:rPr>
        <w:t xml:space="preserve"> in broader populations as part of a diverse prescribing strategy due to the desire to reduce emergence of resistance to </w:t>
      </w:r>
      <w:r w:rsidR="00FE2007">
        <w:rPr>
          <w:rFonts w:asciiTheme="majorBidi" w:eastAsiaTheme="majorEastAsia" w:hAnsiTheme="majorBidi" w:cstheme="majorBidi"/>
          <w:bCs/>
        </w:rPr>
        <w:t>CAZ-AVI</w:t>
      </w:r>
      <w:r>
        <w:rPr>
          <w:rFonts w:asciiTheme="majorBidi" w:eastAsiaTheme="majorEastAsia" w:hAnsiTheme="majorBidi" w:cstheme="majorBidi"/>
          <w:bCs/>
        </w:rPr>
        <w:t xml:space="preserve"> and concerns that the evidence for diverse prescribing was uncertain</w:t>
      </w:r>
      <w:r w:rsidRPr="00F21DD1">
        <w:rPr>
          <w:rFonts w:asciiTheme="majorBidi" w:eastAsiaTheme="majorEastAsia" w:hAnsiTheme="majorBidi" w:cstheme="majorBidi"/>
          <w:bCs/>
        </w:rPr>
        <w:t xml:space="preserve">. </w:t>
      </w:r>
      <w:r w:rsidRPr="00460DC9">
        <w:rPr>
          <w:rFonts w:asciiTheme="majorBidi" w:eastAsiaTheme="majorEastAsia" w:hAnsiTheme="majorBidi" w:cstheme="majorBidi"/>
          <w:bCs/>
        </w:rPr>
        <w:t xml:space="preserve">This in contrast to the views of the manufacturer who emphasised the potential for CAZ-AVI to be used alongside other therapeutic options in patients at high risk of a resistant infection. Diverse prescribing strategies were not, therefore, included in our quantitative assessments of population INHEs. Diverse prescribing strategies were included in the quantitative modelling presented by the manufacturer. However, as presented in Section </w:t>
      </w:r>
      <w:r w:rsidR="003A30C3">
        <w:rPr>
          <w:rFonts w:asciiTheme="majorBidi" w:eastAsiaTheme="majorEastAsia" w:hAnsiTheme="majorBidi" w:cstheme="majorBidi"/>
          <w:bCs/>
        </w:rPr>
        <w:t>6.1.5</w:t>
      </w:r>
      <w:r w:rsidRPr="00460DC9">
        <w:rPr>
          <w:rFonts w:asciiTheme="majorBidi" w:eastAsiaTheme="majorEastAsia" w:hAnsiTheme="majorBidi" w:cstheme="majorBidi"/>
          <w:bCs/>
        </w:rPr>
        <w:t xml:space="preserve">, EEPRU has concerns about the extent to which </w:t>
      </w:r>
      <w:r w:rsidRPr="00460DC9">
        <w:rPr>
          <w:rFonts w:asciiTheme="majorBidi" w:eastAsiaTheme="majorEastAsia" w:hAnsiTheme="majorBidi" w:cstheme="majorBidi"/>
          <w:bCs/>
        </w:rPr>
        <w:lastRenderedPageBreak/>
        <w:t>that modelling appropriately reflected likely uses of CAZ-AVI within the NHS, the conceptualisation of the model, and the lack of clarity about what was driving the model results. No information was presented by the manufacturer on the extent to which diversity value was driving the model results.</w:t>
      </w:r>
      <w:r>
        <w:rPr>
          <w:rFonts w:asciiTheme="majorBidi" w:eastAsiaTheme="majorEastAsia" w:hAnsiTheme="majorBidi" w:cstheme="majorBidi"/>
          <w:bCs/>
        </w:rPr>
        <w:t xml:space="preserve"> </w:t>
      </w:r>
    </w:p>
    <w:p w14:paraId="2524ED06" w14:textId="77777777" w:rsidR="00A4788F" w:rsidRPr="00F21DD1" w:rsidRDefault="00A4788F" w:rsidP="00A4788F">
      <w:pPr>
        <w:spacing w:after="0" w:line="360" w:lineRule="auto"/>
        <w:jc w:val="both"/>
        <w:rPr>
          <w:rFonts w:asciiTheme="majorBidi" w:eastAsiaTheme="majorEastAsia" w:hAnsiTheme="majorBidi" w:cstheme="majorBidi"/>
          <w:bCs/>
        </w:rPr>
      </w:pPr>
    </w:p>
    <w:p w14:paraId="14A5C205" w14:textId="33E45468" w:rsidR="00A4788F" w:rsidRDefault="00A4788F" w:rsidP="00A4788F">
      <w:pPr>
        <w:spacing w:after="0" w:line="360" w:lineRule="auto"/>
        <w:jc w:val="both"/>
        <w:rPr>
          <w:rFonts w:asciiTheme="majorBidi" w:eastAsiaTheme="majorEastAsia" w:hAnsiTheme="majorBidi" w:cstheme="majorBidi"/>
          <w:bCs/>
        </w:rPr>
      </w:pPr>
      <w:r w:rsidRPr="00F21DD1">
        <w:rPr>
          <w:rFonts w:asciiTheme="majorBidi" w:eastAsiaTheme="majorEastAsia" w:hAnsiTheme="majorBidi" w:cstheme="majorBidi"/>
          <w:bCs/>
        </w:rPr>
        <w:t>There is uncertainty about how reduced use of existing agents (</w:t>
      </w:r>
      <w:proofErr w:type="gramStart"/>
      <w:r w:rsidRPr="00F21DD1">
        <w:rPr>
          <w:rFonts w:asciiTheme="majorBidi" w:eastAsiaTheme="majorEastAsia" w:hAnsiTheme="majorBidi" w:cstheme="majorBidi"/>
          <w:bCs/>
        </w:rPr>
        <w:t>e.g.</w:t>
      </w:r>
      <w:proofErr w:type="gramEnd"/>
      <w:r w:rsidRPr="00F21DD1">
        <w:rPr>
          <w:rFonts w:asciiTheme="majorBidi" w:eastAsiaTheme="majorEastAsia" w:hAnsiTheme="majorBidi" w:cstheme="majorBidi"/>
          <w:bCs/>
        </w:rPr>
        <w:t xml:space="preserve"> colistin) due to availability of the </w:t>
      </w:r>
      <w:r w:rsidR="00FE2007">
        <w:rPr>
          <w:rFonts w:asciiTheme="majorBidi" w:eastAsiaTheme="majorEastAsia" w:hAnsiTheme="majorBidi" w:cstheme="majorBidi"/>
          <w:bCs/>
        </w:rPr>
        <w:t>CAZ-AVI</w:t>
      </w:r>
      <w:r w:rsidRPr="00F21DD1">
        <w:rPr>
          <w:rFonts w:asciiTheme="majorBidi" w:eastAsiaTheme="majorEastAsia" w:hAnsiTheme="majorBidi" w:cstheme="majorBidi"/>
          <w:bCs/>
        </w:rPr>
        <w:t xml:space="preserve"> will contribute to the emergence of resistance to these drugs</w:t>
      </w:r>
      <w:r>
        <w:rPr>
          <w:rFonts w:asciiTheme="majorBidi" w:eastAsiaTheme="majorEastAsia" w:hAnsiTheme="majorBidi" w:cstheme="majorBidi"/>
          <w:bCs/>
        </w:rPr>
        <w:t xml:space="preserve">. Due to these uncertainties this was not reflected in the EEPRU modelling. If reduced use of existing agents reduces resistance to existing drugs within areas of expected usage for </w:t>
      </w:r>
      <w:r w:rsidR="00FE2007">
        <w:rPr>
          <w:rFonts w:asciiTheme="majorBidi" w:eastAsiaTheme="majorEastAsia" w:hAnsiTheme="majorBidi" w:cstheme="majorBidi"/>
          <w:bCs/>
        </w:rPr>
        <w:t>CAZ-AVI</w:t>
      </w:r>
      <w:r>
        <w:rPr>
          <w:rFonts w:asciiTheme="majorBidi" w:eastAsiaTheme="majorEastAsia" w:hAnsiTheme="majorBidi" w:cstheme="majorBidi"/>
          <w:bCs/>
        </w:rPr>
        <w:t xml:space="preserve"> this will </w:t>
      </w:r>
      <w:r w:rsidRPr="00B8089A">
        <w:rPr>
          <w:rFonts w:asciiTheme="majorBidi" w:eastAsiaTheme="majorEastAsia" w:hAnsiTheme="majorBidi" w:cstheme="majorBidi"/>
          <w:bCs/>
          <w:i/>
        </w:rPr>
        <w:t>reduce</w:t>
      </w:r>
      <w:r>
        <w:rPr>
          <w:rFonts w:asciiTheme="majorBidi" w:eastAsiaTheme="majorEastAsia" w:hAnsiTheme="majorBidi" w:cstheme="majorBidi"/>
          <w:bCs/>
        </w:rPr>
        <w:t xml:space="preserve"> the INHEs associated with </w:t>
      </w:r>
      <w:r w:rsidR="00FE2007">
        <w:rPr>
          <w:rFonts w:asciiTheme="majorBidi" w:eastAsiaTheme="majorEastAsia" w:hAnsiTheme="majorBidi" w:cstheme="majorBidi"/>
          <w:bCs/>
        </w:rPr>
        <w:t>CAZ-AVI</w:t>
      </w:r>
      <w:r>
        <w:rPr>
          <w:rFonts w:asciiTheme="majorBidi" w:eastAsiaTheme="majorEastAsia" w:hAnsiTheme="majorBidi" w:cstheme="majorBidi"/>
          <w:bCs/>
        </w:rPr>
        <w:t xml:space="preserve">, however, if resistance reduces outside areas of expected usage for </w:t>
      </w:r>
      <w:r w:rsidR="00FE2007">
        <w:rPr>
          <w:rFonts w:asciiTheme="majorBidi" w:eastAsiaTheme="majorEastAsia" w:hAnsiTheme="majorBidi" w:cstheme="majorBidi"/>
          <w:bCs/>
        </w:rPr>
        <w:t>CAZ-AVI</w:t>
      </w:r>
      <w:r>
        <w:rPr>
          <w:rFonts w:asciiTheme="majorBidi" w:eastAsiaTheme="majorEastAsia" w:hAnsiTheme="majorBidi" w:cstheme="majorBidi"/>
          <w:bCs/>
        </w:rPr>
        <w:t xml:space="preserve"> this will </w:t>
      </w:r>
      <w:r w:rsidRPr="009C2736">
        <w:rPr>
          <w:rFonts w:asciiTheme="majorBidi" w:eastAsiaTheme="majorEastAsia" w:hAnsiTheme="majorBidi" w:cstheme="majorBidi"/>
          <w:bCs/>
          <w:i/>
        </w:rPr>
        <w:t>increase</w:t>
      </w:r>
      <w:r>
        <w:rPr>
          <w:rFonts w:asciiTheme="majorBidi" w:eastAsiaTheme="majorEastAsia" w:hAnsiTheme="majorBidi" w:cstheme="majorBidi"/>
          <w:bCs/>
        </w:rPr>
        <w:t xml:space="preserve"> the INHEs associated with </w:t>
      </w:r>
      <w:r w:rsidR="00FE2007">
        <w:rPr>
          <w:rFonts w:asciiTheme="majorBidi" w:eastAsiaTheme="majorEastAsia" w:hAnsiTheme="majorBidi" w:cstheme="majorBidi"/>
          <w:bCs/>
        </w:rPr>
        <w:t>CAZ-AVI</w:t>
      </w:r>
      <w:r>
        <w:rPr>
          <w:rFonts w:asciiTheme="majorBidi" w:eastAsiaTheme="majorEastAsia" w:hAnsiTheme="majorBidi" w:cstheme="majorBidi"/>
          <w:bCs/>
        </w:rPr>
        <w:t>. Given the potential for these countervailing effects, and the wide range of factors driving resistance to existing drugs, this is not expected to have a large impact on INHEs</w:t>
      </w:r>
      <w:r w:rsidRPr="00460DC9">
        <w:rPr>
          <w:rFonts w:asciiTheme="majorBidi" w:eastAsiaTheme="majorEastAsia" w:hAnsiTheme="majorBidi" w:cstheme="majorBidi"/>
          <w:bCs/>
        </w:rPr>
        <w:t xml:space="preserve">. Again, this was captured within the manufacturers quantitative </w:t>
      </w:r>
      <w:proofErr w:type="gramStart"/>
      <w:r w:rsidRPr="00460DC9">
        <w:rPr>
          <w:rFonts w:asciiTheme="majorBidi" w:eastAsiaTheme="majorEastAsia" w:hAnsiTheme="majorBidi" w:cstheme="majorBidi"/>
          <w:bCs/>
        </w:rPr>
        <w:t>modelling</w:t>
      </w:r>
      <w:proofErr w:type="gramEnd"/>
      <w:r w:rsidRPr="00460DC9">
        <w:rPr>
          <w:rFonts w:asciiTheme="majorBidi" w:eastAsiaTheme="majorEastAsia" w:hAnsiTheme="majorBidi" w:cstheme="majorBidi"/>
          <w:bCs/>
        </w:rPr>
        <w:t xml:space="preserve"> but the same caveats apply.</w:t>
      </w:r>
      <w:r>
        <w:rPr>
          <w:rFonts w:asciiTheme="majorBidi" w:eastAsiaTheme="majorEastAsia" w:hAnsiTheme="majorBidi" w:cstheme="majorBidi"/>
          <w:bCs/>
        </w:rPr>
        <w:t xml:space="preserve"> </w:t>
      </w:r>
    </w:p>
    <w:p w14:paraId="3610EE31" w14:textId="77777777" w:rsidR="00A4788F" w:rsidRDefault="00A4788F" w:rsidP="00A4788F">
      <w:pPr>
        <w:spacing w:after="0" w:line="360" w:lineRule="auto"/>
        <w:jc w:val="both"/>
        <w:rPr>
          <w:rFonts w:asciiTheme="majorBidi" w:eastAsiaTheme="majorEastAsia" w:hAnsiTheme="majorBidi" w:cstheme="majorBidi"/>
          <w:bCs/>
        </w:rPr>
      </w:pPr>
      <w:bookmarkStart w:id="556" w:name="_Toc85194096"/>
      <w:bookmarkEnd w:id="556"/>
    </w:p>
    <w:p w14:paraId="428EA65E" w14:textId="65BDD4A9" w:rsidR="00A4788F" w:rsidRDefault="00FD107F" w:rsidP="0019116B">
      <w:pPr>
        <w:pStyle w:val="EEPRUnumberedstylelevel3"/>
        <w:tabs>
          <w:tab w:val="left" w:pos="2127"/>
        </w:tabs>
        <w:spacing w:line="360" w:lineRule="auto"/>
        <w:ind w:left="2127" w:firstLine="0"/>
      </w:pPr>
      <w:bookmarkStart w:id="557" w:name="_Toc87463065"/>
      <w:r>
        <w:t>8.3.2.3</w:t>
      </w:r>
      <w:r w:rsidR="00A4788F">
        <w:t xml:space="preserve"> </w:t>
      </w:r>
      <w:bookmarkStart w:id="558" w:name="_Toc85194097"/>
      <w:r w:rsidR="00A4788F">
        <w:t>Insurance value</w:t>
      </w:r>
      <w:bookmarkEnd w:id="558"/>
      <w:bookmarkEnd w:id="557"/>
      <w:r w:rsidR="00A4788F">
        <w:tab/>
      </w:r>
      <w:r w:rsidR="00A4788F">
        <w:tab/>
      </w:r>
    </w:p>
    <w:p w14:paraId="75913272" w14:textId="257717E4" w:rsidR="00A4788F" w:rsidRPr="00541D59" w:rsidRDefault="00A4788F" w:rsidP="00A4788F">
      <w:pPr>
        <w:spacing w:after="0" w:line="360" w:lineRule="auto"/>
        <w:jc w:val="both"/>
        <w:rPr>
          <w:rFonts w:asciiTheme="majorBidi" w:eastAsiaTheme="majorEastAsia" w:hAnsiTheme="majorBidi" w:cstheme="majorBidi"/>
          <w:bCs/>
        </w:rPr>
      </w:pPr>
      <w:r>
        <w:rPr>
          <w:rFonts w:asciiTheme="majorBidi" w:eastAsiaTheme="majorEastAsia" w:hAnsiTheme="majorBidi" w:cstheme="majorBidi"/>
          <w:bCs/>
        </w:rPr>
        <w:t xml:space="preserve">Although we do not model a scenario where use of </w:t>
      </w:r>
      <w:r w:rsidR="00FE2007">
        <w:rPr>
          <w:rFonts w:asciiTheme="majorBidi" w:eastAsiaTheme="majorEastAsia" w:hAnsiTheme="majorBidi" w:cstheme="majorBidi"/>
          <w:bCs/>
        </w:rPr>
        <w:t>CAZ-AVI</w:t>
      </w:r>
      <w:r>
        <w:rPr>
          <w:rFonts w:asciiTheme="majorBidi" w:eastAsiaTheme="majorEastAsia" w:hAnsiTheme="majorBidi" w:cstheme="majorBidi"/>
          <w:bCs/>
        </w:rPr>
        <w:t xml:space="preserve"> is completely held back to preserve its effectiveness, the scenarios </w:t>
      </w:r>
      <w:r w:rsidRPr="00541D59">
        <w:rPr>
          <w:rFonts w:asciiTheme="majorBidi" w:eastAsiaTheme="majorEastAsia" w:hAnsiTheme="majorBidi" w:cstheme="majorBidi"/>
          <w:bCs/>
        </w:rPr>
        <w:t xml:space="preserve">modelled can be considered to reflect this form of insurance value as they involve heavily restricting usage to preserve long-term effectiveness. </w:t>
      </w:r>
    </w:p>
    <w:p w14:paraId="5E49387F" w14:textId="77777777" w:rsidR="00A4788F" w:rsidRPr="00541D59" w:rsidRDefault="00A4788F" w:rsidP="00A4788F">
      <w:pPr>
        <w:spacing w:after="0" w:line="360" w:lineRule="auto"/>
        <w:jc w:val="both"/>
        <w:rPr>
          <w:rFonts w:asciiTheme="majorBidi" w:eastAsiaTheme="majorEastAsia" w:hAnsiTheme="majorBidi" w:cstheme="majorBidi"/>
          <w:bCs/>
        </w:rPr>
      </w:pPr>
    </w:p>
    <w:p w14:paraId="3A094E5B" w14:textId="490E72B7" w:rsidR="00A4788F" w:rsidRDefault="00A4788F" w:rsidP="00460DC9">
      <w:pPr>
        <w:spacing w:after="0" w:line="360" w:lineRule="auto"/>
        <w:jc w:val="both"/>
        <w:rPr>
          <w:rFonts w:asciiTheme="majorBidi" w:eastAsiaTheme="majorEastAsia" w:hAnsiTheme="majorBidi" w:cstheme="majorBidi"/>
          <w:bCs/>
          <w:highlight w:val="yellow"/>
        </w:rPr>
      </w:pPr>
      <w:r w:rsidRPr="00541D59">
        <w:rPr>
          <w:rFonts w:asciiTheme="majorBidi" w:eastAsiaTheme="majorEastAsia" w:hAnsiTheme="majorBidi" w:cstheme="majorBidi"/>
          <w:bCs/>
        </w:rPr>
        <w:t xml:space="preserve">It is generally agreed that the value of </w:t>
      </w:r>
      <w:r w:rsidR="00FE2007">
        <w:rPr>
          <w:rFonts w:asciiTheme="majorBidi" w:eastAsiaTheme="majorEastAsia" w:hAnsiTheme="majorBidi" w:cstheme="majorBidi"/>
          <w:bCs/>
        </w:rPr>
        <w:t>CAZ-AVI</w:t>
      </w:r>
      <w:r w:rsidRPr="00541D59">
        <w:rPr>
          <w:rFonts w:asciiTheme="majorBidi" w:eastAsiaTheme="majorEastAsia" w:hAnsiTheme="majorBidi" w:cstheme="majorBidi"/>
          <w:bCs/>
        </w:rPr>
        <w:t xml:space="preserve"> will depend on the trajectory of emergence of MDR infections over time. Within the HVCS we have used statistical forecasting methods and explored uncertainty around these to understand the possibility that </w:t>
      </w:r>
      <w:r w:rsidR="00FE2007">
        <w:rPr>
          <w:rFonts w:asciiTheme="majorBidi" w:eastAsiaTheme="majorEastAsia" w:hAnsiTheme="majorBidi" w:cstheme="majorBidi"/>
          <w:bCs/>
        </w:rPr>
        <w:t>CAZ-AVI</w:t>
      </w:r>
      <w:r w:rsidRPr="00541D59">
        <w:rPr>
          <w:rFonts w:asciiTheme="majorBidi" w:eastAsiaTheme="majorEastAsia" w:hAnsiTheme="majorBidi" w:cstheme="majorBidi"/>
          <w:bCs/>
        </w:rPr>
        <w:t xml:space="preserve"> results in the avoidance of significant/catastrophic health losses. This is presented as distributions of </w:t>
      </w:r>
      <w:r>
        <w:rPr>
          <w:rFonts w:asciiTheme="majorBidi" w:eastAsiaTheme="majorEastAsia" w:hAnsiTheme="majorBidi" w:cstheme="majorBidi"/>
          <w:bCs/>
        </w:rPr>
        <w:t>population I</w:t>
      </w:r>
      <w:r w:rsidRPr="00541D59">
        <w:rPr>
          <w:rFonts w:asciiTheme="majorBidi" w:eastAsiaTheme="majorEastAsia" w:hAnsiTheme="majorBidi" w:cstheme="majorBidi"/>
          <w:bCs/>
        </w:rPr>
        <w:t xml:space="preserve">NHEs to inform the committee’s deliberations about whether avoidance of these extreme events should be considered differentially to other forms of health losses. There is uncertainty around whether these distributions adequately reflect the uncertainty around </w:t>
      </w:r>
      <w:proofErr w:type="gramStart"/>
      <w:r w:rsidRPr="00541D59">
        <w:rPr>
          <w:rFonts w:asciiTheme="majorBidi" w:eastAsiaTheme="majorEastAsia" w:hAnsiTheme="majorBidi" w:cstheme="majorBidi"/>
          <w:bCs/>
        </w:rPr>
        <w:t>high-consequence</w:t>
      </w:r>
      <w:proofErr w:type="gramEnd"/>
      <w:r w:rsidRPr="00541D59">
        <w:rPr>
          <w:rFonts w:asciiTheme="majorBidi" w:eastAsiaTheme="majorEastAsia" w:hAnsiTheme="majorBidi" w:cstheme="majorBidi"/>
          <w:bCs/>
        </w:rPr>
        <w:t xml:space="preserve">/low probability outcomes. </w:t>
      </w:r>
    </w:p>
    <w:p w14:paraId="0537266D" w14:textId="514E84CB" w:rsidR="00A4788F" w:rsidRDefault="0007501D" w:rsidP="0007501D">
      <w:pPr>
        <w:pStyle w:val="EEPRUnumberedstylelevel3"/>
        <w:spacing w:line="360" w:lineRule="auto"/>
        <w:ind w:left="2127" w:firstLine="0"/>
      </w:pPr>
      <w:bookmarkStart w:id="559" w:name="_Toc85194098"/>
      <w:bookmarkStart w:id="560" w:name="_Hlk83296324"/>
      <w:r>
        <w:tab/>
      </w:r>
      <w:bookmarkStart w:id="561" w:name="_Toc87463066"/>
      <w:r w:rsidR="007D52CF" w:rsidRPr="004B666A">
        <w:t xml:space="preserve">8.3.2.4 </w:t>
      </w:r>
      <w:r w:rsidR="00A4788F">
        <w:t>Transmission value</w:t>
      </w:r>
      <w:bookmarkEnd w:id="559"/>
      <w:bookmarkEnd w:id="561"/>
      <w:r w:rsidR="00A4788F">
        <w:tab/>
      </w:r>
      <w:r w:rsidR="00A4788F">
        <w:tab/>
      </w:r>
    </w:p>
    <w:p w14:paraId="2FC9E4A3" w14:textId="49FAEC54" w:rsidR="00A4788F" w:rsidRPr="008A21E8" w:rsidRDefault="00A4788F" w:rsidP="00A4788F">
      <w:pPr>
        <w:spacing w:after="0" w:line="360" w:lineRule="auto"/>
        <w:jc w:val="both"/>
        <w:rPr>
          <w:rFonts w:asciiTheme="majorBidi" w:hAnsiTheme="majorBidi" w:cstheme="majorBidi"/>
        </w:rPr>
      </w:pPr>
      <w:r w:rsidRPr="008A21E8">
        <w:rPr>
          <w:rFonts w:asciiTheme="majorBidi" w:eastAsiaTheme="majorEastAsia" w:hAnsiTheme="majorBidi" w:cstheme="majorBidi"/>
          <w:bCs/>
        </w:rPr>
        <w:t xml:space="preserve">Our clinical advisors indicated that the direction of effect of introduction of </w:t>
      </w:r>
      <w:r w:rsidR="00FE2007">
        <w:rPr>
          <w:rFonts w:asciiTheme="majorBidi" w:eastAsiaTheme="majorEastAsia" w:hAnsiTheme="majorBidi" w:cstheme="majorBidi"/>
          <w:bCs/>
        </w:rPr>
        <w:t>CAZ-AVI</w:t>
      </w:r>
      <w:r w:rsidRPr="008A21E8">
        <w:rPr>
          <w:rFonts w:asciiTheme="majorBidi" w:eastAsiaTheme="majorEastAsia" w:hAnsiTheme="majorBidi" w:cstheme="majorBidi"/>
          <w:bCs/>
        </w:rPr>
        <w:t xml:space="preserve"> on transmission </w:t>
      </w:r>
      <w:bookmarkEnd w:id="560"/>
      <w:r w:rsidRPr="008A21E8">
        <w:rPr>
          <w:rFonts w:asciiTheme="majorBidi" w:eastAsiaTheme="majorEastAsia" w:hAnsiTheme="majorBidi" w:cstheme="majorBidi"/>
          <w:bCs/>
        </w:rPr>
        <w:t xml:space="preserve">was uncertain, but that </w:t>
      </w:r>
      <w:r w:rsidR="009C51EA" w:rsidRPr="008A21E8">
        <w:rPr>
          <w:rFonts w:asciiTheme="majorBidi" w:eastAsiaTheme="majorEastAsia" w:hAnsiTheme="majorBidi" w:cstheme="majorBidi"/>
          <w:bCs/>
        </w:rPr>
        <w:t>overall,</w:t>
      </w:r>
      <w:r w:rsidRPr="008A21E8">
        <w:rPr>
          <w:rFonts w:asciiTheme="majorBidi" w:eastAsiaTheme="majorEastAsia" w:hAnsiTheme="majorBidi" w:cstheme="majorBidi"/>
          <w:bCs/>
        </w:rPr>
        <w:t xml:space="preserve"> the magnitude </w:t>
      </w:r>
      <w:r w:rsidRPr="008A21E8">
        <w:rPr>
          <w:rFonts w:asciiTheme="majorBidi" w:hAnsiTheme="majorBidi" w:cstheme="majorBidi"/>
        </w:rPr>
        <w:t xml:space="preserve">of effect was expected to be small. This reflects the fact that introducing a new effective drug for the treatment of MDR infections has </w:t>
      </w:r>
      <w:proofErr w:type="gramStart"/>
      <w:r w:rsidRPr="008A21E8">
        <w:rPr>
          <w:rFonts w:asciiTheme="majorBidi" w:hAnsiTheme="majorBidi" w:cstheme="majorBidi"/>
        </w:rPr>
        <w:t>a number of</w:t>
      </w:r>
      <w:proofErr w:type="gramEnd"/>
      <w:r w:rsidRPr="008A21E8">
        <w:rPr>
          <w:rFonts w:asciiTheme="majorBidi" w:hAnsiTheme="majorBidi" w:cstheme="majorBidi"/>
        </w:rPr>
        <w:t xml:space="preserve"> countervailing effects. If the drugs reduce time in hospital this is expected to reduce transmission. However, amongst MDR patients with poor prognosis, more effective treatments may, feasibly, increase time spent in hospital by reducing mortality. In addition, where use of the new drugs reduces </w:t>
      </w:r>
      <w:proofErr w:type="gramStart"/>
      <w:r w:rsidRPr="008A21E8">
        <w:rPr>
          <w:rFonts w:asciiTheme="majorBidi" w:hAnsiTheme="majorBidi" w:cstheme="majorBidi"/>
        </w:rPr>
        <w:lastRenderedPageBreak/>
        <w:t>mortality</w:t>
      </w:r>
      <w:proofErr w:type="gramEnd"/>
      <w:r w:rsidRPr="008A21E8">
        <w:rPr>
          <w:rFonts w:asciiTheme="majorBidi" w:hAnsiTheme="majorBidi" w:cstheme="majorBidi"/>
        </w:rPr>
        <w:t xml:space="preserve"> this will increase the number of people returning colonised to the community as </w:t>
      </w:r>
      <w:r w:rsidR="00FE2007">
        <w:rPr>
          <w:rFonts w:asciiTheme="majorBidi" w:hAnsiTheme="majorBidi" w:cstheme="majorBidi"/>
        </w:rPr>
        <w:t>CAZ-AVI</w:t>
      </w:r>
      <w:r w:rsidRPr="008A21E8">
        <w:rPr>
          <w:rFonts w:asciiTheme="majorBidi" w:hAnsiTheme="majorBidi" w:cstheme="majorBidi"/>
        </w:rPr>
        <w:t xml:space="preserve"> was considered unlikely to eradicate colonisation by the clinical advisors to this project. This may contribute to increased transmission in the community or via further hospitalisations in this highly co-morbid population.</w:t>
      </w:r>
    </w:p>
    <w:p w14:paraId="6F550E2A" w14:textId="77777777" w:rsidR="00A4788F" w:rsidRPr="008A21E8" w:rsidRDefault="00A4788F" w:rsidP="00A4788F">
      <w:pPr>
        <w:spacing w:after="0" w:line="360" w:lineRule="auto"/>
        <w:jc w:val="both"/>
        <w:rPr>
          <w:rFonts w:asciiTheme="majorBidi" w:hAnsiTheme="majorBidi" w:cstheme="majorBidi"/>
        </w:rPr>
      </w:pPr>
    </w:p>
    <w:p w14:paraId="2D0D5001" w14:textId="761A4054" w:rsidR="00A4788F" w:rsidRDefault="00A4788F" w:rsidP="00460DC9">
      <w:pPr>
        <w:spacing w:after="0" w:line="360" w:lineRule="auto"/>
        <w:jc w:val="both"/>
        <w:rPr>
          <w:rFonts w:asciiTheme="majorBidi" w:hAnsiTheme="majorBidi" w:cstheme="majorBidi"/>
        </w:rPr>
      </w:pPr>
      <w:r w:rsidRPr="008A21E8">
        <w:rPr>
          <w:rFonts w:asciiTheme="majorBidi" w:hAnsiTheme="majorBidi" w:cstheme="majorBidi"/>
        </w:rPr>
        <w:t xml:space="preserve">The key drivers of transmission of OXA-48 </w:t>
      </w:r>
      <w:proofErr w:type="spellStart"/>
      <w:r w:rsidR="00381A08" w:rsidRPr="00381A08">
        <w:rPr>
          <w:rFonts w:asciiTheme="majorBidi" w:hAnsiTheme="majorBidi" w:cstheme="majorBidi"/>
          <w:i/>
          <w:iCs/>
        </w:rPr>
        <w:t>Enterobacterales</w:t>
      </w:r>
      <w:proofErr w:type="spellEnd"/>
      <w:r w:rsidRPr="008A21E8">
        <w:rPr>
          <w:rFonts w:asciiTheme="majorBidi" w:hAnsiTheme="majorBidi" w:cstheme="majorBidi"/>
        </w:rPr>
        <w:t>, are broad and driven by transmission in populations beyond the HVCS (</w:t>
      </w:r>
      <w:proofErr w:type="gramStart"/>
      <w:r w:rsidRPr="008A21E8">
        <w:rPr>
          <w:rFonts w:asciiTheme="majorBidi" w:hAnsiTheme="majorBidi" w:cstheme="majorBidi"/>
        </w:rPr>
        <w:t>e.g.</w:t>
      </w:r>
      <w:proofErr w:type="gramEnd"/>
      <w:r w:rsidRPr="008A21E8">
        <w:rPr>
          <w:rFonts w:asciiTheme="majorBidi" w:hAnsiTheme="majorBidi" w:cstheme="majorBidi"/>
        </w:rPr>
        <w:t xml:space="preserve"> colonised individuals in the community and in the hospital, and importation of drug-resistance from abroad), making this a challenging area to model. Given the views of our clinical advisors that this would not be a key driver of population INHE and these modelling challenges we did not attempt to quantify transmission value using transmission modelling.</w:t>
      </w:r>
    </w:p>
    <w:p w14:paraId="25626348" w14:textId="77777777" w:rsidR="009C51EA" w:rsidRPr="008A21E8" w:rsidRDefault="009C51EA" w:rsidP="00460DC9">
      <w:pPr>
        <w:spacing w:after="0" w:line="360" w:lineRule="auto"/>
        <w:jc w:val="both"/>
        <w:rPr>
          <w:rFonts w:asciiTheme="majorBidi" w:hAnsiTheme="majorBidi" w:cstheme="majorBidi"/>
        </w:rPr>
      </w:pPr>
    </w:p>
    <w:p w14:paraId="72C2FBD2" w14:textId="0E35E7F4" w:rsidR="00A4788F" w:rsidRPr="0071198A" w:rsidRDefault="00A4788F" w:rsidP="00A4788F">
      <w:pPr>
        <w:spacing w:after="0" w:line="360" w:lineRule="auto"/>
        <w:jc w:val="both"/>
        <w:rPr>
          <w:rFonts w:asciiTheme="majorBidi" w:hAnsiTheme="majorBidi" w:cstheme="majorBidi"/>
        </w:rPr>
      </w:pPr>
      <w:r w:rsidRPr="0071198A">
        <w:rPr>
          <w:rFonts w:asciiTheme="majorBidi" w:hAnsiTheme="majorBidi" w:cstheme="majorBidi"/>
        </w:rPr>
        <w:t xml:space="preserve">To support the committee in its decision making we do, however, provide a summary of the impact of each drug on time in hospital and time alive post discharge. </w:t>
      </w:r>
      <w:r w:rsidR="0071198A" w:rsidRPr="0071198A">
        <w:rPr>
          <w:rFonts w:asciiTheme="majorBidi" w:hAnsiTheme="majorBidi" w:cstheme="majorBidi"/>
        </w:rPr>
        <w:t xml:space="preserve">Briefly, CAZ-AVI led to a short reduction in the hospital LOS of 0 – 1.1 </w:t>
      </w:r>
      <w:proofErr w:type="gramStart"/>
      <w:r w:rsidR="0071198A" w:rsidRPr="0071198A">
        <w:rPr>
          <w:rFonts w:asciiTheme="majorBidi" w:hAnsiTheme="majorBidi" w:cstheme="majorBidi"/>
        </w:rPr>
        <w:t>days, and</w:t>
      </w:r>
      <w:proofErr w:type="gramEnd"/>
      <w:r w:rsidR="0071198A" w:rsidRPr="0071198A">
        <w:rPr>
          <w:rFonts w:asciiTheme="majorBidi" w:hAnsiTheme="majorBidi" w:cstheme="majorBidi"/>
        </w:rPr>
        <w:t xml:space="preserve"> increased the length of life by up to 33 days (0.05 to 0.09 years). </w:t>
      </w:r>
      <w:r w:rsidRPr="0071198A">
        <w:rPr>
          <w:rFonts w:asciiTheme="majorBidi" w:hAnsiTheme="majorBidi" w:cstheme="majorBidi"/>
        </w:rPr>
        <w:t>We note that time post discharge is likely to include further periods spent in hospital given the patient population though we did not quantify these.</w:t>
      </w:r>
      <w:r w:rsidRPr="008A21E8">
        <w:rPr>
          <w:rFonts w:asciiTheme="majorBidi" w:hAnsiTheme="majorBidi" w:cstheme="majorBidi"/>
        </w:rPr>
        <w:t xml:space="preserve"> </w:t>
      </w:r>
    </w:p>
    <w:p w14:paraId="3D438FBD" w14:textId="77777777" w:rsidR="00A4788F" w:rsidRPr="008A21E8" w:rsidRDefault="00A4788F" w:rsidP="00A4788F">
      <w:pPr>
        <w:spacing w:after="0" w:line="360" w:lineRule="auto"/>
        <w:jc w:val="both"/>
        <w:rPr>
          <w:rFonts w:asciiTheme="majorBidi" w:hAnsiTheme="majorBidi" w:cstheme="majorBidi"/>
        </w:rPr>
      </w:pPr>
    </w:p>
    <w:p w14:paraId="63EE2797" w14:textId="16A316A1" w:rsidR="00A4788F" w:rsidRPr="008A21E8" w:rsidRDefault="00A4788F" w:rsidP="00A4788F">
      <w:pPr>
        <w:spacing w:after="0" w:line="360" w:lineRule="auto"/>
        <w:jc w:val="both"/>
        <w:rPr>
          <w:rFonts w:asciiTheme="majorBidi" w:hAnsiTheme="majorBidi" w:cstheme="majorBidi"/>
        </w:rPr>
      </w:pPr>
      <w:proofErr w:type="gramStart"/>
      <w:r w:rsidRPr="008A21E8">
        <w:rPr>
          <w:rFonts w:asciiTheme="majorBidi" w:hAnsiTheme="majorBidi" w:cstheme="majorBidi"/>
        </w:rPr>
        <w:t>A number of</w:t>
      </w:r>
      <w:proofErr w:type="gramEnd"/>
      <w:r w:rsidRPr="008A21E8">
        <w:rPr>
          <w:rFonts w:asciiTheme="majorBidi" w:hAnsiTheme="majorBidi" w:cstheme="majorBidi"/>
        </w:rPr>
        <w:t xml:space="preserve"> advisors discussed the substantial impact of outbreaks of MDR infections in terms of disrupting healthcare provision and incurring large costs due to the need for more extensive infection control measures. However, no evidence was </w:t>
      </w:r>
      <w:proofErr w:type="gramStart"/>
      <w:r w:rsidRPr="008A21E8">
        <w:rPr>
          <w:rFonts w:asciiTheme="majorBidi" w:hAnsiTheme="majorBidi" w:cstheme="majorBidi"/>
        </w:rPr>
        <w:t>provided that</w:t>
      </w:r>
      <w:proofErr w:type="gramEnd"/>
      <w:r w:rsidRPr="008A21E8">
        <w:rPr>
          <w:rFonts w:asciiTheme="majorBidi" w:hAnsiTheme="majorBidi" w:cstheme="majorBidi"/>
        </w:rPr>
        <w:t xml:space="preserve"> </w:t>
      </w:r>
      <w:r w:rsidR="00FE2007">
        <w:rPr>
          <w:rFonts w:asciiTheme="majorBidi" w:hAnsiTheme="majorBidi" w:cstheme="majorBidi"/>
        </w:rPr>
        <w:t>CAZ-AVI</w:t>
      </w:r>
      <w:r w:rsidRPr="008A21E8">
        <w:rPr>
          <w:rFonts w:asciiTheme="majorBidi" w:hAnsiTheme="majorBidi" w:cstheme="majorBidi"/>
        </w:rPr>
        <w:t xml:space="preserve"> would substantially impact on the likelihood of an outbreak or its spread. The possibility of outbreaks leading to large numbers of cases and the additional potential value of </w:t>
      </w:r>
      <w:r w:rsidR="009C51EA">
        <w:rPr>
          <w:rFonts w:asciiTheme="majorBidi" w:hAnsiTheme="majorBidi" w:cstheme="majorBidi"/>
        </w:rPr>
        <w:t>CAZ-AVI</w:t>
      </w:r>
      <w:r w:rsidRPr="008A21E8">
        <w:rPr>
          <w:rFonts w:asciiTheme="majorBidi" w:hAnsiTheme="majorBidi" w:cstheme="majorBidi"/>
        </w:rPr>
        <w:t xml:space="preserve"> as a treatment in this scenario is discussed under insurance value. </w:t>
      </w:r>
    </w:p>
    <w:p w14:paraId="4880ACF6" w14:textId="77777777" w:rsidR="001B0FEB" w:rsidRDefault="001B0FEB" w:rsidP="00A4788F">
      <w:pPr>
        <w:spacing w:after="0" w:line="360" w:lineRule="auto"/>
        <w:jc w:val="both"/>
        <w:rPr>
          <w:rFonts w:asciiTheme="majorBidi" w:eastAsiaTheme="majorEastAsia" w:hAnsiTheme="majorBidi" w:cstheme="majorBidi"/>
          <w:bCs/>
        </w:rPr>
      </w:pPr>
    </w:p>
    <w:p w14:paraId="1F417491" w14:textId="1E89C7CF" w:rsidR="00A4788F" w:rsidRPr="008A21E8" w:rsidRDefault="00A4788F" w:rsidP="00A4788F">
      <w:pPr>
        <w:spacing w:after="0" w:line="360" w:lineRule="auto"/>
        <w:jc w:val="both"/>
        <w:rPr>
          <w:rFonts w:asciiTheme="majorBidi" w:eastAsiaTheme="majorEastAsia" w:hAnsiTheme="majorBidi" w:cstheme="majorBidi"/>
          <w:bCs/>
        </w:rPr>
      </w:pPr>
      <w:r w:rsidRPr="008A21E8">
        <w:rPr>
          <w:rFonts w:asciiTheme="majorBidi" w:eastAsiaTheme="majorEastAsia" w:hAnsiTheme="majorBidi" w:cstheme="majorBidi"/>
          <w:bCs/>
        </w:rPr>
        <w:t xml:space="preserve">Transmission effects were included in the quantitative modelling presented by the manufacturer. However, as presented in Section </w:t>
      </w:r>
      <w:r w:rsidR="003A30C3">
        <w:rPr>
          <w:rFonts w:asciiTheme="majorBidi" w:eastAsiaTheme="majorEastAsia" w:hAnsiTheme="majorBidi" w:cstheme="majorBidi"/>
          <w:bCs/>
        </w:rPr>
        <w:t>6.1.5</w:t>
      </w:r>
      <w:r w:rsidRPr="008A21E8">
        <w:rPr>
          <w:rFonts w:asciiTheme="majorBidi" w:eastAsiaTheme="majorEastAsia" w:hAnsiTheme="majorBidi" w:cstheme="majorBidi"/>
          <w:bCs/>
        </w:rPr>
        <w:t xml:space="preserve">, EEPRU has concerns about the extent to which that modelling appropriately reflected likely uses of CAZ-AVI within the NHS, the conceptualisation of the model, and the lack of clarity about what was driving the model results. No information was presented by the manufacturer on the extent to which transmission value was driving the model results. </w:t>
      </w:r>
    </w:p>
    <w:p w14:paraId="2D21AF00" w14:textId="7DA216CC" w:rsidR="00A4788F" w:rsidRDefault="001B0FEB" w:rsidP="0007501D">
      <w:pPr>
        <w:pStyle w:val="EEPRUnumberedstylelevel3"/>
        <w:numPr>
          <w:ilvl w:val="3"/>
          <w:numId w:val="117"/>
        </w:numPr>
        <w:spacing w:line="360" w:lineRule="auto"/>
        <w:jc w:val="both"/>
      </w:pPr>
      <w:bookmarkStart w:id="562" w:name="_Toc85194099"/>
      <w:r>
        <w:t xml:space="preserve"> </w:t>
      </w:r>
      <w:bookmarkStart w:id="563" w:name="_Toc87463067"/>
      <w:r w:rsidR="00A4788F">
        <w:t>Spectrum value</w:t>
      </w:r>
      <w:bookmarkEnd w:id="562"/>
      <w:bookmarkEnd w:id="563"/>
      <w:r w:rsidR="00A4788F">
        <w:tab/>
      </w:r>
      <w:r w:rsidR="00A4788F">
        <w:tab/>
      </w:r>
    </w:p>
    <w:p w14:paraId="0043620E" w14:textId="33FD6FAC" w:rsidR="00A4788F" w:rsidRPr="008A21E8" w:rsidRDefault="00A4788F" w:rsidP="00460DC9">
      <w:pPr>
        <w:spacing w:line="360" w:lineRule="auto"/>
        <w:jc w:val="both"/>
        <w:rPr>
          <w:rFonts w:asciiTheme="majorBidi" w:hAnsiTheme="majorBidi" w:cstheme="majorBidi"/>
          <w:highlight w:val="yellow"/>
        </w:rPr>
      </w:pPr>
      <w:r w:rsidRPr="008A21E8">
        <w:rPr>
          <w:rFonts w:asciiTheme="majorBidi" w:eastAsiaTheme="majorEastAsia" w:hAnsiTheme="majorBidi" w:cstheme="majorBidi"/>
          <w:bCs/>
        </w:rPr>
        <w:t xml:space="preserve">Our clinical advisors and other stakeholders did not consider spectrum value to be a significant consideration for </w:t>
      </w:r>
      <w:r w:rsidR="00FE2007">
        <w:rPr>
          <w:rFonts w:asciiTheme="majorBidi" w:hAnsiTheme="majorBidi" w:cstheme="majorBidi"/>
        </w:rPr>
        <w:t>CAZ-AVI</w:t>
      </w:r>
      <w:r w:rsidRPr="008A21E8">
        <w:rPr>
          <w:rFonts w:asciiTheme="majorBidi" w:hAnsiTheme="majorBidi" w:cstheme="majorBidi"/>
        </w:rPr>
        <w:t xml:space="preserve"> which has a broad spectrum of activity. Therefore, this was not considered in our quantitative assessments of population INHE. </w:t>
      </w:r>
    </w:p>
    <w:p w14:paraId="34155867" w14:textId="77777777" w:rsidR="00A4788F" w:rsidRDefault="00A4788F" w:rsidP="00A4788F">
      <w:pPr>
        <w:spacing w:line="360" w:lineRule="auto"/>
        <w:jc w:val="both"/>
        <w:rPr>
          <w:highlight w:val="yellow"/>
        </w:rPr>
      </w:pPr>
    </w:p>
    <w:p w14:paraId="31ED2C6E" w14:textId="2B4F8D17" w:rsidR="00A4788F" w:rsidRDefault="00A4788F" w:rsidP="0007501D">
      <w:pPr>
        <w:pStyle w:val="EEPRUNumberedsubheading"/>
        <w:numPr>
          <w:ilvl w:val="2"/>
          <w:numId w:val="103"/>
        </w:numPr>
        <w:ind w:firstLine="698"/>
      </w:pPr>
      <w:bookmarkStart w:id="564" w:name="_Toc85194100"/>
      <w:bookmarkStart w:id="565" w:name="_Toc87463068"/>
      <w:r w:rsidRPr="00B31EE7">
        <w:lastRenderedPageBreak/>
        <w:t>S</w:t>
      </w:r>
      <w:r>
        <w:t>ummary</w:t>
      </w:r>
      <w:bookmarkEnd w:id="564"/>
      <w:bookmarkEnd w:id="565"/>
    </w:p>
    <w:p w14:paraId="72CE44FC" w14:textId="71A8337D" w:rsidR="00A4788F" w:rsidRPr="008A21E8" w:rsidRDefault="009C51EA" w:rsidP="00A4788F">
      <w:pPr>
        <w:spacing w:after="0" w:line="360" w:lineRule="auto"/>
        <w:rPr>
          <w:rFonts w:asciiTheme="majorBidi" w:hAnsiTheme="majorBidi" w:cstheme="majorBidi"/>
        </w:rPr>
      </w:pPr>
      <w:r w:rsidRPr="009C51EA">
        <w:rPr>
          <w:rFonts w:asciiTheme="majorBidi" w:hAnsiTheme="majorBidi" w:cstheme="majorBidi"/>
        </w:rPr>
        <w:t xml:space="preserve">Table </w:t>
      </w:r>
      <w:r w:rsidRPr="009C51EA">
        <w:rPr>
          <w:rFonts w:asciiTheme="majorBidi" w:hAnsiTheme="majorBidi" w:cstheme="majorBidi"/>
          <w:noProof/>
        </w:rPr>
        <w:t>43</w:t>
      </w:r>
      <w:r w:rsidR="00A4788F" w:rsidRPr="008A21E8">
        <w:rPr>
          <w:rFonts w:asciiTheme="majorBidi" w:hAnsiTheme="majorBidi" w:cstheme="majorBidi"/>
        </w:rPr>
        <w:t xml:space="preserve"> summarises where EEPRU has been able to quantify the additional elements of value and, for those elements where this has not been feasible, provides an indication of their likely importance. Overall, EEPRU considers that the main areas of uncertainty are enablement value and transmission value. EEPRU considers it unlikely that transmission value is a significant driver of population INHE, though this remains an area of uncertainty. EEPRU considers that it is possible that, by treating pre-operative infections and offering the possibility of an effective low toxicity option for treating MDR infections, </w:t>
      </w:r>
      <w:r w:rsidR="00FE2007">
        <w:rPr>
          <w:rFonts w:asciiTheme="majorBidi" w:hAnsiTheme="majorBidi" w:cstheme="majorBidi"/>
        </w:rPr>
        <w:t>CAZ-AVI</w:t>
      </w:r>
      <w:r w:rsidR="00A4788F" w:rsidRPr="008A21E8">
        <w:rPr>
          <w:rFonts w:asciiTheme="majorBidi" w:hAnsiTheme="majorBidi" w:cstheme="majorBidi"/>
        </w:rPr>
        <w:t xml:space="preserve"> will facilitate additional or at least more prompt receipt of required treatments/procedures for certain groups. EEPRU considers that the magnitude of these population INHE remain highly uncertain.</w:t>
      </w:r>
    </w:p>
    <w:p w14:paraId="6E396D42" w14:textId="77777777" w:rsidR="00A4788F" w:rsidRPr="0045577F" w:rsidRDefault="00A4788F" w:rsidP="00A4788F">
      <w:pPr>
        <w:spacing w:after="0" w:line="360" w:lineRule="auto"/>
      </w:pPr>
    </w:p>
    <w:p w14:paraId="2C21649B" w14:textId="37857FE8" w:rsidR="00A4788F" w:rsidRPr="007E0A82" w:rsidRDefault="00A4788F" w:rsidP="009E265F">
      <w:pPr>
        <w:pStyle w:val="table"/>
      </w:pPr>
      <w:bookmarkStart w:id="566" w:name="_Ref83823076"/>
      <w:bookmarkStart w:id="567" w:name="_Ref83823048"/>
      <w:bookmarkStart w:id="568" w:name="_Toc86419020"/>
      <w:r w:rsidRPr="007E0A82">
        <w:t xml:space="preserve">Table </w:t>
      </w:r>
      <w:r w:rsidR="00F10F0A">
        <w:rPr>
          <w:noProof/>
        </w:rPr>
        <w:t>43</w:t>
      </w:r>
      <w:bookmarkEnd w:id="566"/>
      <w:r>
        <w:t>:</w:t>
      </w:r>
      <w:r w:rsidRPr="007E0A82">
        <w:t xml:space="preserve"> </w:t>
      </w:r>
      <w:r>
        <w:t>Summary of importance</w:t>
      </w:r>
      <w:r w:rsidRPr="007E0A82">
        <w:t xml:space="preserve"> of additional elements of value</w:t>
      </w:r>
      <w:bookmarkEnd w:id="567"/>
      <w:bookmarkEnd w:id="568"/>
    </w:p>
    <w:tbl>
      <w:tblPr>
        <w:tblStyle w:val="TableGrid6"/>
        <w:tblW w:w="10060" w:type="dxa"/>
        <w:tblLayout w:type="fixed"/>
        <w:tblLook w:val="04A0" w:firstRow="1" w:lastRow="0" w:firstColumn="1" w:lastColumn="0" w:noHBand="0" w:noVBand="1"/>
      </w:tblPr>
      <w:tblGrid>
        <w:gridCol w:w="1413"/>
        <w:gridCol w:w="4252"/>
        <w:gridCol w:w="4395"/>
      </w:tblGrid>
      <w:tr w:rsidR="00A4788F" w:rsidRPr="004A4B7C" w14:paraId="5729BEA5" w14:textId="77777777" w:rsidTr="00E617D9">
        <w:tc>
          <w:tcPr>
            <w:tcW w:w="1413" w:type="dxa"/>
            <w:hideMark/>
          </w:tcPr>
          <w:p w14:paraId="36A7FFBA" w14:textId="77777777" w:rsidR="00A4788F" w:rsidRPr="004A4B7C" w:rsidRDefault="00A4788F" w:rsidP="004A4B7C">
            <w:pPr>
              <w:jc w:val="both"/>
              <w:rPr>
                <w:rFonts w:ascii="Times New Roman" w:eastAsia="Times New Roman" w:hAnsi="Times New Roman" w:cs="Times New Roman"/>
                <w:sz w:val="20"/>
                <w:szCs w:val="20"/>
              </w:rPr>
            </w:pPr>
            <w:r w:rsidRPr="004A4B7C">
              <w:rPr>
                <w:rFonts w:ascii="Times New Roman" w:eastAsia="Times New Roman" w:hAnsi="Times New Roman" w:cs="Times New Roman"/>
                <w:b/>
                <w:bCs/>
                <w:color w:val="000000"/>
                <w:sz w:val="20"/>
                <w:szCs w:val="20"/>
              </w:rPr>
              <w:t>Element of value</w:t>
            </w:r>
          </w:p>
        </w:tc>
        <w:tc>
          <w:tcPr>
            <w:tcW w:w="4252" w:type="dxa"/>
          </w:tcPr>
          <w:p w14:paraId="660A44E1" w14:textId="77777777" w:rsidR="00A4788F" w:rsidRPr="004A4B7C" w:rsidRDefault="00A4788F" w:rsidP="004A4B7C">
            <w:pPr>
              <w:jc w:val="both"/>
              <w:rPr>
                <w:rFonts w:ascii="Times New Roman" w:eastAsia="Times New Roman" w:hAnsi="Times New Roman" w:cs="Times New Roman"/>
                <w:b/>
                <w:bCs/>
                <w:color w:val="000000"/>
                <w:sz w:val="20"/>
                <w:szCs w:val="20"/>
              </w:rPr>
            </w:pPr>
            <w:r w:rsidRPr="004A4B7C">
              <w:rPr>
                <w:rFonts w:ascii="Times New Roman" w:eastAsia="Times New Roman" w:hAnsi="Times New Roman" w:cs="Times New Roman"/>
                <w:b/>
                <w:bCs/>
                <w:color w:val="000000"/>
                <w:sz w:val="20"/>
                <w:szCs w:val="20"/>
              </w:rPr>
              <w:t>Specific pathways to INHEs</w:t>
            </w:r>
          </w:p>
        </w:tc>
        <w:tc>
          <w:tcPr>
            <w:tcW w:w="4395" w:type="dxa"/>
          </w:tcPr>
          <w:p w14:paraId="3301626D" w14:textId="77777777" w:rsidR="00A4788F" w:rsidRPr="004A4B7C" w:rsidRDefault="00A4788F" w:rsidP="004A4B7C">
            <w:pPr>
              <w:jc w:val="both"/>
              <w:rPr>
                <w:rFonts w:ascii="Times New Roman" w:eastAsia="Times New Roman" w:hAnsi="Times New Roman" w:cs="Times New Roman"/>
                <w:b/>
                <w:bCs/>
                <w:color w:val="000000"/>
                <w:sz w:val="20"/>
                <w:szCs w:val="20"/>
              </w:rPr>
            </w:pPr>
            <w:r w:rsidRPr="004A4B7C">
              <w:rPr>
                <w:rFonts w:ascii="Times New Roman" w:eastAsia="Times New Roman" w:hAnsi="Times New Roman" w:cs="Times New Roman"/>
                <w:b/>
                <w:bCs/>
                <w:color w:val="000000"/>
                <w:sz w:val="20"/>
                <w:szCs w:val="20"/>
              </w:rPr>
              <w:t xml:space="preserve">Quantified in HVCS? </w:t>
            </w:r>
            <w:r w:rsidRPr="004A4B7C">
              <w:rPr>
                <w:rFonts w:ascii="Times New Roman" w:eastAsia="Times New Roman" w:hAnsi="Times New Roman" w:cs="Times New Roman"/>
                <w:b/>
                <w:bCs/>
                <w:i/>
                <w:color w:val="000000"/>
                <w:sz w:val="20"/>
                <w:szCs w:val="20"/>
              </w:rPr>
              <w:t>EEPRU assessment of importance if not quantified.</w:t>
            </w:r>
            <w:r w:rsidRPr="004A4B7C">
              <w:rPr>
                <w:rFonts w:ascii="Times New Roman" w:eastAsia="Times New Roman" w:hAnsi="Times New Roman" w:cs="Times New Roman"/>
                <w:b/>
                <w:bCs/>
                <w:color w:val="000000"/>
                <w:sz w:val="20"/>
                <w:szCs w:val="20"/>
              </w:rPr>
              <w:t xml:space="preserve"> </w:t>
            </w:r>
          </w:p>
        </w:tc>
      </w:tr>
      <w:tr w:rsidR="00A4788F" w:rsidRPr="004A4B7C" w14:paraId="45078DDF" w14:textId="77777777" w:rsidTr="00E617D9">
        <w:tc>
          <w:tcPr>
            <w:tcW w:w="1413" w:type="dxa"/>
            <w:hideMark/>
          </w:tcPr>
          <w:p w14:paraId="7783B1FB"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Enablement value</w:t>
            </w:r>
          </w:p>
        </w:tc>
        <w:tc>
          <w:tcPr>
            <w:tcW w:w="4252" w:type="dxa"/>
          </w:tcPr>
          <w:p w14:paraId="124FD58F"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Improved treatment of post-operative infections</w:t>
            </w:r>
          </w:p>
        </w:tc>
        <w:tc>
          <w:tcPr>
            <w:tcW w:w="4395" w:type="dxa"/>
          </w:tcPr>
          <w:p w14:paraId="1BC08DAB"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Quantified in HVCS and extrapolation to expected usage</w:t>
            </w:r>
          </w:p>
        </w:tc>
      </w:tr>
      <w:tr w:rsidR="00A4788F" w:rsidRPr="004A4B7C" w14:paraId="2D5DF3E2" w14:textId="77777777" w:rsidTr="00E617D9">
        <w:tc>
          <w:tcPr>
            <w:tcW w:w="1413" w:type="dxa"/>
            <w:hideMark/>
          </w:tcPr>
          <w:p w14:paraId="4DDA790E" w14:textId="4E85167A" w:rsidR="00A4788F" w:rsidRPr="004A4B7C" w:rsidRDefault="00E617D9"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Enablement value</w:t>
            </w:r>
          </w:p>
        </w:tc>
        <w:tc>
          <w:tcPr>
            <w:tcW w:w="4252" w:type="dxa"/>
          </w:tcPr>
          <w:p w14:paraId="5162EE25"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Improved treatment of pre-operative infections</w:t>
            </w:r>
          </w:p>
        </w:tc>
        <w:tc>
          <w:tcPr>
            <w:tcW w:w="4395" w:type="dxa"/>
          </w:tcPr>
          <w:p w14:paraId="5B56D609"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 xml:space="preserve">Partially quantified in HVCS and extrapolation to expected usage </w:t>
            </w:r>
            <w:r w:rsidRPr="004A4B7C">
              <w:rPr>
                <w:rFonts w:ascii="Times New Roman" w:eastAsia="Times New Roman" w:hAnsi="Times New Roman" w:cs="Times New Roman"/>
                <w:i/>
                <w:color w:val="000000"/>
                <w:sz w:val="20"/>
                <w:szCs w:val="20"/>
              </w:rPr>
              <w:t>(area of uncertainty)</w:t>
            </w:r>
          </w:p>
        </w:tc>
      </w:tr>
      <w:tr w:rsidR="00A4788F" w:rsidRPr="004A4B7C" w14:paraId="3CC78B36" w14:textId="77777777" w:rsidTr="00E617D9">
        <w:tc>
          <w:tcPr>
            <w:tcW w:w="1413" w:type="dxa"/>
          </w:tcPr>
          <w:p w14:paraId="0861EC10" w14:textId="18CAE00D" w:rsidR="00A4788F" w:rsidRPr="004A4B7C" w:rsidRDefault="00E617D9"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Enablement value</w:t>
            </w:r>
          </w:p>
        </w:tc>
        <w:tc>
          <w:tcPr>
            <w:tcW w:w="4252" w:type="dxa"/>
          </w:tcPr>
          <w:p w14:paraId="2FA9D5D0"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 xml:space="preserve">Ability to treat MDR infections increasing number of procedures that can go ahead </w:t>
            </w:r>
          </w:p>
        </w:tc>
        <w:tc>
          <w:tcPr>
            <w:tcW w:w="4395" w:type="dxa"/>
          </w:tcPr>
          <w:p w14:paraId="217C68A7" w14:textId="77777777" w:rsidR="00A4788F" w:rsidRPr="004A4B7C" w:rsidRDefault="00A4788F" w:rsidP="004A4B7C">
            <w:pPr>
              <w:jc w:val="both"/>
              <w:rPr>
                <w:rFonts w:ascii="Times New Roman" w:eastAsia="Times New Roman" w:hAnsi="Times New Roman" w:cs="Times New Roman"/>
                <w:i/>
                <w:color w:val="000000"/>
                <w:sz w:val="20"/>
                <w:szCs w:val="20"/>
              </w:rPr>
            </w:pPr>
            <w:r w:rsidRPr="004A4B7C">
              <w:rPr>
                <w:rFonts w:ascii="Times New Roman" w:eastAsia="Times New Roman" w:hAnsi="Times New Roman" w:cs="Times New Roman"/>
                <w:i/>
                <w:color w:val="000000"/>
                <w:sz w:val="20"/>
                <w:szCs w:val="20"/>
              </w:rPr>
              <w:t>Potential significant driver of population INHEs (area of uncertainty)</w:t>
            </w:r>
          </w:p>
        </w:tc>
      </w:tr>
      <w:tr w:rsidR="00A4788F" w:rsidRPr="004A4B7C" w14:paraId="75B83D8D" w14:textId="77777777" w:rsidTr="00E617D9">
        <w:tc>
          <w:tcPr>
            <w:tcW w:w="1413" w:type="dxa"/>
          </w:tcPr>
          <w:p w14:paraId="4E346777" w14:textId="62BC1AB0" w:rsidR="00A4788F" w:rsidRPr="004A4B7C" w:rsidRDefault="00E617D9"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Enablement value</w:t>
            </w:r>
          </w:p>
        </w:tc>
        <w:tc>
          <w:tcPr>
            <w:tcW w:w="4252" w:type="dxa"/>
          </w:tcPr>
          <w:p w14:paraId="4B7219B2"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Ability to treat MDR infections keeping wards open during an outbreak of MDR infections</w:t>
            </w:r>
          </w:p>
        </w:tc>
        <w:tc>
          <w:tcPr>
            <w:tcW w:w="4395" w:type="dxa"/>
          </w:tcPr>
          <w:p w14:paraId="735096DB" w14:textId="77777777" w:rsidR="00A4788F" w:rsidRPr="004A4B7C" w:rsidRDefault="00A4788F" w:rsidP="004A4B7C">
            <w:pPr>
              <w:jc w:val="both"/>
              <w:rPr>
                <w:rFonts w:ascii="Times New Roman" w:eastAsia="Times New Roman" w:hAnsi="Times New Roman" w:cs="Times New Roman"/>
                <w:i/>
                <w:color w:val="000000"/>
                <w:sz w:val="20"/>
                <w:szCs w:val="20"/>
              </w:rPr>
            </w:pPr>
            <w:r w:rsidRPr="004A4B7C">
              <w:rPr>
                <w:rFonts w:ascii="Times New Roman" w:eastAsia="Times New Roman" w:hAnsi="Times New Roman" w:cs="Times New Roman"/>
                <w:i/>
                <w:color w:val="000000"/>
                <w:sz w:val="20"/>
                <w:szCs w:val="20"/>
              </w:rPr>
              <w:t>Unlikely to be significant driver of population INHEs</w:t>
            </w:r>
          </w:p>
        </w:tc>
      </w:tr>
      <w:tr w:rsidR="00A4788F" w:rsidRPr="004A4B7C" w14:paraId="375B8E36" w14:textId="77777777" w:rsidTr="00E617D9">
        <w:tc>
          <w:tcPr>
            <w:tcW w:w="1413" w:type="dxa"/>
          </w:tcPr>
          <w:p w14:paraId="381E3CF0" w14:textId="6558C001" w:rsidR="00A4788F" w:rsidRPr="004A4B7C" w:rsidRDefault="00E617D9"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Enablement value</w:t>
            </w:r>
          </w:p>
        </w:tc>
        <w:tc>
          <w:tcPr>
            <w:tcW w:w="4252" w:type="dxa"/>
          </w:tcPr>
          <w:p w14:paraId="7B14A09F"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Reduced use of hospital resources leading to enablement of procedures and health care for other patients</w:t>
            </w:r>
          </w:p>
        </w:tc>
        <w:tc>
          <w:tcPr>
            <w:tcW w:w="4395" w:type="dxa"/>
          </w:tcPr>
          <w:p w14:paraId="6162E101"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Quantified in HVCS</w:t>
            </w:r>
          </w:p>
          <w:p w14:paraId="295EDD46" w14:textId="77777777" w:rsidR="00A4788F" w:rsidRPr="004A4B7C" w:rsidRDefault="00A4788F" w:rsidP="004A4B7C">
            <w:pPr>
              <w:jc w:val="both"/>
              <w:rPr>
                <w:rFonts w:ascii="Times New Roman" w:eastAsia="Times New Roman" w:hAnsi="Times New Roman" w:cs="Times New Roman"/>
                <w:color w:val="000000"/>
                <w:sz w:val="20"/>
                <w:szCs w:val="20"/>
              </w:rPr>
            </w:pPr>
          </w:p>
        </w:tc>
      </w:tr>
      <w:tr w:rsidR="00A4788F" w:rsidRPr="004A4B7C" w14:paraId="15532A1B" w14:textId="77777777" w:rsidTr="00E617D9">
        <w:tc>
          <w:tcPr>
            <w:tcW w:w="1413" w:type="dxa"/>
            <w:hideMark/>
          </w:tcPr>
          <w:p w14:paraId="4E6B87E8"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Diversity value </w:t>
            </w:r>
          </w:p>
        </w:tc>
        <w:tc>
          <w:tcPr>
            <w:tcW w:w="4252" w:type="dxa"/>
          </w:tcPr>
          <w:p w14:paraId="0E49A467"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 xml:space="preserve">Diverse prescribing leading to reduced numbers of drug resistant infections over time </w:t>
            </w:r>
          </w:p>
        </w:tc>
        <w:tc>
          <w:tcPr>
            <w:tcW w:w="4395" w:type="dxa"/>
          </w:tcPr>
          <w:p w14:paraId="3A34C415" w14:textId="3C58EAEF" w:rsidR="00A4788F" w:rsidRPr="004A4B7C" w:rsidRDefault="00A4788F" w:rsidP="004A4B7C">
            <w:pPr>
              <w:jc w:val="both"/>
              <w:rPr>
                <w:rFonts w:ascii="Times New Roman" w:eastAsia="Times New Roman" w:hAnsi="Times New Roman" w:cs="Times New Roman"/>
                <w:i/>
                <w:color w:val="000000"/>
                <w:sz w:val="20"/>
                <w:szCs w:val="20"/>
              </w:rPr>
            </w:pPr>
            <w:r w:rsidRPr="004A4B7C">
              <w:rPr>
                <w:rFonts w:ascii="Times New Roman" w:eastAsia="Times New Roman" w:hAnsi="Times New Roman" w:cs="Times New Roman"/>
                <w:i/>
                <w:color w:val="000000"/>
                <w:sz w:val="20"/>
                <w:szCs w:val="20"/>
              </w:rPr>
              <w:t xml:space="preserve">Diverse prescribing not considered appropriate for </w:t>
            </w:r>
            <w:r w:rsidR="00FE2007" w:rsidRPr="004A4B7C">
              <w:rPr>
                <w:rFonts w:ascii="Times New Roman" w:eastAsia="Times New Roman" w:hAnsi="Times New Roman" w:cs="Times New Roman"/>
                <w:i/>
                <w:color w:val="000000"/>
                <w:sz w:val="20"/>
                <w:szCs w:val="20"/>
              </w:rPr>
              <w:t>CAZ-AVI</w:t>
            </w:r>
          </w:p>
        </w:tc>
      </w:tr>
      <w:tr w:rsidR="00A4788F" w:rsidRPr="004A4B7C" w14:paraId="316D728B" w14:textId="77777777" w:rsidTr="00E617D9">
        <w:tc>
          <w:tcPr>
            <w:tcW w:w="1413" w:type="dxa"/>
          </w:tcPr>
          <w:p w14:paraId="3283046F" w14:textId="0CD8C2CC" w:rsidR="00A4788F" w:rsidRPr="004A4B7C" w:rsidRDefault="00E617D9" w:rsidP="004A4B7C">
            <w:pPr>
              <w:jc w:val="both"/>
              <w:rPr>
                <w:rFonts w:ascii="Times New Roman" w:eastAsia="Times New Roman" w:hAnsi="Times New Roman" w:cs="Times New Roman"/>
                <w:sz w:val="20"/>
                <w:szCs w:val="20"/>
              </w:rPr>
            </w:pPr>
            <w:r w:rsidRPr="004A4B7C">
              <w:rPr>
                <w:rFonts w:ascii="Times New Roman" w:eastAsia="Times New Roman" w:hAnsi="Times New Roman" w:cs="Times New Roman"/>
                <w:color w:val="000000"/>
                <w:sz w:val="20"/>
                <w:szCs w:val="20"/>
              </w:rPr>
              <w:t>Diversity value </w:t>
            </w:r>
          </w:p>
        </w:tc>
        <w:tc>
          <w:tcPr>
            <w:tcW w:w="4252" w:type="dxa"/>
          </w:tcPr>
          <w:p w14:paraId="674DD9C2"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Reduced usage of existing drugs leading to reduced emergence of drug resistant infections over time</w:t>
            </w:r>
          </w:p>
        </w:tc>
        <w:tc>
          <w:tcPr>
            <w:tcW w:w="4395" w:type="dxa"/>
          </w:tcPr>
          <w:p w14:paraId="30A7D399"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i/>
                <w:color w:val="000000"/>
                <w:sz w:val="20"/>
                <w:szCs w:val="20"/>
              </w:rPr>
              <w:t>Unlikely to be significant driver of population INHEs</w:t>
            </w:r>
            <w:r w:rsidRPr="004A4B7C">
              <w:rPr>
                <w:rFonts w:ascii="Times New Roman" w:eastAsia="Times New Roman" w:hAnsi="Times New Roman" w:cs="Times New Roman"/>
                <w:color w:val="000000"/>
                <w:sz w:val="20"/>
                <w:szCs w:val="20"/>
              </w:rPr>
              <w:t xml:space="preserve"> </w:t>
            </w:r>
          </w:p>
        </w:tc>
      </w:tr>
      <w:tr w:rsidR="00A4788F" w:rsidRPr="004A4B7C" w14:paraId="0422DED9" w14:textId="77777777" w:rsidTr="00E617D9">
        <w:tc>
          <w:tcPr>
            <w:tcW w:w="1413" w:type="dxa"/>
          </w:tcPr>
          <w:p w14:paraId="4ED00FCB" w14:textId="77777777" w:rsidR="00A4788F" w:rsidRPr="004A4B7C" w:rsidRDefault="00A4788F" w:rsidP="004A4B7C">
            <w:pPr>
              <w:jc w:val="both"/>
              <w:rPr>
                <w:rFonts w:ascii="Times New Roman" w:eastAsia="Times New Roman" w:hAnsi="Times New Roman" w:cs="Times New Roman"/>
                <w:sz w:val="20"/>
                <w:szCs w:val="20"/>
              </w:rPr>
            </w:pPr>
            <w:r w:rsidRPr="004A4B7C">
              <w:rPr>
                <w:rFonts w:ascii="Times New Roman" w:eastAsia="Times New Roman" w:hAnsi="Times New Roman" w:cs="Times New Roman"/>
                <w:color w:val="000000"/>
                <w:sz w:val="20"/>
                <w:szCs w:val="20"/>
              </w:rPr>
              <w:t>Insurance value</w:t>
            </w:r>
          </w:p>
        </w:tc>
        <w:tc>
          <w:tcPr>
            <w:tcW w:w="4252" w:type="dxa"/>
          </w:tcPr>
          <w:p w14:paraId="1EFABBA9" w14:textId="77777777" w:rsidR="00A4788F" w:rsidRPr="004A4B7C" w:rsidRDefault="00A4788F" w:rsidP="00E617D9">
            <w:pPr>
              <w:contextualSpacing/>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 xml:space="preserve">Restricting usage to preserve efficacy in the long term </w:t>
            </w:r>
          </w:p>
        </w:tc>
        <w:tc>
          <w:tcPr>
            <w:tcW w:w="4395" w:type="dxa"/>
          </w:tcPr>
          <w:p w14:paraId="13FDFEDD"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Quantified in HVCS</w:t>
            </w:r>
          </w:p>
          <w:p w14:paraId="12272E2B" w14:textId="77777777" w:rsidR="00A4788F" w:rsidRPr="004A4B7C" w:rsidRDefault="00A4788F" w:rsidP="004A4B7C">
            <w:pPr>
              <w:jc w:val="both"/>
              <w:rPr>
                <w:rFonts w:ascii="Times New Roman" w:eastAsia="Times New Roman" w:hAnsi="Times New Roman" w:cs="Times New Roman"/>
                <w:color w:val="000000"/>
                <w:sz w:val="20"/>
                <w:szCs w:val="20"/>
              </w:rPr>
            </w:pPr>
          </w:p>
        </w:tc>
      </w:tr>
      <w:tr w:rsidR="00A4788F" w:rsidRPr="004A4B7C" w14:paraId="327E3879" w14:textId="77777777" w:rsidTr="00E617D9">
        <w:tc>
          <w:tcPr>
            <w:tcW w:w="1413" w:type="dxa"/>
          </w:tcPr>
          <w:p w14:paraId="48CBD94A" w14:textId="628778DB" w:rsidR="00A4788F" w:rsidRPr="004A4B7C" w:rsidRDefault="00E617D9"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Insurance value</w:t>
            </w:r>
          </w:p>
        </w:tc>
        <w:tc>
          <w:tcPr>
            <w:tcW w:w="4252" w:type="dxa"/>
          </w:tcPr>
          <w:p w14:paraId="4F5BB709" w14:textId="77777777" w:rsidR="00A4788F" w:rsidRPr="004A4B7C" w:rsidRDefault="00A4788F" w:rsidP="00E617D9">
            <w:pPr>
              <w:contextualSpacing/>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 xml:space="preserve">Avoidance of catastrophic health losses, potential for differential societal valuation of this </w:t>
            </w:r>
          </w:p>
        </w:tc>
        <w:tc>
          <w:tcPr>
            <w:tcW w:w="4395" w:type="dxa"/>
          </w:tcPr>
          <w:p w14:paraId="0C89B53B"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Quantified in HVCS (though no differential valuation applied)</w:t>
            </w:r>
          </w:p>
          <w:p w14:paraId="19FA4D8F" w14:textId="77777777" w:rsidR="00A4788F" w:rsidRPr="004A4B7C" w:rsidRDefault="00A4788F" w:rsidP="004A4B7C">
            <w:pPr>
              <w:jc w:val="both"/>
              <w:rPr>
                <w:rFonts w:ascii="Times New Roman" w:eastAsia="Times New Roman" w:hAnsi="Times New Roman" w:cs="Times New Roman"/>
                <w:color w:val="000000"/>
                <w:sz w:val="20"/>
                <w:szCs w:val="20"/>
              </w:rPr>
            </w:pPr>
          </w:p>
        </w:tc>
      </w:tr>
      <w:tr w:rsidR="00A4788F" w:rsidRPr="004A4B7C" w14:paraId="33FB17A8" w14:textId="77777777" w:rsidTr="00E617D9">
        <w:tc>
          <w:tcPr>
            <w:tcW w:w="1413" w:type="dxa"/>
          </w:tcPr>
          <w:p w14:paraId="2F494569" w14:textId="77777777" w:rsidR="00A4788F" w:rsidRPr="004A4B7C" w:rsidRDefault="00A4788F" w:rsidP="004A4B7C">
            <w:pPr>
              <w:jc w:val="both"/>
              <w:rPr>
                <w:rFonts w:ascii="Times New Roman" w:eastAsia="Times New Roman" w:hAnsi="Times New Roman" w:cs="Times New Roman"/>
                <w:sz w:val="20"/>
                <w:szCs w:val="20"/>
              </w:rPr>
            </w:pPr>
            <w:r w:rsidRPr="004A4B7C">
              <w:rPr>
                <w:rFonts w:ascii="Times New Roman" w:eastAsia="Times New Roman" w:hAnsi="Times New Roman" w:cs="Times New Roman"/>
                <w:color w:val="000000"/>
                <w:sz w:val="20"/>
                <w:szCs w:val="20"/>
              </w:rPr>
              <w:t>Transmission value</w:t>
            </w:r>
          </w:p>
        </w:tc>
        <w:tc>
          <w:tcPr>
            <w:tcW w:w="4252" w:type="dxa"/>
          </w:tcPr>
          <w:p w14:paraId="28F8A39D"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Reduced number of resistant infections</w:t>
            </w:r>
          </w:p>
        </w:tc>
        <w:tc>
          <w:tcPr>
            <w:tcW w:w="4395" w:type="dxa"/>
          </w:tcPr>
          <w:p w14:paraId="65A98909" w14:textId="77777777" w:rsidR="00A4788F" w:rsidRPr="004A4B7C" w:rsidRDefault="00A4788F" w:rsidP="004A4B7C">
            <w:pPr>
              <w:jc w:val="both"/>
              <w:rPr>
                <w:rFonts w:ascii="Times New Roman" w:eastAsia="Times New Roman" w:hAnsi="Times New Roman" w:cs="Times New Roman"/>
                <w:i/>
                <w:color w:val="000000"/>
                <w:sz w:val="20"/>
                <w:szCs w:val="20"/>
              </w:rPr>
            </w:pPr>
            <w:r w:rsidRPr="004A4B7C">
              <w:rPr>
                <w:rFonts w:ascii="Times New Roman" w:eastAsia="Times New Roman" w:hAnsi="Times New Roman" w:cs="Times New Roman"/>
                <w:i/>
                <w:color w:val="000000"/>
                <w:sz w:val="20"/>
                <w:szCs w:val="20"/>
              </w:rPr>
              <w:t>Unlikely to be significant driver of population INHEs (area of uncertainty)</w:t>
            </w:r>
          </w:p>
        </w:tc>
      </w:tr>
      <w:tr w:rsidR="00A4788F" w:rsidRPr="004A4B7C" w14:paraId="220E4FFB" w14:textId="77777777" w:rsidTr="00E617D9">
        <w:tc>
          <w:tcPr>
            <w:tcW w:w="1413" w:type="dxa"/>
          </w:tcPr>
          <w:p w14:paraId="42C74566" w14:textId="77777777" w:rsidR="00A4788F" w:rsidRPr="004A4B7C" w:rsidRDefault="00A4788F" w:rsidP="004A4B7C">
            <w:pPr>
              <w:jc w:val="both"/>
              <w:rPr>
                <w:rFonts w:ascii="Times New Roman" w:eastAsia="Times New Roman" w:hAnsi="Times New Roman" w:cs="Times New Roman"/>
                <w:sz w:val="20"/>
                <w:szCs w:val="20"/>
              </w:rPr>
            </w:pPr>
            <w:r w:rsidRPr="004A4B7C">
              <w:rPr>
                <w:rFonts w:ascii="Times New Roman" w:eastAsia="Times New Roman" w:hAnsi="Times New Roman" w:cs="Times New Roman"/>
                <w:color w:val="000000"/>
                <w:sz w:val="20"/>
                <w:szCs w:val="20"/>
              </w:rPr>
              <w:t>Spectrum value</w:t>
            </w:r>
          </w:p>
        </w:tc>
        <w:tc>
          <w:tcPr>
            <w:tcW w:w="4252" w:type="dxa"/>
          </w:tcPr>
          <w:p w14:paraId="71BE2AD3" w14:textId="77777777" w:rsidR="00A4788F" w:rsidRPr="004A4B7C" w:rsidRDefault="00A4788F" w:rsidP="00E617D9">
            <w:pPr>
              <w:contextualSpacing/>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color w:val="000000"/>
                <w:sz w:val="20"/>
                <w:szCs w:val="20"/>
              </w:rPr>
              <w:t>Reduced colonisation with drug-resistant bacteria, leading to reduced drug-resistance of future infections</w:t>
            </w:r>
          </w:p>
        </w:tc>
        <w:tc>
          <w:tcPr>
            <w:tcW w:w="4395" w:type="dxa"/>
          </w:tcPr>
          <w:p w14:paraId="277DD983" w14:textId="77777777" w:rsidR="00A4788F" w:rsidRPr="004A4B7C" w:rsidRDefault="00A4788F" w:rsidP="004A4B7C">
            <w:pPr>
              <w:jc w:val="both"/>
              <w:rPr>
                <w:rFonts w:ascii="Times New Roman" w:eastAsia="Times New Roman" w:hAnsi="Times New Roman" w:cs="Times New Roman"/>
                <w:color w:val="000000"/>
                <w:sz w:val="20"/>
                <w:szCs w:val="20"/>
              </w:rPr>
            </w:pPr>
            <w:r w:rsidRPr="004A4B7C">
              <w:rPr>
                <w:rFonts w:ascii="Times New Roman" w:eastAsia="Times New Roman" w:hAnsi="Times New Roman" w:cs="Times New Roman"/>
                <w:i/>
                <w:color w:val="000000"/>
                <w:sz w:val="20"/>
                <w:szCs w:val="20"/>
              </w:rPr>
              <w:t>Unlikely to be significant driver of population INHEs</w:t>
            </w:r>
          </w:p>
        </w:tc>
      </w:tr>
    </w:tbl>
    <w:p w14:paraId="3843B3D4" w14:textId="77777777" w:rsidR="000E3737" w:rsidRPr="00EA69D1" w:rsidRDefault="000E3737" w:rsidP="000E3737">
      <w:pPr>
        <w:pStyle w:val="EEPRUtextundertables"/>
      </w:pPr>
      <w:r>
        <w:t xml:space="preserve">HVCS, high value clinical scenarios; </w:t>
      </w:r>
      <w:r w:rsidRPr="0074797F">
        <w:t>INHE, incremental net health effect</w:t>
      </w:r>
    </w:p>
    <w:p w14:paraId="3B14BEF1" w14:textId="110FFEB9" w:rsidR="000E3737" w:rsidRDefault="000E3737" w:rsidP="000E3737">
      <w:pPr>
        <w:pStyle w:val="NICEnormal"/>
        <w:rPr>
          <w:rStyle w:val="Heading1Char"/>
          <w:rFonts w:asciiTheme="majorBidi" w:hAnsiTheme="majorBidi"/>
          <w:b w:val="0"/>
          <w:bCs w:val="0"/>
        </w:rPr>
      </w:pPr>
    </w:p>
    <w:p w14:paraId="2DABB4EF" w14:textId="77777777" w:rsidR="00E617D9" w:rsidRDefault="00E617D9" w:rsidP="000E3737">
      <w:pPr>
        <w:pStyle w:val="NICEnormal"/>
        <w:rPr>
          <w:rStyle w:val="Heading1Char"/>
          <w:rFonts w:asciiTheme="majorBidi" w:hAnsiTheme="majorBidi"/>
          <w:b w:val="0"/>
          <w:bCs w:val="0"/>
        </w:rPr>
      </w:pPr>
    </w:p>
    <w:p w14:paraId="3CEC01A8" w14:textId="05E4F196" w:rsidR="00C73DF1" w:rsidRPr="00306D9E" w:rsidRDefault="00DB3C2F" w:rsidP="0007501D">
      <w:pPr>
        <w:pStyle w:val="EEPRUNumberedHeading"/>
        <w:numPr>
          <w:ilvl w:val="0"/>
          <w:numId w:val="0"/>
        </w:numPr>
        <w:ind w:left="360" w:hanging="360"/>
        <w:rPr>
          <w:rStyle w:val="Heading1Char"/>
          <w:rFonts w:asciiTheme="majorBidi" w:hAnsiTheme="majorBidi"/>
          <w:b/>
          <w:bCs/>
        </w:rPr>
      </w:pPr>
      <w:bookmarkStart w:id="569" w:name="_Toc87463069"/>
      <w:r w:rsidRPr="0021430F">
        <w:rPr>
          <w:rStyle w:val="Heading1Char"/>
          <w:rFonts w:asciiTheme="majorBidi" w:hAnsiTheme="majorBidi"/>
          <w:b/>
          <w:bCs/>
        </w:rPr>
        <w:lastRenderedPageBreak/>
        <w:t xml:space="preserve">9. </w:t>
      </w:r>
      <w:r w:rsidR="00C73DF1">
        <w:rPr>
          <w:rStyle w:val="Heading1Char"/>
          <w:rFonts w:asciiTheme="majorBidi" w:hAnsiTheme="majorBidi"/>
          <w:b/>
          <w:bCs/>
        </w:rPr>
        <w:t>Discussion and conclusion</w:t>
      </w:r>
      <w:bookmarkEnd w:id="569"/>
    </w:p>
    <w:p w14:paraId="45085FC0" w14:textId="77777777" w:rsidR="00C73DF1" w:rsidRPr="0021430F" w:rsidRDefault="00C73DF1" w:rsidP="00C73DF1"/>
    <w:p w14:paraId="6866D9FA" w14:textId="38E210AD" w:rsidR="00C73DF1" w:rsidRDefault="00292B5E" w:rsidP="00C73DF1">
      <w:pPr>
        <w:spacing w:line="360" w:lineRule="auto"/>
        <w:jc w:val="both"/>
        <w:rPr>
          <w:rFonts w:ascii="Times New Roman" w:hAnsi="Times New Roman"/>
        </w:rPr>
      </w:pPr>
      <w:r w:rsidRPr="00292B5E">
        <w:rPr>
          <w:rFonts w:ascii="Times New Roman" w:hAnsi="Times New Roman" w:cs="Times New Roman"/>
          <w:sz w:val="20"/>
          <w:szCs w:val="20"/>
        </w:rPr>
        <w:t xml:space="preserve">Table </w:t>
      </w:r>
      <w:r w:rsidRPr="00292B5E">
        <w:rPr>
          <w:rFonts w:ascii="Times New Roman" w:hAnsi="Times New Roman" w:cs="Times New Roman"/>
          <w:noProof/>
          <w:sz w:val="20"/>
          <w:szCs w:val="20"/>
        </w:rPr>
        <w:t>44</w:t>
      </w:r>
      <w:r w:rsidRPr="00292B5E">
        <w:rPr>
          <w:rFonts w:ascii="Times New Roman" w:hAnsi="Times New Roman"/>
        </w:rPr>
        <w:t xml:space="preserve"> </w:t>
      </w:r>
      <w:r w:rsidR="00C73DF1" w:rsidRPr="00292B5E">
        <w:rPr>
          <w:rFonts w:ascii="Times New Roman" w:hAnsi="Times New Roman"/>
        </w:rPr>
        <w:t>summarises</w:t>
      </w:r>
      <w:r w:rsidR="00C73DF1" w:rsidRPr="00306D9E">
        <w:rPr>
          <w:rFonts w:ascii="Times New Roman" w:hAnsi="Times New Roman"/>
        </w:rPr>
        <w:t xml:space="preserve"> the patient level INHEs for CAZ-AVI in the HVCS. The benefits of CAZ-AVI are driven by similar </w:t>
      </w:r>
      <w:proofErr w:type="gramStart"/>
      <w:r w:rsidR="00C73DF1" w:rsidRPr="00306D9E">
        <w:rPr>
          <w:rFonts w:ascii="Times New Roman" w:hAnsi="Times New Roman"/>
        </w:rPr>
        <w:t>susceptibility</w:t>
      </w:r>
      <w:proofErr w:type="gramEnd"/>
      <w:r w:rsidR="00C73DF1" w:rsidRPr="00306D9E">
        <w:rPr>
          <w:rFonts w:ascii="Times New Roman" w:hAnsi="Times New Roman"/>
        </w:rPr>
        <w:t xml:space="preserve"> but improved safety compared to colistin/aminoglycoside-based treatments, and, in the </w:t>
      </w:r>
      <w:r w:rsidR="008E4948">
        <w:rPr>
          <w:rFonts w:ascii="Times New Roman" w:hAnsi="Times New Roman"/>
        </w:rPr>
        <w:t>ES</w:t>
      </w:r>
      <w:r w:rsidR="00C73DF1" w:rsidRPr="00306D9E">
        <w:rPr>
          <w:rFonts w:ascii="Times New Roman" w:hAnsi="Times New Roman"/>
        </w:rPr>
        <w:t>, by higher susceptibility than non-colistin/aminoglycoside-based treatment.  The</w:t>
      </w:r>
      <w:r w:rsidR="00C73DF1" w:rsidRPr="00306D9E">
        <w:t xml:space="preserve"> two</w:t>
      </w:r>
      <w:r w:rsidR="00C73DF1" w:rsidRPr="00306D9E">
        <w:rPr>
          <w:rFonts w:ascii="Times New Roman" w:hAnsi="Times New Roman"/>
        </w:rPr>
        <w:t xml:space="preserve"> most significant sources of uncertainty relate to the </w:t>
      </w:r>
      <w:r w:rsidR="008E4948">
        <w:rPr>
          <w:rFonts w:ascii="Times New Roman" w:hAnsi="Times New Roman"/>
        </w:rPr>
        <w:t>ES</w:t>
      </w:r>
      <w:r w:rsidR="00C73DF1" w:rsidRPr="00306D9E">
        <w:rPr>
          <w:rFonts w:ascii="Times New Roman" w:hAnsi="Times New Roman"/>
        </w:rPr>
        <w:t xml:space="preserve"> and are</w:t>
      </w:r>
      <w:r w:rsidR="00C73DF1" w:rsidRPr="00306D9E">
        <w:t xml:space="preserve"> (1)</w:t>
      </w:r>
      <w:r w:rsidR="00C73DF1" w:rsidRPr="00306D9E">
        <w:rPr>
          <w:rFonts w:ascii="Times New Roman" w:hAnsi="Times New Roman"/>
        </w:rPr>
        <w:t xml:space="preserve"> the preferred source of susceptibility evidence</w:t>
      </w:r>
      <w:r>
        <w:t>;</w:t>
      </w:r>
      <w:r w:rsidR="00C73DF1" w:rsidRPr="00306D9E">
        <w:t xml:space="preserve"> (2)</w:t>
      </w:r>
      <w:r w:rsidR="00C73DF1" w:rsidRPr="00306D9E">
        <w:rPr>
          <w:rFonts w:ascii="Times New Roman" w:hAnsi="Times New Roman"/>
        </w:rPr>
        <w:t xml:space="preserve"> the proportion of patients in the </w:t>
      </w:r>
      <w:r w:rsidR="008E4948">
        <w:rPr>
          <w:rFonts w:ascii="Times New Roman" w:hAnsi="Times New Roman"/>
        </w:rPr>
        <w:t>ES</w:t>
      </w:r>
      <w:r w:rsidR="00C73DF1" w:rsidRPr="00306D9E">
        <w:rPr>
          <w:rFonts w:ascii="Times New Roman" w:hAnsi="Times New Roman"/>
        </w:rPr>
        <w:t xml:space="preserve"> who are suspected of having OXA-48 </w:t>
      </w:r>
      <w:proofErr w:type="spellStart"/>
      <w:r w:rsidR="003327AC" w:rsidRPr="003327AC">
        <w:rPr>
          <w:rFonts w:ascii="Times New Roman" w:hAnsi="Times New Roman"/>
          <w:i/>
          <w:iCs/>
        </w:rPr>
        <w:t>Enterobacterales</w:t>
      </w:r>
      <w:proofErr w:type="spellEnd"/>
      <w:r w:rsidR="00C73DF1" w:rsidRPr="00306D9E">
        <w:rPr>
          <w:rFonts w:ascii="Times New Roman" w:hAnsi="Times New Roman"/>
        </w:rPr>
        <w:t xml:space="preserve"> who are later confirmed to have this resistant pathogen. Using the results of the susceptibility evidence synthesis that included all studies regardless of breakpoints (EUCAST or CLSI) and using the single Vasquez-</w:t>
      </w:r>
      <w:proofErr w:type="spellStart"/>
      <w:r w:rsidR="00C73DF1" w:rsidRPr="00306D9E">
        <w:rPr>
          <w:rFonts w:ascii="Times New Roman" w:hAnsi="Times New Roman"/>
        </w:rPr>
        <w:t>Ucha</w:t>
      </w:r>
      <w:proofErr w:type="spellEnd"/>
      <w:r w:rsidR="00C73DF1" w:rsidRPr="00306D9E">
        <w:rPr>
          <w:rFonts w:ascii="Times New Roman" w:hAnsi="Times New Roman"/>
        </w:rPr>
        <w:t xml:space="preserve"> study to inform susceptibility increased the patient-level INHEs </w:t>
      </w:r>
      <w:r w:rsidR="00667DDB">
        <w:rPr>
          <w:rFonts w:ascii="Times New Roman" w:hAnsi="Times New Roman"/>
        </w:rPr>
        <w:t xml:space="preserve">from 0.16 </w:t>
      </w:r>
      <w:r w:rsidR="00C73DF1" w:rsidRPr="00306D9E">
        <w:rPr>
          <w:rFonts w:ascii="Times New Roman" w:hAnsi="Times New Roman"/>
        </w:rPr>
        <w:t>up to 0.21 and 0.23 QALYs</w:t>
      </w:r>
      <w:r w:rsidR="00C73DF1" w:rsidRPr="00306D9E">
        <w:rPr>
          <w:rFonts w:ascii="Times New Roman" w:hAnsi="Times New Roman" w:cs="Times New Roman"/>
        </w:rPr>
        <w:t>,</w:t>
      </w:r>
      <w:r w:rsidR="00C73DF1" w:rsidRPr="00306D9E">
        <w:rPr>
          <w:rFonts w:ascii="Times New Roman" w:hAnsi="Times New Roman"/>
        </w:rPr>
        <w:t xml:space="preserve"> respectively, as susceptibility to CAZ-AVI relative to comparators is higher in these scenarios. Conversely, if the proportion of individuals suspected to have an infection caused by OXA-48 </w:t>
      </w:r>
      <w:proofErr w:type="spellStart"/>
      <w:r w:rsidR="003327AC" w:rsidRPr="003327AC">
        <w:rPr>
          <w:rFonts w:ascii="Times New Roman" w:hAnsi="Times New Roman"/>
          <w:i/>
          <w:iCs/>
        </w:rPr>
        <w:t>Enterobacterale</w:t>
      </w:r>
      <w:r w:rsidR="003327AC">
        <w:rPr>
          <w:rFonts w:ascii="Times New Roman" w:hAnsi="Times New Roman"/>
          <w:i/>
          <w:iCs/>
        </w:rPr>
        <w:t>s</w:t>
      </w:r>
      <w:proofErr w:type="spellEnd"/>
      <w:r w:rsidR="00C73DF1" w:rsidRPr="00306D9E">
        <w:rPr>
          <w:rFonts w:ascii="Times New Roman" w:hAnsi="Times New Roman"/>
        </w:rPr>
        <w:t xml:space="preserve"> who are confirmed to have this </w:t>
      </w:r>
      <w:r w:rsidR="00AE639B">
        <w:rPr>
          <w:rFonts w:ascii="Times New Roman" w:hAnsi="Times New Roman"/>
        </w:rPr>
        <w:t>pathogen-mechanism</w:t>
      </w:r>
      <w:r w:rsidR="00C73DF1" w:rsidRPr="00306D9E">
        <w:rPr>
          <w:rFonts w:ascii="Times New Roman" w:hAnsi="Times New Roman"/>
        </w:rPr>
        <w:t xml:space="preserve"> falls to 10% the patient-level INHEs fall to 0.08 QALYs. </w:t>
      </w:r>
    </w:p>
    <w:p w14:paraId="6A3B11B8" w14:textId="77777777" w:rsidR="00292B5E" w:rsidRPr="00306D9E" w:rsidRDefault="00292B5E" w:rsidP="00C73DF1">
      <w:pPr>
        <w:spacing w:line="360" w:lineRule="auto"/>
        <w:jc w:val="both"/>
        <w:rPr>
          <w:rFonts w:ascii="Times New Roman" w:hAnsi="Times New Roman"/>
        </w:rPr>
      </w:pPr>
    </w:p>
    <w:p w14:paraId="43340B34" w14:textId="47FD4E4A" w:rsidR="00C73DF1" w:rsidRPr="00292B5E" w:rsidRDefault="00292B5E" w:rsidP="00292B5E">
      <w:pPr>
        <w:pStyle w:val="Caption"/>
        <w:keepNext/>
        <w:rPr>
          <w:rFonts w:ascii="Times New Roman" w:hAnsi="Times New Roman" w:cs="Times New Roman"/>
          <w:b/>
          <w:bCs/>
          <w:i w:val="0"/>
          <w:iCs w:val="0"/>
          <w:color w:val="auto"/>
          <w:sz w:val="20"/>
          <w:szCs w:val="20"/>
        </w:rPr>
      </w:pPr>
      <w:bookmarkStart w:id="570" w:name="_Ref85816870"/>
      <w:bookmarkStart w:id="571" w:name="_Toc86419021"/>
      <w:r w:rsidRPr="00292B5E">
        <w:rPr>
          <w:rFonts w:ascii="Times New Roman" w:hAnsi="Times New Roman" w:cs="Times New Roman"/>
          <w:b/>
          <w:bCs/>
          <w:i w:val="0"/>
          <w:iCs w:val="0"/>
          <w:color w:val="auto"/>
          <w:sz w:val="20"/>
          <w:szCs w:val="20"/>
        </w:rPr>
        <w:t xml:space="preserve">Table </w:t>
      </w:r>
      <w:r w:rsidR="00F10F0A">
        <w:rPr>
          <w:rFonts w:ascii="Times New Roman" w:hAnsi="Times New Roman" w:cs="Times New Roman"/>
          <w:b/>
          <w:bCs/>
          <w:i w:val="0"/>
          <w:iCs w:val="0"/>
          <w:noProof/>
          <w:color w:val="auto"/>
          <w:sz w:val="20"/>
          <w:szCs w:val="20"/>
        </w:rPr>
        <w:t>44</w:t>
      </w:r>
      <w:bookmarkEnd w:id="570"/>
      <w:r w:rsidR="00C73DF1" w:rsidRPr="00292B5E">
        <w:rPr>
          <w:rFonts w:ascii="Times New Roman" w:hAnsi="Times New Roman" w:cs="Times New Roman"/>
          <w:b/>
          <w:bCs/>
          <w:i w:val="0"/>
          <w:iCs w:val="0"/>
          <w:color w:val="auto"/>
          <w:sz w:val="20"/>
          <w:szCs w:val="20"/>
        </w:rPr>
        <w:t>: Summary of patient-level INHEs (QALYs) by HVCS subgroup, results presented as base case (scenario range)</w:t>
      </w:r>
      <w:bookmarkEnd w:id="571"/>
    </w:p>
    <w:tbl>
      <w:tblPr>
        <w:tblStyle w:val="TableGrid"/>
        <w:tblW w:w="9587" w:type="dxa"/>
        <w:tblLook w:val="04A0" w:firstRow="1" w:lastRow="0" w:firstColumn="1" w:lastColumn="0" w:noHBand="0" w:noVBand="1"/>
      </w:tblPr>
      <w:tblGrid>
        <w:gridCol w:w="2490"/>
        <w:gridCol w:w="2490"/>
        <w:gridCol w:w="2386"/>
        <w:gridCol w:w="2221"/>
      </w:tblGrid>
      <w:tr w:rsidR="00C73DF1" w:rsidRPr="00DB3C2F" w14:paraId="794912B8" w14:textId="77777777" w:rsidTr="00800B9C">
        <w:tc>
          <w:tcPr>
            <w:tcW w:w="2490" w:type="dxa"/>
          </w:tcPr>
          <w:p w14:paraId="3E9EA262" w14:textId="77777777" w:rsidR="00C73DF1" w:rsidRPr="00DB3C2F" w:rsidRDefault="00C73DF1" w:rsidP="00800B9C">
            <w:pPr>
              <w:rPr>
                <w:rFonts w:ascii="Times New Roman" w:hAnsi="Times New Roman"/>
                <w:b/>
              </w:rPr>
            </w:pPr>
          </w:p>
        </w:tc>
        <w:tc>
          <w:tcPr>
            <w:tcW w:w="2490" w:type="dxa"/>
          </w:tcPr>
          <w:p w14:paraId="66C850EE" w14:textId="37F3C85C" w:rsidR="00C73DF1" w:rsidRPr="00DB3C2F" w:rsidRDefault="00C73DF1" w:rsidP="00800B9C">
            <w:pPr>
              <w:rPr>
                <w:rFonts w:ascii="Times New Roman" w:hAnsi="Times New Roman"/>
                <w:b/>
              </w:rPr>
            </w:pPr>
            <w:r w:rsidRPr="00DB3C2F">
              <w:rPr>
                <w:rFonts w:ascii="Times New Roman" w:hAnsi="Times New Roman"/>
                <w:b/>
              </w:rPr>
              <w:t>Empiric setting HAP/VAP</w:t>
            </w:r>
          </w:p>
        </w:tc>
        <w:tc>
          <w:tcPr>
            <w:tcW w:w="2386" w:type="dxa"/>
          </w:tcPr>
          <w:p w14:paraId="2DD5B7AB" w14:textId="77777777" w:rsidR="00C73DF1" w:rsidRPr="00DB3C2F" w:rsidRDefault="00C73DF1" w:rsidP="00800B9C">
            <w:pPr>
              <w:rPr>
                <w:rFonts w:ascii="Times New Roman" w:hAnsi="Times New Roman"/>
                <w:b/>
              </w:rPr>
            </w:pPr>
            <w:r w:rsidRPr="00DB3C2F">
              <w:rPr>
                <w:rFonts w:ascii="Times New Roman" w:hAnsi="Times New Roman"/>
                <w:b/>
              </w:rPr>
              <w:t>Microbiology-directed setting HAP/VAP</w:t>
            </w:r>
          </w:p>
        </w:tc>
        <w:tc>
          <w:tcPr>
            <w:tcW w:w="2221" w:type="dxa"/>
          </w:tcPr>
          <w:p w14:paraId="7AF3E299" w14:textId="77777777" w:rsidR="00C73DF1" w:rsidRPr="00DB3C2F" w:rsidRDefault="00C73DF1" w:rsidP="00800B9C">
            <w:pPr>
              <w:rPr>
                <w:rFonts w:ascii="Times New Roman" w:hAnsi="Times New Roman"/>
                <w:b/>
              </w:rPr>
            </w:pPr>
            <w:r w:rsidRPr="00DB3C2F">
              <w:rPr>
                <w:rFonts w:ascii="Times New Roman" w:hAnsi="Times New Roman"/>
                <w:b/>
              </w:rPr>
              <w:t xml:space="preserve">Microbiology-directed setting </w:t>
            </w:r>
            <w:proofErr w:type="spellStart"/>
            <w:r w:rsidRPr="00DB3C2F">
              <w:rPr>
                <w:rFonts w:ascii="Times New Roman" w:hAnsi="Times New Roman"/>
                <w:b/>
              </w:rPr>
              <w:t>cUTI</w:t>
            </w:r>
            <w:proofErr w:type="spellEnd"/>
          </w:p>
        </w:tc>
      </w:tr>
      <w:tr w:rsidR="00C73DF1" w:rsidRPr="00DB3C2F" w14:paraId="6F8D15FF" w14:textId="77777777" w:rsidTr="00800B9C">
        <w:tc>
          <w:tcPr>
            <w:tcW w:w="2490" w:type="dxa"/>
          </w:tcPr>
          <w:p w14:paraId="036028E4" w14:textId="77E7F2C4" w:rsidR="00C73DF1" w:rsidRPr="00DB3C2F" w:rsidRDefault="00C73DF1" w:rsidP="00800B9C">
            <w:pPr>
              <w:rPr>
                <w:rFonts w:ascii="Times New Roman" w:hAnsi="Times New Roman"/>
              </w:rPr>
            </w:pPr>
            <w:r w:rsidRPr="00DB3C2F">
              <w:rPr>
                <w:rFonts w:ascii="Times New Roman" w:hAnsi="Times New Roman"/>
              </w:rPr>
              <w:t xml:space="preserve">OXA-48 </w:t>
            </w:r>
            <w:proofErr w:type="spellStart"/>
            <w:r w:rsidR="001B0FEB" w:rsidRPr="00DB3C2F">
              <w:rPr>
                <w:rFonts w:ascii="Times New Roman" w:hAnsi="Times New Roman"/>
                <w:i/>
                <w:iCs/>
              </w:rPr>
              <w:t>E</w:t>
            </w:r>
            <w:r w:rsidRPr="00DB3C2F">
              <w:rPr>
                <w:rFonts w:ascii="Times New Roman" w:hAnsi="Times New Roman"/>
                <w:i/>
                <w:iCs/>
              </w:rPr>
              <w:t>nterobacterales</w:t>
            </w:r>
            <w:proofErr w:type="spellEnd"/>
          </w:p>
        </w:tc>
        <w:tc>
          <w:tcPr>
            <w:tcW w:w="2490" w:type="dxa"/>
          </w:tcPr>
          <w:p w14:paraId="1B0D52AD" w14:textId="77777777" w:rsidR="00C73DF1" w:rsidRPr="00DB3C2F" w:rsidRDefault="00C73DF1" w:rsidP="00800B9C">
            <w:pPr>
              <w:jc w:val="right"/>
              <w:rPr>
                <w:rFonts w:ascii="Times New Roman" w:hAnsi="Times New Roman"/>
              </w:rPr>
            </w:pPr>
            <w:r w:rsidRPr="00DB3C2F">
              <w:rPr>
                <w:rFonts w:ascii="Times New Roman" w:hAnsi="Times New Roman"/>
              </w:rPr>
              <w:t>0.16 (0.08-0.23)</w:t>
            </w:r>
          </w:p>
        </w:tc>
        <w:tc>
          <w:tcPr>
            <w:tcW w:w="2386" w:type="dxa"/>
          </w:tcPr>
          <w:p w14:paraId="692971E4" w14:textId="77777777" w:rsidR="00C73DF1" w:rsidRPr="00DB3C2F" w:rsidRDefault="00C73DF1" w:rsidP="00800B9C">
            <w:pPr>
              <w:jc w:val="right"/>
              <w:rPr>
                <w:rFonts w:ascii="Times New Roman" w:hAnsi="Times New Roman"/>
              </w:rPr>
            </w:pPr>
            <w:r w:rsidRPr="00DB3C2F">
              <w:rPr>
                <w:rFonts w:ascii="Times New Roman" w:hAnsi="Times New Roman"/>
              </w:rPr>
              <w:t>0.06 (0.05-0.10)</w:t>
            </w:r>
          </w:p>
        </w:tc>
        <w:tc>
          <w:tcPr>
            <w:tcW w:w="2221" w:type="dxa"/>
          </w:tcPr>
          <w:p w14:paraId="760316C2" w14:textId="77777777" w:rsidR="00C73DF1" w:rsidRPr="00DB3C2F" w:rsidRDefault="00C73DF1" w:rsidP="00800B9C">
            <w:pPr>
              <w:jc w:val="right"/>
              <w:rPr>
                <w:rFonts w:ascii="Times New Roman" w:hAnsi="Times New Roman"/>
              </w:rPr>
            </w:pPr>
            <w:r w:rsidRPr="00DB3C2F">
              <w:rPr>
                <w:rFonts w:ascii="Times New Roman" w:hAnsi="Times New Roman"/>
              </w:rPr>
              <w:t>0.05 (0.04-0.09)</w:t>
            </w:r>
          </w:p>
        </w:tc>
      </w:tr>
    </w:tbl>
    <w:p w14:paraId="3B9A0284" w14:textId="77777777" w:rsidR="000E3737" w:rsidRPr="00DD329B" w:rsidRDefault="000E3737" w:rsidP="000E3737">
      <w:pPr>
        <w:pStyle w:val="EEPRUtextundertables"/>
      </w:pPr>
      <w:proofErr w:type="spellStart"/>
      <w:r>
        <w:t>cUTI</w:t>
      </w:r>
      <w:proofErr w:type="spellEnd"/>
      <w:r>
        <w:t xml:space="preserve">, complicated urinary tract infections; HAP/VAP, hospital acquired pneumonia or ventilator-associated pneumonia; MBL, </w:t>
      </w:r>
      <w:proofErr w:type="spellStart"/>
      <w:r>
        <w:t>metallo</w:t>
      </w:r>
      <w:proofErr w:type="spellEnd"/>
      <w:r>
        <w:t>-beta-lactamases</w:t>
      </w:r>
    </w:p>
    <w:p w14:paraId="1291CBDB" w14:textId="77777777" w:rsidR="00C73DF1" w:rsidRPr="00306D9E" w:rsidRDefault="00C73DF1" w:rsidP="00C73DF1">
      <w:pPr>
        <w:rPr>
          <w:rFonts w:ascii="Times New Roman" w:hAnsi="Times New Roman"/>
          <w:sz w:val="20"/>
        </w:rPr>
      </w:pPr>
    </w:p>
    <w:p w14:paraId="7E46398A" w14:textId="11539590" w:rsidR="00C73DF1" w:rsidRPr="00306D9E" w:rsidRDefault="00C73DF1" w:rsidP="00C73DF1">
      <w:pPr>
        <w:spacing w:line="360" w:lineRule="auto"/>
        <w:jc w:val="both"/>
        <w:rPr>
          <w:rFonts w:ascii="Times New Roman" w:hAnsi="Times New Roman"/>
        </w:rPr>
      </w:pPr>
      <w:r w:rsidRPr="00306D9E">
        <w:rPr>
          <w:rFonts w:ascii="Times New Roman" w:hAnsi="Times New Roman"/>
        </w:rPr>
        <w:t>In addition to these uncertainties, the modelling approach makes a number of important assumptions which were not amenable to sensitivity analysis or scenario testing within the scope of this project: (</w:t>
      </w:r>
      <w:proofErr w:type="spellStart"/>
      <w:r w:rsidRPr="00306D9E">
        <w:rPr>
          <w:rFonts w:ascii="Times New Roman" w:hAnsi="Times New Roman"/>
        </w:rPr>
        <w:t>i</w:t>
      </w:r>
      <w:proofErr w:type="spellEnd"/>
      <w:r w:rsidRPr="00306D9E">
        <w:rPr>
          <w:rFonts w:ascii="Times New Roman" w:hAnsi="Times New Roman"/>
        </w:rPr>
        <w:t>) patients with intermediate resistance are assumed to respond as per those with resistant infections; (ii) patients receiving multi-AM regimens perform as well if they are susceptible to one component, two components or more components of the regimen;</w:t>
      </w:r>
      <w:r w:rsidR="008F1C31">
        <w:rPr>
          <w:rFonts w:ascii="Times New Roman" w:hAnsi="Times New Roman"/>
        </w:rPr>
        <w:t xml:space="preserve"> (iii) the use of meropenem in OXA-48 </w:t>
      </w:r>
      <w:proofErr w:type="spellStart"/>
      <w:r w:rsidR="008F1C31" w:rsidRPr="008F1C31">
        <w:rPr>
          <w:rFonts w:ascii="Times New Roman" w:hAnsi="Times New Roman"/>
          <w:i/>
        </w:rPr>
        <w:t>Enterobacterales</w:t>
      </w:r>
      <w:proofErr w:type="spellEnd"/>
      <w:r w:rsidR="008F1C31" w:rsidRPr="008F1C31">
        <w:rPr>
          <w:rFonts w:ascii="Times New Roman" w:hAnsi="Times New Roman"/>
        </w:rPr>
        <w:t xml:space="preserve"> confers no clinical benefit</w:t>
      </w:r>
      <w:r w:rsidR="008F1C31">
        <w:rPr>
          <w:rFonts w:ascii="Times New Roman" w:hAnsi="Times New Roman"/>
        </w:rPr>
        <w:t>;</w:t>
      </w:r>
      <w:r w:rsidRPr="00306D9E">
        <w:rPr>
          <w:rFonts w:ascii="Times New Roman" w:hAnsi="Times New Roman"/>
        </w:rPr>
        <w:t xml:space="preserve"> (i</w:t>
      </w:r>
      <w:r w:rsidR="008F1C31">
        <w:rPr>
          <w:rFonts w:ascii="Times New Roman" w:hAnsi="Times New Roman"/>
        </w:rPr>
        <w:t>v</w:t>
      </w:r>
      <w:r w:rsidRPr="00306D9E">
        <w:rPr>
          <w:rFonts w:ascii="Times New Roman" w:hAnsi="Times New Roman"/>
        </w:rPr>
        <w:t>) patients AM susceptibility remains stable between the empiric and microbiology-directed settings</w:t>
      </w:r>
      <w:r w:rsidRPr="00306D9E">
        <w:rPr>
          <w:rFonts w:ascii="Times New Roman" w:hAnsi="Times New Roman" w:cs="Times New Roman"/>
        </w:rPr>
        <w:t>;</w:t>
      </w:r>
      <w:r w:rsidRPr="00306D9E">
        <w:rPr>
          <w:rFonts w:ascii="Times New Roman" w:hAnsi="Times New Roman"/>
        </w:rPr>
        <w:t xml:space="preserve"> and (v) patients who are suspected to have OXA-48 </w:t>
      </w:r>
      <w:proofErr w:type="spellStart"/>
      <w:r w:rsidR="00B20E91">
        <w:rPr>
          <w:rFonts w:ascii="Times New Roman" w:hAnsi="Times New Roman"/>
          <w:i/>
        </w:rPr>
        <w:t>E</w:t>
      </w:r>
      <w:r w:rsidRPr="00306D9E">
        <w:rPr>
          <w:rFonts w:ascii="Times New Roman" w:hAnsi="Times New Roman"/>
          <w:i/>
        </w:rPr>
        <w:t>nterobacterales</w:t>
      </w:r>
      <w:proofErr w:type="spellEnd"/>
      <w:r w:rsidRPr="00306D9E">
        <w:rPr>
          <w:rFonts w:ascii="Times New Roman" w:hAnsi="Times New Roman"/>
        </w:rPr>
        <w:t xml:space="preserve"> who have another </w:t>
      </w:r>
      <w:r w:rsidR="00AE639B">
        <w:rPr>
          <w:rFonts w:ascii="Times New Roman" w:hAnsi="Times New Roman"/>
        </w:rPr>
        <w:t>pathogen-mechanism</w:t>
      </w:r>
      <w:r w:rsidRPr="00306D9E">
        <w:rPr>
          <w:rFonts w:ascii="Times New Roman" w:hAnsi="Times New Roman"/>
        </w:rPr>
        <w:t xml:space="preserve"> are broadly susceptible and experience the same outcomes regardless of the choice of empiric treatment. </w:t>
      </w:r>
    </w:p>
    <w:p w14:paraId="671A710C" w14:textId="5A7172E4" w:rsidR="00C73DF1" w:rsidRPr="001B0FEB" w:rsidRDefault="00C73DF1" w:rsidP="00C73DF1">
      <w:pPr>
        <w:spacing w:line="360" w:lineRule="auto"/>
        <w:jc w:val="both"/>
        <w:rPr>
          <w:rFonts w:asciiTheme="majorBidi" w:hAnsiTheme="majorBidi" w:cstheme="majorBidi"/>
        </w:rPr>
      </w:pPr>
      <w:r w:rsidRPr="00306D9E">
        <w:rPr>
          <w:rFonts w:ascii="Times New Roman" w:hAnsi="Times New Roman"/>
        </w:rPr>
        <w:t xml:space="preserve">Due to the scope of work required to produce the population-level estimates of INHE, comprehensive reviews were not possible for all </w:t>
      </w:r>
      <w:r w:rsidR="00292B5E" w:rsidRPr="00306D9E">
        <w:rPr>
          <w:rFonts w:ascii="Times New Roman" w:hAnsi="Times New Roman"/>
        </w:rPr>
        <w:t>parameters,</w:t>
      </w:r>
      <w:r w:rsidRPr="00306D9E">
        <w:rPr>
          <w:rFonts w:ascii="Times New Roman" w:hAnsi="Times New Roman"/>
        </w:rPr>
        <w:t xml:space="preserve"> and it is possible that additional evidence was missed. </w:t>
      </w:r>
      <w:proofErr w:type="gramStart"/>
      <w:r w:rsidRPr="00306D9E">
        <w:rPr>
          <w:rFonts w:ascii="Times New Roman" w:hAnsi="Times New Roman"/>
        </w:rPr>
        <w:t>In particular, we</w:t>
      </w:r>
      <w:proofErr w:type="gramEnd"/>
      <w:r w:rsidRPr="00306D9E">
        <w:rPr>
          <w:rFonts w:ascii="Times New Roman" w:hAnsi="Times New Roman"/>
        </w:rPr>
        <w:t xml:space="preserve"> were reliant on existing systematic reviews and meta-analyses to quantify the safety </w:t>
      </w:r>
      <w:r w:rsidRPr="00306D9E">
        <w:rPr>
          <w:rFonts w:ascii="Times New Roman" w:hAnsi="Times New Roman"/>
        </w:rPr>
        <w:lastRenderedPageBreak/>
        <w:t xml:space="preserve">implications of alternative treatments. A preferred approach would have been to conduct a </w:t>
      </w:r>
      <w:r w:rsidRPr="008F1C31">
        <w:rPr>
          <w:rFonts w:ascii="Times New Roman" w:hAnsi="Times New Roman"/>
          <w:i/>
        </w:rPr>
        <w:t>de novo</w:t>
      </w:r>
      <w:r w:rsidRPr="00306D9E">
        <w:rPr>
          <w:rFonts w:ascii="Times New Roman" w:hAnsi="Times New Roman"/>
        </w:rPr>
        <w:t xml:space="preserve"> systematic review and synthesis tailored to the current decision problem</w:t>
      </w:r>
      <w:r w:rsidRPr="00306D9E">
        <w:rPr>
          <w:rFonts w:ascii="Times New Roman" w:hAnsi="Times New Roman" w:cs="Times New Roman"/>
        </w:rPr>
        <w:t>; h</w:t>
      </w:r>
      <w:r w:rsidRPr="00306D9E">
        <w:rPr>
          <w:rFonts w:ascii="Times New Roman" w:hAnsi="Times New Roman"/>
        </w:rPr>
        <w:t>owever</w:t>
      </w:r>
      <w:r w:rsidRPr="00306D9E">
        <w:rPr>
          <w:rFonts w:ascii="Times New Roman" w:hAnsi="Times New Roman" w:cs="Times New Roman"/>
        </w:rPr>
        <w:t>,</w:t>
      </w:r>
      <w:r w:rsidRPr="00306D9E">
        <w:rPr>
          <w:rFonts w:ascii="Times New Roman" w:hAnsi="Times New Roman"/>
        </w:rPr>
        <w:t xml:space="preserve"> this was not feasible. There were limitations to the evidence underpinning the model and</w:t>
      </w:r>
      <w:proofErr w:type="gramStart"/>
      <w:r w:rsidRPr="00306D9E">
        <w:rPr>
          <w:rFonts w:ascii="Times New Roman" w:hAnsi="Times New Roman" w:cs="Times New Roman"/>
        </w:rPr>
        <w:t>,</w:t>
      </w:r>
      <w:r w:rsidRPr="00306D9E">
        <w:rPr>
          <w:rFonts w:ascii="Times New Roman" w:hAnsi="Times New Roman"/>
        </w:rPr>
        <w:t xml:space="preserve"> in particular</w:t>
      </w:r>
      <w:r w:rsidRPr="00306D9E">
        <w:rPr>
          <w:rFonts w:ascii="Times New Roman" w:hAnsi="Times New Roman" w:cs="Times New Roman"/>
        </w:rPr>
        <w:t>,</w:t>
      </w:r>
      <w:r w:rsidRPr="00306D9E">
        <w:rPr>
          <w:rFonts w:ascii="Times New Roman" w:hAnsi="Times New Roman"/>
        </w:rPr>
        <w:t xml:space="preserve"> the</w:t>
      </w:r>
      <w:proofErr w:type="gramEnd"/>
      <w:r w:rsidRPr="00306D9E">
        <w:rPr>
          <w:rFonts w:ascii="Times New Roman" w:hAnsi="Times New Roman"/>
        </w:rPr>
        <w:t xml:space="preserve"> surrogacy relationships between susceptibility and mortality/hospitalisation were informed by a combination of </w:t>
      </w:r>
      <w:r w:rsidRPr="001B0FEB">
        <w:rPr>
          <w:rFonts w:asciiTheme="majorBidi" w:hAnsiTheme="majorBidi" w:cstheme="majorBidi"/>
        </w:rPr>
        <w:t xml:space="preserve">evidence of associations at the individual patient level, and structured expert elicitation. </w:t>
      </w:r>
    </w:p>
    <w:p w14:paraId="7C6FB465" w14:textId="03FE10CC" w:rsidR="00C73DF1" w:rsidRPr="001B0FEB" w:rsidRDefault="00C73DF1" w:rsidP="00C73DF1">
      <w:pPr>
        <w:spacing w:line="360" w:lineRule="auto"/>
        <w:jc w:val="both"/>
        <w:rPr>
          <w:rFonts w:asciiTheme="majorBidi" w:hAnsiTheme="majorBidi" w:cstheme="majorBidi"/>
        </w:rPr>
      </w:pPr>
      <w:r w:rsidRPr="001B0FEB">
        <w:rPr>
          <w:rFonts w:asciiTheme="majorBidi" w:hAnsiTheme="majorBidi" w:cstheme="majorBidi"/>
        </w:rPr>
        <w:t xml:space="preserve">EEPRU were unable to select a base case for the population-level results. Population-level results are, therefore, presented for two different approaches to estimating current OXA-48 </w:t>
      </w:r>
      <w:proofErr w:type="spellStart"/>
      <w:r w:rsidR="00B20E91" w:rsidRPr="001B0FEB">
        <w:rPr>
          <w:rFonts w:asciiTheme="majorBidi" w:hAnsiTheme="majorBidi" w:cstheme="majorBidi"/>
          <w:i/>
        </w:rPr>
        <w:t>E</w:t>
      </w:r>
      <w:r w:rsidRPr="001B0FEB">
        <w:rPr>
          <w:rFonts w:asciiTheme="majorBidi" w:hAnsiTheme="majorBidi" w:cstheme="majorBidi"/>
          <w:i/>
        </w:rPr>
        <w:t>nterobacterales</w:t>
      </w:r>
      <w:proofErr w:type="spellEnd"/>
      <w:r w:rsidRPr="001B0FEB">
        <w:rPr>
          <w:rFonts w:asciiTheme="majorBidi" w:hAnsiTheme="majorBidi" w:cstheme="majorBidi"/>
          <w:i/>
        </w:rPr>
        <w:t xml:space="preserve"> </w:t>
      </w:r>
      <w:r w:rsidRPr="001B0FEB">
        <w:rPr>
          <w:rFonts w:asciiTheme="majorBidi" w:hAnsiTheme="majorBidi" w:cstheme="majorBidi"/>
        </w:rPr>
        <w:t xml:space="preserve">infection numbers (based on different methods to classify infections from clinical specimen sites), two alternative approaches to forecasting increases in infections over time (based on whether observed trends are assumed to persist indefinitely or not), and three different trajectories with respect to resistance emergence (1%, 5% and 10% at 20 years). These results are summarised in Table 2. </w:t>
      </w:r>
    </w:p>
    <w:p w14:paraId="64687B21" w14:textId="4F0E1CB5" w:rsidR="00C73DF1" w:rsidRPr="00306D9E" w:rsidRDefault="00292B5E" w:rsidP="00C73DF1">
      <w:pPr>
        <w:spacing w:line="360" w:lineRule="auto"/>
        <w:jc w:val="both"/>
        <w:rPr>
          <w:rFonts w:ascii="Times New Roman" w:hAnsi="Times New Roman" w:cs="Times New Roman"/>
        </w:rPr>
      </w:pPr>
      <w:r w:rsidRPr="00292B5E">
        <w:rPr>
          <w:rFonts w:ascii="Times New Roman" w:hAnsi="Times New Roman" w:cs="Times New Roman"/>
        </w:rPr>
        <w:t xml:space="preserve">Table </w:t>
      </w:r>
      <w:r w:rsidRPr="00292B5E">
        <w:rPr>
          <w:rFonts w:ascii="Times New Roman" w:hAnsi="Times New Roman" w:cs="Times New Roman"/>
          <w:noProof/>
        </w:rPr>
        <w:t>45</w:t>
      </w:r>
      <w:r w:rsidR="00C73DF1" w:rsidRPr="00292B5E">
        <w:rPr>
          <w:rFonts w:ascii="Times New Roman" w:hAnsi="Times New Roman" w:cs="Times New Roman"/>
        </w:rPr>
        <w:t xml:space="preserve"> shows </w:t>
      </w:r>
      <w:r w:rsidR="00C73DF1" w:rsidRPr="00292B5E">
        <w:rPr>
          <w:rFonts w:ascii="Times New Roman" w:hAnsi="Times New Roman"/>
        </w:rPr>
        <w:t>that assumptions about baseline population size and growth are strong drivers of populati</w:t>
      </w:r>
      <w:r w:rsidR="00C73DF1" w:rsidRPr="00306D9E">
        <w:rPr>
          <w:rFonts w:ascii="Times New Roman" w:hAnsi="Times New Roman"/>
        </w:rPr>
        <w:t>on INHEs which vary from 587 to 2,211 QALYs depending on the scenario. The results are particularly sensitive to the assumption about which clinical specimen sites are indicative of HAP/VAP</w:t>
      </w:r>
      <w:r w:rsidR="00C73DF1" w:rsidRPr="00306D9E">
        <w:rPr>
          <w:rFonts w:ascii="Times New Roman" w:hAnsi="Times New Roman" w:cs="Times New Roman"/>
        </w:rPr>
        <w:t>,</w:t>
      </w:r>
      <w:r w:rsidR="00C73DF1" w:rsidRPr="00306D9E">
        <w:rPr>
          <w:rFonts w:ascii="Times New Roman" w:hAnsi="Times New Roman"/>
        </w:rPr>
        <w:t xml:space="preserve"> with the more conservative definition provided by PHE indicating 24 suspected OXA-48 HAP/VAP infections per annum</w:t>
      </w:r>
      <w:r w:rsidR="00C73DF1" w:rsidRPr="00306D9E">
        <w:rPr>
          <w:rFonts w:ascii="Times New Roman" w:hAnsi="Times New Roman" w:cs="Times New Roman"/>
        </w:rPr>
        <w:t>;</w:t>
      </w:r>
      <w:r w:rsidR="00C73DF1" w:rsidRPr="00306D9E">
        <w:rPr>
          <w:rFonts w:ascii="Times New Roman" w:hAnsi="Times New Roman"/>
        </w:rPr>
        <w:t xml:space="preserve"> and the broader definition provided by our clinical advisors indicating 166 suspected OXA-48 HAP/VAP infections per annum. </w:t>
      </w:r>
    </w:p>
    <w:p w14:paraId="17488552" w14:textId="77777777" w:rsidR="00C73DF1" w:rsidRPr="00306D9E" w:rsidRDefault="00C73DF1" w:rsidP="00C73DF1">
      <w:pPr>
        <w:spacing w:line="360" w:lineRule="auto"/>
        <w:jc w:val="both"/>
        <w:rPr>
          <w:rFonts w:ascii="Times New Roman" w:hAnsi="Times New Roman"/>
        </w:rPr>
      </w:pPr>
      <w:r w:rsidRPr="00306D9E">
        <w:rPr>
          <w:rFonts w:ascii="Times New Roman" w:hAnsi="Times New Roman"/>
        </w:rPr>
        <w:t xml:space="preserve">Departures from the base case assumptions in the patient level model also had substantive effects on population INHEs. </w:t>
      </w:r>
    </w:p>
    <w:p w14:paraId="542F5695" w14:textId="77777777" w:rsidR="00C73DF1" w:rsidRPr="00306D9E" w:rsidRDefault="00C73DF1" w:rsidP="00C73DF1"/>
    <w:p w14:paraId="37196A05" w14:textId="127D3490" w:rsidR="00C73DF1" w:rsidRPr="00292B5E" w:rsidRDefault="00292B5E" w:rsidP="00292B5E">
      <w:pPr>
        <w:pStyle w:val="Caption"/>
        <w:keepNext/>
        <w:rPr>
          <w:rFonts w:ascii="Times New Roman" w:hAnsi="Times New Roman" w:cs="Times New Roman"/>
          <w:b/>
          <w:bCs/>
          <w:i w:val="0"/>
          <w:iCs w:val="0"/>
          <w:color w:val="auto"/>
          <w:sz w:val="20"/>
          <w:szCs w:val="20"/>
        </w:rPr>
      </w:pPr>
      <w:bookmarkStart w:id="572" w:name="_Ref85816973"/>
      <w:bookmarkStart w:id="573" w:name="_Toc86419022"/>
      <w:r w:rsidRPr="00292B5E">
        <w:rPr>
          <w:rFonts w:ascii="Times New Roman" w:hAnsi="Times New Roman" w:cs="Times New Roman"/>
          <w:b/>
          <w:bCs/>
          <w:i w:val="0"/>
          <w:iCs w:val="0"/>
          <w:color w:val="auto"/>
          <w:sz w:val="20"/>
          <w:szCs w:val="20"/>
        </w:rPr>
        <w:t xml:space="preserve">Table </w:t>
      </w:r>
      <w:r w:rsidR="00F10F0A">
        <w:rPr>
          <w:rFonts w:ascii="Times New Roman" w:hAnsi="Times New Roman" w:cs="Times New Roman"/>
          <w:b/>
          <w:bCs/>
          <w:i w:val="0"/>
          <w:iCs w:val="0"/>
          <w:noProof/>
          <w:color w:val="auto"/>
          <w:sz w:val="20"/>
          <w:szCs w:val="20"/>
        </w:rPr>
        <w:t>45</w:t>
      </w:r>
      <w:bookmarkEnd w:id="572"/>
      <w:r w:rsidR="00C73DF1" w:rsidRPr="00292B5E">
        <w:rPr>
          <w:rFonts w:ascii="Times New Roman" w:hAnsi="Times New Roman" w:cs="Times New Roman"/>
          <w:b/>
          <w:bCs/>
          <w:i w:val="0"/>
          <w:iCs w:val="0"/>
          <w:color w:val="auto"/>
          <w:sz w:val="20"/>
          <w:szCs w:val="20"/>
        </w:rPr>
        <w:t xml:space="preserve">: Summary of population-level INHEs (QALYs), range in brackets shows variation according to </w:t>
      </w:r>
      <w:r w:rsidR="00B20E91" w:rsidRPr="00292B5E">
        <w:rPr>
          <w:rFonts w:ascii="Times New Roman" w:hAnsi="Times New Roman" w:cs="Times New Roman"/>
          <w:b/>
          <w:bCs/>
          <w:i w:val="0"/>
          <w:iCs w:val="0"/>
          <w:color w:val="auto"/>
          <w:sz w:val="20"/>
          <w:szCs w:val="20"/>
        </w:rPr>
        <w:t>CAZ-AVI</w:t>
      </w:r>
      <w:r w:rsidR="00C73DF1" w:rsidRPr="00292B5E">
        <w:rPr>
          <w:rFonts w:ascii="Times New Roman" w:hAnsi="Times New Roman" w:cs="Times New Roman"/>
          <w:b/>
          <w:bCs/>
          <w:i w:val="0"/>
          <w:iCs w:val="0"/>
          <w:color w:val="auto"/>
          <w:sz w:val="20"/>
          <w:szCs w:val="20"/>
        </w:rPr>
        <w:t xml:space="preserve"> resistance levels</w:t>
      </w:r>
      <w:bookmarkEnd w:id="573"/>
      <w:r w:rsidR="00C73DF1" w:rsidRPr="00292B5E">
        <w:rPr>
          <w:rFonts w:ascii="Times New Roman" w:hAnsi="Times New Roman" w:cs="Times New Roman"/>
          <w:b/>
          <w:bCs/>
          <w:i w:val="0"/>
          <w:iCs w:val="0"/>
          <w:color w:val="auto"/>
          <w:sz w:val="20"/>
          <w:szCs w:val="20"/>
        </w:rPr>
        <w:t xml:space="preserve">  </w:t>
      </w:r>
    </w:p>
    <w:tbl>
      <w:tblPr>
        <w:tblStyle w:val="TableGrid"/>
        <w:tblW w:w="5000" w:type="pct"/>
        <w:tblLook w:val="04A0" w:firstRow="1" w:lastRow="0" w:firstColumn="1" w:lastColumn="0" w:noHBand="0" w:noVBand="1"/>
      </w:tblPr>
      <w:tblGrid>
        <w:gridCol w:w="1837"/>
        <w:gridCol w:w="2788"/>
        <w:gridCol w:w="1780"/>
        <w:gridCol w:w="2611"/>
      </w:tblGrid>
      <w:tr w:rsidR="00C73DF1" w:rsidRPr="00E426D5" w14:paraId="0B5C3E09" w14:textId="77777777" w:rsidTr="009A4C52">
        <w:tc>
          <w:tcPr>
            <w:tcW w:w="1019" w:type="pct"/>
            <w:vAlign w:val="center"/>
          </w:tcPr>
          <w:p w14:paraId="65051E20" w14:textId="77777777" w:rsidR="00C73DF1" w:rsidRPr="00E426D5" w:rsidRDefault="00C73DF1" w:rsidP="00E426D5">
            <w:pPr>
              <w:rPr>
                <w:rFonts w:ascii="Times New Roman" w:hAnsi="Times New Roman"/>
                <w:b/>
                <w:sz w:val="20"/>
                <w:szCs w:val="20"/>
              </w:rPr>
            </w:pPr>
            <w:r w:rsidRPr="00E426D5">
              <w:rPr>
                <w:rFonts w:ascii="Times New Roman" w:hAnsi="Times New Roman"/>
                <w:b/>
                <w:sz w:val="20"/>
                <w:szCs w:val="20"/>
              </w:rPr>
              <w:t>Baseline population</w:t>
            </w:r>
          </w:p>
        </w:tc>
        <w:tc>
          <w:tcPr>
            <w:tcW w:w="1546" w:type="pct"/>
            <w:vAlign w:val="center"/>
          </w:tcPr>
          <w:p w14:paraId="1061A970" w14:textId="77777777" w:rsidR="00C73DF1" w:rsidRPr="00E426D5" w:rsidRDefault="00C73DF1" w:rsidP="00E426D5">
            <w:pPr>
              <w:rPr>
                <w:rFonts w:ascii="Times New Roman" w:hAnsi="Times New Roman"/>
                <w:b/>
                <w:sz w:val="20"/>
                <w:szCs w:val="20"/>
              </w:rPr>
            </w:pPr>
            <w:r w:rsidRPr="00E426D5">
              <w:rPr>
                <w:rFonts w:ascii="Times New Roman" w:hAnsi="Times New Roman"/>
                <w:b/>
                <w:sz w:val="20"/>
                <w:szCs w:val="20"/>
              </w:rPr>
              <w:t>Population growth rate</w:t>
            </w:r>
          </w:p>
        </w:tc>
        <w:tc>
          <w:tcPr>
            <w:tcW w:w="987" w:type="pct"/>
          </w:tcPr>
          <w:p w14:paraId="0DADF22D" w14:textId="77777777" w:rsidR="00C73DF1" w:rsidRPr="00E426D5" w:rsidRDefault="00C73DF1" w:rsidP="00E426D5">
            <w:pPr>
              <w:rPr>
                <w:rFonts w:ascii="Times New Roman" w:hAnsi="Times New Roman"/>
                <w:b/>
                <w:sz w:val="20"/>
                <w:szCs w:val="20"/>
              </w:rPr>
            </w:pPr>
            <w:r w:rsidRPr="00E426D5">
              <w:rPr>
                <w:rFonts w:ascii="Times New Roman" w:hAnsi="Times New Roman"/>
                <w:b/>
                <w:sz w:val="20"/>
                <w:szCs w:val="20"/>
              </w:rPr>
              <w:t>Predicted patients initiating CAZ-AVI over 20 years</w:t>
            </w:r>
          </w:p>
        </w:tc>
        <w:tc>
          <w:tcPr>
            <w:tcW w:w="1448" w:type="pct"/>
          </w:tcPr>
          <w:p w14:paraId="65305C92" w14:textId="77777777" w:rsidR="00C73DF1" w:rsidRPr="00E426D5" w:rsidRDefault="00C73DF1" w:rsidP="00E426D5">
            <w:pPr>
              <w:rPr>
                <w:rFonts w:ascii="Times New Roman" w:hAnsi="Times New Roman"/>
                <w:b/>
                <w:sz w:val="20"/>
                <w:szCs w:val="20"/>
              </w:rPr>
            </w:pPr>
            <w:r w:rsidRPr="00E426D5">
              <w:rPr>
                <w:rFonts w:ascii="Times New Roman" w:hAnsi="Times New Roman"/>
                <w:b/>
                <w:sz w:val="20"/>
                <w:szCs w:val="20"/>
              </w:rPr>
              <w:t xml:space="preserve">Range of population INHEs across resistance scenarios 1%, 5%, </w:t>
            </w:r>
            <w:r w:rsidRPr="00E426D5">
              <w:rPr>
                <w:rFonts w:ascii="Times New Roman" w:hAnsi="Times New Roman" w:cs="Times New Roman"/>
                <w:b/>
                <w:sz w:val="20"/>
                <w:szCs w:val="20"/>
              </w:rPr>
              <w:t xml:space="preserve">and </w:t>
            </w:r>
            <w:r w:rsidRPr="00E426D5">
              <w:rPr>
                <w:rFonts w:ascii="Times New Roman" w:hAnsi="Times New Roman"/>
                <w:b/>
                <w:sz w:val="20"/>
                <w:szCs w:val="20"/>
              </w:rPr>
              <w:t>10% at 20 years (base case assumptions used for patient level model)</w:t>
            </w:r>
          </w:p>
        </w:tc>
      </w:tr>
      <w:tr w:rsidR="00C73DF1" w:rsidRPr="00E426D5" w14:paraId="5C22C52D" w14:textId="77777777" w:rsidTr="009A4C52">
        <w:tc>
          <w:tcPr>
            <w:tcW w:w="1019" w:type="pct"/>
          </w:tcPr>
          <w:p w14:paraId="6CC48F72" w14:textId="77777777" w:rsidR="00C73DF1" w:rsidRPr="00E426D5" w:rsidRDefault="00C73DF1" w:rsidP="00E426D5">
            <w:pPr>
              <w:rPr>
                <w:rFonts w:ascii="Times New Roman" w:hAnsi="Times New Roman"/>
                <w:sz w:val="20"/>
                <w:szCs w:val="20"/>
              </w:rPr>
            </w:pPr>
            <w:r w:rsidRPr="00E426D5">
              <w:rPr>
                <w:rFonts w:ascii="Times New Roman" w:hAnsi="Times New Roman"/>
                <w:sz w:val="20"/>
                <w:szCs w:val="20"/>
              </w:rPr>
              <w:t>PHE categorisation of infection sites</w:t>
            </w:r>
          </w:p>
        </w:tc>
        <w:tc>
          <w:tcPr>
            <w:tcW w:w="1546" w:type="pct"/>
          </w:tcPr>
          <w:p w14:paraId="4BC000C0" w14:textId="77777777" w:rsidR="00C73DF1" w:rsidRPr="00E426D5" w:rsidRDefault="00C73DF1" w:rsidP="00E426D5">
            <w:pPr>
              <w:rPr>
                <w:rFonts w:ascii="Times New Roman" w:hAnsi="Times New Roman"/>
                <w:sz w:val="20"/>
                <w:szCs w:val="20"/>
              </w:rPr>
            </w:pPr>
            <w:r w:rsidRPr="00E426D5">
              <w:rPr>
                <w:rFonts w:ascii="Times New Roman" w:hAnsi="Times New Roman"/>
                <w:sz w:val="20"/>
                <w:szCs w:val="20"/>
              </w:rPr>
              <w:t xml:space="preserve">Model with damped trends </w:t>
            </w:r>
          </w:p>
        </w:tc>
        <w:tc>
          <w:tcPr>
            <w:tcW w:w="987" w:type="pct"/>
          </w:tcPr>
          <w:p w14:paraId="1FE994CD"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 xml:space="preserve">           5,287 </w:t>
            </w:r>
          </w:p>
        </w:tc>
        <w:tc>
          <w:tcPr>
            <w:tcW w:w="1448" w:type="pct"/>
          </w:tcPr>
          <w:p w14:paraId="5EFE4826"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587-629</w:t>
            </w:r>
          </w:p>
        </w:tc>
      </w:tr>
      <w:tr w:rsidR="00C73DF1" w:rsidRPr="00E426D5" w14:paraId="520898DD" w14:textId="77777777" w:rsidTr="009A4C52">
        <w:tc>
          <w:tcPr>
            <w:tcW w:w="1019" w:type="pct"/>
          </w:tcPr>
          <w:p w14:paraId="3CF3345A" w14:textId="72034E42" w:rsidR="00C73DF1" w:rsidRPr="00E426D5" w:rsidRDefault="00001050" w:rsidP="00E426D5">
            <w:pPr>
              <w:rPr>
                <w:rFonts w:ascii="Times New Roman" w:hAnsi="Times New Roman"/>
                <w:sz w:val="20"/>
                <w:szCs w:val="20"/>
              </w:rPr>
            </w:pPr>
            <w:r w:rsidRPr="00E426D5">
              <w:rPr>
                <w:rFonts w:ascii="Times New Roman" w:hAnsi="Times New Roman"/>
                <w:sz w:val="20"/>
                <w:szCs w:val="20"/>
              </w:rPr>
              <w:t>PHE categorisation of infection sites</w:t>
            </w:r>
          </w:p>
        </w:tc>
        <w:tc>
          <w:tcPr>
            <w:tcW w:w="1546" w:type="pct"/>
          </w:tcPr>
          <w:p w14:paraId="592C34D7" w14:textId="77777777" w:rsidR="00C73DF1" w:rsidRPr="00E426D5" w:rsidRDefault="00C73DF1" w:rsidP="00E426D5">
            <w:pPr>
              <w:rPr>
                <w:rFonts w:ascii="Times New Roman" w:hAnsi="Times New Roman"/>
                <w:sz w:val="20"/>
                <w:szCs w:val="20"/>
              </w:rPr>
            </w:pPr>
            <w:r w:rsidRPr="00E426D5">
              <w:rPr>
                <w:rFonts w:ascii="Times New Roman" w:hAnsi="Times New Roman"/>
                <w:sz w:val="20"/>
                <w:szCs w:val="20"/>
              </w:rPr>
              <w:t xml:space="preserve">Model with persistent trends </w:t>
            </w:r>
          </w:p>
        </w:tc>
        <w:tc>
          <w:tcPr>
            <w:tcW w:w="987" w:type="pct"/>
          </w:tcPr>
          <w:p w14:paraId="0FF3F546"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 xml:space="preserve">         11,742 </w:t>
            </w:r>
          </w:p>
        </w:tc>
        <w:tc>
          <w:tcPr>
            <w:tcW w:w="1448" w:type="pct"/>
          </w:tcPr>
          <w:p w14:paraId="1D1537C1"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1,190-1,299</w:t>
            </w:r>
          </w:p>
        </w:tc>
      </w:tr>
      <w:tr w:rsidR="00C73DF1" w:rsidRPr="00E426D5" w14:paraId="094ED3D3" w14:textId="77777777" w:rsidTr="009A4C52">
        <w:tc>
          <w:tcPr>
            <w:tcW w:w="1019" w:type="pct"/>
          </w:tcPr>
          <w:p w14:paraId="2EDD4781" w14:textId="77777777" w:rsidR="00C73DF1" w:rsidRPr="00E426D5" w:rsidRDefault="00C73DF1" w:rsidP="00E426D5">
            <w:pPr>
              <w:rPr>
                <w:rFonts w:ascii="Times New Roman" w:hAnsi="Times New Roman"/>
                <w:b/>
                <w:sz w:val="20"/>
                <w:szCs w:val="20"/>
              </w:rPr>
            </w:pPr>
            <w:r w:rsidRPr="00E426D5">
              <w:rPr>
                <w:rFonts w:ascii="Times New Roman" w:hAnsi="Times New Roman"/>
                <w:sz w:val="20"/>
                <w:szCs w:val="20"/>
              </w:rPr>
              <w:t>Clinical advisors’ categorisation of infection sites</w:t>
            </w:r>
          </w:p>
        </w:tc>
        <w:tc>
          <w:tcPr>
            <w:tcW w:w="1546" w:type="pct"/>
          </w:tcPr>
          <w:p w14:paraId="7A0CE4F2" w14:textId="77777777" w:rsidR="00C73DF1" w:rsidRPr="00E426D5" w:rsidRDefault="00C73DF1" w:rsidP="00E426D5">
            <w:pPr>
              <w:rPr>
                <w:rFonts w:ascii="Times New Roman" w:hAnsi="Times New Roman"/>
                <w:sz w:val="20"/>
                <w:szCs w:val="20"/>
              </w:rPr>
            </w:pPr>
            <w:r w:rsidRPr="00E426D5">
              <w:rPr>
                <w:rFonts w:ascii="Times New Roman" w:hAnsi="Times New Roman"/>
                <w:sz w:val="20"/>
                <w:szCs w:val="20"/>
              </w:rPr>
              <w:t xml:space="preserve">Model with damped trends </w:t>
            </w:r>
          </w:p>
        </w:tc>
        <w:tc>
          <w:tcPr>
            <w:tcW w:w="987" w:type="pct"/>
          </w:tcPr>
          <w:p w14:paraId="5BB803E2"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 xml:space="preserve">           9,056 </w:t>
            </w:r>
          </w:p>
        </w:tc>
        <w:tc>
          <w:tcPr>
            <w:tcW w:w="1448" w:type="pct"/>
          </w:tcPr>
          <w:p w14:paraId="3D79EB90"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998-1,070</w:t>
            </w:r>
          </w:p>
        </w:tc>
      </w:tr>
      <w:tr w:rsidR="00C73DF1" w:rsidRPr="00E426D5" w14:paraId="5D0AA8A7" w14:textId="77777777" w:rsidTr="009A4C52">
        <w:tc>
          <w:tcPr>
            <w:tcW w:w="1019" w:type="pct"/>
          </w:tcPr>
          <w:p w14:paraId="3020F755" w14:textId="69C40A92" w:rsidR="00C73DF1" w:rsidRPr="00E426D5" w:rsidRDefault="00001050" w:rsidP="00E426D5">
            <w:pPr>
              <w:rPr>
                <w:rFonts w:ascii="Times New Roman" w:hAnsi="Times New Roman"/>
                <w:b/>
                <w:sz w:val="20"/>
                <w:szCs w:val="20"/>
              </w:rPr>
            </w:pPr>
            <w:r w:rsidRPr="00E426D5">
              <w:rPr>
                <w:rFonts w:ascii="Times New Roman" w:hAnsi="Times New Roman"/>
                <w:sz w:val="20"/>
                <w:szCs w:val="20"/>
              </w:rPr>
              <w:t>Clinical advisors’ categorisation of infection sites</w:t>
            </w:r>
          </w:p>
        </w:tc>
        <w:tc>
          <w:tcPr>
            <w:tcW w:w="1546" w:type="pct"/>
          </w:tcPr>
          <w:p w14:paraId="7BBD3BC3" w14:textId="77777777" w:rsidR="00C73DF1" w:rsidRPr="00E426D5" w:rsidRDefault="00C73DF1" w:rsidP="00E426D5">
            <w:pPr>
              <w:rPr>
                <w:rFonts w:ascii="Times New Roman" w:hAnsi="Times New Roman"/>
                <w:sz w:val="20"/>
                <w:szCs w:val="20"/>
              </w:rPr>
            </w:pPr>
            <w:r w:rsidRPr="00E426D5">
              <w:rPr>
                <w:rFonts w:ascii="Times New Roman" w:hAnsi="Times New Roman"/>
                <w:sz w:val="20"/>
                <w:szCs w:val="20"/>
              </w:rPr>
              <w:t xml:space="preserve">Model with persistent trends </w:t>
            </w:r>
          </w:p>
        </w:tc>
        <w:tc>
          <w:tcPr>
            <w:tcW w:w="987" w:type="pct"/>
          </w:tcPr>
          <w:p w14:paraId="25AA9769"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 xml:space="preserve">         20,112 </w:t>
            </w:r>
          </w:p>
        </w:tc>
        <w:tc>
          <w:tcPr>
            <w:tcW w:w="1448" w:type="pct"/>
          </w:tcPr>
          <w:p w14:paraId="1C7F5C75" w14:textId="77777777" w:rsidR="00C73DF1" w:rsidRPr="00E426D5" w:rsidRDefault="00C73DF1" w:rsidP="00E426D5">
            <w:pPr>
              <w:jc w:val="right"/>
              <w:rPr>
                <w:rFonts w:ascii="Times New Roman" w:hAnsi="Times New Roman"/>
                <w:sz w:val="20"/>
                <w:szCs w:val="20"/>
              </w:rPr>
            </w:pPr>
            <w:r w:rsidRPr="00E426D5">
              <w:rPr>
                <w:rFonts w:ascii="Times New Roman" w:hAnsi="Times New Roman"/>
                <w:sz w:val="20"/>
                <w:szCs w:val="20"/>
              </w:rPr>
              <w:t>2,025-2,211</w:t>
            </w:r>
          </w:p>
        </w:tc>
      </w:tr>
    </w:tbl>
    <w:p w14:paraId="40BD93A0" w14:textId="77777777" w:rsidR="000E3737" w:rsidRPr="006F0280" w:rsidRDefault="000E3737" w:rsidP="000E3737">
      <w:pPr>
        <w:pStyle w:val="EEPRUtextundertables"/>
      </w:pPr>
      <w:r>
        <w:t>INHEs, incremental net health effects; PHE, Public Health England</w:t>
      </w:r>
    </w:p>
    <w:p w14:paraId="7CF4F8B0" w14:textId="77777777" w:rsidR="00C73DF1" w:rsidRPr="00306D9E" w:rsidRDefault="00C73DF1" w:rsidP="00C73DF1">
      <w:pPr>
        <w:rPr>
          <w:b/>
        </w:rPr>
      </w:pPr>
    </w:p>
    <w:p w14:paraId="5CF578F6" w14:textId="77777777" w:rsidR="00C73DF1" w:rsidRPr="00306D9E" w:rsidRDefault="00C73DF1" w:rsidP="00C73DF1">
      <w:pPr>
        <w:spacing w:line="360" w:lineRule="auto"/>
        <w:jc w:val="both"/>
        <w:rPr>
          <w:rFonts w:ascii="Times New Roman" w:hAnsi="Times New Roman"/>
        </w:rPr>
      </w:pPr>
      <w:r w:rsidRPr="00306D9E">
        <w:rPr>
          <w:rFonts w:ascii="Times New Roman" w:hAnsi="Times New Roman"/>
        </w:rPr>
        <w:lastRenderedPageBreak/>
        <w:t xml:space="preserve">The population size estimates used to generate the estimates of population INHEs are subject to considerable uncertainties relating to the completeness of the national data, how accurately specimen types represent the infection sites of interest, whether all tested patients would fall within the HVCS population for empiric treatment, the potential double counting of samples from the same infectious episode, and inherent uncertainties in forecasting population size over time.  </w:t>
      </w:r>
    </w:p>
    <w:p w14:paraId="502E6D7A" w14:textId="059ADC9B" w:rsidR="00C73DF1" w:rsidRPr="00306D9E" w:rsidRDefault="00C73DF1" w:rsidP="00C73DF1">
      <w:pPr>
        <w:spacing w:line="360" w:lineRule="auto"/>
        <w:jc w:val="both"/>
        <w:rPr>
          <w:rFonts w:ascii="Times New Roman" w:hAnsi="Times New Roman"/>
        </w:rPr>
      </w:pPr>
      <w:r w:rsidRPr="00306D9E">
        <w:rPr>
          <w:rFonts w:ascii="Times New Roman" w:hAnsi="Times New Roman"/>
        </w:rPr>
        <w:t xml:space="preserve">In addition, estimates of population INHEs were generated using </w:t>
      </w:r>
      <w:proofErr w:type="gramStart"/>
      <w:r w:rsidRPr="00306D9E">
        <w:rPr>
          <w:rFonts w:ascii="Times New Roman" w:hAnsi="Times New Roman"/>
        </w:rPr>
        <w:t>a number of</w:t>
      </w:r>
      <w:proofErr w:type="gramEnd"/>
      <w:r w:rsidRPr="00306D9E">
        <w:rPr>
          <w:rFonts w:ascii="Times New Roman" w:hAnsi="Times New Roman"/>
        </w:rPr>
        <w:t xml:space="preserve"> strong assumptions about how evidence </w:t>
      </w:r>
      <w:r w:rsidRPr="00306D9E">
        <w:rPr>
          <w:rFonts w:ascii="Times New Roman" w:hAnsi="Times New Roman" w:cs="Times New Roman"/>
        </w:rPr>
        <w:t xml:space="preserve">can be </w:t>
      </w:r>
      <w:r w:rsidRPr="00306D9E">
        <w:rPr>
          <w:rFonts w:ascii="Times New Roman" w:hAnsi="Times New Roman"/>
        </w:rPr>
        <w:t xml:space="preserve">generalised between settings. Namely, that patient level INHE of </w:t>
      </w:r>
      <w:r w:rsidR="00B20E91">
        <w:rPr>
          <w:rFonts w:ascii="Times New Roman" w:hAnsi="Times New Roman"/>
        </w:rPr>
        <w:t xml:space="preserve">CAZ-AVI </w:t>
      </w:r>
      <w:r w:rsidRPr="00306D9E">
        <w:rPr>
          <w:rFonts w:ascii="Times New Roman" w:hAnsi="Times New Roman"/>
        </w:rPr>
        <w:t xml:space="preserve">in patients with bloodstream </w:t>
      </w:r>
      <w:r w:rsidR="009A4C52">
        <w:rPr>
          <w:rFonts w:ascii="Times New Roman" w:hAnsi="Times New Roman"/>
        </w:rPr>
        <w:t xml:space="preserve">infections </w:t>
      </w:r>
      <w:r w:rsidRPr="00306D9E">
        <w:rPr>
          <w:rFonts w:ascii="Times New Roman" w:hAnsi="Times New Roman"/>
        </w:rPr>
        <w:t xml:space="preserve">can be approximated based on outcomes in HAP/VAP patients, and that the patient level INHE of </w:t>
      </w:r>
      <w:r w:rsidR="00B20E91">
        <w:rPr>
          <w:rFonts w:ascii="Times New Roman" w:hAnsi="Times New Roman"/>
        </w:rPr>
        <w:t>CAZ-AVI</w:t>
      </w:r>
      <w:r w:rsidRPr="00306D9E">
        <w:rPr>
          <w:rFonts w:ascii="Times New Roman" w:hAnsi="Times New Roman"/>
        </w:rPr>
        <w:t xml:space="preserve"> in patients with intra-abdominal infections can be proxied by that in patients with </w:t>
      </w:r>
      <w:proofErr w:type="spellStart"/>
      <w:r w:rsidRPr="00306D9E">
        <w:rPr>
          <w:rFonts w:ascii="Times New Roman" w:hAnsi="Times New Roman"/>
        </w:rPr>
        <w:t>cUTIs</w:t>
      </w:r>
      <w:proofErr w:type="spellEnd"/>
      <w:r w:rsidRPr="00306D9E">
        <w:rPr>
          <w:rFonts w:ascii="Times New Roman" w:hAnsi="Times New Roman"/>
        </w:rPr>
        <w:t>. These assumptions were based on discussions with clinical experts.</w:t>
      </w:r>
    </w:p>
    <w:p w14:paraId="202AC1AE" w14:textId="27918AD4" w:rsidR="00C73DF1" w:rsidRPr="00306D9E" w:rsidRDefault="00292B5E" w:rsidP="00C73DF1">
      <w:pPr>
        <w:spacing w:line="360" w:lineRule="auto"/>
        <w:jc w:val="both"/>
        <w:rPr>
          <w:rFonts w:ascii="Times New Roman" w:hAnsi="Times New Roman"/>
        </w:rPr>
      </w:pPr>
      <w:r w:rsidRPr="00292B5E">
        <w:rPr>
          <w:rFonts w:ascii="Times New Roman" w:hAnsi="Times New Roman" w:cs="Times New Roman"/>
        </w:rPr>
        <w:t xml:space="preserve">Table </w:t>
      </w:r>
      <w:r w:rsidRPr="00292B5E">
        <w:rPr>
          <w:rFonts w:ascii="Times New Roman" w:hAnsi="Times New Roman" w:cs="Times New Roman"/>
          <w:noProof/>
        </w:rPr>
        <w:t>46</w:t>
      </w:r>
      <w:r w:rsidR="00C73DF1" w:rsidRPr="00292B5E">
        <w:rPr>
          <w:rFonts w:ascii="Times New Roman" w:hAnsi="Times New Roman"/>
        </w:rPr>
        <w:t xml:space="preserve"> summarises </w:t>
      </w:r>
      <w:r w:rsidR="00C73DF1" w:rsidRPr="00306D9E">
        <w:rPr>
          <w:rFonts w:ascii="Times New Roman" w:hAnsi="Times New Roman"/>
        </w:rPr>
        <w:t xml:space="preserve">where EEPRU has been able to quantify the additional elements of value and, for those elements where this has not been feasible, provides an indication of their likely importance. Overall, EEPRU considers that the main areas of uncertainty are enablement value and transmission value. EEPRU considers it unlikely that transmission value is a significant driver of population INHE, though this remains an area of uncertainty. EEPRU considers that it is possible that, by treating pre-operative infections and offering the possibility of an effective low toxicity option for treating MDR infections, </w:t>
      </w:r>
      <w:r w:rsidR="00B20E91">
        <w:rPr>
          <w:rFonts w:ascii="Times New Roman" w:hAnsi="Times New Roman"/>
        </w:rPr>
        <w:t>CAZ-AVI</w:t>
      </w:r>
      <w:r w:rsidR="00C73DF1" w:rsidRPr="00306D9E">
        <w:rPr>
          <w:rFonts w:ascii="Times New Roman" w:hAnsi="Times New Roman"/>
        </w:rPr>
        <w:t xml:space="preserve"> will facilitate additional or at least more prompt receipt of required treatments/procedures for certain groups. EEPRU considers that the magnitude of these population INHE </w:t>
      </w:r>
      <w:r w:rsidR="00C73DF1" w:rsidRPr="00306D9E">
        <w:rPr>
          <w:rFonts w:ascii="Times New Roman" w:hAnsi="Times New Roman" w:cs="Times New Roman"/>
        </w:rPr>
        <w:t>remains</w:t>
      </w:r>
      <w:r w:rsidR="00C73DF1" w:rsidRPr="00306D9E">
        <w:rPr>
          <w:rFonts w:ascii="Times New Roman" w:hAnsi="Times New Roman"/>
        </w:rPr>
        <w:t xml:space="preserve"> highly uncertain.</w:t>
      </w:r>
    </w:p>
    <w:p w14:paraId="2354FA51" w14:textId="5CDC771F" w:rsidR="009A4C52" w:rsidRDefault="009A4C52">
      <w:pPr>
        <w:rPr>
          <w:b/>
        </w:rPr>
      </w:pPr>
      <w:r>
        <w:rPr>
          <w:b/>
        </w:rPr>
        <w:br w:type="page"/>
      </w:r>
    </w:p>
    <w:p w14:paraId="0E13C18E" w14:textId="53639307" w:rsidR="00C73DF1" w:rsidRPr="00292B5E" w:rsidRDefault="00292B5E" w:rsidP="00292B5E">
      <w:pPr>
        <w:pStyle w:val="Caption"/>
        <w:keepNext/>
        <w:rPr>
          <w:rFonts w:ascii="Times New Roman" w:hAnsi="Times New Roman" w:cs="Times New Roman"/>
          <w:b/>
          <w:bCs/>
          <w:i w:val="0"/>
          <w:iCs w:val="0"/>
          <w:color w:val="auto"/>
          <w:sz w:val="22"/>
          <w:szCs w:val="22"/>
        </w:rPr>
      </w:pPr>
      <w:bookmarkStart w:id="574" w:name="_Ref85817050"/>
      <w:bookmarkStart w:id="575" w:name="_Toc86419023"/>
      <w:r w:rsidRPr="00292B5E">
        <w:rPr>
          <w:rFonts w:ascii="Times New Roman" w:hAnsi="Times New Roman" w:cs="Times New Roman"/>
          <w:b/>
          <w:bCs/>
          <w:i w:val="0"/>
          <w:iCs w:val="0"/>
          <w:color w:val="auto"/>
          <w:sz w:val="22"/>
          <w:szCs w:val="22"/>
        </w:rPr>
        <w:lastRenderedPageBreak/>
        <w:t xml:space="preserve">Table </w:t>
      </w:r>
      <w:r w:rsidR="00F10F0A">
        <w:rPr>
          <w:rFonts w:ascii="Times New Roman" w:hAnsi="Times New Roman" w:cs="Times New Roman"/>
          <w:b/>
          <w:bCs/>
          <w:i w:val="0"/>
          <w:iCs w:val="0"/>
          <w:noProof/>
          <w:color w:val="auto"/>
          <w:sz w:val="22"/>
          <w:szCs w:val="22"/>
        </w:rPr>
        <w:t>46</w:t>
      </w:r>
      <w:bookmarkEnd w:id="574"/>
      <w:r w:rsidRPr="00292B5E">
        <w:rPr>
          <w:rFonts w:ascii="Times New Roman" w:hAnsi="Times New Roman" w:cs="Times New Roman"/>
          <w:b/>
          <w:bCs/>
          <w:i w:val="0"/>
          <w:iCs w:val="0"/>
          <w:color w:val="auto"/>
          <w:sz w:val="22"/>
          <w:szCs w:val="22"/>
        </w:rPr>
        <w:t xml:space="preserve">: </w:t>
      </w:r>
      <w:r w:rsidR="00C73DF1" w:rsidRPr="00292B5E">
        <w:rPr>
          <w:rFonts w:ascii="Times New Roman" w:hAnsi="Times New Roman" w:cs="Times New Roman"/>
          <w:b/>
          <w:bCs/>
          <w:i w:val="0"/>
          <w:iCs w:val="0"/>
          <w:color w:val="auto"/>
          <w:sz w:val="22"/>
          <w:szCs w:val="22"/>
        </w:rPr>
        <w:t>Additional elements of value</w:t>
      </w:r>
      <w:bookmarkEnd w:id="575"/>
      <w:r w:rsidR="00C73DF1" w:rsidRPr="00292B5E">
        <w:rPr>
          <w:rFonts w:ascii="Times New Roman" w:hAnsi="Times New Roman" w:cs="Times New Roman"/>
          <w:b/>
          <w:bCs/>
          <w:i w:val="0"/>
          <w:iCs w:val="0"/>
          <w:color w:val="auto"/>
          <w:sz w:val="22"/>
          <w:szCs w:val="22"/>
        </w:rPr>
        <w:t xml:space="preserve"> </w:t>
      </w:r>
    </w:p>
    <w:tbl>
      <w:tblPr>
        <w:tblStyle w:val="TableGrid6"/>
        <w:tblW w:w="9776" w:type="dxa"/>
        <w:tblLayout w:type="fixed"/>
        <w:tblLook w:val="04A0" w:firstRow="1" w:lastRow="0" w:firstColumn="1" w:lastColumn="0" w:noHBand="0" w:noVBand="1"/>
      </w:tblPr>
      <w:tblGrid>
        <w:gridCol w:w="2263"/>
        <w:gridCol w:w="7513"/>
      </w:tblGrid>
      <w:tr w:rsidR="00C73DF1" w:rsidRPr="004A4B7C" w14:paraId="3FFC12D3" w14:textId="77777777" w:rsidTr="00800B9C">
        <w:tc>
          <w:tcPr>
            <w:tcW w:w="2263" w:type="dxa"/>
            <w:hideMark/>
          </w:tcPr>
          <w:p w14:paraId="26F52D0B" w14:textId="77777777" w:rsidR="00C73DF1" w:rsidRPr="004A4B7C" w:rsidRDefault="00C73DF1" w:rsidP="004A4B7C">
            <w:pPr>
              <w:jc w:val="both"/>
              <w:rPr>
                <w:rFonts w:ascii="Times New Roman" w:hAnsi="Times New Roman"/>
                <w:sz w:val="20"/>
                <w:szCs w:val="20"/>
              </w:rPr>
            </w:pPr>
            <w:r w:rsidRPr="004A4B7C">
              <w:rPr>
                <w:rFonts w:ascii="Times New Roman" w:hAnsi="Times New Roman"/>
                <w:b/>
                <w:color w:val="000000"/>
                <w:sz w:val="20"/>
                <w:szCs w:val="20"/>
              </w:rPr>
              <w:t>Element of value</w:t>
            </w:r>
          </w:p>
        </w:tc>
        <w:tc>
          <w:tcPr>
            <w:tcW w:w="7513" w:type="dxa"/>
          </w:tcPr>
          <w:p w14:paraId="26CDCB46" w14:textId="77777777" w:rsidR="00C73DF1" w:rsidRPr="004A4B7C" w:rsidRDefault="00C73DF1" w:rsidP="004A4B7C">
            <w:pPr>
              <w:jc w:val="both"/>
              <w:rPr>
                <w:rFonts w:ascii="Times New Roman" w:hAnsi="Times New Roman"/>
                <w:b/>
                <w:color w:val="000000"/>
                <w:sz w:val="20"/>
                <w:szCs w:val="20"/>
              </w:rPr>
            </w:pPr>
            <w:r w:rsidRPr="004A4B7C">
              <w:rPr>
                <w:rFonts w:ascii="Times New Roman" w:hAnsi="Times New Roman"/>
                <w:b/>
                <w:color w:val="000000"/>
                <w:sz w:val="20"/>
                <w:szCs w:val="20"/>
              </w:rPr>
              <w:t>Summary of importance in modifying quantitative estimates of population INHEs, * indicates areas of high uncertainty</w:t>
            </w:r>
          </w:p>
        </w:tc>
      </w:tr>
      <w:tr w:rsidR="00C73DF1" w:rsidRPr="004A4B7C" w14:paraId="172C399B" w14:textId="77777777" w:rsidTr="00800B9C">
        <w:trPr>
          <w:trHeight w:val="423"/>
        </w:trPr>
        <w:tc>
          <w:tcPr>
            <w:tcW w:w="2263" w:type="dxa"/>
            <w:hideMark/>
          </w:tcPr>
          <w:p w14:paraId="446AECB0"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Enablement value</w:t>
            </w:r>
          </w:p>
        </w:tc>
        <w:tc>
          <w:tcPr>
            <w:tcW w:w="7513" w:type="dxa"/>
          </w:tcPr>
          <w:p w14:paraId="5506F314"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Benefits of improved treatment of post-operative infections quantified </w:t>
            </w:r>
          </w:p>
          <w:p w14:paraId="06A829A0"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Benefits of improved treatment of pre-operative infections partially quantified*</w:t>
            </w:r>
          </w:p>
          <w:p w14:paraId="7C518D0D"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Benefits of increasing number of procedures that can go ahead not quantified*</w:t>
            </w:r>
          </w:p>
          <w:p w14:paraId="5F9D3930"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Benefits of keeping wards open during MDR infection outbreaks unlikely to be a significant driver of population INHEs </w:t>
            </w:r>
          </w:p>
          <w:p w14:paraId="2DA7BDE1"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Benefits of reduced use of hospital resources quantified</w:t>
            </w:r>
          </w:p>
        </w:tc>
      </w:tr>
      <w:tr w:rsidR="00C73DF1" w:rsidRPr="004A4B7C" w14:paraId="64E9EDDA" w14:textId="77777777" w:rsidTr="00800B9C">
        <w:trPr>
          <w:trHeight w:val="387"/>
        </w:trPr>
        <w:tc>
          <w:tcPr>
            <w:tcW w:w="2263" w:type="dxa"/>
            <w:hideMark/>
          </w:tcPr>
          <w:p w14:paraId="16AAB31F"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Diversity value </w:t>
            </w:r>
          </w:p>
        </w:tc>
        <w:tc>
          <w:tcPr>
            <w:tcW w:w="7513" w:type="dxa"/>
          </w:tcPr>
          <w:p w14:paraId="2DA66E80"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Unlikely to be </w:t>
            </w:r>
            <w:r w:rsidRPr="004A4B7C">
              <w:rPr>
                <w:rFonts w:ascii="Times New Roman" w:eastAsia="Times New Roman" w:hAnsi="Times New Roman" w:cs="Times New Roman"/>
                <w:color w:val="000000"/>
                <w:sz w:val="20"/>
                <w:szCs w:val="20"/>
              </w:rPr>
              <w:t xml:space="preserve">a </w:t>
            </w:r>
            <w:r w:rsidRPr="004A4B7C">
              <w:rPr>
                <w:rFonts w:ascii="Times New Roman" w:hAnsi="Times New Roman"/>
                <w:color w:val="000000"/>
                <w:sz w:val="20"/>
                <w:szCs w:val="20"/>
              </w:rPr>
              <w:t>significant driver of population INHEs</w:t>
            </w:r>
          </w:p>
        </w:tc>
      </w:tr>
      <w:tr w:rsidR="00C73DF1" w:rsidRPr="004A4B7C" w14:paraId="7D933EC3" w14:textId="77777777" w:rsidTr="00800B9C">
        <w:trPr>
          <w:trHeight w:val="385"/>
        </w:trPr>
        <w:tc>
          <w:tcPr>
            <w:tcW w:w="2263" w:type="dxa"/>
          </w:tcPr>
          <w:p w14:paraId="7D56BDBA" w14:textId="77777777" w:rsidR="00C73DF1" w:rsidRPr="004A4B7C" w:rsidRDefault="00C73DF1" w:rsidP="004A4B7C">
            <w:pPr>
              <w:jc w:val="both"/>
              <w:rPr>
                <w:rFonts w:ascii="Times New Roman" w:hAnsi="Times New Roman"/>
                <w:sz w:val="20"/>
                <w:szCs w:val="20"/>
              </w:rPr>
            </w:pPr>
            <w:r w:rsidRPr="004A4B7C">
              <w:rPr>
                <w:rFonts w:ascii="Times New Roman" w:hAnsi="Times New Roman"/>
                <w:color w:val="000000"/>
                <w:sz w:val="20"/>
                <w:szCs w:val="20"/>
              </w:rPr>
              <w:t>Insurance value</w:t>
            </w:r>
          </w:p>
        </w:tc>
        <w:tc>
          <w:tcPr>
            <w:tcW w:w="7513" w:type="dxa"/>
          </w:tcPr>
          <w:p w14:paraId="03B97A3E"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Quantified </w:t>
            </w:r>
          </w:p>
        </w:tc>
      </w:tr>
      <w:tr w:rsidR="00C73DF1" w:rsidRPr="004A4B7C" w14:paraId="59FDBCF6" w14:textId="77777777" w:rsidTr="00800B9C">
        <w:tc>
          <w:tcPr>
            <w:tcW w:w="2263" w:type="dxa"/>
          </w:tcPr>
          <w:p w14:paraId="14DBBF6B" w14:textId="77777777" w:rsidR="00C73DF1" w:rsidRPr="004A4B7C" w:rsidRDefault="00C73DF1" w:rsidP="004A4B7C">
            <w:pPr>
              <w:jc w:val="both"/>
              <w:rPr>
                <w:rFonts w:ascii="Times New Roman" w:hAnsi="Times New Roman"/>
                <w:sz w:val="20"/>
                <w:szCs w:val="20"/>
              </w:rPr>
            </w:pPr>
            <w:r w:rsidRPr="004A4B7C">
              <w:rPr>
                <w:rFonts w:ascii="Times New Roman" w:hAnsi="Times New Roman"/>
                <w:color w:val="000000"/>
                <w:sz w:val="20"/>
                <w:szCs w:val="20"/>
              </w:rPr>
              <w:t>Transmission value</w:t>
            </w:r>
          </w:p>
        </w:tc>
        <w:tc>
          <w:tcPr>
            <w:tcW w:w="7513" w:type="dxa"/>
          </w:tcPr>
          <w:p w14:paraId="4D4B3A05"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Unlikely to be </w:t>
            </w:r>
            <w:r w:rsidRPr="004A4B7C">
              <w:rPr>
                <w:rFonts w:ascii="Times New Roman" w:eastAsia="Times New Roman" w:hAnsi="Times New Roman" w:cs="Times New Roman"/>
                <w:color w:val="000000"/>
                <w:sz w:val="20"/>
                <w:szCs w:val="20"/>
              </w:rPr>
              <w:t xml:space="preserve">a </w:t>
            </w:r>
            <w:r w:rsidRPr="004A4B7C">
              <w:rPr>
                <w:rFonts w:ascii="Times New Roman" w:hAnsi="Times New Roman"/>
                <w:color w:val="000000"/>
                <w:sz w:val="20"/>
                <w:szCs w:val="20"/>
              </w:rPr>
              <w:t>significant driver of population INHEs *</w:t>
            </w:r>
          </w:p>
        </w:tc>
      </w:tr>
      <w:tr w:rsidR="00C73DF1" w:rsidRPr="004A4B7C" w14:paraId="1B9134B9" w14:textId="77777777" w:rsidTr="00800B9C">
        <w:tc>
          <w:tcPr>
            <w:tcW w:w="2263" w:type="dxa"/>
          </w:tcPr>
          <w:p w14:paraId="76471FD3" w14:textId="77777777" w:rsidR="00C73DF1" w:rsidRPr="004A4B7C" w:rsidRDefault="00C73DF1" w:rsidP="004A4B7C">
            <w:pPr>
              <w:jc w:val="both"/>
              <w:rPr>
                <w:rFonts w:ascii="Times New Roman" w:hAnsi="Times New Roman"/>
                <w:sz w:val="20"/>
                <w:szCs w:val="20"/>
              </w:rPr>
            </w:pPr>
            <w:r w:rsidRPr="004A4B7C">
              <w:rPr>
                <w:rFonts w:ascii="Times New Roman" w:hAnsi="Times New Roman"/>
                <w:color w:val="000000"/>
                <w:sz w:val="20"/>
                <w:szCs w:val="20"/>
              </w:rPr>
              <w:t>Spectrum value</w:t>
            </w:r>
          </w:p>
        </w:tc>
        <w:tc>
          <w:tcPr>
            <w:tcW w:w="7513" w:type="dxa"/>
          </w:tcPr>
          <w:p w14:paraId="219CE887" w14:textId="77777777" w:rsidR="00C73DF1" w:rsidRPr="004A4B7C" w:rsidRDefault="00C73DF1" w:rsidP="004A4B7C">
            <w:pPr>
              <w:jc w:val="both"/>
              <w:rPr>
                <w:rFonts w:ascii="Times New Roman" w:hAnsi="Times New Roman"/>
                <w:color w:val="000000"/>
                <w:sz w:val="20"/>
                <w:szCs w:val="20"/>
              </w:rPr>
            </w:pPr>
            <w:r w:rsidRPr="004A4B7C">
              <w:rPr>
                <w:rFonts w:ascii="Times New Roman" w:hAnsi="Times New Roman"/>
                <w:color w:val="000000"/>
                <w:sz w:val="20"/>
                <w:szCs w:val="20"/>
              </w:rPr>
              <w:t xml:space="preserve">Unlikely to be </w:t>
            </w:r>
            <w:r w:rsidRPr="004A4B7C">
              <w:rPr>
                <w:rFonts w:ascii="Times New Roman" w:eastAsia="Times New Roman" w:hAnsi="Times New Roman" w:cs="Times New Roman"/>
                <w:color w:val="000000"/>
                <w:sz w:val="20"/>
                <w:szCs w:val="20"/>
              </w:rPr>
              <w:t xml:space="preserve">a </w:t>
            </w:r>
            <w:r w:rsidRPr="004A4B7C">
              <w:rPr>
                <w:rFonts w:ascii="Times New Roman" w:hAnsi="Times New Roman"/>
                <w:color w:val="000000"/>
                <w:sz w:val="20"/>
                <w:szCs w:val="20"/>
              </w:rPr>
              <w:t>significant driver of population INHEs</w:t>
            </w:r>
          </w:p>
        </w:tc>
      </w:tr>
    </w:tbl>
    <w:p w14:paraId="4A442DCB" w14:textId="77777777" w:rsidR="000E3737" w:rsidRDefault="000E3737" w:rsidP="000E3737">
      <w:pPr>
        <w:pStyle w:val="EEPRUtextundertables"/>
      </w:pPr>
      <w:r>
        <w:t>INHEs, incremental net health effects</w:t>
      </w:r>
    </w:p>
    <w:p w14:paraId="2CA06118" w14:textId="77777777" w:rsidR="00C73DF1" w:rsidRPr="00306D9E" w:rsidRDefault="00C73DF1" w:rsidP="00C73DF1">
      <w:pPr>
        <w:rPr>
          <w:rStyle w:val="Heading1Char"/>
          <w:rFonts w:asciiTheme="majorBidi" w:hAnsiTheme="majorBidi"/>
          <w:b w:val="0"/>
          <w:bCs w:val="0"/>
        </w:rPr>
      </w:pPr>
    </w:p>
    <w:p w14:paraId="1FB99EED" w14:textId="4C50F2EC" w:rsidR="00C73DF1" w:rsidRPr="00DB3C2F" w:rsidRDefault="00DB3C2F" w:rsidP="00DB3C2F">
      <w:pPr>
        <w:pStyle w:val="EEPRUNumberedsubheading"/>
        <w:numPr>
          <w:ilvl w:val="0"/>
          <w:numId w:val="0"/>
        </w:numPr>
        <w:spacing w:line="360" w:lineRule="auto"/>
        <w:ind w:left="360"/>
        <w:jc w:val="both"/>
        <w:rPr>
          <w:rStyle w:val="Heading1Char"/>
          <w:b/>
          <w:sz w:val="26"/>
          <w:szCs w:val="26"/>
        </w:rPr>
      </w:pPr>
      <w:r>
        <w:rPr>
          <w:rStyle w:val="Heading1Char"/>
          <w:b/>
          <w:sz w:val="26"/>
          <w:szCs w:val="26"/>
        </w:rPr>
        <w:tab/>
      </w:r>
      <w:bookmarkStart w:id="576" w:name="_Toc87463070"/>
      <w:r w:rsidRPr="004B666A">
        <w:rPr>
          <w:rStyle w:val="Heading1Char"/>
          <w:b/>
          <w:sz w:val="26"/>
          <w:szCs w:val="26"/>
        </w:rPr>
        <w:t xml:space="preserve">9.1 </w:t>
      </w:r>
      <w:r w:rsidR="00C73DF1" w:rsidRPr="00DB3C2F">
        <w:rPr>
          <w:rStyle w:val="Heading1Char"/>
          <w:b/>
          <w:sz w:val="26"/>
          <w:szCs w:val="26"/>
        </w:rPr>
        <w:t>Conclusion</w:t>
      </w:r>
      <w:bookmarkEnd w:id="576"/>
    </w:p>
    <w:p w14:paraId="2F12AF55" w14:textId="77777777" w:rsidR="00C73DF1" w:rsidRPr="00306D9E" w:rsidRDefault="00C73DF1" w:rsidP="00C73DF1">
      <w:pPr>
        <w:pStyle w:val="EEPRUMainBodyText"/>
        <w:rPr>
          <w:rFonts w:ascii="Times New Roman" w:hAnsi="Times New Roman"/>
        </w:rPr>
      </w:pPr>
      <w:r w:rsidRPr="00306D9E">
        <w:rPr>
          <w:rFonts w:ascii="Times New Roman" w:hAnsi="Times New Roman"/>
        </w:rPr>
        <w:t xml:space="preserve">The quantitative assessment of value in this report indicates that CAZ-AVI is associated with a base case population INHE across its areas of expected usage of 587 to 2,211 </w:t>
      </w:r>
      <w:r w:rsidRPr="00306D9E">
        <w:rPr>
          <w:rFonts w:ascii="Times New Roman" w:hAnsi="Times New Roman" w:cs="Times New Roman"/>
        </w:rPr>
        <w:t xml:space="preserve">QALYs </w:t>
      </w:r>
      <w:r w:rsidRPr="00306D9E">
        <w:rPr>
          <w:rFonts w:ascii="Times New Roman" w:hAnsi="Times New Roman"/>
        </w:rPr>
        <w:t>over 20 years. These quantitative assessments of value were informed by a series of interlinked decision analytic models informed by evidence collated via systematic reviews of the literature and evidence synthesis, additional national data provided by PHE, structured expert elicitation and</w:t>
      </w:r>
      <w:r w:rsidRPr="00306D9E">
        <w:rPr>
          <w:rFonts w:ascii="Times New Roman" w:hAnsi="Times New Roman" w:cs="Times New Roman"/>
        </w:rPr>
        <w:t>,</w:t>
      </w:r>
      <w:r w:rsidRPr="00306D9E">
        <w:rPr>
          <w:rFonts w:ascii="Times New Roman" w:hAnsi="Times New Roman"/>
        </w:rPr>
        <w:t xml:space="preserve"> where necessary</w:t>
      </w:r>
      <w:r w:rsidRPr="00306D9E">
        <w:rPr>
          <w:rFonts w:ascii="Times New Roman" w:hAnsi="Times New Roman" w:cs="Times New Roman"/>
        </w:rPr>
        <w:t>,</w:t>
      </w:r>
      <w:r w:rsidRPr="00306D9E">
        <w:rPr>
          <w:rFonts w:ascii="Times New Roman" w:hAnsi="Times New Roman"/>
        </w:rPr>
        <w:t xml:space="preserve"> assumptions informed by clinical opinion. </w:t>
      </w:r>
    </w:p>
    <w:p w14:paraId="7ADD236C" w14:textId="063CEDB5" w:rsidR="00C73DF1" w:rsidRPr="00DD329B" w:rsidRDefault="00C73DF1" w:rsidP="00C73DF1">
      <w:pPr>
        <w:pStyle w:val="EEPRUMainBodyText"/>
        <w:rPr>
          <w:rFonts w:ascii="Times New Roman" w:hAnsi="Times New Roman"/>
        </w:rPr>
      </w:pPr>
      <w:r w:rsidRPr="00306D9E">
        <w:rPr>
          <w:rFonts w:ascii="Times New Roman" w:hAnsi="Times New Roman"/>
        </w:rPr>
        <w:t xml:space="preserve">This work has provided quantitative estimates of the value of </w:t>
      </w:r>
      <w:r w:rsidR="00B20E91">
        <w:rPr>
          <w:rFonts w:ascii="Times New Roman" w:hAnsi="Times New Roman"/>
        </w:rPr>
        <w:t>CAZ-AVI</w:t>
      </w:r>
      <w:r w:rsidRPr="00306D9E">
        <w:rPr>
          <w:rFonts w:ascii="Times New Roman" w:hAnsi="Times New Roman"/>
        </w:rPr>
        <w:t xml:space="preserve"> within its areas of expected usage within the NHS. A broader and important question is “what would represent the “optimal” scope of usage for </w:t>
      </w:r>
      <w:r w:rsidR="00B20E91">
        <w:rPr>
          <w:rFonts w:ascii="Times New Roman" w:hAnsi="Times New Roman"/>
        </w:rPr>
        <w:t>CAZ-AVI</w:t>
      </w:r>
      <w:r w:rsidRPr="00306D9E">
        <w:rPr>
          <w:rFonts w:ascii="Times New Roman" w:hAnsi="Times New Roman"/>
        </w:rPr>
        <w:t xml:space="preserve">?” </w:t>
      </w:r>
      <w:r w:rsidRPr="00306D9E">
        <w:rPr>
          <w:rFonts w:ascii="Times New Roman" w:hAnsi="Times New Roman" w:cs="Times New Roman"/>
        </w:rPr>
        <w:t>F</w:t>
      </w:r>
      <w:r w:rsidRPr="00306D9E">
        <w:rPr>
          <w:rFonts w:ascii="Times New Roman" w:hAnsi="Times New Roman"/>
        </w:rPr>
        <w:t>urther methodological and quantitative work is required to address this question.</w:t>
      </w:r>
      <w:r w:rsidRPr="00DD329B">
        <w:rPr>
          <w:rFonts w:ascii="Times New Roman" w:hAnsi="Times New Roman"/>
        </w:rPr>
        <w:t xml:space="preserve">   </w:t>
      </w:r>
    </w:p>
    <w:p w14:paraId="296A17B2" w14:textId="77777777" w:rsidR="00A83123" w:rsidRDefault="00A83123">
      <w:pPr>
        <w:rPr>
          <w:rFonts w:ascii="Times New Roman" w:hAnsi="Times New Roman" w:cs="Times New Roman"/>
          <w:b/>
          <w:sz w:val="32"/>
          <w:szCs w:val="32"/>
          <w:highlight w:val="lightGray"/>
        </w:rPr>
      </w:pPr>
      <w:r>
        <w:rPr>
          <w:rFonts w:ascii="Times New Roman" w:hAnsi="Times New Roman" w:cs="Times New Roman"/>
          <w:b/>
          <w:sz w:val="32"/>
          <w:szCs w:val="32"/>
          <w:highlight w:val="lightGray"/>
        </w:rPr>
        <w:br w:type="page"/>
      </w:r>
    </w:p>
    <w:p w14:paraId="6CB1DF46" w14:textId="42E90301" w:rsidR="00A83123" w:rsidRPr="00A83123" w:rsidRDefault="00A83123" w:rsidP="00A83123">
      <w:pPr>
        <w:pStyle w:val="ListParagraph"/>
        <w:keepNext/>
        <w:keepLines/>
        <w:numPr>
          <w:ilvl w:val="0"/>
          <w:numId w:val="118"/>
        </w:numPr>
        <w:spacing w:before="480" w:after="0"/>
        <w:outlineLvl w:val="0"/>
        <w:rPr>
          <w:rFonts w:ascii="Times New Roman" w:hAnsi="Times New Roman"/>
          <w:b/>
          <w:sz w:val="32"/>
          <w:szCs w:val="32"/>
        </w:rPr>
      </w:pPr>
      <w:bookmarkStart w:id="577" w:name="_Toc87463071"/>
      <w:r w:rsidRPr="00A83123">
        <w:rPr>
          <w:rFonts w:ascii="Times New Roman" w:hAnsi="Times New Roman" w:cs="Times New Roman"/>
          <w:b/>
          <w:bCs/>
          <w:sz w:val="32"/>
          <w:szCs w:val="32"/>
        </w:rPr>
        <w:lastRenderedPageBreak/>
        <w:t>References</w:t>
      </w:r>
      <w:bookmarkEnd w:id="577"/>
    </w:p>
    <w:p w14:paraId="002521EC" w14:textId="77777777" w:rsidR="00A83123" w:rsidRPr="00A83123" w:rsidRDefault="00A83123" w:rsidP="000E3737">
      <w:pPr>
        <w:pStyle w:val="NICEnormal"/>
      </w:pPr>
    </w:p>
    <w:p w14:paraId="4A1A0DCC" w14:textId="35BBC7E7" w:rsidR="008F7DED" w:rsidRPr="008F7DED" w:rsidRDefault="008F7DED" w:rsidP="008F7DED">
      <w:pPr>
        <w:pStyle w:val="EndNoteBibliography"/>
        <w:spacing w:after="0"/>
      </w:pPr>
      <w:r w:rsidRPr="007D1B7F">
        <w:rPr>
          <w:lang w:val="pt-PT"/>
        </w:rPr>
        <w:t>1.</w:t>
      </w:r>
      <w:r w:rsidRPr="007D1B7F">
        <w:rPr>
          <w:lang w:val="pt-PT"/>
        </w:rPr>
        <w:tab/>
        <w:t xml:space="preserve">Vazquez-Ucha JC, Seoane-Estevez A, Rodino-Janeiro BK, et al. </w:t>
      </w:r>
      <w:r w:rsidRPr="008F7DED">
        <w:t>Activity of imipenem/relebactam against a Spanish nationwide collection of carbapenemase-producing Enterobacterales. Journal of Antimicrobial Chemotherapy 2021;03:03.</w:t>
      </w:r>
    </w:p>
    <w:p w14:paraId="2129AA52" w14:textId="77777777" w:rsidR="008F7DED" w:rsidRPr="008F7DED" w:rsidRDefault="008F7DED" w:rsidP="008F7DED">
      <w:pPr>
        <w:pStyle w:val="EndNoteBibliography"/>
        <w:spacing w:after="0"/>
      </w:pPr>
      <w:r w:rsidRPr="008F7DED">
        <w:t>2.</w:t>
      </w:r>
      <w:r w:rsidRPr="008F7DED">
        <w:tab/>
        <w:t>Hawkey PM, Warren RE, Livermore DM, et al. Treatment of infections caused by multidrug-resistant gram-negative bacteria: Report of the British society for antimicrobial chemotherapy/healthcare infection society/british infection association joint working party. Journal of Antimicrobial Chemotherapy 2018;73:iii2-iii78.</w:t>
      </w:r>
    </w:p>
    <w:p w14:paraId="4E1C00E8" w14:textId="77777777" w:rsidR="008F7DED" w:rsidRPr="008F7DED" w:rsidRDefault="008F7DED" w:rsidP="008F7DED">
      <w:pPr>
        <w:pStyle w:val="EndNoteBibliography"/>
        <w:spacing w:after="0"/>
      </w:pPr>
      <w:r w:rsidRPr="008F7DED">
        <w:t>3.</w:t>
      </w:r>
      <w:r w:rsidRPr="008F7DED">
        <w:tab/>
        <w:t>Munita JM, Arias CA. Mechanisms of Antibiotic Resistance. Microbiol Spectr 2016;4.</w:t>
      </w:r>
    </w:p>
    <w:p w14:paraId="0B0D711D" w14:textId="77777777" w:rsidR="008F7DED" w:rsidRPr="008F7DED" w:rsidRDefault="008F7DED" w:rsidP="008F7DED">
      <w:pPr>
        <w:pStyle w:val="EndNoteBibliography"/>
        <w:spacing w:after="0"/>
      </w:pPr>
      <w:r w:rsidRPr="008F7DED">
        <w:t>4.</w:t>
      </w:r>
      <w:r w:rsidRPr="008F7DED">
        <w:tab/>
        <w:t>Hawkey PM. Multidrug-resistant Gram-negative bacteria: a product of globalization. J Hosp Infect 2015;89:241-7.</w:t>
      </w:r>
    </w:p>
    <w:p w14:paraId="0C1BA172" w14:textId="77777777" w:rsidR="008F7DED" w:rsidRPr="008F7DED" w:rsidRDefault="008F7DED" w:rsidP="008F7DED">
      <w:pPr>
        <w:pStyle w:val="EndNoteBibliography"/>
        <w:spacing w:after="0"/>
      </w:pPr>
      <w:r w:rsidRPr="008F7DED">
        <w:t>5.</w:t>
      </w:r>
      <w:r w:rsidRPr="008F7DED">
        <w:tab/>
        <w:t>McNulty CAM, Boyle P, Nichols T, Clappison P, Davey P. Don't wear me out—the public's knowledge of and attitudes to antibiotic use. Journal of Antimicrobial Chemotherapy 2007;59:727-38.</w:t>
      </w:r>
    </w:p>
    <w:p w14:paraId="4F3256F2" w14:textId="77777777" w:rsidR="008F7DED" w:rsidRPr="008F7DED" w:rsidRDefault="008F7DED" w:rsidP="008F7DED">
      <w:pPr>
        <w:pStyle w:val="EndNoteBibliography"/>
        <w:spacing w:after="0"/>
      </w:pPr>
      <w:r w:rsidRPr="008F7DED">
        <w:t>6.</w:t>
      </w:r>
      <w:r w:rsidRPr="008F7DED">
        <w:tab/>
        <w:t>Public Health England. English Surveillance Programme for Antimicrobial Utilisation and Resistance (ESPAUR) Report 2019 to 2020. London; 2020.</w:t>
      </w:r>
    </w:p>
    <w:p w14:paraId="7C6C5597" w14:textId="77777777" w:rsidR="008F7DED" w:rsidRPr="008F7DED" w:rsidRDefault="008F7DED" w:rsidP="008F7DED">
      <w:pPr>
        <w:pStyle w:val="EndNoteBibliography"/>
        <w:spacing w:after="0"/>
      </w:pPr>
      <w:r w:rsidRPr="008F7DED">
        <w:t>7.</w:t>
      </w:r>
      <w:r w:rsidRPr="008F7DED">
        <w:tab/>
        <w:t>Hughes S, Gilchrist M, Heard K, Hamilton R, Sneddon J. Treating infections caused by carbapenemase-producing Enterobacterales (CPE): a pragmatic approach to antimicrobial stewardship on behalf of the UKCPA Pharmacy Infection Network (PIN). JAC-Antimicrobial Resistance 2020;2.</w:t>
      </w:r>
    </w:p>
    <w:p w14:paraId="57013344" w14:textId="77777777" w:rsidR="008F7DED" w:rsidRPr="008F7DED" w:rsidRDefault="008F7DED" w:rsidP="008F7DED">
      <w:pPr>
        <w:pStyle w:val="EndNoteBibliography"/>
        <w:spacing w:after="0"/>
      </w:pPr>
      <w:r w:rsidRPr="008F7DED">
        <w:t>8.</w:t>
      </w:r>
      <w:r w:rsidRPr="008F7DED">
        <w:tab/>
        <w:t>World Health Organisation. ‘WHO publishes list of bacteria for which new antibiotics are urgently needed’; 2017.</w:t>
      </w:r>
    </w:p>
    <w:p w14:paraId="12B985B3" w14:textId="77777777" w:rsidR="008F7DED" w:rsidRPr="008F7DED" w:rsidRDefault="008F7DED" w:rsidP="008F7DED">
      <w:pPr>
        <w:pStyle w:val="EndNoteBibliography"/>
        <w:spacing w:after="0"/>
      </w:pPr>
      <w:r w:rsidRPr="008F7DED">
        <w:t>9.</w:t>
      </w:r>
      <w:r w:rsidRPr="008F7DED">
        <w:tab/>
        <w:t>World Health Organisation. Global priority list of antibiotic-resistant bacteria to guide research, discovery, and development of new antibiotics. Geneva, Switzerland.</w:t>
      </w:r>
    </w:p>
    <w:p w14:paraId="3D0DEBA2" w14:textId="77777777" w:rsidR="008F7DED" w:rsidRPr="008F7DED" w:rsidRDefault="008F7DED" w:rsidP="008F7DED">
      <w:pPr>
        <w:pStyle w:val="EndNoteBibliography"/>
        <w:spacing w:after="0"/>
      </w:pPr>
      <w:r w:rsidRPr="008F7DED">
        <w:t>10.</w:t>
      </w:r>
      <w:r w:rsidRPr="008F7DED">
        <w:tab/>
        <w:t>Tan X, Kim HS, Baugh K, et al. Therapeutic Options for Metallo-β-Lactamase-Producing Enterobacterales. Infect Drug Resist 2021;14:125-42.</w:t>
      </w:r>
    </w:p>
    <w:p w14:paraId="029D3FD6" w14:textId="77777777" w:rsidR="008F7DED" w:rsidRPr="008F7DED" w:rsidRDefault="008F7DED" w:rsidP="008F7DED">
      <w:pPr>
        <w:pStyle w:val="EndNoteBibliography"/>
        <w:spacing w:after="0"/>
      </w:pPr>
      <w:r w:rsidRPr="008F7DED">
        <w:t>11.</w:t>
      </w:r>
      <w:r w:rsidRPr="008F7DED">
        <w:tab/>
        <w:t>Medicines.org.uk. Zavicefta 2 g/0.5g powder for concentrate for solution for infusion- Summary of Product Characteristics (SPC) - (eMC); 2021.</w:t>
      </w:r>
    </w:p>
    <w:p w14:paraId="57D2180A" w14:textId="77777777" w:rsidR="008F7DED" w:rsidRPr="008F7DED" w:rsidRDefault="008F7DED" w:rsidP="008F7DED">
      <w:pPr>
        <w:pStyle w:val="EndNoteBibliography"/>
        <w:spacing w:after="0"/>
      </w:pPr>
      <w:r w:rsidRPr="008F7DED">
        <w:t>12.</w:t>
      </w:r>
      <w:r w:rsidRPr="008F7DED">
        <w:tab/>
        <w:t>European Medicines Agency. European Public Assessment Reports - Zavicefta - EMEA/H/C/004027 - II/0015; 2021.</w:t>
      </w:r>
    </w:p>
    <w:p w14:paraId="75ABF116" w14:textId="6423869D" w:rsidR="008F7DED" w:rsidRPr="008F7DED" w:rsidRDefault="008F7DED" w:rsidP="008F7DED">
      <w:pPr>
        <w:pStyle w:val="EndNoteBibliography"/>
        <w:spacing w:after="0"/>
      </w:pPr>
      <w:r w:rsidRPr="008F7DED">
        <w:t>13.</w:t>
      </w:r>
      <w:r w:rsidRPr="008F7DED">
        <w:tab/>
        <w:t xml:space="preserve">Rothery C, Woods B, Schmitt L, Claxton K, Palmer S, Sculpher M. Framework for Value Assessment of New Pharmaceuticals: Implications of alternative funding arrangements for NICE Appraisal. </w:t>
      </w:r>
      <w:r w:rsidRPr="00174117">
        <w:t>http://www.eepru.org.uk/article/framework-for-value-assessment-of-new-antimicrobials-implications-of-alternative-funding-arrangements-for-nice-appraisal/</w:t>
      </w:r>
      <w:r w:rsidRPr="008F7DED">
        <w:t>: EEPRU; 2018.</w:t>
      </w:r>
    </w:p>
    <w:p w14:paraId="057CE5FA" w14:textId="77777777" w:rsidR="008F7DED" w:rsidRPr="007D1B7F" w:rsidRDefault="008F7DED" w:rsidP="008F7DED">
      <w:pPr>
        <w:pStyle w:val="EndNoteBibliography"/>
        <w:spacing w:after="0"/>
        <w:rPr>
          <w:lang w:val="pt-PT"/>
        </w:rPr>
      </w:pPr>
      <w:r w:rsidRPr="008F7DED">
        <w:t>14.</w:t>
      </w:r>
      <w:r w:rsidRPr="008F7DED">
        <w:tab/>
        <w:t xml:space="preserve">Pogue JM, Bonomo RA, Kaye KS. </w:t>
      </w:r>
      <w:r w:rsidRPr="007D1B7F">
        <w:rPr>
          <w:lang w:val="pt-PT"/>
        </w:rPr>
        <w:t>Ceftazidime/avibactam, meropenem/vaborbactam, or both? Clinical and formulary considerations. Clinical Infectious Diseases 2019;68:519-24.</w:t>
      </w:r>
    </w:p>
    <w:p w14:paraId="4EFE9D5C" w14:textId="77777777" w:rsidR="008F7DED" w:rsidRPr="007D1B7F" w:rsidRDefault="008F7DED" w:rsidP="008F7DED">
      <w:pPr>
        <w:pStyle w:val="EndNoteBibliography"/>
        <w:spacing w:after="0"/>
        <w:rPr>
          <w:lang w:val="pt-PT"/>
        </w:rPr>
      </w:pPr>
      <w:r w:rsidRPr="007D1B7F">
        <w:rPr>
          <w:lang w:val="pt-PT"/>
        </w:rPr>
        <w:t>15.</w:t>
      </w:r>
      <w:r w:rsidRPr="007D1B7F">
        <w:rPr>
          <w:lang w:val="pt-PT"/>
        </w:rPr>
        <w:tab/>
        <w:t>Schäfer E, Malecki M, Tellez-Castillo CJ, et al. Molecular surveillance of carbapenemase-producing Pseudomonas aeruginosa at three medical centres in Cologne, Germany. Antimicrobial Resistance &amp; Infection Control 2019;8:1-7.</w:t>
      </w:r>
    </w:p>
    <w:p w14:paraId="0A2A3F21" w14:textId="77777777" w:rsidR="008F7DED" w:rsidRPr="008F7DED" w:rsidRDefault="008F7DED" w:rsidP="008F7DED">
      <w:pPr>
        <w:pStyle w:val="EndNoteBibliography"/>
        <w:spacing w:after="0"/>
      </w:pPr>
      <w:r w:rsidRPr="007D1B7F">
        <w:rPr>
          <w:lang w:val="pt-PT"/>
        </w:rPr>
        <w:t>16.</w:t>
      </w:r>
      <w:r w:rsidRPr="007D1B7F">
        <w:rPr>
          <w:lang w:val="pt-PT"/>
        </w:rPr>
        <w:tab/>
        <w:t xml:space="preserve">Tamma PD, Hsu AJ. Defining the Role of Novel </w:t>
      </w:r>
      <w:r w:rsidRPr="008F7DED">
        <w:t>β</w:t>
      </w:r>
      <w:r w:rsidRPr="007D1B7F">
        <w:rPr>
          <w:lang w:val="pt-PT"/>
        </w:rPr>
        <w:t xml:space="preserve">-Lactam Agents That Target Carbapenem-Resistant Gram-Negative Organisms. </w:t>
      </w:r>
      <w:r w:rsidRPr="008F7DED">
        <w:t>J Pediatric Infect Dis Soc 2019;8:251-60.</w:t>
      </w:r>
    </w:p>
    <w:p w14:paraId="3118A11A" w14:textId="77777777" w:rsidR="008F7DED" w:rsidRPr="008F7DED" w:rsidRDefault="008F7DED" w:rsidP="008F7DED">
      <w:pPr>
        <w:pStyle w:val="EndNoteBibliography"/>
        <w:spacing w:after="0"/>
      </w:pPr>
      <w:r w:rsidRPr="008F7DED">
        <w:t>17.</w:t>
      </w:r>
      <w:r w:rsidRPr="008F7DED">
        <w:tab/>
        <w:t>Public Health England. Framework of actions to contain carbapenemase-producing enterobacterales. London; 2020.</w:t>
      </w:r>
    </w:p>
    <w:p w14:paraId="47C3024B" w14:textId="77777777" w:rsidR="008F7DED" w:rsidRPr="008F7DED" w:rsidRDefault="008F7DED" w:rsidP="008F7DED">
      <w:pPr>
        <w:pStyle w:val="EndNoteBibliography"/>
        <w:spacing w:after="0"/>
      </w:pPr>
      <w:r w:rsidRPr="008F7DED">
        <w:t>18.</w:t>
      </w:r>
      <w:r w:rsidRPr="008F7DED">
        <w:tab/>
        <w:t>Public Health England. UK Standards for Microbiology Investigations: Detection of bacteria with carbapenem-hydrolysing β-lactamases (carbapenemases). London; 2020.</w:t>
      </w:r>
    </w:p>
    <w:p w14:paraId="356D4B3E" w14:textId="2105CD81" w:rsidR="008F7DED" w:rsidRPr="008F7DED" w:rsidRDefault="008F7DED" w:rsidP="008F7DED">
      <w:pPr>
        <w:pStyle w:val="EndNoteBibliography"/>
        <w:spacing w:after="0"/>
      </w:pPr>
      <w:r w:rsidRPr="008F7DED">
        <w:t>19.</w:t>
      </w:r>
      <w:r w:rsidRPr="008F7DED">
        <w:tab/>
      </w:r>
      <w:r w:rsidRPr="00174117">
        <w:t>https://www.ncbi.nlm.nih.gov/pmc/articles/PMC1932754/</w:t>
      </w:r>
      <w:r w:rsidRPr="008F7DED">
        <w:t xml:space="preserve">. (Accessed at </w:t>
      </w:r>
      <w:r w:rsidRPr="00174117">
        <w:t>https://www.ncbi.nlm.nih.gov/pmc/articles/PMC1932754/</w:t>
      </w:r>
      <w:r w:rsidRPr="008F7DED">
        <w:t>.)</w:t>
      </w:r>
    </w:p>
    <w:p w14:paraId="2DCECB52" w14:textId="3E1F51F8" w:rsidR="008F7DED" w:rsidRPr="008F7DED" w:rsidRDefault="008F7DED" w:rsidP="008F7DED">
      <w:pPr>
        <w:pStyle w:val="EndNoteBibliography"/>
        <w:spacing w:after="0"/>
      </w:pPr>
      <w:r w:rsidRPr="008F7DED">
        <w:t>20.</w:t>
      </w:r>
      <w:r w:rsidRPr="008F7DED">
        <w:tab/>
      </w:r>
      <w:r w:rsidRPr="00174117">
        <w:t>https://www.eucast.org/fileadmin/src/media/PDFs/EUCAST_files/EUCAST_SOPs/EUCAST_S</w:t>
      </w:r>
      <w:r w:rsidRPr="00174117">
        <w:lastRenderedPageBreak/>
        <w:t>OP_1.3_Setting_breakpoints_new_agents_20191023.pdf</w:t>
      </w:r>
      <w:r w:rsidRPr="008F7DED">
        <w:t xml:space="preserve">. (Accessed at </w:t>
      </w:r>
      <w:r w:rsidRPr="00174117">
        <w:t>https://www.eucast.org/fileadmin/src/media/PDFs/EUCAST_files/EUCAST_SOPs/EUCAST_SOP_1.3_Setting_breakpoints_new_agents_20191023.pdf</w:t>
      </w:r>
      <w:r w:rsidRPr="008F7DED">
        <w:t>.)</w:t>
      </w:r>
    </w:p>
    <w:p w14:paraId="09524C7F" w14:textId="77777777" w:rsidR="008F7DED" w:rsidRPr="008F7DED" w:rsidRDefault="008F7DED" w:rsidP="008F7DED">
      <w:pPr>
        <w:pStyle w:val="EndNoteBibliography"/>
        <w:spacing w:after="0"/>
      </w:pPr>
      <w:r w:rsidRPr="008F7DED">
        <w:t>21.</w:t>
      </w:r>
      <w:r w:rsidRPr="008F7DED">
        <w:tab/>
        <w:t>Harnan SE, Cooper K, Jones SL, Jones E. Pruning and prioritising: a case study of a pragmatic method for managing a rapid systematic review with limited resources. Evidence &amp; Policy: A Journal of Research, Debate and Practice 2015;11:589-601.</w:t>
      </w:r>
    </w:p>
    <w:p w14:paraId="79349511" w14:textId="77777777" w:rsidR="008F7DED" w:rsidRPr="008F7DED" w:rsidRDefault="008F7DED" w:rsidP="008F7DED">
      <w:pPr>
        <w:pStyle w:val="EndNoteBibliography"/>
        <w:spacing w:after="0"/>
      </w:pPr>
      <w:r w:rsidRPr="008F7DED">
        <w:t>22.</w:t>
      </w:r>
      <w:r w:rsidRPr="008F7DED">
        <w:tab/>
        <w:t>Uttley L, Whiteman BL, Woods HB, et al. Building the evidence base of blood-based biomarkers for early detection of cancer: a rapid systematic mapping review. EBioMedicine 2016;10:164-73.</w:t>
      </w:r>
    </w:p>
    <w:p w14:paraId="652DEE88" w14:textId="77777777" w:rsidR="008F7DED" w:rsidRPr="008F7DED" w:rsidRDefault="008F7DED" w:rsidP="008F7DED">
      <w:pPr>
        <w:pStyle w:val="EndNoteBibliography"/>
        <w:spacing w:after="0"/>
      </w:pPr>
      <w:r w:rsidRPr="008F7DED">
        <w:t>23.</w:t>
      </w:r>
      <w:r w:rsidRPr="008F7DED">
        <w:tab/>
        <w:t>Kaltenthaler E, Tappenden P, Paisley S, Squires H. NICE DSU technical support document 13: identifying and reviewing evidence to inform the conceptualisation and population of cost-effectiveness models. Sheffield: Decision Support Unit, ScHARR, University of Sheffield 2011.</w:t>
      </w:r>
    </w:p>
    <w:p w14:paraId="52799AFF" w14:textId="1CEABFA7" w:rsidR="008F7DED" w:rsidRPr="008F7DED" w:rsidRDefault="008F7DED" w:rsidP="008F7DED">
      <w:pPr>
        <w:pStyle w:val="EndNoteBibliography"/>
        <w:spacing w:after="0"/>
      </w:pPr>
      <w:r w:rsidRPr="008F7DED">
        <w:t>24.</w:t>
      </w:r>
      <w:r w:rsidRPr="008F7DED">
        <w:tab/>
      </w:r>
      <w:r w:rsidRPr="00174117">
        <w:t>https://atlas-surveillance.com/#/login</w:t>
      </w:r>
      <w:r w:rsidRPr="008F7DED">
        <w:t xml:space="preserve">. (Accessed 2021, at </w:t>
      </w:r>
    </w:p>
    <w:p w14:paraId="7EB0BA11" w14:textId="672EFE45" w:rsidR="008F7DED" w:rsidRPr="008F7DED" w:rsidRDefault="008F7DED" w:rsidP="008F7DED">
      <w:pPr>
        <w:pStyle w:val="EndNoteBibliography"/>
        <w:spacing w:after="0"/>
      </w:pPr>
      <w:r w:rsidRPr="008F7DED">
        <w:t>25.</w:t>
      </w:r>
      <w:r w:rsidRPr="008F7DED">
        <w:tab/>
      </w:r>
      <w:r w:rsidRPr="00174117">
        <w:t>https://sentry-mvp.jmilabs.com/</w:t>
      </w:r>
      <w:r w:rsidRPr="008F7DED">
        <w:t xml:space="preserve">. (Accessed 2021, at </w:t>
      </w:r>
    </w:p>
    <w:p w14:paraId="276E6348" w14:textId="54DF1CD6" w:rsidR="008F7DED" w:rsidRPr="008F7DED" w:rsidRDefault="008F7DED" w:rsidP="008F7DED">
      <w:pPr>
        <w:pStyle w:val="EndNoteBibliography"/>
        <w:spacing w:after="0"/>
      </w:pPr>
      <w:r w:rsidRPr="008F7DED">
        <w:t>26.</w:t>
      </w:r>
      <w:r w:rsidRPr="008F7DED">
        <w:tab/>
      </w:r>
      <w:r w:rsidRPr="00174117">
        <w:t>https://www.sciencedirect.com/science/article/pii/S0895435612000790?casa_token=6ZUDkp72kDQAAAAA:g41_SmUvOR2rA_T2Ckeni84rHu8BYNnk7cxUM3xJ_fsO76kqdjkuc4DslE4lqHZVhn1LXdN_</w:t>
      </w:r>
      <w:r w:rsidRPr="008F7DED">
        <w:t xml:space="preserve">. (Accessed at </w:t>
      </w:r>
      <w:r w:rsidRPr="00174117">
        <w:t>https://www.sciencedirect.com/science/article/pii/S0895435612000790?casa_token=6ZUDkp72kDQAAAAA:g41_SmUvOR2rA_T2Ckeni84rHu8BYNnk7cxUM3xJ_fsO76kqdjkuc4DslE4lqHZVhn1LXdN_</w:t>
      </w:r>
      <w:r w:rsidRPr="008F7DED">
        <w:t>.)</w:t>
      </w:r>
    </w:p>
    <w:p w14:paraId="428DCA8C" w14:textId="1A187561" w:rsidR="008F7DED" w:rsidRPr="008F7DED" w:rsidRDefault="008F7DED" w:rsidP="008F7DED">
      <w:pPr>
        <w:pStyle w:val="EndNoteBibliography"/>
        <w:spacing w:after="0"/>
      </w:pPr>
      <w:r w:rsidRPr="008F7DED">
        <w:t>27.</w:t>
      </w:r>
      <w:r w:rsidRPr="008F7DED">
        <w:tab/>
      </w:r>
      <w:r w:rsidRPr="00174117">
        <w:t>https://jbi.global/critical-appraisal-tools</w:t>
      </w:r>
      <w:r w:rsidRPr="008F7DED">
        <w:t xml:space="preserve">. (Accessed 2021, at </w:t>
      </w:r>
      <w:r w:rsidRPr="00174117">
        <w:t>https://jbi.global/critical-appraisal-tools</w:t>
      </w:r>
      <w:r w:rsidRPr="008F7DED">
        <w:t>.)</w:t>
      </w:r>
    </w:p>
    <w:p w14:paraId="5C88A53F" w14:textId="77777777" w:rsidR="008F7DED" w:rsidRPr="008F7DED" w:rsidRDefault="008F7DED" w:rsidP="008F7DED">
      <w:pPr>
        <w:pStyle w:val="EndNoteBibliography"/>
        <w:spacing w:after="0"/>
      </w:pPr>
      <w:r w:rsidRPr="008F7DED">
        <w:t>28.</w:t>
      </w:r>
      <w:r w:rsidRPr="008F7DED">
        <w:tab/>
        <w:t>Hinneburg I. ROBINS-1: A tool for asssessing risk of bias in non-randomised studies of interventions. Med Monatsschr Pharm 2017;40:175-7.</w:t>
      </w:r>
    </w:p>
    <w:p w14:paraId="653B6189" w14:textId="77777777" w:rsidR="008F7DED" w:rsidRPr="008F7DED" w:rsidRDefault="008F7DED" w:rsidP="008F7DED">
      <w:pPr>
        <w:pStyle w:val="EndNoteBibliography"/>
        <w:spacing w:after="0"/>
      </w:pPr>
      <w:r w:rsidRPr="008F7DED">
        <w:t>29.</w:t>
      </w:r>
      <w:r w:rsidRPr="008F7DED">
        <w:tab/>
        <w:t>Sterne JA, Savović J, Page MJ, et al. RoB 2: a revised tool for assessing risk of bias in randomised trials. bmj 2019;366.</w:t>
      </w:r>
    </w:p>
    <w:p w14:paraId="42F44A13" w14:textId="77777777" w:rsidR="008F7DED" w:rsidRPr="008F7DED" w:rsidRDefault="008F7DED" w:rsidP="008F7DED">
      <w:pPr>
        <w:pStyle w:val="EndNoteBibliography"/>
        <w:spacing w:after="0"/>
      </w:pPr>
      <w:r w:rsidRPr="008F7DED">
        <w:t>30.</w:t>
      </w:r>
      <w:r w:rsidRPr="008F7DED">
        <w:tab/>
        <w:t>Peterson J, Welch V, Losos M, Tugwell P. The Newcastle-Ottawa scale (NOS) for assessing the quality of nonrandomised studies in meta-analyses. Ottawa: Ottawa Hospital Research Institute 2011:1-12.</w:t>
      </w:r>
    </w:p>
    <w:p w14:paraId="7C7F6FE3" w14:textId="77777777" w:rsidR="008F7DED" w:rsidRPr="008F7DED" w:rsidRDefault="008F7DED" w:rsidP="008F7DED">
      <w:pPr>
        <w:pStyle w:val="EndNoteBibliography"/>
        <w:spacing w:after="0"/>
      </w:pPr>
      <w:r w:rsidRPr="008F7DED">
        <w:t>31.</w:t>
      </w:r>
      <w:r w:rsidRPr="008F7DED">
        <w:tab/>
        <w:t>Pfizer. Evidence Submission to NICE. Ceftazidime with avibactam for treating severe aerobic Gram-negative bacterial infections; 2021 3 June 2021.</w:t>
      </w:r>
    </w:p>
    <w:p w14:paraId="7E37F709" w14:textId="77777777" w:rsidR="008F7DED" w:rsidRPr="008F7DED" w:rsidRDefault="008F7DED" w:rsidP="008F7DED">
      <w:pPr>
        <w:pStyle w:val="EndNoteBibliography"/>
        <w:spacing w:after="0"/>
      </w:pPr>
      <w:r w:rsidRPr="00454CF5">
        <w:rPr>
          <w:lang w:val="fr-FR"/>
        </w:rPr>
        <w:t>32.</w:t>
      </w:r>
      <w:r w:rsidRPr="00454CF5">
        <w:rPr>
          <w:lang w:val="fr-FR"/>
        </w:rPr>
        <w:tab/>
        <w:t xml:space="preserve">Carmeli Y, Armstrong J, Laud PJ, et al. </w:t>
      </w:r>
      <w:r w:rsidRPr="008F7DED">
        <w:t>Ceftazidime-avibactam or best available therapy in patients with ceftazidime-resistant Enterobacteriaceae and Pseudomonas aeruginosa complicated urinary tract infections or complicated intra-abdominal infections (REPRISE): a randomised, pathogen-directed, phase 3 study. The Lancet Infectious Diseases 2016;16:661-73.</w:t>
      </w:r>
    </w:p>
    <w:p w14:paraId="11297E9A" w14:textId="77777777" w:rsidR="008F7DED" w:rsidRPr="008F7DED" w:rsidRDefault="008F7DED" w:rsidP="008F7DED">
      <w:pPr>
        <w:pStyle w:val="EndNoteBibliography"/>
        <w:spacing w:after="0"/>
      </w:pPr>
      <w:r w:rsidRPr="008F7DED">
        <w:t>33.</w:t>
      </w:r>
      <w:r w:rsidRPr="008F7DED">
        <w:tab/>
        <w:t>Torres A, Zhong N, Pachl J, et al. Ceftazidime-avibactam versus meropenem in nosocomial pneumonia, including ventilator-associated pneumonia (REPROVE): a randomised, double-blind, phase 3 non-inferiority trial. The Lancet Infectious Diseases 2018;18:285-95.</w:t>
      </w:r>
    </w:p>
    <w:p w14:paraId="14AEFF04" w14:textId="77777777" w:rsidR="008F7DED" w:rsidRPr="008F7DED" w:rsidRDefault="008F7DED" w:rsidP="008F7DED">
      <w:pPr>
        <w:pStyle w:val="EndNoteBibliography"/>
        <w:spacing w:after="0"/>
      </w:pPr>
      <w:r w:rsidRPr="008F7DED">
        <w:t>34.</w:t>
      </w:r>
      <w:r w:rsidRPr="008F7DED">
        <w:tab/>
        <w:t>Vazquez JA, Gonzalez Patzan LD, Stricklin D, et al. Efficacy and safety of ceftazidime-avibactam versus imipenem-cilastatin in the treatment of complicated urinary tract infections, including acute pyelonephritis, in hospitalized adults: results of a prospective, investigator-blinded, randomized study. Curr Med Res Opin 2012;28:1921-31.</w:t>
      </w:r>
    </w:p>
    <w:p w14:paraId="26810C4B" w14:textId="77777777" w:rsidR="008F7DED" w:rsidRPr="008F7DED" w:rsidRDefault="008F7DED" w:rsidP="008F7DED">
      <w:pPr>
        <w:pStyle w:val="EndNoteBibliography"/>
        <w:spacing w:after="0"/>
      </w:pPr>
      <w:r w:rsidRPr="008F7DED">
        <w:t>35.</w:t>
      </w:r>
      <w:r w:rsidRPr="008F7DED">
        <w:tab/>
        <w:t>Wagenlehner FM, Sobel JD, Newell P, et al. Ceftazidime-avibactam Versus Doripenem for the Treatment of Complicated Urinary Tract Infections, Including Acute Pyelonephritis: RECAPTURE, a Phase 3 Randomized Trial Program. Clinical Infectious Diseases 2016;63:754-62.</w:t>
      </w:r>
    </w:p>
    <w:p w14:paraId="43C747D2" w14:textId="77777777" w:rsidR="008F7DED" w:rsidRPr="007D1B7F" w:rsidRDefault="008F7DED" w:rsidP="008F7DED">
      <w:pPr>
        <w:pStyle w:val="EndNoteBibliography"/>
        <w:spacing w:after="0"/>
        <w:rPr>
          <w:lang w:val="es-ES_tradnl"/>
        </w:rPr>
      </w:pPr>
      <w:r w:rsidRPr="008F7DED">
        <w:t>36.</w:t>
      </w:r>
      <w:r w:rsidRPr="008F7DED">
        <w:tab/>
        <w:t xml:space="preserve">Alraddadi BM, Saeedi M, Qutub M, Alshukairi A, Hassanien A, Wali G. Efficacy of ceftazidime-avibactam in the treatment of infections due to Carbapenem-resistant Enterobacteriaceae. </w:t>
      </w:r>
      <w:r w:rsidRPr="007D1B7F">
        <w:rPr>
          <w:lang w:val="es-ES_tradnl"/>
        </w:rPr>
        <w:t>BMC Infectious Diseases 2019;19.</w:t>
      </w:r>
    </w:p>
    <w:p w14:paraId="7C98D910" w14:textId="77777777" w:rsidR="008F7DED" w:rsidRPr="008F7DED" w:rsidRDefault="008F7DED" w:rsidP="008F7DED">
      <w:pPr>
        <w:pStyle w:val="EndNoteBibliography"/>
        <w:spacing w:after="0"/>
      </w:pPr>
      <w:r w:rsidRPr="007D1B7F">
        <w:rPr>
          <w:lang w:val="es-ES_tradnl"/>
        </w:rPr>
        <w:t>37.</w:t>
      </w:r>
      <w:r w:rsidRPr="007D1B7F">
        <w:rPr>
          <w:lang w:val="es-ES_tradnl"/>
        </w:rPr>
        <w:tab/>
        <w:t xml:space="preserve">De la Calle C, Rodriguez O, Morata L, et al. </w:t>
      </w:r>
      <w:r w:rsidRPr="008F7DED">
        <w:t>Clinical characteristics and prognosis of infections caused by OXA-48 carbapenemase-producing Enterobacteriaceae in patients treated with ceftazidime-avibactam. International Journal of Antimicrobial Agents 2019;53:520-4.</w:t>
      </w:r>
    </w:p>
    <w:p w14:paraId="4DE2CB1D" w14:textId="77777777" w:rsidR="008F7DED" w:rsidRPr="008F7DED" w:rsidRDefault="008F7DED" w:rsidP="008F7DED">
      <w:pPr>
        <w:pStyle w:val="EndNoteBibliography"/>
        <w:spacing w:after="0"/>
      </w:pPr>
      <w:r w:rsidRPr="008F7DED">
        <w:lastRenderedPageBreak/>
        <w:t>38.</w:t>
      </w:r>
      <w:r w:rsidRPr="008F7DED">
        <w:tab/>
        <w:t>Katchanov J, Asar L, Klupp EM, et al. Carbapenem-resistant Gram-negative pathogens in a German university medical center: Prevalence, clinical implications and the role of novel beta-lactam/beta-lactamase inhibitor combinations. PLoS ONE [Electronic Resource] 2018;13:e0195757.</w:t>
      </w:r>
    </w:p>
    <w:p w14:paraId="77BD220A" w14:textId="77777777" w:rsidR="008F7DED" w:rsidRPr="008F7DED" w:rsidRDefault="008F7DED" w:rsidP="008F7DED">
      <w:pPr>
        <w:pStyle w:val="EndNoteBibliography"/>
        <w:spacing w:after="0"/>
      </w:pPr>
      <w:r w:rsidRPr="008F7DED">
        <w:t>39.</w:t>
      </w:r>
      <w:r w:rsidRPr="008F7DED">
        <w:tab/>
        <w:t>Lim FH, Modha DE, Collins E, Westmoreland D, Ashton C, Jenkins DR. An outbreak of two strains of OXA-48 producing Klebsiella pneumoniae in a teaching hospital. Infection Prevention in Practice 2020;2.</w:t>
      </w:r>
    </w:p>
    <w:p w14:paraId="1241D27F" w14:textId="77777777" w:rsidR="008F7DED" w:rsidRPr="008F7DED" w:rsidRDefault="008F7DED" w:rsidP="008F7DED">
      <w:pPr>
        <w:pStyle w:val="EndNoteBibliography"/>
        <w:spacing w:after="0"/>
      </w:pPr>
      <w:r w:rsidRPr="008F7DED">
        <w:t>40.</w:t>
      </w:r>
      <w:r w:rsidRPr="008F7DED">
        <w:tab/>
        <w:t>Sousa A, Perez-Rodriguez MT, Soto A, et al. Effectiveness of ceftazidime/avibactam as salvage therapy for treatment of infections due to OXA-48 carbapenemase-producing Enterobacteriaceae. Journal of Antimicrobial Chemotherapy 2018;73:3170-5.</w:t>
      </w:r>
    </w:p>
    <w:p w14:paraId="751C4B70" w14:textId="77777777" w:rsidR="008F7DED" w:rsidRPr="008F7DED" w:rsidRDefault="008F7DED" w:rsidP="008F7DED">
      <w:pPr>
        <w:pStyle w:val="EndNoteBibliography"/>
        <w:spacing w:after="0"/>
      </w:pPr>
      <w:r w:rsidRPr="0004276C">
        <w:rPr>
          <w:lang w:val="it-IT"/>
        </w:rPr>
        <w:t>41.</w:t>
      </w:r>
      <w:r w:rsidRPr="0004276C">
        <w:rPr>
          <w:lang w:val="it-IT"/>
        </w:rPr>
        <w:tab/>
        <w:t xml:space="preserve">Temkin E, Torre-Cisneros J, Beovic B, et al. </w:t>
      </w:r>
      <w:r w:rsidRPr="008F7DED">
        <w:t>Ceftazidime-Avibactam as Salvage Therapy for Infections Caused by Carbapenem-Resistant Organisms. Antimicrob Agents Chemother 2017;61:02.</w:t>
      </w:r>
    </w:p>
    <w:p w14:paraId="6223D489" w14:textId="77777777" w:rsidR="008F7DED" w:rsidRPr="008F7DED" w:rsidRDefault="008F7DED" w:rsidP="008F7DED">
      <w:pPr>
        <w:pStyle w:val="EndNoteBibliography"/>
        <w:spacing w:after="0"/>
      </w:pPr>
      <w:r w:rsidRPr="008F7DED">
        <w:t>42.</w:t>
      </w:r>
      <w:r w:rsidRPr="008F7DED">
        <w:tab/>
        <w:t>Karaiskos I, Daikos GL, Gkoufa A, et al. Ceftazidime/avibactam in the era of carbapenemase-producing Klebsiella pneumoniae: experience from a national registry study. Journal of Antimicrobial Chemotherapy 2021;76:775-83.</w:t>
      </w:r>
    </w:p>
    <w:p w14:paraId="1A60CB8D" w14:textId="77777777" w:rsidR="008F7DED" w:rsidRPr="008F7DED" w:rsidRDefault="008F7DED" w:rsidP="008F7DED">
      <w:pPr>
        <w:pStyle w:val="EndNoteBibliography"/>
        <w:spacing w:after="0"/>
      </w:pPr>
      <w:r w:rsidRPr="008F7DED">
        <w:t>43.</w:t>
      </w:r>
      <w:r w:rsidRPr="008F7DED">
        <w:tab/>
        <w:t>Nwankwo L, Butt Z, Schelenz S. Experience of Ceftazidime/avibactam in a UK tertiary cardiopulmonary specialist center. Expert Rev Anti Infect Ther 2021;19:101-8.</w:t>
      </w:r>
    </w:p>
    <w:p w14:paraId="5CD0D2F3" w14:textId="77777777" w:rsidR="008F7DED" w:rsidRPr="008F7DED" w:rsidRDefault="008F7DED" w:rsidP="008F7DED">
      <w:pPr>
        <w:pStyle w:val="EndNoteBibliography"/>
        <w:spacing w:after="0"/>
      </w:pPr>
      <w:r w:rsidRPr="008F7DED">
        <w:t>44.</w:t>
      </w:r>
      <w:r w:rsidRPr="008F7DED">
        <w:tab/>
        <w:t>England PH. OXA-48 isolates. In; 2021.</w:t>
      </w:r>
    </w:p>
    <w:p w14:paraId="09B6D0E7" w14:textId="77777777" w:rsidR="008F7DED" w:rsidRPr="008F7DED" w:rsidRDefault="008F7DED" w:rsidP="008F7DED">
      <w:pPr>
        <w:pStyle w:val="EndNoteBibliography"/>
        <w:spacing w:after="0"/>
      </w:pPr>
      <w:r w:rsidRPr="008F7DED">
        <w:t>45.</w:t>
      </w:r>
      <w:r w:rsidRPr="008F7DED">
        <w:tab/>
        <w:t>Deshpande L. Comparison of the activity of ceftazidime-avibactam and meropenem-vaborbactam against Enterobacterales isolates carrying blaOXA-48-like genes. Final report. North Liberty, Iowa, USA; 2021.</w:t>
      </w:r>
    </w:p>
    <w:p w14:paraId="4AFC8953" w14:textId="77777777" w:rsidR="008F7DED" w:rsidRPr="008F7DED" w:rsidRDefault="008F7DED" w:rsidP="008F7DED">
      <w:pPr>
        <w:pStyle w:val="EndNoteBibliography"/>
        <w:spacing w:after="0"/>
      </w:pPr>
      <w:r w:rsidRPr="008F7DED">
        <w:t>46.</w:t>
      </w:r>
      <w:r w:rsidRPr="008F7DED">
        <w:tab/>
        <w:t>Bhagwat SS, Hariharan P, Joshi PR, et al. Activity of cefepime/zidebactam against MDR Escherichia coli isolates harbouring a novel mechanism of resistance based on four-amino-acid inserts in PBP3. Journal of Antimicrobial Chemotherapy 2020;75:3563-7.</w:t>
      </w:r>
    </w:p>
    <w:p w14:paraId="3D2CFB64" w14:textId="77777777" w:rsidR="008F7DED" w:rsidRPr="008F7DED" w:rsidRDefault="008F7DED" w:rsidP="008F7DED">
      <w:pPr>
        <w:pStyle w:val="EndNoteBibliography"/>
        <w:spacing w:after="0"/>
      </w:pPr>
      <w:r w:rsidRPr="008F7DED">
        <w:t>47.</w:t>
      </w:r>
      <w:r w:rsidRPr="008F7DED">
        <w:tab/>
        <w:t>de Jonge BL, Karlowsky JA, Kazmierczak KM, Biedenbach DJ, Sahm DF, Nichols WW. In Vitro Susceptibility to Ceftazidime-Avibactam of Carbapenem-Nonsusceptible Enterobacteriaceae Isolates Collected during the INFORM Global Surveillance Study (2012 to 2014). Antimicrob Agents Chemother 2016;60:3163-9.</w:t>
      </w:r>
    </w:p>
    <w:p w14:paraId="5E814A5B" w14:textId="77777777" w:rsidR="008F7DED" w:rsidRPr="008F7DED" w:rsidRDefault="008F7DED" w:rsidP="008F7DED">
      <w:pPr>
        <w:pStyle w:val="EndNoteBibliography"/>
        <w:spacing w:after="0"/>
      </w:pPr>
      <w:r w:rsidRPr="008F7DED">
        <w:t>48.</w:t>
      </w:r>
      <w:r w:rsidRPr="008F7DED">
        <w:tab/>
        <w:t>Dobias J, Denervaud-Tendon V, Poirel L, Nordmann P. Activity of the novel siderophore cephalosporin cefiderocol against multidrug-resistant Gram-negative pathogens. European Journal of Clinical Microbiology and Infectious Diseases 2017;36:2319-27.</w:t>
      </w:r>
    </w:p>
    <w:p w14:paraId="3F27B18E" w14:textId="77777777" w:rsidR="008F7DED" w:rsidRPr="008F7DED" w:rsidRDefault="008F7DED" w:rsidP="008F7DED">
      <w:pPr>
        <w:pStyle w:val="EndNoteBibliography"/>
        <w:spacing w:after="0"/>
      </w:pPr>
      <w:r w:rsidRPr="008F7DED">
        <w:t>49.</w:t>
      </w:r>
      <w:r w:rsidRPr="008F7DED">
        <w:tab/>
        <w:t>Galani I, Karaiskos I, Karantani I, et al. Epidemiology and resistance phenotypes of carbapenemase-producing Klebsiella pneumoniae in Greece, 2014 to 2016. Eurosurveillance 2018;23.</w:t>
      </w:r>
    </w:p>
    <w:p w14:paraId="4DAF2DFB" w14:textId="77777777" w:rsidR="008F7DED" w:rsidRPr="0004276C" w:rsidRDefault="008F7DED" w:rsidP="008F7DED">
      <w:pPr>
        <w:pStyle w:val="EndNoteBibliography"/>
        <w:spacing w:after="0"/>
        <w:rPr>
          <w:lang w:val="it-IT"/>
        </w:rPr>
      </w:pPr>
      <w:r w:rsidRPr="0004276C">
        <w:rPr>
          <w:lang w:val="it-IT"/>
        </w:rPr>
        <w:t>50.</w:t>
      </w:r>
      <w:r w:rsidRPr="0004276C">
        <w:rPr>
          <w:lang w:val="it-IT"/>
        </w:rPr>
        <w:tab/>
        <w:t>Galani I, Souli M, Nafplioti K, et al. In vitro activity of imipenem-relebactam against non-MBL carbapenemase-producing Klebsiella pneumoniae isolated in Greek hospitals in 2015-2016. Eur J Clin Microbiol Infect Dis 2019;38:1143-50.</w:t>
      </w:r>
    </w:p>
    <w:p w14:paraId="0A2259A8" w14:textId="77777777" w:rsidR="008F7DED" w:rsidRPr="0004276C" w:rsidRDefault="008F7DED" w:rsidP="008F7DED">
      <w:pPr>
        <w:pStyle w:val="EndNoteBibliography"/>
        <w:spacing w:after="0"/>
        <w:rPr>
          <w:lang w:val="it-IT"/>
        </w:rPr>
      </w:pPr>
      <w:r w:rsidRPr="0004276C">
        <w:rPr>
          <w:lang w:val="it-IT"/>
        </w:rPr>
        <w:t>51.</w:t>
      </w:r>
      <w:r w:rsidRPr="0004276C">
        <w:rPr>
          <w:lang w:val="it-IT"/>
        </w:rPr>
        <w:tab/>
        <w:t>Garcia-Castillo M, Garcia-Fernandez S, Gomez-Gil R, et al. Activity of ceftazidime-avibactam against carbapenemase-producing Enterobacteriaceae from urine specimens obtained during the infection-carbapenem resistance evaluation surveillance trial (iCREST) in Spain. International Journal of Antimicrobial Agents 2018;51:511-5.</w:t>
      </w:r>
    </w:p>
    <w:p w14:paraId="1B371EE3" w14:textId="77777777" w:rsidR="008F7DED" w:rsidRPr="0004276C" w:rsidRDefault="008F7DED" w:rsidP="008F7DED">
      <w:pPr>
        <w:pStyle w:val="EndNoteBibliography"/>
        <w:spacing w:after="0"/>
        <w:rPr>
          <w:lang w:val="it-IT"/>
        </w:rPr>
      </w:pPr>
      <w:r w:rsidRPr="0004276C">
        <w:rPr>
          <w:lang w:val="it-IT"/>
        </w:rPr>
        <w:t>52.</w:t>
      </w:r>
      <w:r w:rsidRPr="0004276C">
        <w:rPr>
          <w:lang w:val="it-IT"/>
        </w:rPr>
        <w:tab/>
        <w:t>Han R, Shi Q, Wu S, et al. Dissemination of Carbapenemases (KPC, NDM, OXA-48, IMP, and VIM) Among Carbapenem-Resistant Enterobacteriaceae Isolated From Adult and Children Patients in China. Frontiers in Cellular &amp; Infection Microbiology 2020;10:314.</w:t>
      </w:r>
    </w:p>
    <w:p w14:paraId="788247BC" w14:textId="77777777" w:rsidR="008F7DED" w:rsidRPr="0004276C" w:rsidRDefault="008F7DED" w:rsidP="008F7DED">
      <w:pPr>
        <w:pStyle w:val="EndNoteBibliography"/>
        <w:spacing w:after="0"/>
        <w:rPr>
          <w:lang w:val="it-IT"/>
        </w:rPr>
      </w:pPr>
      <w:r w:rsidRPr="0004276C">
        <w:rPr>
          <w:lang w:val="it-IT"/>
        </w:rPr>
        <w:t>53.</w:t>
      </w:r>
      <w:r w:rsidRPr="0004276C">
        <w:rPr>
          <w:lang w:val="it-IT"/>
        </w:rPr>
        <w:tab/>
        <w:t>Johnston BD, Thuras P, Porter SB, et al. Activity of cefiderocol, ceftazidime-avibactam, and eravacycline against carbapenem-resistant escherichia coli isolates from the united states and international sites in relation to clonal background, resistance genes, coresistance, and region. Antimicrobial Agents and Chemotherapy 2020;64.</w:t>
      </w:r>
    </w:p>
    <w:p w14:paraId="56461D64" w14:textId="77777777" w:rsidR="008F7DED" w:rsidRPr="008F7DED" w:rsidRDefault="008F7DED" w:rsidP="008F7DED">
      <w:pPr>
        <w:pStyle w:val="EndNoteBibliography"/>
        <w:spacing w:after="0"/>
      </w:pPr>
      <w:r w:rsidRPr="0004276C">
        <w:rPr>
          <w:lang w:val="it-IT"/>
        </w:rPr>
        <w:t>54.</w:t>
      </w:r>
      <w:r w:rsidRPr="0004276C">
        <w:rPr>
          <w:lang w:val="it-IT"/>
        </w:rPr>
        <w:tab/>
        <w:t xml:space="preserve">Karlowsky JA, Kazmierczak KM, Bouchillon SK, de Jonge BLM, Stone GG, Sahm DF. </w:t>
      </w:r>
      <w:r w:rsidRPr="008F7DED">
        <w:t>In Vitro Activity of Ceftazidime-Avibactam against Clinical Isolates of Enterobacteriaceae and Pseudomonas aeruginosa Collected in Asia-Pacific Countries: Results from the INFORM Global Surveillance Program, 2012 to 2015. Antimicrob Agents Chemother 2018;62:07.</w:t>
      </w:r>
    </w:p>
    <w:p w14:paraId="2FDAD321" w14:textId="77777777" w:rsidR="008F7DED" w:rsidRPr="008F7DED" w:rsidRDefault="008F7DED" w:rsidP="008F7DED">
      <w:pPr>
        <w:pStyle w:val="EndNoteBibliography"/>
        <w:spacing w:after="0"/>
      </w:pPr>
      <w:r w:rsidRPr="008F7DED">
        <w:lastRenderedPageBreak/>
        <w:t>55.</w:t>
      </w:r>
      <w:r w:rsidRPr="008F7DED">
        <w:tab/>
        <w:t>Karlowsky JA, Kazmierczak KM, Bouchillon SK, de Jonge BLM, Stone GG, Sahm DF. In Vitro Activity of Ceftazidime-Avibactam against Clinical Isolates of Enterobacteriaceae and Pseudomonas aeruginosa Collected in Latin American Countries: Results from the INFORM Global Surveillance Program, 2012 to 2015. Antimicrob Agents Chemother 2019;63:04.</w:t>
      </w:r>
    </w:p>
    <w:p w14:paraId="4CDC5EC7" w14:textId="77777777" w:rsidR="008F7DED" w:rsidRPr="008F7DED" w:rsidRDefault="008F7DED" w:rsidP="008F7DED">
      <w:pPr>
        <w:pStyle w:val="EndNoteBibliography"/>
        <w:spacing w:after="0"/>
      </w:pPr>
      <w:r w:rsidRPr="008F7DED">
        <w:t>56.</w:t>
      </w:r>
      <w:r w:rsidRPr="008F7DED">
        <w:tab/>
        <w:t>Kazmierczak KM, Bradford PA, Stone GG, de Jonge BLM, Sahm DF. In Vitro Activity of Ceftazidime-Avibactam and Aztreonam-Avibactam against OXA-48-Carrying Enterobacteriaceae Isolated as Part of the International Network for Optimal Resistance Monitoring (INFORM) Global Surveillance Program from 2012 to 2015. Antimicrob Agents Chemother 2018;62:12.</w:t>
      </w:r>
    </w:p>
    <w:p w14:paraId="2EF688C0" w14:textId="77777777" w:rsidR="008F7DED" w:rsidRPr="008F7DED" w:rsidRDefault="008F7DED" w:rsidP="008F7DED">
      <w:pPr>
        <w:pStyle w:val="EndNoteBibliography"/>
        <w:spacing w:after="0"/>
      </w:pPr>
      <w:r w:rsidRPr="008F7DED">
        <w:t>57.</w:t>
      </w:r>
      <w:r w:rsidRPr="008F7DED">
        <w:tab/>
        <w:t>Kazmierczak KM, Tsuji M, Wise MG, et al. In vitro activity of cefiderocol, a siderophore cephalosporin, against a recent collection of clinically relevant carbapenem-non-susceptible Gram-negative bacilli, including serine carbapenemase- and metallo-beta-lactamase-producing isolates (SIDERO-WT-2014 Study). International Journal of Antimicrobial Agents 2019;53:177-84.</w:t>
      </w:r>
    </w:p>
    <w:p w14:paraId="11F4CA3F" w14:textId="77777777" w:rsidR="008F7DED" w:rsidRPr="008F7DED" w:rsidRDefault="008F7DED" w:rsidP="008F7DED">
      <w:pPr>
        <w:pStyle w:val="EndNoteBibliography"/>
        <w:spacing w:after="0"/>
      </w:pPr>
      <w:r w:rsidRPr="008F7DED">
        <w:t>58.</w:t>
      </w:r>
      <w:r w:rsidRPr="008F7DED">
        <w:tab/>
        <w:t>Livermore DM, Meunier D, Hopkins KL, et al. Activity of ceftazidime/avibactam against problem Enterobacteriaceae and Pseudomonas aeruginosa in the UK, 2015-16. Journal of Antimicrobial Chemotherapy 2018;73:648-57.</w:t>
      </w:r>
    </w:p>
    <w:p w14:paraId="00E08F24" w14:textId="77777777" w:rsidR="008F7DED" w:rsidRPr="008F7DED" w:rsidRDefault="008F7DED" w:rsidP="008F7DED">
      <w:pPr>
        <w:pStyle w:val="EndNoteBibliography"/>
        <w:spacing w:after="0"/>
      </w:pPr>
      <w:r w:rsidRPr="008F7DED">
        <w:t>59.</w:t>
      </w:r>
      <w:r w:rsidRPr="008F7DED">
        <w:tab/>
        <w:t>Livermore DM, Mushtaq S, Warner M, Vickers A, Woodford N. In vitro activity of cefepime/zidebactam (WCK 5222) against Gram-negative bacteria. Journal of Antimicrobial Chemotherapy 2017a;72:1373-85.</w:t>
      </w:r>
    </w:p>
    <w:p w14:paraId="3553E3CE" w14:textId="77777777" w:rsidR="008F7DED" w:rsidRPr="008F7DED" w:rsidRDefault="008F7DED" w:rsidP="008F7DED">
      <w:pPr>
        <w:pStyle w:val="EndNoteBibliography"/>
        <w:spacing w:after="0"/>
      </w:pPr>
      <w:r w:rsidRPr="008F7DED">
        <w:t>60.</w:t>
      </w:r>
      <w:r w:rsidRPr="008F7DED">
        <w:tab/>
        <w:t>Livermore DM, Mushtaq S, Warner M, et al. Activities of NXL104 combinations with ceftazidime and aztreonam against carbapenemase-Producing Enterobacteriaceae. Antimicrob Agents Chemother 2011;55:390-4.</w:t>
      </w:r>
    </w:p>
    <w:p w14:paraId="51879C5B" w14:textId="77777777" w:rsidR="008F7DED" w:rsidRPr="008F7DED" w:rsidRDefault="008F7DED" w:rsidP="008F7DED">
      <w:pPr>
        <w:pStyle w:val="EndNoteBibliography"/>
        <w:spacing w:after="0"/>
      </w:pPr>
      <w:r w:rsidRPr="008F7DED">
        <w:t>61.</w:t>
      </w:r>
      <w:r w:rsidRPr="008F7DED">
        <w:tab/>
        <w:t>Longshaw C, Manissero D, Tsuji M, Echols R, Yamano Y. In vitro activity of the siderophore cephalosporin, cefiderocol, against molecularly characterized, carbapenem-non-susceptible Gram-negative bacteria from Europe. JAC Antimicrobial Resistance 2020;2.</w:t>
      </w:r>
    </w:p>
    <w:p w14:paraId="76992023" w14:textId="77777777" w:rsidR="008F7DED" w:rsidRPr="008F7DED" w:rsidRDefault="008F7DED" w:rsidP="008F7DED">
      <w:pPr>
        <w:pStyle w:val="EndNoteBibliography"/>
        <w:spacing w:after="0"/>
      </w:pPr>
      <w:r w:rsidRPr="008F7DED">
        <w:t>62.</w:t>
      </w:r>
      <w:r w:rsidRPr="008F7DED">
        <w:tab/>
        <w:t>Mataraci Kara E, Yilmaz M, Istanbullu Tosun A, Ozbek Celik B. Evaluation of the synergy of ceftazidime/avibactam in combination with colistin, doripenem, levofloxacin, tigecycline, and tobramycin against OXA-48 producing Enterobacterales. Journal of Chemotherapy 2020;32:171-8.</w:t>
      </w:r>
    </w:p>
    <w:p w14:paraId="09D490A4" w14:textId="77777777" w:rsidR="008F7DED" w:rsidRPr="008F7DED" w:rsidRDefault="008F7DED" w:rsidP="008F7DED">
      <w:pPr>
        <w:pStyle w:val="EndNoteBibliography"/>
        <w:spacing w:after="0"/>
      </w:pPr>
      <w:r w:rsidRPr="008F7DED">
        <w:t>63.</w:t>
      </w:r>
      <w:r w:rsidRPr="008F7DED">
        <w:tab/>
        <w:t>Mavroidi A, Katsiari M, Likousi S, et al. Changing Characteristics and In Vitro Susceptibility to Ceftazidime/Avibactam of Bloodstream Extensively Drug-Resistant Klebsiella pneumoniae from a Greek Intensive Care Unit. Microb Drug Resist 2020;26:28-37.</w:t>
      </w:r>
    </w:p>
    <w:p w14:paraId="3992BF39" w14:textId="77777777" w:rsidR="008F7DED" w:rsidRPr="008F7DED" w:rsidRDefault="008F7DED" w:rsidP="008F7DED">
      <w:pPr>
        <w:pStyle w:val="EndNoteBibliography"/>
        <w:spacing w:after="0"/>
      </w:pPr>
      <w:r w:rsidRPr="008F7DED">
        <w:t>64.</w:t>
      </w:r>
      <w:r w:rsidRPr="008F7DED">
        <w:tab/>
        <w:t>Mushtaq S, Garello P, Vickers A, Woodford N, Livermore DM. Activity of cefepime/zidebactam (WCK 5222) against 'problem' antibiotic-resistant Gram-negative bacteria sent to a national reference laboratory. Journal of Antimicrobial Chemotherapy 2021;24:24.</w:t>
      </w:r>
    </w:p>
    <w:p w14:paraId="3E2F8C8A" w14:textId="77777777" w:rsidR="008F7DED" w:rsidRPr="008F7DED" w:rsidRDefault="008F7DED" w:rsidP="008F7DED">
      <w:pPr>
        <w:pStyle w:val="EndNoteBibliography"/>
        <w:spacing w:after="0"/>
      </w:pPr>
      <w:r w:rsidRPr="008F7DED">
        <w:t>65.</w:t>
      </w:r>
      <w:r w:rsidRPr="008F7DED">
        <w:tab/>
        <w:t>Sherry NL, Baines SL, Howden BP. Ceftazidime/avibactam susceptibility by three different susceptibility testing methods in carbapenemase-producing Gram-negative bacteria from Australia. International Journal of Antimicrobial Agents 2018;52:82-5.</w:t>
      </w:r>
    </w:p>
    <w:p w14:paraId="4B972513" w14:textId="77777777" w:rsidR="008F7DED" w:rsidRPr="008F7DED" w:rsidRDefault="008F7DED" w:rsidP="008F7DED">
      <w:pPr>
        <w:pStyle w:val="EndNoteBibliography"/>
        <w:spacing w:after="0"/>
      </w:pPr>
      <w:r w:rsidRPr="008F7DED">
        <w:t>66.</w:t>
      </w:r>
      <w:r w:rsidRPr="008F7DED">
        <w:tab/>
        <w:t>Viala B, Zaidi FZ, Bastide M, et al. Assessment of the In Vitro Activities of Ceftolozane/Tazobactam and Ceftazidime/Avibactam in a Collection of Beta-Lactam-Resistant Enterobacteriaceae and Pseudomonas aeruginosa Clinical Isolates at Montpellier University Hospital, France. Microb Drug Resist 2019;25:1325-9.</w:t>
      </w:r>
    </w:p>
    <w:p w14:paraId="5395AD86" w14:textId="77777777" w:rsidR="008F7DED" w:rsidRPr="008F7DED" w:rsidRDefault="008F7DED" w:rsidP="008F7DED">
      <w:pPr>
        <w:pStyle w:val="EndNoteBibliography"/>
        <w:spacing w:after="0"/>
      </w:pPr>
      <w:r w:rsidRPr="008F7DED">
        <w:t>67.</w:t>
      </w:r>
      <w:r w:rsidRPr="008F7DED">
        <w:tab/>
        <w:t>Delgado-Valverde M, Del Carmen Conejo M, Serrano L, Fernandez-Cuenca F, Pascual A. Activity of cefiderocol against high-risk clones of multidrug-resistant Enterobacterales, Acinetobacter baumannii, Pseudomonas aeruginosa and Stenotrophomonas maltophilia. Journal of Antimicrobial Chemotherapy 2020;75:1840-9.</w:t>
      </w:r>
    </w:p>
    <w:p w14:paraId="73CB85DD" w14:textId="77777777" w:rsidR="008F7DED" w:rsidRPr="008F7DED" w:rsidRDefault="008F7DED" w:rsidP="008F7DED">
      <w:pPr>
        <w:pStyle w:val="EndNoteBibliography"/>
        <w:spacing w:after="0"/>
      </w:pPr>
      <w:r w:rsidRPr="008F7DED">
        <w:t>68.</w:t>
      </w:r>
      <w:r w:rsidRPr="008F7DED">
        <w:tab/>
        <w:t>Public Health England. English Surveillance Programme for Antimicrobial Utilisation and Resistance (ESPAUR) Report 2018 to 2019. London; 2020.</w:t>
      </w:r>
    </w:p>
    <w:p w14:paraId="6FC01CC5" w14:textId="77777777" w:rsidR="008F7DED" w:rsidRPr="008F7DED" w:rsidRDefault="008F7DED" w:rsidP="008F7DED">
      <w:pPr>
        <w:pStyle w:val="EndNoteBibliography"/>
        <w:spacing w:after="0"/>
      </w:pPr>
      <w:r w:rsidRPr="008F7DED">
        <w:t>69.</w:t>
      </w:r>
      <w:r w:rsidRPr="008F7DED">
        <w:tab/>
        <w:t>Brown DFJ, Wootton M, Howe RA. Antimicrobial susceptibility testing breakpoints and methods from BSAC to EUCAST. Journal of Antimicrobial Chemotherapy 2015;71:3-5.</w:t>
      </w:r>
    </w:p>
    <w:p w14:paraId="3D02852A" w14:textId="28387D19" w:rsidR="008F7DED" w:rsidRPr="008F7DED" w:rsidRDefault="008F7DED" w:rsidP="008F7DED">
      <w:pPr>
        <w:pStyle w:val="EndNoteBibliography"/>
        <w:spacing w:after="0"/>
      </w:pPr>
      <w:r w:rsidRPr="008F7DED">
        <w:t>70.</w:t>
      </w:r>
      <w:r w:rsidRPr="008F7DED">
        <w:tab/>
        <w:t xml:space="preserve">Dias S, Sutton, A.J., Welton, N.J., Ades, A.E. NICE DSU Technical Support Document 3: Heterogeneity: subgroups, meta-regression, bias and bias-adjustment. </w:t>
      </w:r>
      <w:r w:rsidRPr="00174117">
        <w:t>http://www.nicedsu.org.uk</w:t>
      </w:r>
      <w:r w:rsidRPr="008F7DED">
        <w:t>; 2011.</w:t>
      </w:r>
    </w:p>
    <w:p w14:paraId="7E1E5401" w14:textId="77777777" w:rsidR="008F7DED" w:rsidRPr="008F7DED" w:rsidRDefault="008F7DED" w:rsidP="008F7DED">
      <w:pPr>
        <w:pStyle w:val="EndNoteBibliography"/>
        <w:spacing w:after="0"/>
      </w:pPr>
      <w:r w:rsidRPr="008F7DED">
        <w:lastRenderedPageBreak/>
        <w:t>71.</w:t>
      </w:r>
      <w:r w:rsidRPr="008F7DED">
        <w:tab/>
        <w:t>Lunn DJ, Thomas, A., Best, N. &amp; Spiegelhalter, D. WinBUGS – a Bayesian modelling framework: concepts, structure, and extensibility. Statistics and computing 2000;10:325-37.</w:t>
      </w:r>
    </w:p>
    <w:p w14:paraId="40309B33" w14:textId="77777777" w:rsidR="008F7DED" w:rsidRPr="008F7DED" w:rsidRDefault="008F7DED" w:rsidP="008F7DED">
      <w:pPr>
        <w:pStyle w:val="EndNoteBibliography"/>
        <w:spacing w:after="0"/>
      </w:pPr>
      <w:r w:rsidRPr="008F7DED">
        <w:t>72.</w:t>
      </w:r>
      <w:r w:rsidRPr="008F7DED">
        <w:tab/>
        <w:t>Dias S WNJ, Sutton A.J &amp; Ades A.E. NICE Technical Support Document 2.  A Generalised Linear Modelling Framework for Pairwise and Network Meta-Analysis of Randomised Controlled Trials; 2011 Updated 2016.</w:t>
      </w:r>
    </w:p>
    <w:p w14:paraId="343B4204" w14:textId="77777777" w:rsidR="008F7DED" w:rsidRPr="008F7DED" w:rsidRDefault="008F7DED" w:rsidP="008F7DED">
      <w:pPr>
        <w:pStyle w:val="EndNoteBibliography"/>
        <w:spacing w:after="0"/>
      </w:pPr>
      <w:r w:rsidRPr="008F7DED">
        <w:t>73.</w:t>
      </w:r>
      <w:r w:rsidRPr="008F7DED">
        <w:tab/>
        <w:t>Dias S, Welton NJ, Sutton AJ, Ades A. NICE DSU Technical Support Document 2: A generalised linear modelling framework for pairwise and network meta-analysis of randomised controlled trials: National Institute for Health and Care Excellence (NICE) London; 2014.</w:t>
      </w:r>
    </w:p>
    <w:p w14:paraId="6D68806D" w14:textId="77777777" w:rsidR="008F7DED" w:rsidRPr="008F7DED" w:rsidRDefault="008F7DED" w:rsidP="008F7DED">
      <w:pPr>
        <w:pStyle w:val="EndNoteBibliography"/>
        <w:spacing w:after="0"/>
      </w:pPr>
      <w:r w:rsidRPr="008F7DED">
        <w:t>74.</w:t>
      </w:r>
      <w:r w:rsidRPr="008F7DED">
        <w:tab/>
        <w:t>Brooks SG, A. General Methods for Monitoring Convergence of Iterative Simulation. Journal of Computational and Graphical Statistics 2021;7:434-55.</w:t>
      </w:r>
    </w:p>
    <w:p w14:paraId="5D93647E" w14:textId="77777777" w:rsidR="008F7DED" w:rsidRPr="008F7DED" w:rsidRDefault="008F7DED" w:rsidP="008F7DED">
      <w:pPr>
        <w:pStyle w:val="EndNoteBibliography"/>
        <w:spacing w:after="0"/>
      </w:pPr>
      <w:r w:rsidRPr="008F7DED">
        <w:t>75.</w:t>
      </w:r>
      <w:r w:rsidRPr="008F7DED">
        <w:tab/>
        <w:t>Spiegelhalter DJ, Best, N. G., Carlin, B. P. &amp; Linde, A. V. D. . Bayesian measures of model complexity and fit. Journal of the Royal Statistical Society: Series B (Statistical Methodology) 2002;64:583-639.</w:t>
      </w:r>
    </w:p>
    <w:p w14:paraId="4CA36587" w14:textId="77777777" w:rsidR="008F7DED" w:rsidRPr="008F7DED" w:rsidRDefault="008F7DED" w:rsidP="008F7DED">
      <w:pPr>
        <w:pStyle w:val="EndNoteBibliography"/>
        <w:spacing w:after="0"/>
      </w:pPr>
      <w:r w:rsidRPr="008F7DED">
        <w:t>76.</w:t>
      </w:r>
      <w:r w:rsidRPr="008F7DED">
        <w:tab/>
        <w:t>Dias S, et al. NICE DSU Technical Support Document 4: Inconsistency in networks of evidence based on randomised controlled trials; 2011.</w:t>
      </w:r>
    </w:p>
    <w:p w14:paraId="06DE2E19" w14:textId="77777777" w:rsidR="008F7DED" w:rsidRPr="008F7DED" w:rsidRDefault="008F7DED" w:rsidP="008F7DED">
      <w:pPr>
        <w:pStyle w:val="EndNoteBibliography"/>
        <w:spacing w:after="0"/>
      </w:pPr>
      <w:r w:rsidRPr="008F7DED">
        <w:t>77.</w:t>
      </w:r>
      <w:r w:rsidRPr="008F7DED">
        <w:tab/>
        <w:t>Daly C DB, Welton NJ. A Practical Guide to Inconsistency Checks in Bayesian Network Meta-Analysis.</w:t>
      </w:r>
    </w:p>
    <w:p w14:paraId="6FCE33DD" w14:textId="77777777" w:rsidR="008F7DED" w:rsidRPr="008F7DED" w:rsidRDefault="008F7DED" w:rsidP="008F7DED">
      <w:pPr>
        <w:pStyle w:val="EndNoteBibliography"/>
        <w:spacing w:after="0"/>
      </w:pPr>
      <w:r w:rsidRPr="008F7DED">
        <w:t>78.</w:t>
      </w:r>
      <w:r w:rsidRPr="008F7DED">
        <w:tab/>
        <w:t>Kazmierczak K.M TM, Wise M.G, Hackel M, Yamano Y, Roger Echols D.F. In vitro activity of cefiderocol, a siderophore cephalosporin, against a recent collection of clinically relevant carbapenem-non-susceptible Gram-negative bacilli, including serine carbapenemase- and metallo-β-lactamase-producing isolates (SIDERO-WT-2014 Study),. Journal of Antimicrobial Agents 2019;53:177-84.</w:t>
      </w:r>
    </w:p>
    <w:p w14:paraId="416F321F" w14:textId="77777777" w:rsidR="008F7DED" w:rsidRPr="008F7DED" w:rsidRDefault="008F7DED" w:rsidP="008F7DED">
      <w:pPr>
        <w:pStyle w:val="EndNoteBibliography"/>
        <w:spacing w:after="0"/>
      </w:pPr>
      <w:r w:rsidRPr="008F7DED">
        <w:t>79.</w:t>
      </w:r>
      <w:r w:rsidRPr="008F7DED">
        <w:tab/>
        <w:t>Bhagwat SS, Hariharan P, Joshi PR, et al. Activity of cefepime/zidebactam against MDR Escherichia coli isolates harbouring a novel mechanism of resistance based on four-amino-acid inserts in PBP3. J Antimicrob Chemother 2020;75:3563-7.</w:t>
      </w:r>
    </w:p>
    <w:p w14:paraId="33CB4A13" w14:textId="77777777" w:rsidR="008F7DED" w:rsidRPr="008F7DED" w:rsidRDefault="008F7DED" w:rsidP="008F7DED">
      <w:pPr>
        <w:pStyle w:val="EndNoteBibliography"/>
        <w:spacing w:after="0"/>
      </w:pPr>
      <w:r w:rsidRPr="008F7DED">
        <w:t>80.</w:t>
      </w:r>
      <w:r w:rsidRPr="008F7DED">
        <w:tab/>
        <w:t>Han R, Shi Q, Wu S, et al. Dissemination of Carbapenemases (KPC, NDM, OXA-48, IMP, and VIM) Among Carbapenem-Resistant Enterobacteriaceae Isolated From Adult and Children Patients in China. Front Cell Infect Microbiol 2020;10:314.</w:t>
      </w:r>
    </w:p>
    <w:p w14:paraId="3DFB93EA" w14:textId="77777777" w:rsidR="008F7DED" w:rsidRPr="008F7DED" w:rsidRDefault="008F7DED" w:rsidP="008F7DED">
      <w:pPr>
        <w:pStyle w:val="EndNoteBibliography"/>
        <w:spacing w:after="0"/>
      </w:pPr>
      <w:r w:rsidRPr="008F7DED">
        <w:t>81.</w:t>
      </w:r>
      <w:r w:rsidRPr="008F7DED">
        <w:tab/>
        <w:t>Johnston BD, Thuras P, Porter SB, et al. Activity of Cefiderocol, Ceftazidime-Avibactam, and Eravacycline against Carbapenem-Resistant Escherichia coli Isolates from the United States and International Sites in Relation to Clonal Background, Resistance Genes, Coresistance, and Region. Antimicrob Agents Chemother 2020;64.</w:t>
      </w:r>
    </w:p>
    <w:p w14:paraId="0B7BBFA6" w14:textId="738A0B15" w:rsidR="008F7DED" w:rsidRPr="008F7DED" w:rsidRDefault="008F7DED" w:rsidP="008F7DED">
      <w:pPr>
        <w:pStyle w:val="EndNoteBibliography"/>
        <w:spacing w:after="0"/>
      </w:pPr>
      <w:r w:rsidRPr="008F7DED">
        <w:t>82.</w:t>
      </w:r>
      <w:r w:rsidRPr="008F7DED">
        <w:tab/>
      </w:r>
      <w:r w:rsidRPr="00174117">
        <w:t>https://www.eunethta.eu/wp-content/uploads/2020/07/PTJA11_Final-Assesssment-Report_v1.1.pdf</w:t>
      </w:r>
      <w:r w:rsidRPr="008F7DED">
        <w:t xml:space="preserve">. (Accessed at </w:t>
      </w:r>
      <w:r w:rsidRPr="00174117">
        <w:t>https://www.eunethta.eu/wp-content/uploads/2020/07/PTJA11_Final-Assesssment-Report_v1.1.pdf</w:t>
      </w:r>
      <w:r w:rsidRPr="008F7DED">
        <w:t>.)</w:t>
      </w:r>
    </w:p>
    <w:p w14:paraId="6C68FDC2" w14:textId="77777777" w:rsidR="008F7DED" w:rsidRPr="008F7DED" w:rsidRDefault="008F7DED" w:rsidP="008F7DED">
      <w:pPr>
        <w:pStyle w:val="EndNoteBibliography"/>
        <w:spacing w:after="0"/>
      </w:pPr>
      <w:r w:rsidRPr="008F7DED">
        <w:t>83.</w:t>
      </w:r>
      <w:r w:rsidRPr="008F7DED">
        <w:tab/>
        <w:t>Bassetti M, Rello J, Blasi F, et al. A systematic review on the impact of appropriate versus inappropriate initial antibiotic therapy on the outcomes of patients with severe bacterial infections. International Journal of Antimicrobial Agents 2020:106184.</w:t>
      </w:r>
    </w:p>
    <w:p w14:paraId="34F94699" w14:textId="77777777" w:rsidR="008F7DED" w:rsidRPr="008F7DED" w:rsidRDefault="008F7DED" w:rsidP="008F7DED">
      <w:pPr>
        <w:pStyle w:val="EndNoteBibliography"/>
        <w:spacing w:after="0"/>
      </w:pPr>
      <w:r w:rsidRPr="008F7DED">
        <w:t>84.</w:t>
      </w:r>
      <w:r w:rsidRPr="008F7DED">
        <w:tab/>
        <w:t>Zasowski EJ, Bassetti M, Blasi F, et al. A systematic review of the effect of delayed appropriate antibiotic treatment on the outcomes of patients with severe bacterial infections. Chest 2020;158:929-38.</w:t>
      </w:r>
    </w:p>
    <w:p w14:paraId="11BC66E4" w14:textId="77777777" w:rsidR="008F7DED" w:rsidRPr="008F7DED" w:rsidRDefault="008F7DED" w:rsidP="008F7DED">
      <w:pPr>
        <w:pStyle w:val="EndNoteBibliography"/>
        <w:spacing w:after="0"/>
      </w:pPr>
      <w:r w:rsidRPr="008F7DED">
        <w:t>85.</w:t>
      </w:r>
      <w:r w:rsidRPr="008F7DED">
        <w:tab/>
        <w:t>Muscedere JG, Shorr AF, Jiang X, Day A, Heyland DK, Group CCCT. The adequacy of timely empiric antibiotic therapy for ventilator-associated pneumonia: an important determinant of outcome. Journal of critical care 2012;27:322. e7-. e14.</w:t>
      </w:r>
    </w:p>
    <w:p w14:paraId="1232B123" w14:textId="77777777" w:rsidR="008F7DED" w:rsidRPr="008F7DED" w:rsidRDefault="008F7DED" w:rsidP="008F7DED">
      <w:pPr>
        <w:pStyle w:val="EndNoteBibliography"/>
        <w:spacing w:after="0"/>
      </w:pPr>
      <w:r w:rsidRPr="008F7DED">
        <w:t>86.</w:t>
      </w:r>
      <w:r w:rsidRPr="008F7DED">
        <w:tab/>
        <w:t>Herkel T, Uvizl R, Doubravska L, et al. Epidemiology of hospital-acquired pneumonia: Results of a Central European multicenter, prospective, observational study compared with data from the European region. 2016.</w:t>
      </w:r>
    </w:p>
    <w:p w14:paraId="041F896C" w14:textId="77777777" w:rsidR="008F7DED" w:rsidRPr="007D1B7F" w:rsidRDefault="008F7DED" w:rsidP="008F7DED">
      <w:pPr>
        <w:pStyle w:val="EndNoteBibliography"/>
        <w:spacing w:after="0"/>
        <w:rPr>
          <w:lang w:val="it-IT"/>
        </w:rPr>
      </w:pPr>
      <w:r w:rsidRPr="008F7DED">
        <w:t>87.</w:t>
      </w:r>
      <w:r w:rsidRPr="008F7DED">
        <w:tab/>
        <w:t xml:space="preserve">Tumbarello M, De Pascale G, Trecarichi EM, et al. Effect of Aerosolized Colistin as Adjunctive Treatment on the Outcomes of Microbiologically Documented Ventilator-Associated Pneumonia Caused by Colistin-Only Susceptible Gram-Negative Bacteria. </w:t>
      </w:r>
      <w:r w:rsidRPr="007D1B7F">
        <w:rPr>
          <w:lang w:val="it-IT"/>
        </w:rPr>
        <w:t>Chest 2013;144:1768-75.</w:t>
      </w:r>
    </w:p>
    <w:p w14:paraId="3AADAD67" w14:textId="77777777" w:rsidR="008F7DED" w:rsidRPr="008F7DED" w:rsidRDefault="008F7DED" w:rsidP="008F7DED">
      <w:pPr>
        <w:pStyle w:val="EndNoteBibliography"/>
        <w:spacing w:after="0"/>
      </w:pPr>
      <w:r w:rsidRPr="007D1B7F">
        <w:rPr>
          <w:lang w:val="it-IT"/>
        </w:rPr>
        <w:lastRenderedPageBreak/>
        <w:t>88.</w:t>
      </w:r>
      <w:r w:rsidRPr="007D1B7F">
        <w:rPr>
          <w:lang w:val="it-IT"/>
        </w:rPr>
        <w:tab/>
        <w:t xml:space="preserve">Pena C, Gómez-Zorrilla S, Oriol I, et al. </w:t>
      </w:r>
      <w:r w:rsidRPr="008F7DED">
        <w:t>Impact of multidrug resistance on Pseudomonas aeruginosa ventilator-associated pneumonia outcome: predictors of early and crude mortality. European journal of clinical microbiology &amp; infectious diseases 2013;32:413-20.</w:t>
      </w:r>
    </w:p>
    <w:p w14:paraId="027D66DC" w14:textId="77777777" w:rsidR="008F7DED" w:rsidRPr="008F7DED" w:rsidRDefault="008F7DED" w:rsidP="008F7DED">
      <w:pPr>
        <w:pStyle w:val="EndNoteBibliography"/>
        <w:spacing w:after="0"/>
      </w:pPr>
      <w:r w:rsidRPr="008F7DED">
        <w:t>89.</w:t>
      </w:r>
      <w:r w:rsidRPr="008F7DED">
        <w:tab/>
        <w:t>Amaral AC, Holder MW. Timing of antimicrobial therapy after identification of ventilator-associated condition is not associated with mortality in patients with ventilator-associated pneumonia: a cohort study. PLoS One 2014;9:e97575.</w:t>
      </w:r>
    </w:p>
    <w:p w14:paraId="0C97CEFC" w14:textId="77777777" w:rsidR="008F7DED" w:rsidRPr="007D1B7F" w:rsidRDefault="008F7DED" w:rsidP="008F7DED">
      <w:pPr>
        <w:pStyle w:val="EndNoteBibliography"/>
        <w:spacing w:after="0"/>
      </w:pPr>
      <w:r w:rsidRPr="008F7DED">
        <w:t>90.</w:t>
      </w:r>
      <w:r w:rsidRPr="008F7DED">
        <w:tab/>
        <w:t xml:space="preserve">Mazuski JE, Gasink LB, Armstrong J, et al. Efficacy and Safety of Ceftazidime-Avibactam Plus Metronidazole Versus Meropenem in the Treatment of Complicated Intra-abdominal Infection: Results From a Randomized, Controlled, Double-Blind, Phase 3 Program. </w:t>
      </w:r>
      <w:r w:rsidRPr="0004276C">
        <w:t>Clinical Infectious Diseases 2016;62:1380-9.</w:t>
      </w:r>
    </w:p>
    <w:p w14:paraId="076F21F3" w14:textId="77777777" w:rsidR="008F7DED" w:rsidRPr="008F7DED" w:rsidRDefault="008F7DED" w:rsidP="008F7DED">
      <w:pPr>
        <w:pStyle w:val="EndNoteBibliography"/>
        <w:spacing w:after="0"/>
      </w:pPr>
      <w:r w:rsidRPr="007D1B7F">
        <w:t>91.</w:t>
      </w:r>
      <w:r w:rsidRPr="007D1B7F">
        <w:tab/>
        <w:t xml:space="preserve">Qin X, Tran BG, Kim MJ, et al. </w:t>
      </w:r>
      <w:r w:rsidRPr="008F7DED">
        <w:t>A randomised, double-blind, phase 3 study comparing the efficacy and safety of ceftazidime/avibactam plus metronidazole versus meropenem for complicated intra-abdominal infections in hospitalised adults in Asia. International Journal of Antimicrobial Agents 2017;49:579-88.</w:t>
      </w:r>
    </w:p>
    <w:p w14:paraId="7652512A" w14:textId="77777777" w:rsidR="008F7DED" w:rsidRPr="008F7DED" w:rsidRDefault="008F7DED" w:rsidP="008F7DED">
      <w:pPr>
        <w:pStyle w:val="EndNoteBibliography"/>
        <w:spacing w:after="0"/>
      </w:pPr>
      <w:r w:rsidRPr="008F7DED">
        <w:t>92.</w:t>
      </w:r>
      <w:r w:rsidRPr="008F7DED">
        <w:tab/>
        <w:t>Caston JJ, Lacort-Peralta I, Martin-Davila P, et al. Clinical efficacy of ceftazidime/avibactam versus other active agents for the treatment of bacteremia due to carbapenemase-producing Enterobacteriaceae in hematologic patients. Int J Infect Dis 2017;59:118-23.</w:t>
      </w:r>
    </w:p>
    <w:p w14:paraId="5F652F39" w14:textId="77777777" w:rsidR="008F7DED" w:rsidRPr="007D1B7F" w:rsidRDefault="008F7DED" w:rsidP="008F7DED">
      <w:pPr>
        <w:pStyle w:val="EndNoteBibliography"/>
        <w:spacing w:after="0"/>
        <w:rPr>
          <w:lang w:val="it-IT"/>
        </w:rPr>
      </w:pPr>
      <w:r w:rsidRPr="008F7DED">
        <w:t>93.</w:t>
      </w:r>
      <w:r w:rsidRPr="008F7DED">
        <w:tab/>
        <w:t xml:space="preserve">Shields RK, Nguyen MH, Chen L, et al. Ceftazidime-Avibactam Is Superior to Other Treatment Regimens against Carbapenem-Resistant Klebsiella pneumoniae Bacteremia. </w:t>
      </w:r>
      <w:r w:rsidRPr="007D1B7F">
        <w:rPr>
          <w:lang w:val="it-IT"/>
        </w:rPr>
        <w:t>Antimicrob Agents Chemother 2017;61:08.</w:t>
      </w:r>
    </w:p>
    <w:p w14:paraId="4F14DF48" w14:textId="77777777" w:rsidR="008F7DED" w:rsidRPr="007D1B7F" w:rsidRDefault="008F7DED" w:rsidP="008F7DED">
      <w:pPr>
        <w:pStyle w:val="EndNoteBibliography"/>
        <w:spacing w:after="0"/>
        <w:rPr>
          <w:lang w:val="it-IT"/>
        </w:rPr>
      </w:pPr>
      <w:r w:rsidRPr="007D1B7F">
        <w:rPr>
          <w:lang w:val="it-IT"/>
        </w:rPr>
        <w:t>94.</w:t>
      </w:r>
      <w:r w:rsidRPr="007D1B7F">
        <w:rPr>
          <w:lang w:val="it-IT"/>
        </w:rPr>
        <w:tab/>
        <w:t>Tumbarello M, Trecarichi EM, Corona A, et al. Efficacy of Ceftazidime-Avibactam Salvage Therapy in Patients With Infections Caused by Klebsiella pneumoniae Carbapenemase-producing K. pneumoniae. Clinical Infectious Diseases 2019;68:355-64.</w:t>
      </w:r>
    </w:p>
    <w:p w14:paraId="5734E878" w14:textId="77777777" w:rsidR="008F7DED" w:rsidRPr="008F7DED" w:rsidRDefault="008F7DED" w:rsidP="008F7DED">
      <w:pPr>
        <w:pStyle w:val="EndNoteBibliography"/>
        <w:spacing w:after="0"/>
      </w:pPr>
      <w:r w:rsidRPr="007D1B7F">
        <w:rPr>
          <w:lang w:val="it-IT"/>
        </w:rPr>
        <w:t>95.</w:t>
      </w:r>
      <w:r w:rsidRPr="007D1B7F">
        <w:rPr>
          <w:lang w:val="it-IT"/>
        </w:rPr>
        <w:tab/>
        <w:t xml:space="preserve">van Duin D, Lok JJ, Earley M, et al. Colistin Versus Ceftazidime-Avibactam in the Treatment of Infections Due to Carbapenem-Resistant Enterobacteriaceae. </w:t>
      </w:r>
      <w:r w:rsidRPr="008F7DED">
        <w:t>Clinical Infectious Diseases 2018;66:163-71.</w:t>
      </w:r>
    </w:p>
    <w:p w14:paraId="54441A45" w14:textId="77777777" w:rsidR="008F7DED" w:rsidRPr="008F7DED" w:rsidRDefault="008F7DED" w:rsidP="008F7DED">
      <w:pPr>
        <w:pStyle w:val="EndNoteBibliography"/>
        <w:spacing w:after="0"/>
      </w:pPr>
      <w:r w:rsidRPr="008F7DED">
        <w:t>96.</w:t>
      </w:r>
      <w:r w:rsidRPr="008F7DED">
        <w:tab/>
        <w:t>OPEN VIE Ltd. 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 2020.</w:t>
      </w:r>
    </w:p>
    <w:p w14:paraId="2BFD931A" w14:textId="77777777" w:rsidR="008F7DED" w:rsidRPr="008F7DED" w:rsidRDefault="008F7DED" w:rsidP="008F7DED">
      <w:pPr>
        <w:pStyle w:val="EndNoteBibliography"/>
        <w:spacing w:after="0"/>
      </w:pPr>
      <w:r w:rsidRPr="008F7DED">
        <w:t>97.</w:t>
      </w:r>
      <w:r w:rsidRPr="008F7DED">
        <w:tab/>
        <w:t>Bojke L, Soares MO, Claxton K, et al. Developing a reference protocol for structured expert elicitation in health-care decision-making : a mixed-methods study. Health Technol Assess 2021;25:1-124.</w:t>
      </w:r>
    </w:p>
    <w:p w14:paraId="551E9E9E" w14:textId="77777777" w:rsidR="008F7DED" w:rsidRPr="008F7DED" w:rsidRDefault="008F7DED" w:rsidP="008F7DED">
      <w:pPr>
        <w:pStyle w:val="EndNoteBibliography"/>
      </w:pPr>
      <w:r w:rsidRPr="008F7DED">
        <w:t>98.</w:t>
      </w:r>
      <w:r w:rsidRPr="008F7DED">
        <w:tab/>
        <w:t>Chang W, Cheng J, Allaire J, Xie Y, McPherson J. shiny: Web</w:t>
      </w:r>
    </w:p>
    <w:p w14:paraId="38428A3C" w14:textId="77777777" w:rsidR="008F7DED" w:rsidRPr="008F7DED" w:rsidRDefault="008F7DED" w:rsidP="008F7DED">
      <w:pPr>
        <w:pStyle w:val="EndNoteBibliography"/>
        <w:spacing w:after="0"/>
      </w:pPr>
      <w:r w:rsidRPr="008F7DED">
        <w:t xml:space="preserve">  Application Framework for R. R package version 1.5.0. In; 2020.</w:t>
      </w:r>
    </w:p>
    <w:p w14:paraId="3ADE9E00" w14:textId="77777777" w:rsidR="008F7DED" w:rsidRPr="008F7DED" w:rsidRDefault="008F7DED" w:rsidP="008F7DED">
      <w:pPr>
        <w:pStyle w:val="EndNoteBibliography"/>
        <w:spacing w:after="0"/>
      </w:pPr>
      <w:r w:rsidRPr="008F7DED">
        <w:t>99.</w:t>
      </w:r>
      <w:r w:rsidRPr="008F7DED">
        <w:tab/>
        <w:t>O'Hagan A, Buck CE, Daneshkhah A, et al. Uncertain judgements: eliciting experts' probabilities. Chichester, England: John Wiley &amp; Sons Ltd; 2006.</w:t>
      </w:r>
    </w:p>
    <w:p w14:paraId="74A359BD" w14:textId="77777777" w:rsidR="008F7DED" w:rsidRPr="008F7DED" w:rsidRDefault="008F7DED" w:rsidP="008F7DED">
      <w:pPr>
        <w:pStyle w:val="EndNoteBibliography"/>
        <w:spacing w:after="0"/>
      </w:pPr>
      <w:r w:rsidRPr="008F7DED">
        <w:t>100.</w:t>
      </w:r>
      <w:r w:rsidRPr="008F7DED">
        <w:tab/>
        <w:t>Abdul-Mutakabbir JC, Alosaimy S, Morrisette T, Kebriaei R, Rybak MJ. Cefiderocol: A Novel Siderophore Cephalosporin against Multidrug-Resistant Gram-Negative Pathogens. Pharmacotherapy 2020;40:1228-47.</w:t>
      </w:r>
    </w:p>
    <w:p w14:paraId="2E2A8847" w14:textId="77777777" w:rsidR="008F7DED" w:rsidRPr="008F7DED" w:rsidRDefault="008F7DED" w:rsidP="008F7DED">
      <w:pPr>
        <w:pStyle w:val="EndNoteBibliography"/>
        <w:spacing w:after="0"/>
      </w:pPr>
      <w:r w:rsidRPr="008F7DED">
        <w:t>101.</w:t>
      </w:r>
      <w:r w:rsidRPr="008F7DED">
        <w:tab/>
        <w:t>Merrick B, Tan MKI, Bisnauthsing K, Goldenberg SD. Healthcare resource use in hospitalized patients with carbapenem-resistant Gram-negative infections. Journal of Hospital Infection 2021;110:7-14.</w:t>
      </w:r>
    </w:p>
    <w:p w14:paraId="33669E1E" w14:textId="77777777" w:rsidR="008F7DED" w:rsidRPr="007D1B7F" w:rsidRDefault="008F7DED" w:rsidP="008F7DED">
      <w:pPr>
        <w:pStyle w:val="EndNoteBibliography"/>
        <w:spacing w:after="0"/>
        <w:rPr>
          <w:lang w:val="it-IT"/>
        </w:rPr>
      </w:pPr>
      <w:r w:rsidRPr="008F7DED">
        <w:t>102.</w:t>
      </w:r>
      <w:r w:rsidRPr="008F7DED">
        <w:tab/>
        <w:t xml:space="preserve">Muscedere JG, Shorr AF, Jiang X, Day A, Heyland DK. The adequacy of timely empiric antibiotic therapy for ventilator-associated pneumonia: An important determinant of outcome. </w:t>
      </w:r>
      <w:r w:rsidRPr="007D1B7F">
        <w:rPr>
          <w:lang w:val="it-IT"/>
        </w:rPr>
        <w:t>J Crit Care 2012;27:322.e7-.e14.</w:t>
      </w:r>
    </w:p>
    <w:p w14:paraId="13EA9276" w14:textId="77777777" w:rsidR="008F7DED" w:rsidRPr="007D1B7F" w:rsidRDefault="008F7DED" w:rsidP="008F7DED">
      <w:pPr>
        <w:pStyle w:val="EndNoteBibliography"/>
        <w:spacing w:after="0"/>
        <w:rPr>
          <w:lang w:val="de-DE"/>
        </w:rPr>
      </w:pPr>
      <w:r w:rsidRPr="007D1B7F">
        <w:rPr>
          <w:lang w:val="it-IT"/>
        </w:rPr>
        <w:t>103.</w:t>
      </w:r>
      <w:r w:rsidRPr="007D1B7F">
        <w:rPr>
          <w:lang w:val="it-IT"/>
        </w:rPr>
        <w:tab/>
        <w:t xml:space="preserve">Tichy E, Torres A, Bassetti M, et al. </w:t>
      </w:r>
      <w:r w:rsidRPr="008F7DED">
        <w:t xml:space="preserve">Cost-effectiveness Comparison of Ceftazidime/Avibactam Versus Meropenem in the Empirical Treatment of Hospital-acquired Pneumonia, Including Ventilator-associated Pneumonia, in Italy. </w:t>
      </w:r>
      <w:r w:rsidRPr="007D1B7F">
        <w:rPr>
          <w:lang w:val="de-DE"/>
        </w:rPr>
        <w:t>Clin Ther 2020;42:802-17.</w:t>
      </w:r>
    </w:p>
    <w:p w14:paraId="7B1CA707" w14:textId="77777777" w:rsidR="008F7DED" w:rsidRPr="008F7DED" w:rsidRDefault="008F7DED" w:rsidP="008F7DED">
      <w:pPr>
        <w:pStyle w:val="EndNoteBibliography"/>
        <w:spacing w:after="0"/>
      </w:pPr>
      <w:r w:rsidRPr="007D1B7F">
        <w:rPr>
          <w:lang w:val="de-DE"/>
        </w:rPr>
        <w:lastRenderedPageBreak/>
        <w:t>104.</w:t>
      </w:r>
      <w:r w:rsidRPr="007D1B7F">
        <w:rPr>
          <w:lang w:val="de-DE"/>
        </w:rPr>
        <w:tab/>
        <w:t xml:space="preserve">Kongnakorn T, Wagenlehner F, Falcone M, et al. </w:t>
      </w:r>
      <w:r w:rsidRPr="008F7DED">
        <w:t>Cost-effectiveness analysis of ceftazidime/avibactam compared to imipenem as empirical treatment for complicated urinary tract infections. International Journal of Antimicrobial Agents 2019;54:633-41.</w:t>
      </w:r>
    </w:p>
    <w:p w14:paraId="10779739" w14:textId="77777777" w:rsidR="008F7DED" w:rsidRPr="008F7DED" w:rsidRDefault="008F7DED" w:rsidP="008F7DED">
      <w:pPr>
        <w:pStyle w:val="EndNoteBibliography"/>
        <w:spacing w:after="0"/>
      </w:pPr>
      <w:r w:rsidRPr="008F7DED">
        <w:t>105.</w:t>
      </w:r>
      <w:r w:rsidRPr="008F7DED">
        <w:tab/>
        <w:t>Simon MS, Sfeir MM, Calfee DP, Satlin MJ. Cost-effectiveness of ceftazidime-avibactam for treatment of carbapenem-resistant Enterobacteriaceae bacteremia and pneumonia. Antimicrob Agents Chemother 2019;23:23.</w:t>
      </w:r>
    </w:p>
    <w:p w14:paraId="3F80E079" w14:textId="77777777" w:rsidR="008F7DED" w:rsidRPr="008F7DED" w:rsidRDefault="008F7DED" w:rsidP="008F7DED">
      <w:pPr>
        <w:pStyle w:val="EndNoteBibliography"/>
        <w:spacing w:after="0"/>
      </w:pPr>
      <w:r w:rsidRPr="008F7DED">
        <w:t>106.</w:t>
      </w:r>
      <w:r w:rsidRPr="008F7DED">
        <w:tab/>
        <w:t>Nguyen CP, Dan Do TN, Bruggemann R, et al. Clinical cure rate and cost-effectiveness of carbapenem-sparing beta-lactams vs. meropenem for Gram-negative infections: A systematic review, meta-analysis, and cost-effectiveness analysis. Int J Antimicrob Agents 2019;54:790-7.</w:t>
      </w:r>
    </w:p>
    <w:p w14:paraId="2F553E56" w14:textId="77777777" w:rsidR="008F7DED" w:rsidRPr="008F7DED" w:rsidRDefault="008F7DED" w:rsidP="008F7DED">
      <w:pPr>
        <w:pStyle w:val="EndNoteBibliography"/>
        <w:spacing w:after="0"/>
      </w:pPr>
      <w:r w:rsidRPr="008F7DED">
        <w:t>107.</w:t>
      </w:r>
      <w:r w:rsidRPr="008F7DED">
        <w:tab/>
        <w:t>Chen GJ, Pan SC, Foo J, Morel C, Chen WT, Wang JT. Comparing ceftolozane/tazobactam versus piperacillin/tazobactam as empiric therapy for complicated urinary tract infection in Taiwan: A cost-utility model focusing on gram-negative bacteria. J Microbiol Immunol Infect 2019;52:807-15.</w:t>
      </w:r>
    </w:p>
    <w:p w14:paraId="3D423810" w14:textId="77777777" w:rsidR="008F7DED" w:rsidRPr="008F7DED" w:rsidRDefault="008F7DED" w:rsidP="008F7DED">
      <w:pPr>
        <w:pStyle w:val="EndNoteBibliography"/>
        <w:spacing w:after="0"/>
      </w:pPr>
      <w:r w:rsidRPr="008F7DED">
        <w:t>108.</w:t>
      </w:r>
      <w:r w:rsidRPr="008F7DED">
        <w:tab/>
        <w:t>Mewes JC, Pulia MS, Mansour MK, Broyles MR, Nguyen HB, Steuten LM. The cost impact of PCT-guided antibiotic stewardship versus usual care for hospitalised patients with suspected sepsis or lower respiratory tract infections in the US: A health economic model analysis. PLoS ONE [Electronic Resource] 2019;14:e0214222.</w:t>
      </w:r>
    </w:p>
    <w:p w14:paraId="00B883AD" w14:textId="77777777" w:rsidR="008F7DED" w:rsidRPr="008F7DED" w:rsidRDefault="008F7DED" w:rsidP="008F7DED">
      <w:pPr>
        <w:pStyle w:val="EndNoteBibliography"/>
        <w:spacing w:after="0"/>
      </w:pPr>
      <w:r w:rsidRPr="008F7DED">
        <w:t>109.</w:t>
      </w:r>
      <w:r w:rsidRPr="008F7DED">
        <w:tab/>
        <w:t>Nelson RE, Ray W, Rubin MA, Schweizer M. Evaluating the cost-effectiveness of decolonization for prevention of MRSA infections using a dynamic tran smission model. Antimicrobial Resistance and Infection Control Conference: 5th International Conference on Prevention and Infection Control, ICPIC 2019;8.</w:t>
      </w:r>
    </w:p>
    <w:p w14:paraId="7BEFF4C7" w14:textId="77777777" w:rsidR="008F7DED" w:rsidRPr="008F7DED" w:rsidRDefault="008F7DED" w:rsidP="008F7DED">
      <w:pPr>
        <w:pStyle w:val="EndNoteBibliography"/>
        <w:spacing w:after="0"/>
      </w:pPr>
      <w:r w:rsidRPr="007D1B7F">
        <w:rPr>
          <w:lang w:val="it-IT"/>
        </w:rPr>
        <w:t>110.</w:t>
      </w:r>
      <w:r w:rsidRPr="007D1B7F">
        <w:rPr>
          <w:lang w:val="it-IT"/>
        </w:rPr>
        <w:tab/>
        <w:t xml:space="preserve">Gordon J, Darlington O, McEwan P, et al. </w:t>
      </w:r>
      <w:r w:rsidRPr="008F7DED">
        <w:t>Estimating the Value of New Antimicrobials in the Context of Antimicrobial Resistance: Development and Application of a Dynamic Disease Transmission Model. Pharmacoeconomics 2020;38:857-69.</w:t>
      </w:r>
    </w:p>
    <w:p w14:paraId="3E3BA485" w14:textId="77777777" w:rsidR="008F7DED" w:rsidRPr="008F7DED" w:rsidRDefault="008F7DED" w:rsidP="008F7DED">
      <w:pPr>
        <w:pStyle w:val="EndNoteBibliography"/>
        <w:spacing w:after="0"/>
      </w:pPr>
      <w:r w:rsidRPr="008F7DED">
        <w:t>111.</w:t>
      </w:r>
      <w:r w:rsidRPr="008F7DED">
        <w:tab/>
        <w:t>Wagner AP, Enne VI, Livermore DM, Craig JV, Turner DA. Review of health economic models exploring and evaluating treatment and management of hospital-acquired pneumonia and ventilator-associated pneumonia. Journal of Hospital Infection 2020;106:745-56.</w:t>
      </w:r>
    </w:p>
    <w:p w14:paraId="38087291" w14:textId="77777777" w:rsidR="008F7DED" w:rsidRPr="008F7DED" w:rsidRDefault="008F7DED" w:rsidP="008F7DED">
      <w:pPr>
        <w:pStyle w:val="EndNoteBibliography"/>
        <w:spacing w:after="0"/>
      </w:pPr>
      <w:r w:rsidRPr="008F7DED">
        <w:t>112.</w:t>
      </w:r>
      <w:r w:rsidRPr="008F7DED">
        <w:tab/>
        <w:t>Edwards SJ, Wordsworth S, Clarke MJ. Treating pneumonia in critical care in the United Kingdom following failure of initial antibiotic: a cost-utility analysis comparing meropenem with piperacillin/tazobactam. Eur J Health Econ 2012;13:181–92.</w:t>
      </w:r>
    </w:p>
    <w:p w14:paraId="630EED21" w14:textId="77777777" w:rsidR="008F7DED" w:rsidRPr="008F7DED" w:rsidRDefault="008F7DED" w:rsidP="008F7DED">
      <w:pPr>
        <w:pStyle w:val="EndNoteBibliography"/>
      </w:pPr>
      <w:r w:rsidRPr="008F7DED">
        <w:t>113.</w:t>
      </w:r>
      <w:r w:rsidRPr="008F7DED">
        <w:tab/>
        <w:t>Grau S, Alvarez-lerma F, Del castillo A, Neipp R, Rubio-terrés C. Cost-effectiveness analysis of the treatment of ventilator-associated pneumonia with linezolid or</w:t>
      </w:r>
    </w:p>
    <w:p w14:paraId="2732823B" w14:textId="77777777" w:rsidR="008F7DED" w:rsidRPr="008F7DED" w:rsidRDefault="008F7DED" w:rsidP="008F7DED">
      <w:pPr>
        <w:pStyle w:val="EndNoteBibliography"/>
        <w:spacing w:after="0"/>
      </w:pPr>
      <w:r w:rsidRPr="008F7DED">
        <w:t>vancomycin in Spain. Journal of Chemotherapy;17:203-11.</w:t>
      </w:r>
    </w:p>
    <w:p w14:paraId="37E97939" w14:textId="77777777" w:rsidR="008F7DED" w:rsidRPr="008F7DED" w:rsidRDefault="008F7DED" w:rsidP="008F7DED">
      <w:pPr>
        <w:pStyle w:val="EndNoteBibliography"/>
        <w:spacing w:after="0"/>
      </w:pPr>
      <w:r w:rsidRPr="008F7DED">
        <w:t>114.</w:t>
      </w:r>
      <w:r w:rsidRPr="008F7DED">
        <w:tab/>
        <w:t>Kongnakorn T, Mwamburi M, Merchant S, Akhras K, Caro JJ, Nathwani D. Economic evaluation of doripenem for the treatment of nosocomial pneumonia in the US: discrete event simulation. Curr Med Res Opin 2010;26:17-24.</w:t>
      </w:r>
    </w:p>
    <w:p w14:paraId="3768B2DB" w14:textId="77777777" w:rsidR="008F7DED" w:rsidRPr="008F7DED" w:rsidRDefault="008F7DED" w:rsidP="008F7DED">
      <w:pPr>
        <w:pStyle w:val="EndNoteBibliography"/>
        <w:spacing w:after="0"/>
      </w:pPr>
      <w:r w:rsidRPr="008F7DED">
        <w:t>115.</w:t>
      </w:r>
      <w:r w:rsidRPr="008F7DED">
        <w:tab/>
        <w:t>Kauf TL, Prabhu VS, Medic G, et al. Cost-effectiveness of ceftolozane/tazobactam compared with piperacillin/tazobactam as empiric therapy based on the in-vitro surveillance of bacterial isolates in the United States for the treatment of complicated urinary tract infections. BMC Infectious Diseases 2017;17:314.</w:t>
      </w:r>
    </w:p>
    <w:p w14:paraId="673C98D5" w14:textId="77777777" w:rsidR="008F7DED" w:rsidRPr="008F7DED" w:rsidRDefault="008F7DED" w:rsidP="008F7DED">
      <w:pPr>
        <w:pStyle w:val="EndNoteBibliography"/>
        <w:spacing w:after="0"/>
      </w:pPr>
      <w:r w:rsidRPr="008F7DED">
        <w:t>116.</w:t>
      </w:r>
      <w:r w:rsidRPr="008F7DED">
        <w:tab/>
        <w:t>Lopes S, Franceschini M, Han Y, Green W, Dymond A, Gill A. Economic evaluation of cefiderocol for the treatment of carbapenem resistant infections in the United States. AMCP Nexus 2020 Virtual,. Oct 19-23, 2020 2020. Poster.; 2020.</w:t>
      </w:r>
    </w:p>
    <w:p w14:paraId="55F15605" w14:textId="77777777" w:rsidR="008F7DED" w:rsidRPr="008F7DED" w:rsidRDefault="008F7DED" w:rsidP="008F7DED">
      <w:pPr>
        <w:pStyle w:val="EndNoteBibliography"/>
        <w:spacing w:after="0"/>
      </w:pPr>
      <w:r w:rsidRPr="008F7DED">
        <w:t>117.</w:t>
      </w:r>
      <w:r w:rsidRPr="008F7DED">
        <w:tab/>
        <w:t>Schaffer SK, West P, Towse A, et al. Assessing the value of new antibiotics: additional elements of value for health technology assessment decisions. London: Office of Health Economics 2017.</w:t>
      </w:r>
    </w:p>
    <w:p w14:paraId="19BF5B31" w14:textId="62DA5017" w:rsidR="008F7DED" w:rsidRPr="008F7DED" w:rsidRDefault="008F7DED" w:rsidP="008F7DED">
      <w:pPr>
        <w:pStyle w:val="EndNoteBibliography"/>
        <w:spacing w:after="0"/>
      </w:pPr>
      <w:r w:rsidRPr="008F7DED">
        <w:t>118.</w:t>
      </w:r>
      <w:r w:rsidRPr="008F7DED">
        <w:tab/>
        <w:t xml:space="preserve">Aminoglycosides (gentamicin, amikacin, tobramycin, and neomycin): increased risk of deafness in patients with mitochondrial mutations. GOV.UK, 2021. (Accessed 17th September 2021, 2021, at </w:t>
      </w:r>
      <w:r w:rsidRPr="00174117">
        <w:t>https://www.gov.uk/drug-safety-update/aminoglycosides-gentamicin-amikacin-tobramycin-and-neomycin-increased-risk-of-deafness-in-patients-with-mitochondrial-mutations</w:t>
      </w:r>
      <w:r w:rsidRPr="008F7DED">
        <w:t>.)</w:t>
      </w:r>
    </w:p>
    <w:p w14:paraId="28373C72" w14:textId="77777777" w:rsidR="008F7DED" w:rsidRPr="007D1B7F" w:rsidRDefault="008F7DED" w:rsidP="008F7DED">
      <w:pPr>
        <w:pStyle w:val="EndNoteBibliography"/>
        <w:spacing w:after="0"/>
        <w:rPr>
          <w:lang w:val="it-IT"/>
        </w:rPr>
      </w:pPr>
      <w:r w:rsidRPr="008F7DED">
        <w:lastRenderedPageBreak/>
        <w:t>119.</w:t>
      </w:r>
      <w:r w:rsidRPr="008F7DED">
        <w:tab/>
        <w:t xml:space="preserve">Limited P. National Institute of Health and Care Excellence, antimicrobial health technology evaluation: Ceftazidime with avibactam for treating severe aerobic Gram-negative bacterial infections. </w:t>
      </w:r>
      <w:r w:rsidRPr="007D1B7F">
        <w:rPr>
          <w:lang w:val="it-IT"/>
        </w:rPr>
        <w:t>Company evidence submission, document A.; 2021.</w:t>
      </w:r>
    </w:p>
    <w:p w14:paraId="05345D20" w14:textId="77777777" w:rsidR="008F7DED" w:rsidRPr="008F7DED" w:rsidRDefault="008F7DED" w:rsidP="008F7DED">
      <w:pPr>
        <w:pStyle w:val="EndNoteBibliography"/>
        <w:spacing w:after="0"/>
      </w:pPr>
      <w:r w:rsidRPr="007D1B7F">
        <w:rPr>
          <w:lang w:val="it-IT"/>
        </w:rPr>
        <w:t>120.</w:t>
      </w:r>
      <w:r w:rsidRPr="007D1B7F">
        <w:rPr>
          <w:lang w:val="it-IT"/>
        </w:rPr>
        <w:tab/>
        <w:t xml:space="preserve">Tumbarello M, De Pascale G, Trecarichi EM, et al. </w:t>
      </w:r>
      <w:r w:rsidRPr="008F7DED">
        <w:t>Clinical outcomes of Pseudomonas aeruginosa pneumonia in intensive care unit patients. Intensive Care Med 2013;39:682-92.</w:t>
      </w:r>
    </w:p>
    <w:p w14:paraId="18B16657" w14:textId="77777777" w:rsidR="008F7DED" w:rsidRPr="008F7DED" w:rsidRDefault="008F7DED" w:rsidP="008F7DED">
      <w:pPr>
        <w:pStyle w:val="EndNoteBibliography"/>
        <w:spacing w:after="0"/>
      </w:pPr>
      <w:r w:rsidRPr="008F7DED">
        <w:t>121.</w:t>
      </w:r>
      <w:r w:rsidRPr="008F7DED">
        <w:tab/>
        <w:t>Livermore DM, Nicolau DP, Hopkins KL, Meunier D. Carbapenem-resistant Enterobacterales, carbapenem resistant organisms, carbapenemase-producing Enterobacterales, and carbapenemase-producing organisms: terminology past its “sell-by date” in an era of new antibiotics and regional carbapenemase epidemiology. Clinical Infectious Diseases 2020;71:1776-82.</w:t>
      </w:r>
    </w:p>
    <w:p w14:paraId="2832747C" w14:textId="77777777" w:rsidR="008F7DED" w:rsidRPr="008F7DED" w:rsidRDefault="008F7DED" w:rsidP="008F7DED">
      <w:pPr>
        <w:pStyle w:val="EndNoteBibliography"/>
        <w:spacing w:after="0"/>
      </w:pPr>
      <w:r w:rsidRPr="008F7DED">
        <w:t>122.</w:t>
      </w:r>
      <w:r w:rsidRPr="008F7DED">
        <w:tab/>
        <w:t>Sisay M, Hagos B, Edessa D, Tadiwos Y, Mekuria AN. Polymyxin-induced nephrotoxicity and its predictors: a systematic review and meta-analysis of studies conducted using RIFLE criteria of acute kidney injury. Pharmacological Research 2021;163:105328.</w:t>
      </w:r>
    </w:p>
    <w:p w14:paraId="75F1C299" w14:textId="77777777" w:rsidR="008F7DED" w:rsidRPr="008F7DED" w:rsidRDefault="008F7DED" w:rsidP="008F7DED">
      <w:pPr>
        <w:pStyle w:val="EndNoteBibliography"/>
        <w:spacing w:after="0"/>
      </w:pPr>
      <w:r w:rsidRPr="008F7DED">
        <w:t>123.</w:t>
      </w:r>
      <w:r w:rsidRPr="008F7DED">
        <w:tab/>
        <w:t>Wagenlehner F, Lucenteforte E, Pea F, et al. Systematic review on estimated rates of nephrotoxicity and neurotoxicity in patients treated with polymyxins. Clinical Microbiology and Infection 2021;27:671-86.</w:t>
      </w:r>
    </w:p>
    <w:p w14:paraId="074BD7E7" w14:textId="77777777" w:rsidR="008F7DED" w:rsidRPr="008F7DED" w:rsidRDefault="008F7DED" w:rsidP="008F7DED">
      <w:pPr>
        <w:pStyle w:val="EndNoteBibliography"/>
        <w:spacing w:after="0"/>
      </w:pPr>
      <w:r w:rsidRPr="008F7DED">
        <w:t>124.</w:t>
      </w:r>
      <w:r w:rsidRPr="008F7DED">
        <w:tab/>
        <w:t>Chien H-T, Lin Y-C, Sheu C-C, Hsieh K-P, Chang J-S. Is colistin-associated acute kidney injury clinically important in adults? A systematic review and meta-analysis. International Journal of Antimicrobial Agents 2020;55:105889.</w:t>
      </w:r>
    </w:p>
    <w:p w14:paraId="49FD9ADF" w14:textId="77777777" w:rsidR="008F7DED" w:rsidRPr="008F7DED" w:rsidRDefault="008F7DED" w:rsidP="008F7DED">
      <w:pPr>
        <w:pStyle w:val="EndNoteBibliography"/>
        <w:spacing w:after="0"/>
      </w:pPr>
      <w:r w:rsidRPr="008F7DED">
        <w:t>125.</w:t>
      </w:r>
      <w:r w:rsidRPr="008F7DED">
        <w:tab/>
        <w:t>Oliota AF, Penteado ST, Tonin FS, Fernandez-Llimos F, Sanches AC. Nephrotoxicity prevalence in patients treated with polymyxins: a systematic review with meta-analysis of observational studies. Diagnostic Microbiology and Infectious Disease 2019;94:41-9.</w:t>
      </w:r>
    </w:p>
    <w:p w14:paraId="101B0F6F" w14:textId="77777777" w:rsidR="008F7DED" w:rsidRPr="00454CF5" w:rsidRDefault="008F7DED" w:rsidP="008F7DED">
      <w:pPr>
        <w:pStyle w:val="EndNoteBibliography"/>
        <w:spacing w:after="0"/>
        <w:rPr>
          <w:lang w:val="fr-FR"/>
        </w:rPr>
      </w:pPr>
      <w:r w:rsidRPr="008F7DED">
        <w:t>126.</w:t>
      </w:r>
      <w:r w:rsidRPr="008F7DED">
        <w:tab/>
        <w:t xml:space="preserve">Kerr M, Bedford M, Matthews B, O'Donoghue D. The economic impact of acute kidney injury in England. </w:t>
      </w:r>
      <w:r w:rsidRPr="00454CF5">
        <w:rPr>
          <w:lang w:val="fr-FR"/>
        </w:rPr>
        <w:t>Nephrology Dialysis Transplantation 2014;29:1362-8.</w:t>
      </w:r>
    </w:p>
    <w:p w14:paraId="32080915" w14:textId="77777777" w:rsidR="008F7DED" w:rsidRPr="008F7DED" w:rsidRDefault="008F7DED" w:rsidP="008F7DED">
      <w:pPr>
        <w:pStyle w:val="EndNoteBibliography"/>
        <w:spacing w:after="0"/>
      </w:pPr>
      <w:r w:rsidRPr="00454CF5">
        <w:rPr>
          <w:lang w:val="fr-FR"/>
        </w:rPr>
        <w:t>127.</w:t>
      </w:r>
      <w:r w:rsidRPr="00454CF5">
        <w:rPr>
          <w:lang w:val="fr-FR"/>
        </w:rPr>
        <w:tab/>
        <w:t xml:space="preserve">Palacios-Baena ZR, Giannella M, Manissero D, et al. </w:t>
      </w:r>
      <w:r w:rsidRPr="008F7DED">
        <w:t>Risk factors for carbapenem-resistant Gram-negative bacterial infections: a systematic review. Clinical Microbiology and Infection 2020.</w:t>
      </w:r>
    </w:p>
    <w:p w14:paraId="23F8DCCC" w14:textId="77777777" w:rsidR="008F7DED" w:rsidRPr="008F7DED" w:rsidRDefault="008F7DED" w:rsidP="008F7DED">
      <w:pPr>
        <w:pStyle w:val="EndNoteBibliography"/>
        <w:spacing w:after="0"/>
      </w:pPr>
      <w:r w:rsidRPr="008F7DED">
        <w:t>128.</w:t>
      </w:r>
      <w:r w:rsidRPr="008F7DED">
        <w:tab/>
        <w:t>Wunderink RG, Matsunaga Y, Ariyasu M, et al. Cefiderocol versus high-dose, extended-infusion meropenem for the treatment of Gram-negative nosocomial pneumonia (APEKS-NP): a randomised, double-blind, phase 3, non-inferiority trial. The Lancet Infectious Diseases 2021;21:213-25.</w:t>
      </w:r>
    </w:p>
    <w:p w14:paraId="095A80A3" w14:textId="77777777" w:rsidR="008F7DED" w:rsidRPr="008F7DED" w:rsidRDefault="008F7DED" w:rsidP="008F7DED">
      <w:pPr>
        <w:pStyle w:val="EndNoteBibliography"/>
        <w:spacing w:after="0"/>
      </w:pPr>
      <w:r w:rsidRPr="008F7DED">
        <w:t>129.</w:t>
      </w:r>
      <w:r w:rsidRPr="008F7DED">
        <w:tab/>
        <w:t>Latimer N. NICE DSU Technical Support Document 14: Survival Analysis For Economic Evaluations Alongside Clinical Trials - Extrapolation With Patient-Level Data NICE Decision Support Unit 2011.</w:t>
      </w:r>
    </w:p>
    <w:p w14:paraId="2760C713" w14:textId="77777777" w:rsidR="008F7DED" w:rsidRPr="008F7DED" w:rsidRDefault="008F7DED" w:rsidP="008F7DED">
      <w:pPr>
        <w:pStyle w:val="EndNoteBibliography"/>
        <w:spacing w:after="0"/>
      </w:pPr>
      <w:r w:rsidRPr="007D1B7F">
        <w:rPr>
          <w:lang w:val="de-DE"/>
        </w:rPr>
        <w:t>130.</w:t>
      </w:r>
      <w:r w:rsidRPr="007D1B7F">
        <w:rPr>
          <w:lang w:val="de-DE"/>
        </w:rPr>
        <w:tab/>
        <w:t xml:space="preserve">Bucaloiu ID, Kirchner HL, Norfolk ER, Hartle JE, II, Perkins RM. </w:t>
      </w:r>
      <w:r w:rsidRPr="008F7DED">
        <w:t>Increased risk of death and &lt;em&gt;de novo&lt;/em&gt; chronic kidney disease following reversible acute kidney injury. Kidney Int 2012;81:477-85.</w:t>
      </w:r>
    </w:p>
    <w:p w14:paraId="721B4D10" w14:textId="77777777" w:rsidR="008F7DED" w:rsidRPr="008F7DED" w:rsidRDefault="008F7DED" w:rsidP="008F7DED">
      <w:pPr>
        <w:pStyle w:val="EndNoteBibliography"/>
        <w:spacing w:after="0"/>
      </w:pPr>
      <w:r w:rsidRPr="008F7DED">
        <w:t>131.</w:t>
      </w:r>
      <w:r w:rsidRPr="008F7DED">
        <w:tab/>
        <w:t>Hadjiat Y, Serrie A, Treves R, Chomier B, Geranton L, Billon S. Pain associated with health and economic burden in France: results from recent National Health and Wellness Survey data. ClinicoEcon 2018;10:53-65.</w:t>
      </w:r>
    </w:p>
    <w:p w14:paraId="6BFDA398" w14:textId="77777777" w:rsidR="008F7DED" w:rsidRPr="008F7DED" w:rsidRDefault="008F7DED" w:rsidP="008F7DED">
      <w:pPr>
        <w:pStyle w:val="EndNoteBibliography"/>
        <w:spacing w:after="0"/>
      </w:pPr>
      <w:r w:rsidRPr="008F7DED">
        <w:t>132.</w:t>
      </w:r>
      <w:r w:rsidRPr="008F7DED">
        <w:tab/>
        <w:t>Langley PC. The societal burden of pain in Germany: health-related quality-of-life, health status and direct medical costs. J Med Econ 2012;15:1201-15.</w:t>
      </w:r>
    </w:p>
    <w:p w14:paraId="3515C980" w14:textId="77777777" w:rsidR="008F7DED" w:rsidRPr="008F7DED" w:rsidRDefault="008F7DED" w:rsidP="008F7DED">
      <w:pPr>
        <w:pStyle w:val="EndNoteBibliography"/>
        <w:spacing w:after="0"/>
      </w:pPr>
      <w:r w:rsidRPr="008F7DED">
        <w:t>133.</w:t>
      </w:r>
      <w:r w:rsidRPr="008F7DED">
        <w:tab/>
        <w:t>Ara R, Brazier JE. Populating an economic model with health state utility values: moving toward better practice. Value Health 2010;13:509-18.</w:t>
      </w:r>
    </w:p>
    <w:p w14:paraId="6FA0A8F8" w14:textId="77777777" w:rsidR="008F7DED" w:rsidRPr="008F7DED" w:rsidRDefault="008F7DED" w:rsidP="008F7DED">
      <w:pPr>
        <w:pStyle w:val="EndNoteBibliography"/>
        <w:spacing w:after="0"/>
      </w:pPr>
      <w:r w:rsidRPr="008F7DED">
        <w:t>134.</w:t>
      </w:r>
      <w:r w:rsidRPr="008F7DED">
        <w:tab/>
        <w:t>Wyld M, Morton RL, Hayen A, Howard K, Webster AC. A systematic review and meta-analysis of utility-based quality of life in chronic kidney disease treatments. 2012.</w:t>
      </w:r>
    </w:p>
    <w:p w14:paraId="2579788F" w14:textId="77777777" w:rsidR="008F7DED" w:rsidRPr="008F7DED" w:rsidRDefault="008F7DED" w:rsidP="008F7DED">
      <w:pPr>
        <w:pStyle w:val="EndNoteBibliography"/>
        <w:spacing w:after="0"/>
      </w:pPr>
      <w:r w:rsidRPr="008F7DED">
        <w:t>135.</w:t>
      </w:r>
      <w:r w:rsidRPr="008F7DED">
        <w:tab/>
        <w:t>Kerr M, Bray B, Medcalf J, O'Donoghue DJ, Matthews B. Estimating the financial cost of chronic kidney disease to the NHS in England. Nephrology Dialysis Transplantation 2012;27:iii73-iii80.</w:t>
      </w:r>
    </w:p>
    <w:p w14:paraId="6E89E82B" w14:textId="77777777" w:rsidR="008F7DED" w:rsidRPr="008F7DED" w:rsidRDefault="008F7DED" w:rsidP="008F7DED">
      <w:pPr>
        <w:pStyle w:val="EndNoteBibliography"/>
        <w:spacing w:after="0"/>
      </w:pPr>
      <w:r w:rsidRPr="008F7DED">
        <w:t>136.</w:t>
      </w:r>
      <w:r w:rsidRPr="008F7DED">
        <w:tab/>
        <w:t>Kolhe NV, Eldehni MT, Selby NM, McIntyre CW. The reimbursement and cost of acute kidney injury: a UK hospital perspective. Nephron Clin Pract 2014;126:51-6.</w:t>
      </w:r>
    </w:p>
    <w:p w14:paraId="07329E29" w14:textId="77777777" w:rsidR="008F7DED" w:rsidRPr="008F7DED" w:rsidRDefault="008F7DED" w:rsidP="008F7DED">
      <w:pPr>
        <w:pStyle w:val="EndNoteBibliography"/>
        <w:spacing w:after="0"/>
      </w:pPr>
      <w:r w:rsidRPr="008F7DED">
        <w:t>137.</w:t>
      </w:r>
      <w:r w:rsidRPr="008F7DED">
        <w:tab/>
        <w:t>Curtis L, Burns A. Unit Costs of Health &amp; Social Care PSSRU, University of Kent; 2020.</w:t>
      </w:r>
    </w:p>
    <w:p w14:paraId="3C6755D4" w14:textId="77777777" w:rsidR="008F7DED" w:rsidRPr="007D1B7F" w:rsidRDefault="008F7DED" w:rsidP="008F7DED">
      <w:pPr>
        <w:pStyle w:val="EndNoteBibliography"/>
        <w:spacing w:after="0"/>
        <w:rPr>
          <w:lang w:val="sv-SE"/>
        </w:rPr>
      </w:pPr>
      <w:r w:rsidRPr="007D1B7F">
        <w:rPr>
          <w:lang w:val="nl-NL"/>
        </w:rPr>
        <w:t>138.</w:t>
      </w:r>
      <w:r w:rsidRPr="007D1B7F">
        <w:rPr>
          <w:lang w:val="nl-NL"/>
        </w:rPr>
        <w:tab/>
        <w:t xml:space="preserve">Knight GM, Costelloe C, Deeny SR, et al. </w:t>
      </w:r>
      <w:r w:rsidRPr="008F7DED">
        <w:t xml:space="preserve">Quantifying where human acquisition of antibiotic resistance occurs: a mathematical modelling study. </w:t>
      </w:r>
      <w:r w:rsidRPr="007D1B7F">
        <w:rPr>
          <w:lang w:val="sv-SE"/>
        </w:rPr>
        <w:t>BMC Medicine 2018;16:137.</w:t>
      </w:r>
    </w:p>
    <w:p w14:paraId="36261C90" w14:textId="77777777" w:rsidR="008F7DED" w:rsidRPr="007D1B7F" w:rsidRDefault="008F7DED" w:rsidP="008F7DED">
      <w:pPr>
        <w:pStyle w:val="EndNoteBibliography"/>
        <w:spacing w:after="0"/>
        <w:rPr>
          <w:lang w:val="sv-SE"/>
        </w:rPr>
      </w:pPr>
      <w:r w:rsidRPr="007D1B7F">
        <w:rPr>
          <w:lang w:val="sv-SE"/>
        </w:rPr>
        <w:lastRenderedPageBreak/>
        <w:t>139.</w:t>
      </w:r>
      <w:r w:rsidRPr="007D1B7F">
        <w:rPr>
          <w:lang w:val="sv-SE"/>
        </w:rPr>
        <w:tab/>
        <w:t>Kongnakorn T, Eckmann C, Bassetti M, et al. Cost-effectiveness analysis comparing ceftazidime/avibactam (CAZ-AVI) as empirical treatment comparing to ceftolozane/tazobactam and to meropenem for complicated intra-abdominal infection (cIAI). Antimicrobial Resistance &amp; Infection Control 2019;8:204.</w:t>
      </w:r>
    </w:p>
    <w:p w14:paraId="75AE1045" w14:textId="0D9ACE97" w:rsidR="008F7DED" w:rsidRPr="008F7DED" w:rsidRDefault="008F7DED" w:rsidP="008F7DED">
      <w:pPr>
        <w:pStyle w:val="EndNoteBibliography"/>
        <w:spacing w:after="0"/>
      </w:pPr>
      <w:r w:rsidRPr="007D1B7F">
        <w:rPr>
          <w:lang w:val="sv-SE"/>
        </w:rPr>
        <w:t>140.</w:t>
      </w:r>
      <w:r w:rsidRPr="007D1B7F">
        <w:rPr>
          <w:lang w:val="sv-SE"/>
        </w:rPr>
        <w:tab/>
        <w:t xml:space="preserve">Antimicrobial Health Technology Evaluation: Ceftazidime with avibactam for treating severe aerobic Gram-negative bacterial infections: Final scope 2021. </w:t>
      </w:r>
      <w:r w:rsidRPr="008F7DED">
        <w:t xml:space="preserve">(Accessed at Available from: </w:t>
      </w:r>
      <w:r w:rsidRPr="00174117">
        <w:t>https://www.nice.org.uk/about/what-we-do/life-sciences/scientific-advice/models-for-the-evaluation-and-purchase-of-antimicrobials/ceftazidime-with-avibactam</w:t>
      </w:r>
      <w:r w:rsidRPr="008F7DED">
        <w:t>. Accessed 17th October 2021.)</w:t>
      </w:r>
    </w:p>
    <w:p w14:paraId="4AD0DC17" w14:textId="77777777" w:rsidR="008F7DED" w:rsidRPr="008F7DED" w:rsidRDefault="008F7DED" w:rsidP="008F7DED">
      <w:pPr>
        <w:pStyle w:val="EndNoteBibliography"/>
        <w:spacing w:after="0"/>
      </w:pPr>
      <w:r w:rsidRPr="008F7DED">
        <w:t>141.</w:t>
      </w:r>
      <w:r w:rsidRPr="008F7DED">
        <w:tab/>
        <w:t>Department of Health and Social Care. Impact Assessment 9553: 2018 Statutory Scheme – Branded Medicines Pricing: UK Government 2018.</w:t>
      </w:r>
    </w:p>
    <w:p w14:paraId="5D62E799" w14:textId="75A73089" w:rsidR="008F7DED" w:rsidRPr="008F7DED" w:rsidRDefault="008F7DED" w:rsidP="008F7DED">
      <w:pPr>
        <w:pStyle w:val="EndNoteBibliography"/>
        <w:spacing w:after="0"/>
      </w:pPr>
      <w:r w:rsidRPr="008F7DED">
        <w:t>142.</w:t>
      </w:r>
      <w:r w:rsidRPr="008F7DED">
        <w:tab/>
        <w:t xml:space="preserve">National Institute for Health and Care Excellence. NICE Guide to the Methods of Technology Appraisal. London: National Institute for Health and Care Excellence. . Available at </w:t>
      </w:r>
      <w:r w:rsidRPr="00174117">
        <w:t>https://www.nice.org.uk/process/pmg9/chapter/foreword</w:t>
      </w:r>
      <w:r w:rsidRPr="008F7DED">
        <w:t>. [Accessed 10 March 2018]. 2013.</w:t>
      </w:r>
    </w:p>
    <w:p w14:paraId="780F1CF0" w14:textId="667B2096" w:rsidR="008F7DED" w:rsidRPr="008F7DED" w:rsidRDefault="008F7DED" w:rsidP="008F7DED">
      <w:pPr>
        <w:pStyle w:val="EndNoteBibliography"/>
        <w:spacing w:after="0"/>
      </w:pPr>
      <w:r w:rsidRPr="008F7DED">
        <w:t>143.</w:t>
      </w:r>
      <w:r w:rsidRPr="008F7DED">
        <w:tab/>
        <w:t xml:space="preserve">New S, I and R definitions. 2021. (Accessed at </w:t>
      </w:r>
      <w:r w:rsidRPr="00174117">
        <w:t>https://www.eucast.org/newsiandr/</w:t>
      </w:r>
      <w:r w:rsidRPr="008F7DED">
        <w:t>.)</w:t>
      </w:r>
    </w:p>
    <w:p w14:paraId="555828AA" w14:textId="77777777" w:rsidR="008F7DED" w:rsidRPr="008F7DED" w:rsidRDefault="008F7DED" w:rsidP="008F7DED">
      <w:pPr>
        <w:pStyle w:val="EndNoteBibliography"/>
        <w:spacing w:after="0"/>
      </w:pPr>
      <w:r w:rsidRPr="008F7DED">
        <w:t>144.</w:t>
      </w:r>
      <w:r w:rsidRPr="008F7DED">
        <w:tab/>
        <w:t>Costelloe C, Metcalfe C, Lovering A, Mant D, Hay AD. Effect of antibiotic prescribing in primary care on antimicrobial resistance in individual patients: systematic review and meta-analysis. Bmj 2010;340.</w:t>
      </w:r>
    </w:p>
    <w:p w14:paraId="520F3F88" w14:textId="77777777" w:rsidR="008F7DED" w:rsidRPr="008F7DED" w:rsidRDefault="008F7DED" w:rsidP="008F7DED">
      <w:pPr>
        <w:pStyle w:val="EndNoteBibliography"/>
        <w:spacing w:after="0"/>
      </w:pPr>
      <w:r w:rsidRPr="008F7DED">
        <w:t>145.</w:t>
      </w:r>
      <w:r w:rsidRPr="008F7DED">
        <w:tab/>
        <w:t>Bell BG, Schellevis F, Stobberingh E, Goossens H, Pringle M. A systematic review and meta-analysis of the effects of antibiotic consumption on antibiotic resistance. BMC infectious diseases 2014;14:1-25.</w:t>
      </w:r>
    </w:p>
    <w:p w14:paraId="2689F6E0" w14:textId="77777777" w:rsidR="008F7DED" w:rsidRPr="008F7DED" w:rsidRDefault="008F7DED" w:rsidP="008F7DED">
      <w:pPr>
        <w:pStyle w:val="EndNoteBibliography"/>
        <w:spacing w:after="0"/>
      </w:pPr>
      <w:r w:rsidRPr="008F7DED">
        <w:t>146.</w:t>
      </w:r>
      <w:r w:rsidRPr="008F7DED">
        <w:tab/>
        <w:t>Bakhit M, Hoffmann T, Scott AM, Beller E, Rathbone J, Del Mar C. Resistance decay in individuals after antibiotic exposure in primary care: a systematic review and meta-analysis. BMC medicine 2018;16:1-19.</w:t>
      </w:r>
    </w:p>
    <w:p w14:paraId="05AB04AB" w14:textId="77777777" w:rsidR="008F7DED" w:rsidRPr="008F7DED" w:rsidRDefault="008F7DED" w:rsidP="008F7DED">
      <w:pPr>
        <w:pStyle w:val="EndNoteBibliography"/>
        <w:spacing w:after="0"/>
      </w:pPr>
      <w:r w:rsidRPr="008F7DED">
        <w:t>147.</w:t>
      </w:r>
      <w:r w:rsidRPr="008F7DED">
        <w:tab/>
        <w:t>Jeffrey B, Aanensen DM, Croucher NJ, Bhatt S. Predicting the future distribution of antibiotic resistance using time series forecasting and geospatial modelling. Wellcome Open Research 2020;5:194.</w:t>
      </w:r>
    </w:p>
    <w:p w14:paraId="582C1ACE" w14:textId="759CB236" w:rsidR="008F7DED" w:rsidRPr="008F7DED" w:rsidRDefault="008F7DED" w:rsidP="008F7DED">
      <w:pPr>
        <w:pStyle w:val="EndNoteBibliography"/>
        <w:spacing w:after="0"/>
      </w:pPr>
      <w:r w:rsidRPr="008F7DED">
        <w:t>148.</w:t>
      </w:r>
      <w:r w:rsidRPr="008F7DED">
        <w:tab/>
        <w:t xml:space="preserve">Development. OfEC-oa. Stemming the Superbug Tide: Just a Few Dollars More. </w:t>
      </w:r>
      <w:r w:rsidRPr="00174117">
        <w:t>https://www.oecd.org/health/stemming-the-superbug-tide-9789264307599-en.htm</w:t>
      </w:r>
      <w:r w:rsidRPr="008F7DED">
        <w:t>; 2019.</w:t>
      </w:r>
    </w:p>
    <w:p w14:paraId="0BB82261" w14:textId="77777777" w:rsidR="008F7DED" w:rsidRPr="008F7DED" w:rsidRDefault="008F7DED" w:rsidP="008F7DED">
      <w:pPr>
        <w:pStyle w:val="EndNoteBibliography"/>
        <w:spacing w:after="0"/>
      </w:pPr>
      <w:r w:rsidRPr="00454CF5">
        <w:rPr>
          <w:lang w:val="fr-FR"/>
        </w:rPr>
        <w:t>149.</w:t>
      </w:r>
      <w:r w:rsidRPr="00454CF5">
        <w:rPr>
          <w:lang w:val="fr-FR"/>
        </w:rPr>
        <w:tab/>
        <w:t xml:space="preserve">Ortiz-Brizuela E, Caro-Vega Y, Bobadilla-del-Valle M, et al. </w:t>
      </w:r>
      <w:r w:rsidRPr="008F7DED">
        <w:t>The influence of hospital antimicrobial use on carbapenem-non-susceptible Enterobacterales incidence rates according to their mechanism of resistance: a time-series analysis. Journal of Hospital Infection 2020;105:757-65.</w:t>
      </w:r>
    </w:p>
    <w:p w14:paraId="3B4D7D87" w14:textId="77777777" w:rsidR="008F7DED" w:rsidRPr="008F7DED" w:rsidRDefault="008F7DED" w:rsidP="008F7DED">
      <w:pPr>
        <w:pStyle w:val="EndNoteBibliography"/>
        <w:spacing w:after="0"/>
      </w:pPr>
      <w:r w:rsidRPr="008F7DED">
        <w:t>150.</w:t>
      </w:r>
      <w:r w:rsidRPr="008F7DED">
        <w:tab/>
        <w:t>Gharbi M, Moore LS, Gilchrist M, et al. Forecasting carbapenem resistance from antimicrobial consumption surveillance: Lessons learnt from an OXA-48-producing Klebsiella pneumoniae outbreak in a West London renal unit. International Journal of Antimicrobial Agents 2015;46:150-6.</w:t>
      </w:r>
    </w:p>
    <w:p w14:paraId="63A7C2AC" w14:textId="77777777" w:rsidR="008F7DED" w:rsidRPr="008F7DED" w:rsidRDefault="008F7DED" w:rsidP="008F7DED">
      <w:pPr>
        <w:pStyle w:val="EndNoteBibliography"/>
        <w:spacing w:after="0"/>
      </w:pPr>
      <w:r w:rsidRPr="008F7DED">
        <w:t>151.</w:t>
      </w:r>
      <w:r w:rsidRPr="008F7DED">
        <w:tab/>
        <w:t>Berger P, Pascal L, Sartor C, et al. Generalized additive model demonstrates fluoroquinolone use/resistance relationships for Staphylococcus aureus. European journal of epidemiology 2004;19:453-60.</w:t>
      </w:r>
    </w:p>
    <w:p w14:paraId="33F56EA7" w14:textId="77777777" w:rsidR="008F7DED" w:rsidRPr="008F7DED" w:rsidRDefault="008F7DED" w:rsidP="008F7DED">
      <w:pPr>
        <w:pStyle w:val="EndNoteBibliography"/>
        <w:spacing w:after="0"/>
      </w:pPr>
      <w:r w:rsidRPr="008F7DED">
        <w:t>152.</w:t>
      </w:r>
      <w:r w:rsidRPr="008F7DED">
        <w:tab/>
        <w:t>McDonnell L, Armstrong D, Ashworth M, Dregan A, Malik U, White P. National disparities in the relationship between antimicrobial resistance and antimicrobial consumption in Europe: an observational study in 29 countries. Journal of Antimicrobial Chemotherapy 2017;72:3199-204.</w:t>
      </w:r>
    </w:p>
    <w:p w14:paraId="0E7563DD" w14:textId="77777777" w:rsidR="008F7DED" w:rsidRPr="008F7DED" w:rsidRDefault="008F7DED" w:rsidP="008F7DED">
      <w:pPr>
        <w:pStyle w:val="EndNoteBibliography"/>
        <w:spacing w:after="0"/>
      </w:pPr>
      <w:r w:rsidRPr="008F7DED">
        <w:t>153.</w:t>
      </w:r>
      <w:r w:rsidRPr="008F7DED">
        <w:tab/>
        <w:t>Pouwels KB, Freeman R, Muller-Pebody B, et al. Association between use of different antibiotics and trimethoprim resistance: going beyond the obvious crude association. Journal of Antimicrobial Chemotherapy 2018;73:1700-7.</w:t>
      </w:r>
    </w:p>
    <w:p w14:paraId="1FE4CC8B" w14:textId="77777777" w:rsidR="008F7DED" w:rsidRPr="008F7DED" w:rsidRDefault="008F7DED" w:rsidP="008F7DED">
      <w:pPr>
        <w:pStyle w:val="EndNoteBibliography"/>
        <w:spacing w:after="0"/>
      </w:pPr>
      <w:r w:rsidRPr="008F7DED">
        <w:t>154.</w:t>
      </w:r>
      <w:r w:rsidRPr="008F7DED">
        <w:tab/>
        <w:t>Colson AR, Megiddo I, Alvarez-Uria G, et al. Quantifying uncertainty about future antimicrobial resistance: Comparing structured expert judgment and statistical forecasting methods. PloS one 2019;14:e0219190.</w:t>
      </w:r>
    </w:p>
    <w:p w14:paraId="1CDC1129" w14:textId="77777777" w:rsidR="008F7DED" w:rsidRPr="008F7DED" w:rsidRDefault="008F7DED" w:rsidP="008F7DED">
      <w:pPr>
        <w:pStyle w:val="EndNoteBibliography"/>
        <w:spacing w:after="0"/>
      </w:pPr>
      <w:r w:rsidRPr="008F7DED">
        <w:t>155.</w:t>
      </w:r>
      <w:r w:rsidRPr="008F7DED">
        <w:tab/>
        <w:t>Durham L, Ge M, Cuccia A, Quinn J. Modeling antibiotic resistance to project future rates: quinolone resistance in Escherichia coli. Eur J Clin Microbiol Infect Dis 2010;29:353-6.</w:t>
      </w:r>
    </w:p>
    <w:p w14:paraId="5D302640" w14:textId="77777777" w:rsidR="008F7DED" w:rsidRPr="008F7DED" w:rsidRDefault="008F7DED" w:rsidP="008F7DED">
      <w:pPr>
        <w:pStyle w:val="EndNoteBibliography"/>
        <w:spacing w:after="0"/>
      </w:pPr>
      <w:r w:rsidRPr="008F7DED">
        <w:t>156.</w:t>
      </w:r>
      <w:r w:rsidRPr="008F7DED">
        <w:tab/>
        <w:t>Goossens H, Ferech M, Vander Stichele R, Elseviers M, Group EP. Outpatient antibiotic use in Europe and association with resistance: a cross-national database study. The Lancet 2005;365:579-87.</w:t>
      </w:r>
    </w:p>
    <w:p w14:paraId="461265CE" w14:textId="77777777" w:rsidR="008F7DED" w:rsidRPr="008F7DED" w:rsidRDefault="008F7DED" w:rsidP="008F7DED">
      <w:pPr>
        <w:pStyle w:val="EndNoteBibliography"/>
        <w:spacing w:after="0"/>
      </w:pPr>
      <w:r w:rsidRPr="008F7DED">
        <w:lastRenderedPageBreak/>
        <w:t>157.</w:t>
      </w:r>
      <w:r w:rsidRPr="008F7DED">
        <w:tab/>
        <w:t>Johnson AP, Muller-Pebody B, Budd E, et al. Improving feedback of surveillance data on antimicrobial consumption, resistance and stewardship in England: putting the data at your Fingertips. Journal of Antimicrobial Chemotherapy 2017;72:953-6.</w:t>
      </w:r>
    </w:p>
    <w:p w14:paraId="6960FA47" w14:textId="7386A4B8" w:rsidR="008F7DED" w:rsidRPr="008F7DED" w:rsidRDefault="008F7DED" w:rsidP="008F7DED">
      <w:pPr>
        <w:pStyle w:val="EndNoteBibliography"/>
        <w:spacing w:after="0"/>
      </w:pPr>
      <w:r w:rsidRPr="008F7DED">
        <w:t>158.</w:t>
      </w:r>
      <w:r w:rsidRPr="008F7DED">
        <w:tab/>
        <w:t xml:space="preserve">European Surveillance of Antimicrobial Consumption Network (ESAC-Net). 2021. (Accessed at </w:t>
      </w:r>
      <w:r w:rsidRPr="00174117">
        <w:t>https://www.ecdc.europa.eu/en/about-us/partnerships-and-networks/disease-and-laboratory-networks/esac-net</w:t>
      </w:r>
      <w:r w:rsidRPr="008F7DED">
        <w:t>.)</w:t>
      </w:r>
    </w:p>
    <w:p w14:paraId="03131EFF" w14:textId="52DDBC5C" w:rsidR="008F7DED" w:rsidRPr="008F7DED" w:rsidRDefault="008F7DED" w:rsidP="008F7DED">
      <w:pPr>
        <w:pStyle w:val="EndNoteBibliography"/>
        <w:spacing w:after="0"/>
      </w:pPr>
      <w:r w:rsidRPr="008F7DED">
        <w:t>159.</w:t>
      </w:r>
      <w:r w:rsidRPr="008F7DED">
        <w:tab/>
        <w:t xml:space="preserve">European Antimicrobial Resistance Surveillance Network (EARS-Net). 2021. (Accessed at </w:t>
      </w:r>
      <w:r w:rsidRPr="00174117">
        <w:t>https://www.ecdc.europa.eu/en/about-us/partnerships-and-networks/disease-and-laboratory-networks/ears-net</w:t>
      </w:r>
      <w:r w:rsidRPr="008F7DED">
        <w:t>.)</w:t>
      </w:r>
    </w:p>
    <w:p w14:paraId="37067023" w14:textId="33261A3A" w:rsidR="008F7DED" w:rsidRPr="008F7DED" w:rsidRDefault="008F7DED" w:rsidP="008F7DED">
      <w:pPr>
        <w:pStyle w:val="EndNoteBibliography"/>
        <w:spacing w:after="0"/>
      </w:pPr>
      <w:r w:rsidRPr="008F7DED">
        <w:t>160.</w:t>
      </w:r>
      <w:r w:rsidRPr="008F7DED">
        <w:tab/>
        <w:t xml:space="preserve">Control ECfDPa. Antimicrobial resistance in the EU/EEA (EARS-Net) - Annual Epidemiological Report for 2019. </w:t>
      </w:r>
      <w:r w:rsidRPr="00174117">
        <w:t>https://www.ecdc.europa.eu/en/publications-data/surveillance-antimicrobial-resistance-europe-2019</w:t>
      </w:r>
      <w:r w:rsidRPr="008F7DED">
        <w:t>; 2020.</w:t>
      </w:r>
    </w:p>
    <w:p w14:paraId="54EB40DA" w14:textId="77777777" w:rsidR="008F7DED" w:rsidRPr="008F7DED" w:rsidRDefault="008F7DED" w:rsidP="008F7DED">
      <w:pPr>
        <w:pStyle w:val="EndNoteBibliography"/>
        <w:spacing w:after="0"/>
      </w:pPr>
      <w:r w:rsidRPr="008F7DED">
        <w:t>161.</w:t>
      </w:r>
      <w:r w:rsidRPr="008F7DED">
        <w:tab/>
        <w:t>Morel CM, Alm RA, Årdal C, et al. A one health framework to estimate the cost of antimicrobial resistance. Antimicrobial Resistance &amp; Infection Control 2020;9:1-14.</w:t>
      </w:r>
    </w:p>
    <w:p w14:paraId="58C90ABD" w14:textId="77777777" w:rsidR="008F7DED" w:rsidRPr="008F7DED" w:rsidRDefault="008F7DED" w:rsidP="008F7DED">
      <w:pPr>
        <w:pStyle w:val="EndNoteBibliography"/>
        <w:spacing w:after="0"/>
      </w:pPr>
      <w:r w:rsidRPr="008F7DED">
        <w:t>162.</w:t>
      </w:r>
      <w:r w:rsidRPr="008F7DED">
        <w:tab/>
        <w:t>Chatterjee A, Modarai M, Naylor NR, et al. Quantifying drivers of antibiotic resistance in humans: a systematic review. The Lancet Infectious Diseases 2018;18:e368-e78.</w:t>
      </w:r>
    </w:p>
    <w:p w14:paraId="70FEAE1F" w14:textId="77777777" w:rsidR="008F7DED" w:rsidRPr="008F7DED" w:rsidRDefault="008F7DED" w:rsidP="008F7DED">
      <w:pPr>
        <w:pStyle w:val="EndNoteBibliography"/>
        <w:spacing w:after="0"/>
      </w:pPr>
      <w:r w:rsidRPr="008F7DED">
        <w:t>163.</w:t>
      </w:r>
      <w:r w:rsidRPr="008F7DED">
        <w:tab/>
        <w:t>Schuts EC, Boyd A, Muller AE, Mouton JW, Prins JM. The effect of antibiotic restriction programs on prevalence of antimicrobial resistance: a systematic review and meta-analysis. In: Open forum infect; 2021: Oxford University Press US; 2021. p. ofab070.</w:t>
      </w:r>
    </w:p>
    <w:p w14:paraId="3B54D4DD" w14:textId="77777777" w:rsidR="008F7DED" w:rsidRPr="007D1B7F" w:rsidRDefault="008F7DED" w:rsidP="008F7DED">
      <w:pPr>
        <w:pStyle w:val="EndNoteBibliography"/>
        <w:spacing w:after="0"/>
        <w:rPr>
          <w:lang w:val="sv-SE"/>
        </w:rPr>
      </w:pPr>
      <w:r w:rsidRPr="008F7DED">
        <w:t>164.</w:t>
      </w:r>
      <w:r w:rsidRPr="008F7DED">
        <w:tab/>
        <w:t xml:space="preserve">Holmes AH, Moore LS, Sundsfjord A, et al. Understanding the mechanisms and drivers of antimicrobial resistance. </w:t>
      </w:r>
      <w:r w:rsidRPr="007D1B7F">
        <w:rPr>
          <w:lang w:val="sv-SE"/>
        </w:rPr>
        <w:t>The Lancet 2016;387:176-87.</w:t>
      </w:r>
    </w:p>
    <w:p w14:paraId="13490BEB" w14:textId="77777777" w:rsidR="008F7DED" w:rsidRPr="008F7DED" w:rsidRDefault="008F7DED" w:rsidP="008F7DED">
      <w:pPr>
        <w:pStyle w:val="EndNoteBibliography"/>
        <w:spacing w:after="0"/>
      </w:pPr>
      <w:r w:rsidRPr="007D1B7F">
        <w:rPr>
          <w:lang w:val="sv-SE"/>
        </w:rPr>
        <w:t>165.</w:t>
      </w:r>
      <w:r w:rsidRPr="007D1B7F">
        <w:rPr>
          <w:lang w:val="sv-SE"/>
        </w:rPr>
        <w:tab/>
        <w:t xml:space="preserve">Enne VI, Livermore DM, Stephens P, Hall LM. </w:t>
      </w:r>
      <w:r w:rsidRPr="008F7DED">
        <w:t>Persistence of sulphonamide resistance in Escherichia coli in the UK despite national prescribing restriction. The lancet 2001;357:1325-8.</w:t>
      </w:r>
    </w:p>
    <w:p w14:paraId="16E061FB" w14:textId="77777777" w:rsidR="008F7DED" w:rsidRPr="008F7DED" w:rsidRDefault="008F7DED" w:rsidP="008F7DED">
      <w:pPr>
        <w:pStyle w:val="EndNoteBibliography"/>
        <w:spacing w:after="0"/>
      </w:pPr>
      <w:r w:rsidRPr="008F7DED">
        <w:t>166.</w:t>
      </w:r>
      <w:r w:rsidRPr="008F7DED">
        <w:tab/>
        <w:t>Nasrin D, Collignon PJ, Roberts L, Wilson EJ, Pilotto LS, Douglas RM. Effect of βlactam antibiotic use in children on pneumococcal resistance to penicillin: prospective cohort study. Bmj 2002;324:28.</w:t>
      </w:r>
    </w:p>
    <w:p w14:paraId="0BC51CFF" w14:textId="1AFEC78A" w:rsidR="008F7DED" w:rsidRPr="008F7DED" w:rsidRDefault="008F7DED" w:rsidP="008F7DED">
      <w:pPr>
        <w:pStyle w:val="EndNoteBibliography"/>
        <w:spacing w:after="0"/>
      </w:pPr>
      <w:r w:rsidRPr="008F7DED">
        <w:t>167.</w:t>
      </w:r>
      <w:r w:rsidRPr="008F7DED">
        <w:tab/>
      </w:r>
      <w:r w:rsidRPr="00174117">
        <w:t>https://www.england.nhs.uk/statistics/statistical-work-areas/bed-availability-and-occupancy/bed-data-overnight/</w:t>
      </w:r>
      <w:r w:rsidRPr="008F7DED">
        <w:t xml:space="preserve">. (Accessed at </w:t>
      </w:r>
      <w:r w:rsidRPr="00174117">
        <w:t>https://www.england.nhs.uk/statistics/statistical-work-areas/bed-availability-and-occupancy/bed-data-overnight/</w:t>
      </w:r>
      <w:r w:rsidRPr="008F7DED">
        <w:t>.)</w:t>
      </w:r>
    </w:p>
    <w:p w14:paraId="2FB444B4" w14:textId="77777777" w:rsidR="008F7DED" w:rsidRPr="008F7DED" w:rsidRDefault="008F7DED" w:rsidP="008F7DED">
      <w:pPr>
        <w:pStyle w:val="EndNoteBibliography"/>
        <w:spacing w:after="0"/>
      </w:pPr>
      <w:r w:rsidRPr="008F7DED">
        <w:t>168.</w:t>
      </w:r>
      <w:r w:rsidRPr="008F7DED">
        <w:tab/>
        <w:t>Duncan LR, Streit JM, Castanheira M, Sader HS. Antimicrobial activity of ceftazidimeavibactam and comparator agents against pseudomonas aeruginosa and enterobacterales causing pneumonia in cystic fibrosis patients. Pediatric Pulmonology 2020;55 (SUPPL 2):162.</w:t>
      </w:r>
    </w:p>
    <w:p w14:paraId="2774A16E" w14:textId="77777777" w:rsidR="008F7DED" w:rsidRPr="008F7DED" w:rsidRDefault="008F7DED" w:rsidP="008F7DED">
      <w:pPr>
        <w:pStyle w:val="EndNoteBibliography"/>
        <w:spacing w:after="0"/>
      </w:pPr>
      <w:r w:rsidRPr="008F7DED">
        <w:t>169.</w:t>
      </w:r>
      <w:r w:rsidRPr="008F7DED">
        <w:tab/>
        <w:t>Hujer A, Long W, Olsen R, et al. Predicting beta-lactam resistance using whole genome sequencing (WGS) in Klebsiella pneumoniae: The challenge of beta-lactam inhibitors. Open forum infect 2018;5 (Supplement 1):S70.</w:t>
      </w:r>
    </w:p>
    <w:p w14:paraId="77D0CBDB" w14:textId="77777777" w:rsidR="008F7DED" w:rsidRPr="008F7DED" w:rsidRDefault="008F7DED" w:rsidP="008F7DED">
      <w:pPr>
        <w:pStyle w:val="EndNoteBibliography"/>
        <w:spacing w:after="0"/>
      </w:pPr>
      <w:r w:rsidRPr="008F7DED">
        <w:t>170.</w:t>
      </w:r>
      <w:r w:rsidRPr="008F7DED">
        <w:tab/>
        <w:t>Rubio Lopez MI, Lopez Sanchez M, Blanco Huelga CM. Carbapenemase-producing enterobacteriaceae in the intesive care unit. Intensive Care Medicine Experimental Conference: 30th Annual Congress of the European Society of Intensive Care Medicine, ESICM 2017;5.</w:t>
      </w:r>
    </w:p>
    <w:p w14:paraId="7956C709" w14:textId="77777777" w:rsidR="008F7DED" w:rsidRPr="008F7DED" w:rsidRDefault="008F7DED" w:rsidP="008F7DED">
      <w:pPr>
        <w:pStyle w:val="EndNoteBibliography"/>
        <w:spacing w:after="0"/>
      </w:pPr>
      <w:r w:rsidRPr="008F7DED">
        <w:t>171.</w:t>
      </w:r>
      <w:r w:rsidRPr="008F7DED">
        <w:tab/>
        <w:t>Lyman M, Walters M, Lonsway D, Rasheed K, Limbago B, Kallen A. Notes from the Field: Carbapenem-resistant Enterobacteriaceae Producing OXA-48-like Carbapenemases--United States, 2010-2015. MMWR Morb Mortal Wkly Rep 2015;64:1315-6.</w:t>
      </w:r>
    </w:p>
    <w:p w14:paraId="4CE37E6C" w14:textId="77777777" w:rsidR="008F7DED" w:rsidRPr="008F7DED" w:rsidRDefault="008F7DED" w:rsidP="008F7DED">
      <w:pPr>
        <w:pStyle w:val="EndNoteBibliography"/>
        <w:spacing w:after="0"/>
      </w:pPr>
      <w:r w:rsidRPr="008F7DED">
        <w:t>172.</w:t>
      </w:r>
      <w:r w:rsidRPr="008F7DED">
        <w:tab/>
        <w:t>Sahu C, Pal S, Patel SS, Singh S, Gurjar M, Ghoshal U. Phenotypic synergy testing of ceftazidime-avibactam with aztreonam in a university hospital having high number of metallobetalactamase producing bacteria. Infect Dis (Lond) 2020;52:801-7.</w:t>
      </w:r>
    </w:p>
    <w:p w14:paraId="26596D36" w14:textId="77777777" w:rsidR="008F7DED" w:rsidRPr="008F7DED" w:rsidRDefault="008F7DED" w:rsidP="008F7DED">
      <w:pPr>
        <w:pStyle w:val="EndNoteBibliography"/>
        <w:spacing w:after="0"/>
      </w:pPr>
      <w:r w:rsidRPr="008F7DED">
        <w:t>173.</w:t>
      </w:r>
      <w:r w:rsidRPr="008F7DED">
        <w:tab/>
        <w:t>Lopes E, Saavedra MJ, Costa E, de Lencastre H, Poirel L, Aires-de-Sousa M. Epidemiology of carbapenemase-producing Klebsiella pneumoniae in northern Portugal: Predominance of KPC-2 and OXA-48. Journal of Global Antimicrobial Resistance 2020;22:349-53.</w:t>
      </w:r>
    </w:p>
    <w:p w14:paraId="5D727FB6" w14:textId="77777777" w:rsidR="008F7DED" w:rsidRPr="008F7DED" w:rsidRDefault="008F7DED" w:rsidP="008F7DED">
      <w:pPr>
        <w:pStyle w:val="EndNoteBibliography"/>
        <w:spacing w:after="0"/>
      </w:pPr>
      <w:r w:rsidRPr="008F7DED">
        <w:t>174.</w:t>
      </w:r>
      <w:r w:rsidRPr="008F7DED">
        <w:tab/>
        <w:t>Both A, Buttner H, Huang J, et al. Emergence of ceftazidime/avibactam non-susceptibility in an MDR Klebsiella pneumoniae isolate. The Journal of antimicrobial chemotherapy 2017;72:2483-8.</w:t>
      </w:r>
    </w:p>
    <w:p w14:paraId="53988720" w14:textId="77777777" w:rsidR="008F7DED" w:rsidRPr="008F7DED" w:rsidRDefault="008F7DED" w:rsidP="008F7DED">
      <w:pPr>
        <w:pStyle w:val="EndNoteBibliography"/>
        <w:spacing w:after="0"/>
      </w:pPr>
      <w:r w:rsidRPr="008F7DED">
        <w:t>175.</w:t>
      </w:r>
      <w:r w:rsidRPr="008F7DED">
        <w:tab/>
        <w:t>Bradford PA, Huband MD, Stone GG. A systematic approach to the selection of the appropriate avibactam concentration for use with ceftazidime in broth microdilution susceptibility testing. Antimicrobial Agents and Chemotherapy 2018;62.</w:t>
      </w:r>
    </w:p>
    <w:p w14:paraId="5F1022A4" w14:textId="77777777" w:rsidR="008F7DED" w:rsidRPr="00454CF5" w:rsidRDefault="008F7DED" w:rsidP="008F7DED">
      <w:pPr>
        <w:pStyle w:val="EndNoteBibliography"/>
        <w:spacing w:after="0"/>
        <w:rPr>
          <w:lang w:val="fr-FR"/>
        </w:rPr>
      </w:pPr>
      <w:r w:rsidRPr="008F7DED">
        <w:lastRenderedPageBreak/>
        <w:t>176.</w:t>
      </w:r>
      <w:r w:rsidRPr="008F7DED">
        <w:tab/>
        <w:t xml:space="preserve">Canver MC, Satlin MJ, Westblade LF, et al. Activity of Imipenem-Relebactam and Comparator Agents against Genetically Characterized Isolates of Carbapenem-Resistant Enterobacteriaceae. </w:t>
      </w:r>
      <w:r w:rsidRPr="00454CF5">
        <w:rPr>
          <w:lang w:val="fr-FR"/>
        </w:rPr>
        <w:t>Antimicrob Agents Chemother 2019;63:09.</w:t>
      </w:r>
    </w:p>
    <w:p w14:paraId="3E2C1C7E" w14:textId="77777777" w:rsidR="008F7DED" w:rsidRPr="008F7DED" w:rsidRDefault="008F7DED" w:rsidP="008F7DED">
      <w:pPr>
        <w:pStyle w:val="EndNoteBibliography"/>
        <w:spacing w:after="0"/>
      </w:pPr>
      <w:r w:rsidRPr="00454CF5">
        <w:rPr>
          <w:lang w:val="fr-FR"/>
        </w:rPr>
        <w:t>177.</w:t>
      </w:r>
      <w:r w:rsidRPr="00454CF5">
        <w:rPr>
          <w:lang w:val="fr-FR"/>
        </w:rPr>
        <w:tab/>
        <w:t xml:space="preserve">Giani T, Antonelli A, Sennati S, et al. </w:t>
      </w:r>
      <w:r w:rsidRPr="008F7DED">
        <w:t>Results of the Italian infection-Carbapenem Resistance Evaluation Surveillance Trial (iCREST-IT): activity of ceftazidime/avibactam against Enterobacterales isolated from urine. Journal of Antimicrobial Chemotherapy 2020;75:979-83.</w:t>
      </w:r>
    </w:p>
    <w:p w14:paraId="209D38F2" w14:textId="77777777" w:rsidR="008F7DED" w:rsidRPr="008F7DED" w:rsidRDefault="008F7DED" w:rsidP="008F7DED">
      <w:pPr>
        <w:pStyle w:val="EndNoteBibliography"/>
        <w:spacing w:after="0"/>
      </w:pPr>
      <w:r w:rsidRPr="008F7DED">
        <w:t>178.</w:t>
      </w:r>
      <w:r w:rsidRPr="008F7DED">
        <w:tab/>
        <w:t>Hujer AM, Long SW, Olsen RJ, et al. Predicting beta-lactam resistance using whole genome sequencing in Klebsiella pneumoniae: the challenge of beta-lactamase inhibitors. Diagn Microbiol Infect Dis 2020;98:115149.</w:t>
      </w:r>
    </w:p>
    <w:p w14:paraId="34B8AF50" w14:textId="77777777" w:rsidR="008F7DED" w:rsidRPr="008F7DED" w:rsidRDefault="008F7DED" w:rsidP="008F7DED">
      <w:pPr>
        <w:pStyle w:val="EndNoteBibliography"/>
        <w:spacing w:after="0"/>
      </w:pPr>
      <w:r w:rsidRPr="008F7DED">
        <w:t>179.</w:t>
      </w:r>
      <w:r w:rsidRPr="008F7DED">
        <w:tab/>
        <w:t>MacVane SH, Crandon JL, Nichols WW, Nicolau DP. In vivo efficacy of humanized exposures of Ceftazidime-Avibactam in comparison with Ceftazidime against contemporary Enterobacteriaceae isolates. Antimicrob Agents Chemother 2014;58:6913-9.</w:t>
      </w:r>
    </w:p>
    <w:p w14:paraId="7B93DDB8" w14:textId="77777777" w:rsidR="008F7DED" w:rsidRPr="008F7DED" w:rsidRDefault="008F7DED" w:rsidP="008F7DED">
      <w:pPr>
        <w:pStyle w:val="EndNoteBibliography"/>
        <w:spacing w:after="0"/>
      </w:pPr>
      <w:r w:rsidRPr="008F7DED">
        <w:t>180.</w:t>
      </w:r>
      <w:r w:rsidRPr="008F7DED">
        <w:tab/>
        <w:t>Marshall S, Hujer AM, Rojas LJ, et al. Can ceftazidime-avibactam and aztreonam overcome beta-lactam resistance conferred by metallo-beta-lactamases in Enterobacteriaceae? Antimicrobial Agents and Chemotherapy 2017;61.</w:t>
      </w:r>
    </w:p>
    <w:p w14:paraId="23579E9B" w14:textId="77777777" w:rsidR="008F7DED" w:rsidRPr="008F7DED" w:rsidRDefault="008F7DED" w:rsidP="008F7DED">
      <w:pPr>
        <w:pStyle w:val="EndNoteBibliography"/>
        <w:spacing w:after="0"/>
      </w:pPr>
      <w:r w:rsidRPr="008F7DED">
        <w:t>181.</w:t>
      </w:r>
      <w:r w:rsidRPr="008F7DED">
        <w:tab/>
        <w:t>Pragasam AK, Veeraraghavan B, Shankar BA, et al. Will ceftazidime/avibactam plus aztreonam be effective for NDM and OXA-48-Like producing organisms: Lessons learnt from In vitro study. Indian Journal of Medical Microbiology 2019;37:34-41.</w:t>
      </w:r>
    </w:p>
    <w:p w14:paraId="25C14775" w14:textId="77777777" w:rsidR="008F7DED" w:rsidRPr="008F7DED" w:rsidRDefault="008F7DED" w:rsidP="008F7DED">
      <w:pPr>
        <w:pStyle w:val="EndNoteBibliography"/>
        <w:spacing w:after="0"/>
      </w:pPr>
      <w:r w:rsidRPr="008F7DED">
        <w:t>182.</w:t>
      </w:r>
      <w:r w:rsidRPr="008F7DED">
        <w:tab/>
        <w:t>Satlin MJ, Chen L, Weston G, et al. Impact of rapid diagnostics and Ceftazidime-Avibactam on mortality after bacteremia caused by carbapenem-resistant enterobacteriaceae. Open forum infect 2019;6 (Supplement 2):S41.</w:t>
      </w:r>
    </w:p>
    <w:p w14:paraId="513F5119" w14:textId="77777777" w:rsidR="008F7DED" w:rsidRPr="008F7DED" w:rsidRDefault="008F7DED" w:rsidP="008F7DED">
      <w:pPr>
        <w:pStyle w:val="EndNoteBibliography"/>
        <w:spacing w:after="0"/>
      </w:pPr>
      <w:r w:rsidRPr="008F7DED">
        <w:t>183.</w:t>
      </w:r>
      <w:r w:rsidRPr="008F7DED">
        <w:tab/>
        <w:t>Senchyna F, Gaur RL, Sandlund J, et al. Diversity of resistance mechanisms in carbapenem-resistant Enterobacteriaceae at a health care system in Northern California, from 2013 to 2016. Diagnostic Microbiology and Infectious Disease 2019;93:250-7.</w:t>
      </w:r>
    </w:p>
    <w:p w14:paraId="08ECA13F" w14:textId="77777777" w:rsidR="008F7DED" w:rsidRPr="008F7DED" w:rsidRDefault="008F7DED" w:rsidP="008F7DED">
      <w:pPr>
        <w:pStyle w:val="EndNoteBibliography"/>
        <w:spacing w:after="0"/>
      </w:pPr>
      <w:r w:rsidRPr="008F7DED">
        <w:t>184.</w:t>
      </w:r>
      <w:r w:rsidRPr="008F7DED">
        <w:tab/>
        <w:t>Canton R, Loza E, Arcay RM, et al. Antimicrobial activity of ceftolozane-tazobactam against Enterobacterales and Pseudomonas aeruginosa recovered during the Study for Monitoring Antimicrobial Resistance Trends (SMART) program in Spain (2016-2018). Rev Esp Quimioter 2021;01:01.</w:t>
      </w:r>
    </w:p>
    <w:p w14:paraId="5BB5553E" w14:textId="77777777" w:rsidR="008F7DED" w:rsidRPr="007D1B7F" w:rsidRDefault="008F7DED" w:rsidP="008F7DED">
      <w:pPr>
        <w:pStyle w:val="EndNoteBibliography"/>
        <w:spacing w:after="0"/>
        <w:rPr>
          <w:lang w:val="fr-FR"/>
        </w:rPr>
      </w:pPr>
      <w:r w:rsidRPr="008F7DED">
        <w:t>185.</w:t>
      </w:r>
      <w:r w:rsidRPr="008F7DED">
        <w:tab/>
        <w:t xml:space="preserve">Dupont H, Gaillot O, Goetgheluck AS, et al. Molecular Characterization of Carbapenem-Nonsusceptible Enterobacterial Isolates Collected during a Prospective Interregional Survey in France and Susceptibility to the Novel Ceftazidime-Avibactam and Aztreonam-Avibactam Combinations. </w:t>
      </w:r>
      <w:r w:rsidRPr="007D1B7F">
        <w:rPr>
          <w:lang w:val="fr-FR"/>
        </w:rPr>
        <w:t>Antimicrob Agents Chemother 2016;60:215-21.</w:t>
      </w:r>
    </w:p>
    <w:p w14:paraId="3438A991" w14:textId="77777777" w:rsidR="008F7DED" w:rsidRPr="00454CF5" w:rsidRDefault="008F7DED" w:rsidP="008F7DED">
      <w:pPr>
        <w:pStyle w:val="EndNoteBibliography"/>
        <w:spacing w:after="0"/>
        <w:rPr>
          <w:lang w:val="en-GB"/>
        </w:rPr>
      </w:pPr>
      <w:r w:rsidRPr="007D1B7F">
        <w:rPr>
          <w:lang w:val="fr-FR"/>
        </w:rPr>
        <w:t>186.</w:t>
      </w:r>
      <w:r w:rsidRPr="007D1B7F">
        <w:rPr>
          <w:lang w:val="fr-FR"/>
        </w:rPr>
        <w:tab/>
        <w:t xml:space="preserve">Jean SS, Lu MC, Shi ZY, et al. </w:t>
      </w:r>
      <w:r w:rsidRPr="00454CF5">
        <w:rPr>
          <w:lang w:val="en-GB"/>
        </w:rPr>
        <w:t>In vitro activity of ceftazidime-avibactam, ceftolozane-tazobactam, and other comparable agents against clinically important Gram-negative bacilli: results from the 2017 Surveillance of Multicenter Antimicrobial Resistance in Taiwan (SMART). Infect 2018;11:1983-92.</w:t>
      </w:r>
    </w:p>
    <w:p w14:paraId="53BE00F8" w14:textId="77777777" w:rsidR="008F7DED" w:rsidRPr="00454CF5" w:rsidRDefault="008F7DED" w:rsidP="008F7DED">
      <w:pPr>
        <w:pStyle w:val="EndNoteBibliography"/>
        <w:spacing w:after="0"/>
        <w:rPr>
          <w:lang w:val="en-GB"/>
        </w:rPr>
      </w:pPr>
      <w:r w:rsidRPr="00454CF5">
        <w:rPr>
          <w:lang w:val="en-GB"/>
        </w:rPr>
        <w:t>187.</w:t>
      </w:r>
      <w:r w:rsidRPr="00454CF5">
        <w:rPr>
          <w:lang w:val="en-GB"/>
        </w:rPr>
        <w:tab/>
        <w:t>Jiang B, Du P, Jia P, et al. Antimicrobial Susceptibility and Virulence of mcr-1-Positive Enterobacteriaceae in China, a Multicenter Longitudinal Epidemiological Study. Frontiers in Microbiology 2020;11:1611.</w:t>
      </w:r>
    </w:p>
    <w:p w14:paraId="35ACEDB6" w14:textId="77777777" w:rsidR="008F7DED" w:rsidRPr="00454CF5" w:rsidRDefault="008F7DED" w:rsidP="008F7DED">
      <w:pPr>
        <w:pStyle w:val="EndNoteBibliography"/>
        <w:spacing w:after="0"/>
        <w:rPr>
          <w:lang w:val="en-GB"/>
        </w:rPr>
      </w:pPr>
      <w:r w:rsidRPr="00454CF5">
        <w:rPr>
          <w:lang w:val="en-GB"/>
        </w:rPr>
        <w:t>188.</w:t>
      </w:r>
      <w:r w:rsidRPr="00454CF5">
        <w:rPr>
          <w:lang w:val="en-GB"/>
        </w:rPr>
        <w:tab/>
        <w:t>Liao CH, Lee NY, Tang HJ, et al. Antimicrobial activities of ceftazidime-avibactam, ceftolozane-tazobactam, and other agents against Escherichia coli, Klebsiella pneumoniae, and Pseudomonas aeruginosa isolated from intensive care units in Taiwan: results from the Surveillance of Multicenter Antimicrobial Resistance in Taiwan in 2016. Infect 2019;12:545-52.</w:t>
      </w:r>
    </w:p>
    <w:p w14:paraId="246F116B" w14:textId="77777777" w:rsidR="008F7DED" w:rsidRPr="007D1B7F" w:rsidRDefault="008F7DED" w:rsidP="008F7DED">
      <w:pPr>
        <w:pStyle w:val="EndNoteBibliography"/>
        <w:spacing w:after="0"/>
        <w:rPr>
          <w:lang w:val="it-IT"/>
        </w:rPr>
      </w:pPr>
      <w:r w:rsidRPr="00454CF5">
        <w:rPr>
          <w:lang w:val="en-GB"/>
        </w:rPr>
        <w:t>189.</w:t>
      </w:r>
      <w:r w:rsidRPr="00454CF5">
        <w:rPr>
          <w:lang w:val="en-GB"/>
        </w:rPr>
        <w:tab/>
        <w:t xml:space="preserve">Woodford N, Xu-McCrae L, Mushtaq S, et al. Prevalence of carbapenem resistance and carbapenemase production among Enterobacteriaceae isolated from urine in the UK: results of the UK infection-Carbapenem Resistance Evaluation Surveillance Trial (iCREST-UK). </w:t>
      </w:r>
      <w:r w:rsidRPr="007D1B7F">
        <w:rPr>
          <w:lang w:val="it-IT"/>
        </w:rPr>
        <w:t>Journal of Antimicrobial Chemotherapy 2018;73:698-702.</w:t>
      </w:r>
    </w:p>
    <w:p w14:paraId="6A1FB525" w14:textId="77777777" w:rsidR="008F7DED" w:rsidRPr="008F7DED" w:rsidRDefault="008F7DED" w:rsidP="008F7DED">
      <w:pPr>
        <w:pStyle w:val="EndNoteBibliography"/>
        <w:spacing w:after="0"/>
      </w:pPr>
      <w:r w:rsidRPr="007D1B7F">
        <w:rPr>
          <w:lang w:val="it-IT"/>
        </w:rPr>
        <w:t>190.</w:t>
      </w:r>
      <w:r w:rsidRPr="007D1B7F">
        <w:rPr>
          <w:lang w:val="it-IT"/>
        </w:rPr>
        <w:tab/>
        <w:t xml:space="preserve">Di Domenico EG, Cavallo I, Sivori F, et al. </w:t>
      </w:r>
      <w:r w:rsidRPr="008F7DED">
        <w:t>Biofilm Production by Carbapenem-Resistant Klebsiella pneumoniae Significantly Increases the Risk of Death in Oncological Patients. Frontiers in Cellular and Infection Microbiology 2020;10 (no pagination).</w:t>
      </w:r>
    </w:p>
    <w:p w14:paraId="740DB585" w14:textId="6288A634" w:rsidR="008F7DED" w:rsidRPr="008F7DED" w:rsidRDefault="008F7DED" w:rsidP="008F7DED">
      <w:pPr>
        <w:pStyle w:val="EndNoteBibliography"/>
        <w:spacing w:after="0"/>
      </w:pPr>
      <w:r w:rsidRPr="008F7DED">
        <w:lastRenderedPageBreak/>
        <w:t>191.</w:t>
      </w:r>
      <w:r w:rsidRPr="008F7DED">
        <w:tab/>
        <w:t xml:space="preserve">The InterTASC Information Specialists' Sub-Group; 2006. 2021. (Accessed at </w:t>
      </w:r>
      <w:r w:rsidRPr="00174117">
        <w:t>https://sites.google.com/a/york.ac.uk/issg-search-filters-resource/home</w:t>
      </w:r>
      <w:r w:rsidRPr="008F7DED">
        <w:t>. .)</w:t>
      </w:r>
    </w:p>
    <w:p w14:paraId="4D095C27" w14:textId="77777777" w:rsidR="008F7DED" w:rsidRPr="008F7DED" w:rsidRDefault="008F7DED" w:rsidP="008F7DED">
      <w:pPr>
        <w:pStyle w:val="EndNoteBibliography"/>
        <w:spacing w:after="0"/>
      </w:pPr>
      <w:r w:rsidRPr="008F7DED">
        <w:t>192.</w:t>
      </w:r>
      <w:r w:rsidRPr="008F7DED">
        <w:tab/>
        <w:t>Tselepis L, Langley GW, Aboklaish AF, et al. In vitro efficacy of imipenem-relebactam and cefepime-AAI101 against a global collection of ESBL-positive and carbapenemase-producing Enterobacteriaceae. International Journal of Antimicrobial Agents 2020;56.</w:t>
      </w:r>
    </w:p>
    <w:p w14:paraId="6D3B44FA" w14:textId="77777777" w:rsidR="008F7DED" w:rsidRPr="008F7DED" w:rsidRDefault="008F7DED" w:rsidP="008F7DED">
      <w:pPr>
        <w:pStyle w:val="EndNoteBibliography"/>
        <w:spacing w:after="0"/>
      </w:pPr>
      <w:r w:rsidRPr="008F7DED">
        <w:t>193.</w:t>
      </w:r>
      <w:r w:rsidRPr="008F7DED">
        <w:tab/>
        <w:t>Mora-Guzman I, Rubio-Perez I, Domingo-Garcia D, Martin-Perez E. [Infections by OXA-48 carbapenemase-producing Enterobacteriaceae in surgical patients: antibiotic consumption and susceptibility patterns]. Rev Esp Quimioter 2020a;33:448-52.</w:t>
      </w:r>
    </w:p>
    <w:p w14:paraId="386905EC" w14:textId="77777777" w:rsidR="008F7DED" w:rsidRPr="008F7DED" w:rsidRDefault="008F7DED" w:rsidP="008F7DED">
      <w:pPr>
        <w:pStyle w:val="EndNoteBibliography"/>
        <w:spacing w:after="0"/>
      </w:pPr>
      <w:r w:rsidRPr="008F7DED">
        <w:t>194.</w:t>
      </w:r>
      <w:r w:rsidRPr="008F7DED">
        <w:tab/>
        <w:t>Lomovskaya O, Nelson KJ, Rubio-Aparicio D. Potency of the beta-lactamase inhibitor QPX7728 is minimally affected by KPC mutations that reduce potency of ceftazidime-avibactam. Open forum infect 2019;6 (Supplement 2):S326.</w:t>
      </w:r>
    </w:p>
    <w:p w14:paraId="4B48E450" w14:textId="77777777" w:rsidR="008F7DED" w:rsidRPr="008F7DED" w:rsidRDefault="008F7DED" w:rsidP="008F7DED">
      <w:pPr>
        <w:pStyle w:val="EndNoteBibliography"/>
        <w:spacing w:after="0"/>
      </w:pPr>
      <w:r w:rsidRPr="008F7DED">
        <w:t>195.</w:t>
      </w:r>
      <w:r w:rsidRPr="008F7DED">
        <w:tab/>
        <w:t>Niu S, Wei J, Zou C, et al. In vitro selection of aztreonam/avibactam resistance in dual-carbapenemase-producing Klebsiella pneumoniae. Journal of Antimicrobial Chemotherapy 2020;75:559-65.</w:t>
      </w:r>
    </w:p>
    <w:p w14:paraId="1167EB5A" w14:textId="77777777" w:rsidR="008F7DED" w:rsidRPr="008F7DED" w:rsidRDefault="008F7DED" w:rsidP="008F7DED">
      <w:pPr>
        <w:pStyle w:val="EndNoteBibliography"/>
        <w:spacing w:after="0"/>
      </w:pPr>
      <w:r w:rsidRPr="008F7DED">
        <w:t>196.</w:t>
      </w:r>
      <w:r w:rsidRPr="008F7DED">
        <w:tab/>
        <w:t>Vasoo S, Cunningham SA, Cole NC, et al. In Vitro Activities of Ceftazidime-Avibactam, Aztreonam-Avibactam, and a Panel of Older and Contemporary Antimicrobial Agents against Carbapenemase-Producing Gram-Negative Bacilli. Antimicrob Agents Chemother 2015;59:7842-6.</w:t>
      </w:r>
    </w:p>
    <w:p w14:paraId="750519ED" w14:textId="77777777" w:rsidR="008F7DED" w:rsidRPr="008F7DED" w:rsidRDefault="008F7DED" w:rsidP="008F7DED">
      <w:pPr>
        <w:pStyle w:val="EndNoteBibliography"/>
        <w:spacing w:after="0"/>
      </w:pPr>
      <w:r w:rsidRPr="008F7DED">
        <w:t>197.</w:t>
      </w:r>
      <w:r w:rsidRPr="008F7DED">
        <w:tab/>
        <w:t>Shea BJ, Reeves BC, Wells G, et al. AMSTAR 2: a critical appraisal tool for systematic reviews that include randomised or non-randomised studies of healthcare interventions, or both. bmj 2017;358.</w:t>
      </w:r>
    </w:p>
    <w:p w14:paraId="2C735BC9" w14:textId="77777777" w:rsidR="008F7DED" w:rsidRPr="008F7DED" w:rsidRDefault="008F7DED" w:rsidP="008F7DED">
      <w:pPr>
        <w:pStyle w:val="EndNoteBibliography"/>
        <w:spacing w:after="0"/>
      </w:pPr>
      <w:r w:rsidRPr="008F7DED">
        <w:t>198.</w:t>
      </w:r>
      <w:r w:rsidRPr="008F7DED">
        <w:tab/>
        <w:t>Grupper M, Nicolau DP, Aslanzadeh J, Tanner LK, Kuti JL. Effects of Clinically Meaningful Concentrations of Antipseudomonal beta-Lactams on Time to Detection and Organism Growth in Blood Culture Bottles. Journal of Clinical Microbiology 2017;55:3502-12.</w:t>
      </w:r>
    </w:p>
    <w:p w14:paraId="4B538E88" w14:textId="7C2C3FAC" w:rsidR="008F7DED" w:rsidRPr="008F7DED" w:rsidRDefault="008F7DED" w:rsidP="008F7DED">
      <w:pPr>
        <w:pStyle w:val="EndNoteBibliography"/>
        <w:spacing w:after="0"/>
      </w:pPr>
      <w:r w:rsidRPr="008F7DED">
        <w:t>199.</w:t>
      </w:r>
      <w:r w:rsidRPr="008F7DED">
        <w:tab/>
        <w:t xml:space="preserve">BNF: British National Formulary - NICE. 2021. (Accessed at </w:t>
      </w:r>
      <w:r w:rsidRPr="00174117">
        <w:t>https://bnf.nice.org.uk/</w:t>
      </w:r>
      <w:r w:rsidRPr="008F7DED">
        <w:t>.)</w:t>
      </w:r>
    </w:p>
    <w:p w14:paraId="603057FF" w14:textId="77777777" w:rsidR="008F7DED" w:rsidRPr="008F7DED" w:rsidRDefault="008F7DED" w:rsidP="008F7DED">
      <w:pPr>
        <w:pStyle w:val="EndNoteBibliography"/>
        <w:spacing w:after="0"/>
      </w:pPr>
      <w:r w:rsidRPr="00454CF5">
        <w:rPr>
          <w:lang w:val="fr-FR"/>
        </w:rPr>
        <w:t>200.</w:t>
      </w:r>
      <w:r w:rsidRPr="00454CF5">
        <w:rPr>
          <w:lang w:val="fr-FR"/>
        </w:rPr>
        <w:tab/>
        <w:t xml:space="preserve">Kallel H, Hergafi L, Bahloul M, et al. </w:t>
      </w:r>
      <w:r w:rsidRPr="008F7DED">
        <w:t>Safety and efficacy of colistin compared with imipenem in the treatment of ventilator-associated pneumonia: a matched case-control study. INtensive Care Med 2007;33:1162-67.</w:t>
      </w:r>
    </w:p>
    <w:p w14:paraId="31BF4789" w14:textId="77777777" w:rsidR="008F7DED" w:rsidRPr="008F7DED" w:rsidRDefault="008F7DED" w:rsidP="008F7DED">
      <w:pPr>
        <w:pStyle w:val="EndNoteBibliography"/>
        <w:spacing w:after="0"/>
      </w:pPr>
      <w:r w:rsidRPr="008F7DED">
        <w:t>201.</w:t>
      </w:r>
      <w:r w:rsidRPr="008F7DED">
        <w:tab/>
        <w:t>Department of Health and Social Care. Drugs and pharmaceutical electronic market information tool (eMIT). In; 2021.</w:t>
      </w:r>
    </w:p>
    <w:p w14:paraId="4A5BF61D" w14:textId="77777777" w:rsidR="008F7DED" w:rsidRPr="008F7DED" w:rsidRDefault="008F7DED" w:rsidP="008F7DED">
      <w:pPr>
        <w:pStyle w:val="EndNoteBibliography"/>
        <w:spacing w:after="0"/>
      </w:pPr>
      <w:r w:rsidRPr="008F7DED">
        <w:t>202.</w:t>
      </w:r>
      <w:r w:rsidRPr="008F7DED">
        <w:tab/>
        <w:t>World Health Organisation. WHO Collaboration Centre for Drug Statistics Methodology. In; 2021.</w:t>
      </w:r>
    </w:p>
    <w:p w14:paraId="4F563C03" w14:textId="77777777" w:rsidR="008F7DED" w:rsidRPr="008F7DED" w:rsidRDefault="008F7DED" w:rsidP="008F7DED">
      <w:pPr>
        <w:pStyle w:val="EndNoteBibliography"/>
        <w:spacing w:after="0"/>
      </w:pPr>
      <w:r w:rsidRPr="008F7DED">
        <w:t>203.</w:t>
      </w:r>
      <w:r w:rsidRPr="008F7DED">
        <w:tab/>
        <w:t>Renascience Pharma Ltd. Renapime 1g Powder for solution for injection/infusion: SmPC.</w:t>
      </w:r>
    </w:p>
    <w:p w14:paraId="69E5536D" w14:textId="77777777" w:rsidR="008F7DED" w:rsidRPr="008F7DED" w:rsidRDefault="008F7DED" w:rsidP="008F7DED">
      <w:pPr>
        <w:pStyle w:val="EndNoteBibliography"/>
        <w:spacing w:after="0"/>
      </w:pPr>
      <w:r w:rsidRPr="008F7DED">
        <w:t>204.</w:t>
      </w:r>
      <w:r w:rsidRPr="008F7DED">
        <w:tab/>
        <w:t>Hyndman RJ, Athanasopoulos G. Forecasting: principles and practice: OTexts; 2018.</w:t>
      </w:r>
    </w:p>
    <w:p w14:paraId="2B1DABD1" w14:textId="77777777" w:rsidR="008F7DED" w:rsidRPr="008F7DED" w:rsidRDefault="008F7DED" w:rsidP="008F7DED">
      <w:pPr>
        <w:pStyle w:val="EndNoteBibliography"/>
        <w:spacing w:after="0"/>
      </w:pPr>
      <w:r w:rsidRPr="008F7DED">
        <w:t>205.</w:t>
      </w:r>
      <w:r w:rsidRPr="008F7DED">
        <w:tab/>
        <w:t>Liboschik T, Fokianos K, Fried R. tscount: An R package for analysis of count time series following generalized linear models. Journal of Statistical Software 2017;82:1-51.</w:t>
      </w:r>
    </w:p>
    <w:p w14:paraId="06718AEF" w14:textId="77777777" w:rsidR="008F7DED" w:rsidRPr="008F7DED" w:rsidRDefault="008F7DED" w:rsidP="008F7DED">
      <w:pPr>
        <w:pStyle w:val="EndNoteBibliography"/>
        <w:spacing w:after="0"/>
      </w:pPr>
      <w:r w:rsidRPr="008F7DED">
        <w:t>206.</w:t>
      </w:r>
      <w:r w:rsidRPr="008F7DED">
        <w:tab/>
        <w:t>Aliabadi S, Anyanwu P, Beech E, et al. Effect of antibiotic stewardship interventions in primary care on antimicrobial resistance of Escherichia coli bacteraemia in England (2013–18): a quasi-experimental, ecological, data linkage study. The Lancet Infectious Diseases 2021.</w:t>
      </w:r>
    </w:p>
    <w:p w14:paraId="202A5A23" w14:textId="77777777" w:rsidR="008F7DED" w:rsidRPr="008F7DED" w:rsidRDefault="008F7DED" w:rsidP="008F7DED">
      <w:pPr>
        <w:pStyle w:val="EndNoteBibliography"/>
        <w:spacing w:after="0"/>
      </w:pPr>
      <w:r w:rsidRPr="008F7DED">
        <w:t>207.</w:t>
      </w:r>
      <w:r w:rsidRPr="008F7DED">
        <w:tab/>
        <w:t>Kearns B, Stevenson MD, Triantafyllopoulos K, Manca A. Generalized linear models for flexible parametric modeling of the hazard function. Med Decis Making 2019;39:867-78.</w:t>
      </w:r>
    </w:p>
    <w:p w14:paraId="4879837A" w14:textId="51B6D60F" w:rsidR="008F7DED" w:rsidRPr="008F7DED" w:rsidRDefault="008F7DED" w:rsidP="008F7DED">
      <w:pPr>
        <w:pStyle w:val="EndNoteBibliography"/>
        <w:spacing w:after="0"/>
      </w:pPr>
      <w:r w:rsidRPr="008F7DED">
        <w:t>208.</w:t>
      </w:r>
      <w:r w:rsidRPr="008F7DED">
        <w:tab/>
        <w:t xml:space="preserve">AMR local indicators. 2021. (Accessed at </w:t>
      </w:r>
      <w:r w:rsidRPr="00174117">
        <w:t>https://fingertips.phe.org.uk/profile/amr-local-indicators</w:t>
      </w:r>
      <w:r w:rsidRPr="008F7DED">
        <w:t>.)</w:t>
      </w:r>
    </w:p>
    <w:p w14:paraId="2AA32AF2" w14:textId="77777777" w:rsidR="008F7DED" w:rsidRPr="0004276C" w:rsidRDefault="008F7DED" w:rsidP="008F7DED">
      <w:pPr>
        <w:pStyle w:val="EndNoteBibliography"/>
        <w:spacing w:after="0"/>
        <w:rPr>
          <w:lang w:val="it-IT"/>
        </w:rPr>
      </w:pPr>
      <w:r w:rsidRPr="008F7DED">
        <w:t>209.</w:t>
      </w:r>
      <w:r w:rsidRPr="008F7DED">
        <w:tab/>
        <w:t xml:space="preserve">England PH. </w:t>
      </w:r>
      <w:r w:rsidRPr="007D1B7F">
        <w:rPr>
          <w:lang w:val="it-IT"/>
        </w:rPr>
        <w:t xml:space="preserve">Escherichia coli (E. coli): guidance, data and analysis. </w:t>
      </w:r>
      <w:r w:rsidRPr="0004276C">
        <w:rPr>
          <w:lang w:val="it-IT"/>
        </w:rPr>
        <w:t>In; 2017.</w:t>
      </w:r>
    </w:p>
    <w:p w14:paraId="0BA409D7" w14:textId="77777777" w:rsidR="008F7DED" w:rsidRPr="008F7DED" w:rsidRDefault="008F7DED" w:rsidP="008F7DED">
      <w:pPr>
        <w:pStyle w:val="EndNoteBibliography"/>
        <w:spacing w:after="0"/>
      </w:pPr>
      <w:r w:rsidRPr="008F7DED">
        <w:t>210.</w:t>
      </w:r>
      <w:r w:rsidRPr="008F7DED">
        <w:tab/>
        <w:t>Sharland M, Pulcini C, Harbarth S, et al. Classifying antibiotics in the WHO Essential Medicines List for optimal use—be AWaRe. The Lancet Infectious Diseases 2018;18:18-20.</w:t>
      </w:r>
    </w:p>
    <w:p w14:paraId="4EF13E6F" w14:textId="01C080DF" w:rsidR="008F7DED" w:rsidRPr="008F7DED" w:rsidRDefault="008F7DED" w:rsidP="008F7DED">
      <w:pPr>
        <w:pStyle w:val="EndNoteBibliography"/>
        <w:spacing w:after="0"/>
      </w:pPr>
      <w:r w:rsidRPr="008F7DED">
        <w:t>211.</w:t>
      </w:r>
      <w:r w:rsidRPr="008F7DED">
        <w:tab/>
        <w:t xml:space="preserve">OpenPrescribing.net. 2021. (Accessed at </w:t>
      </w:r>
      <w:r w:rsidRPr="00174117">
        <w:t>https://openprescribing.net/</w:t>
      </w:r>
      <w:r w:rsidRPr="008F7DED">
        <w:t>.)</w:t>
      </w:r>
    </w:p>
    <w:p w14:paraId="2EBCA748" w14:textId="77777777" w:rsidR="008F7DED" w:rsidRPr="008F7DED" w:rsidRDefault="008F7DED" w:rsidP="008F7DED">
      <w:pPr>
        <w:pStyle w:val="EndNoteBibliography"/>
        <w:spacing w:after="0"/>
      </w:pPr>
      <w:r w:rsidRPr="008F7DED">
        <w:t>212.</w:t>
      </w:r>
      <w:r w:rsidRPr="008F7DED">
        <w:tab/>
        <w:t>Davey P, Brown E, Charani E, et al. Interventions to improve antibiotic prescribing practices for hospital inpatients. Cochrane database of systematic reviews 2013.</w:t>
      </w:r>
    </w:p>
    <w:p w14:paraId="2F7FC4A3" w14:textId="77777777" w:rsidR="008F7DED" w:rsidRPr="008F7DED" w:rsidRDefault="008F7DED" w:rsidP="008F7DED">
      <w:pPr>
        <w:pStyle w:val="EndNoteBibliography"/>
        <w:spacing w:after="0"/>
      </w:pPr>
      <w:r w:rsidRPr="008F7DED">
        <w:t>213.</w:t>
      </w:r>
      <w:r w:rsidRPr="008F7DED">
        <w:tab/>
        <w:t>Bhattacharya A, Hopkins S, Sallis A, Budd EL, Ashiru-Oredope D. A process evaluation of the UK-wide Antibiotic Guardian campaign: developing engagement on antimicrobial resistance. Journal of Public Health 2017;39:e40-e7.</w:t>
      </w:r>
    </w:p>
    <w:p w14:paraId="361D0C8C" w14:textId="77777777" w:rsidR="008F7DED" w:rsidRPr="008F7DED" w:rsidRDefault="008F7DED" w:rsidP="008F7DED">
      <w:pPr>
        <w:pStyle w:val="EndNoteBibliography"/>
        <w:spacing w:after="0"/>
      </w:pPr>
      <w:r w:rsidRPr="008F7DED">
        <w:lastRenderedPageBreak/>
        <w:t>214.</w:t>
      </w:r>
      <w:r w:rsidRPr="008F7DED">
        <w:tab/>
        <w:t>McKenzie E, Gardner Jr ES. Damped trend exponential smoothing: a modelling viewpoint. International Journal of Forecasting 2010;26:661-5.</w:t>
      </w:r>
    </w:p>
    <w:p w14:paraId="17641DCF" w14:textId="77777777" w:rsidR="008F7DED" w:rsidRPr="008F7DED" w:rsidRDefault="008F7DED" w:rsidP="008F7DED">
      <w:pPr>
        <w:pStyle w:val="EndNoteBibliography"/>
      </w:pPr>
      <w:r w:rsidRPr="008F7DED">
        <w:t>215.</w:t>
      </w:r>
      <w:r w:rsidRPr="008F7DED">
        <w:tab/>
        <w:t>Spicknall IH, Foxman B, Marrs CF, Eisenberg JN. A modeling framework for the evolution and spread of antibiotic resistance: literature review and model categorization. Am J Epidemiol 2013;178:508-20.</w:t>
      </w:r>
    </w:p>
    <w:p w14:paraId="392A64AF" w14:textId="41F02B59" w:rsidR="009F01D8" w:rsidRPr="00C12756" w:rsidRDefault="00A33E82" w:rsidP="00A33E82">
      <w:pPr>
        <w:pStyle w:val="EEPRUNumberedHeading"/>
        <w:numPr>
          <w:ilvl w:val="0"/>
          <w:numId w:val="118"/>
        </w:numPr>
        <w:spacing w:line="360" w:lineRule="auto"/>
      </w:pPr>
      <w:r>
        <w:rPr>
          <w:b w:val="0"/>
          <w:bCs w:val="0"/>
          <w:sz w:val="22"/>
          <w:szCs w:val="22"/>
        </w:rPr>
        <w:t xml:space="preserve"> </w:t>
      </w:r>
      <w:bookmarkStart w:id="578" w:name="_Toc87463072"/>
      <w:r w:rsidR="009F01D8" w:rsidRPr="00C12756">
        <w:t>Appendices</w:t>
      </w:r>
      <w:bookmarkEnd w:id="578"/>
    </w:p>
    <w:p w14:paraId="0D8832D7" w14:textId="42C63354" w:rsidR="009F01D8" w:rsidRPr="002E4F02" w:rsidRDefault="009F01D8" w:rsidP="00D76748">
      <w:pPr>
        <w:pStyle w:val="Heading2"/>
        <w:jc w:val="both"/>
        <w:rPr>
          <w:sz w:val="32"/>
          <w:szCs w:val="32"/>
        </w:rPr>
      </w:pPr>
      <w:bookmarkStart w:id="579" w:name="_Ref78204100"/>
      <w:bookmarkStart w:id="580" w:name="_Toc87463073"/>
      <w:r w:rsidRPr="002E4F02">
        <w:rPr>
          <w:sz w:val="32"/>
          <w:szCs w:val="32"/>
        </w:rPr>
        <w:t>Appendix 1</w:t>
      </w:r>
      <w:bookmarkEnd w:id="579"/>
      <w:r w:rsidRPr="002E4F02">
        <w:rPr>
          <w:sz w:val="32"/>
          <w:szCs w:val="32"/>
        </w:rPr>
        <w:t>: Search strategies</w:t>
      </w:r>
      <w:bookmarkEnd w:id="580"/>
    </w:p>
    <w:p w14:paraId="3D1321B8" w14:textId="0115E05C" w:rsidR="009F01D8" w:rsidRPr="002E4F02" w:rsidRDefault="009F01D8" w:rsidP="009F01D8">
      <w:pPr>
        <w:pStyle w:val="Caption"/>
        <w:jc w:val="both"/>
        <w:rPr>
          <w:rFonts w:asciiTheme="majorBidi" w:eastAsiaTheme="majorEastAsia" w:hAnsiTheme="majorBidi" w:cstheme="majorBidi"/>
          <w:b/>
          <w:i w:val="0"/>
          <w:color w:val="000000" w:themeColor="text1"/>
          <w:sz w:val="20"/>
          <w:szCs w:val="20"/>
        </w:rPr>
      </w:pPr>
      <w:bookmarkStart w:id="581" w:name="_Toc77931488"/>
      <w:bookmarkStart w:id="582" w:name="_Toc78204589"/>
      <w:bookmarkStart w:id="583" w:name="_Toc86419024"/>
      <w:r w:rsidRPr="002E4F02">
        <w:rPr>
          <w:rFonts w:asciiTheme="majorBidi" w:hAnsiTheme="majorBidi" w:cstheme="majorBidi"/>
          <w:b/>
          <w:i w:val="0"/>
          <w:color w:val="000000" w:themeColor="text1"/>
          <w:sz w:val="20"/>
          <w:szCs w:val="20"/>
        </w:rPr>
        <w:t xml:space="preserve">Table </w:t>
      </w:r>
      <w:r w:rsidR="00F10F0A" w:rsidRPr="002E4F02">
        <w:rPr>
          <w:rFonts w:asciiTheme="majorBidi" w:hAnsiTheme="majorBidi" w:cstheme="majorBidi"/>
          <w:b/>
          <w:i w:val="0"/>
          <w:noProof/>
          <w:color w:val="000000" w:themeColor="text1"/>
          <w:sz w:val="20"/>
          <w:szCs w:val="20"/>
        </w:rPr>
        <w:t>47</w:t>
      </w:r>
      <w:r w:rsidRPr="002E4F02">
        <w:rPr>
          <w:rFonts w:asciiTheme="majorBidi" w:hAnsiTheme="majorBidi" w:cstheme="majorBidi"/>
          <w:b/>
          <w:i w:val="0"/>
          <w:color w:val="000000" w:themeColor="text1"/>
          <w:sz w:val="20"/>
          <w:szCs w:val="20"/>
        </w:rPr>
        <w:t xml:space="preserve"> - Number of records retrieved</w:t>
      </w:r>
      <w:bookmarkEnd w:id="581"/>
      <w:bookmarkEnd w:id="582"/>
      <w:bookmarkEnd w:id="583"/>
    </w:p>
    <w:tbl>
      <w:tblPr>
        <w:tblW w:w="0" w:type="auto"/>
        <w:tblLook w:val="04A0" w:firstRow="1" w:lastRow="0" w:firstColumn="1" w:lastColumn="0" w:noHBand="0" w:noVBand="1"/>
      </w:tblPr>
      <w:tblGrid>
        <w:gridCol w:w="316"/>
        <w:gridCol w:w="4349"/>
        <w:gridCol w:w="1172"/>
        <w:gridCol w:w="894"/>
        <w:gridCol w:w="650"/>
        <w:gridCol w:w="1183"/>
      </w:tblGrid>
      <w:tr w:rsidR="009F01D8" w14:paraId="51802A1E" w14:textId="77777777" w:rsidTr="009F01D8">
        <w:tc>
          <w:tcPr>
            <w:tcW w:w="0" w:type="auto"/>
            <w:vMerge w:val="restart"/>
            <w:tcBorders>
              <w:top w:val="single" w:sz="4" w:space="0" w:color="000000"/>
              <w:left w:val="single" w:sz="4" w:space="0" w:color="000000"/>
              <w:bottom w:val="single" w:sz="4" w:space="0" w:color="000000"/>
              <w:right w:val="single" w:sz="4" w:space="0" w:color="000000"/>
            </w:tcBorders>
            <w:hideMark/>
          </w:tcPr>
          <w:p w14:paraId="220171DA"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2C798227"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Search</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C82D05C"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Results*</w:t>
            </w:r>
          </w:p>
        </w:tc>
      </w:tr>
      <w:tr w:rsidR="009F01D8" w14:paraId="36E646B1" w14:textId="77777777" w:rsidTr="009F01D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CB2CA" w14:textId="77777777" w:rsidR="009F01D8" w:rsidRDefault="009F01D8" w:rsidP="009F01D8">
            <w:pPr>
              <w:spacing w:after="0"/>
              <w:jc w:val="both"/>
              <w:rPr>
                <w:rFonts w:asciiTheme="majorBidi" w:eastAsia="Times New Roman" w:hAnsiTheme="majorBidi" w:cstheme="majorBidi"/>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C3CCD1" w14:textId="77777777" w:rsidR="009F01D8" w:rsidRDefault="009F01D8" w:rsidP="009F01D8">
            <w:pPr>
              <w:spacing w:after="0"/>
              <w:jc w:val="both"/>
              <w:rPr>
                <w:rFonts w:asciiTheme="majorBidi" w:eastAsia="Times New Roman" w:hAnsiTheme="majorBidi" w:cstheme="majorBid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67955B2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MEDLINE</w:t>
            </w:r>
          </w:p>
        </w:tc>
        <w:tc>
          <w:tcPr>
            <w:tcW w:w="0" w:type="auto"/>
            <w:tcBorders>
              <w:top w:val="single" w:sz="4" w:space="0" w:color="000000"/>
              <w:left w:val="single" w:sz="4" w:space="0" w:color="000000"/>
              <w:bottom w:val="single" w:sz="4" w:space="0" w:color="000000"/>
              <w:right w:val="single" w:sz="4" w:space="0" w:color="000000"/>
            </w:tcBorders>
            <w:hideMark/>
          </w:tcPr>
          <w:p w14:paraId="67D77A87"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Embase</w:t>
            </w:r>
          </w:p>
        </w:tc>
        <w:tc>
          <w:tcPr>
            <w:tcW w:w="0" w:type="auto"/>
            <w:tcBorders>
              <w:top w:val="single" w:sz="4" w:space="0" w:color="000000"/>
              <w:left w:val="single" w:sz="4" w:space="0" w:color="000000"/>
              <w:bottom w:val="single" w:sz="4" w:space="0" w:color="000000"/>
              <w:right w:val="single" w:sz="4" w:space="0" w:color="000000"/>
            </w:tcBorders>
            <w:hideMark/>
          </w:tcPr>
          <w:p w14:paraId="50847B30"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b/>
                <w:bCs/>
                <w:color w:val="000000"/>
                <w:sz w:val="20"/>
                <w:szCs w:val="20"/>
                <w:lang w:eastAsia="en-US"/>
              </w:rPr>
              <w:t>CRD</w:t>
            </w:r>
          </w:p>
        </w:tc>
        <w:tc>
          <w:tcPr>
            <w:tcW w:w="0" w:type="auto"/>
            <w:tcBorders>
              <w:top w:val="single" w:sz="4" w:space="0" w:color="000000"/>
              <w:left w:val="single" w:sz="4" w:space="0" w:color="000000"/>
              <w:bottom w:val="single" w:sz="4" w:space="0" w:color="000000"/>
              <w:right w:val="single" w:sz="4" w:space="0" w:color="000000"/>
            </w:tcBorders>
            <w:hideMark/>
          </w:tcPr>
          <w:p w14:paraId="0576BAB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proofErr w:type="spellStart"/>
            <w:r>
              <w:rPr>
                <w:rFonts w:asciiTheme="majorBidi" w:hAnsiTheme="majorBidi" w:cstheme="majorBidi"/>
                <w:b/>
                <w:bCs/>
                <w:color w:val="000000"/>
                <w:sz w:val="20"/>
                <w:szCs w:val="20"/>
                <w:lang w:eastAsia="en-US"/>
              </w:rPr>
              <w:t>WoS</w:t>
            </w:r>
            <w:proofErr w:type="spellEnd"/>
            <w:r>
              <w:rPr>
                <w:rFonts w:asciiTheme="majorBidi" w:hAnsiTheme="majorBidi" w:cstheme="majorBidi"/>
                <w:b/>
                <w:bCs/>
                <w:color w:val="000000"/>
                <w:sz w:val="20"/>
                <w:szCs w:val="20"/>
                <w:lang w:eastAsia="en-US"/>
              </w:rPr>
              <w:t>-CPCI</w:t>
            </w:r>
          </w:p>
        </w:tc>
      </w:tr>
      <w:tr w:rsidR="009F01D8" w14:paraId="78C115BB" w14:textId="77777777" w:rsidTr="009F01D8">
        <w:tc>
          <w:tcPr>
            <w:tcW w:w="0" w:type="auto"/>
            <w:tcBorders>
              <w:top w:val="single" w:sz="4" w:space="0" w:color="000000"/>
              <w:left w:val="single" w:sz="4" w:space="0" w:color="000000"/>
              <w:bottom w:val="single" w:sz="4" w:space="0" w:color="000000"/>
              <w:right w:val="single" w:sz="4" w:space="0" w:color="000000"/>
            </w:tcBorders>
            <w:hideMark/>
          </w:tcPr>
          <w:p w14:paraId="3B32B4F7" w14:textId="77777777" w:rsidR="009F01D8" w:rsidRDefault="009F01D8" w:rsidP="009F01D8">
            <w:pPr>
              <w:jc w:val="both"/>
              <w:rPr>
                <w:rFonts w:asciiTheme="majorBidi" w:hAnsiTheme="majorBidi" w:cstheme="majorBidi"/>
              </w:rPr>
            </w:pPr>
          </w:p>
        </w:tc>
        <w:tc>
          <w:tcPr>
            <w:tcW w:w="0" w:type="auto"/>
            <w:tcBorders>
              <w:top w:val="single" w:sz="4" w:space="0" w:color="000000"/>
              <w:left w:val="single" w:sz="4" w:space="0" w:color="000000"/>
              <w:bottom w:val="single" w:sz="4" w:space="0" w:color="000000"/>
              <w:right w:val="single" w:sz="4" w:space="0" w:color="000000"/>
            </w:tcBorders>
            <w:hideMark/>
          </w:tcPr>
          <w:p w14:paraId="23553835"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Clinical: sampling search (1-200 records)</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1759FFE1"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738</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72BA1E2C"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1524</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69246A1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0</w:t>
            </w:r>
          </w:p>
        </w:tc>
        <w:tc>
          <w:tcPr>
            <w:tcW w:w="0" w:type="auto"/>
            <w:tcBorders>
              <w:top w:val="single" w:sz="4" w:space="0" w:color="000000"/>
              <w:left w:val="single" w:sz="4" w:space="0" w:color="000000"/>
              <w:bottom w:val="single" w:sz="4" w:space="0" w:color="000000"/>
              <w:right w:val="single" w:sz="4" w:space="0" w:color="000000"/>
            </w:tcBorders>
            <w:hideMark/>
          </w:tcPr>
          <w:p w14:paraId="35076BD8"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r>
      <w:tr w:rsidR="009F01D8" w14:paraId="46958B7C" w14:textId="77777777" w:rsidTr="009F01D8">
        <w:tc>
          <w:tcPr>
            <w:tcW w:w="0" w:type="auto"/>
            <w:vMerge w:val="restart"/>
            <w:tcBorders>
              <w:top w:val="single" w:sz="4" w:space="0" w:color="000000"/>
              <w:left w:val="single" w:sz="4" w:space="0" w:color="000000"/>
              <w:bottom w:val="single" w:sz="4" w:space="0" w:color="000000"/>
              <w:right w:val="single" w:sz="4" w:space="0" w:color="000000"/>
            </w:tcBorders>
            <w:hideMark/>
          </w:tcPr>
          <w:p w14:paraId="226BA617" w14:textId="77777777" w:rsidR="009F01D8" w:rsidRDefault="009F01D8" w:rsidP="009F01D8">
            <w:pPr>
              <w:jc w:val="both"/>
              <w:rPr>
                <w:rFonts w:asciiTheme="majorBidi" w:hAnsiTheme="majorBidi" w:cstheme="majorBidi"/>
              </w:rPr>
            </w:pPr>
          </w:p>
        </w:tc>
        <w:tc>
          <w:tcPr>
            <w:tcW w:w="0" w:type="auto"/>
            <w:tcBorders>
              <w:top w:val="single" w:sz="4" w:space="0" w:color="000000"/>
              <w:left w:val="single" w:sz="4" w:space="0" w:color="000000"/>
              <w:bottom w:val="single" w:sz="4" w:space="0" w:color="000000"/>
              <w:right w:val="single" w:sz="4" w:space="0" w:color="000000"/>
            </w:tcBorders>
            <w:hideMark/>
          </w:tcPr>
          <w:p w14:paraId="16CF7D46"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Clinical: RCTs and observational </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3105B3C2"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222</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42CDDE56"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358</w:t>
            </w:r>
          </w:p>
        </w:tc>
        <w:tc>
          <w:tcPr>
            <w:tcW w:w="0" w:type="auto"/>
            <w:tcBorders>
              <w:top w:val="single" w:sz="4" w:space="0" w:color="000000"/>
              <w:left w:val="single" w:sz="4" w:space="0" w:color="000000"/>
              <w:bottom w:val="single" w:sz="4" w:space="0" w:color="000000"/>
              <w:right w:val="single" w:sz="4" w:space="0" w:color="000000"/>
            </w:tcBorders>
            <w:hideMark/>
          </w:tcPr>
          <w:p w14:paraId="6ED7604E"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c>
          <w:tcPr>
            <w:tcW w:w="0" w:type="auto"/>
            <w:tcBorders>
              <w:top w:val="single" w:sz="4" w:space="0" w:color="000000"/>
              <w:left w:val="single" w:sz="4" w:space="0" w:color="000000"/>
              <w:bottom w:val="single" w:sz="4" w:space="0" w:color="000000"/>
              <w:right w:val="single" w:sz="4" w:space="0" w:color="000000"/>
            </w:tcBorders>
            <w:hideMark/>
          </w:tcPr>
          <w:p w14:paraId="57969316"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r>
      <w:tr w:rsidR="009F01D8" w14:paraId="11B40481" w14:textId="77777777" w:rsidTr="009F01D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14DB60" w14:textId="77777777" w:rsidR="009F01D8" w:rsidRDefault="009F01D8" w:rsidP="009F01D8">
            <w:pPr>
              <w:spacing w:after="0"/>
              <w:jc w:val="both"/>
              <w:rPr>
                <w:rFonts w:asciiTheme="majorBidi" w:hAnsiTheme="majorBidi" w:cstheme="majorBidi"/>
              </w:rPr>
            </w:pPr>
          </w:p>
        </w:tc>
        <w:tc>
          <w:tcPr>
            <w:tcW w:w="0" w:type="auto"/>
            <w:tcBorders>
              <w:top w:val="single" w:sz="4" w:space="0" w:color="000000"/>
              <w:left w:val="single" w:sz="4" w:space="0" w:color="000000"/>
              <w:bottom w:val="single" w:sz="4" w:space="0" w:color="000000"/>
              <w:right w:val="single" w:sz="4" w:space="0" w:color="000000"/>
            </w:tcBorders>
            <w:hideMark/>
          </w:tcPr>
          <w:p w14:paraId="2530EF15"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Clinical: CAZ/</w:t>
            </w:r>
            <w:proofErr w:type="gramStart"/>
            <w:r>
              <w:rPr>
                <w:rFonts w:asciiTheme="majorBidi" w:hAnsiTheme="majorBidi" w:cstheme="majorBidi"/>
                <w:color w:val="000000"/>
                <w:sz w:val="20"/>
                <w:szCs w:val="20"/>
                <w:lang w:eastAsia="en-US"/>
              </w:rPr>
              <w:t>AVI  susceptibility</w:t>
            </w:r>
            <w:proofErr w:type="gramEnd"/>
            <w:r>
              <w:rPr>
                <w:rFonts w:asciiTheme="majorBidi" w:hAnsiTheme="majorBidi" w:cstheme="majorBidi"/>
                <w:color w:val="000000"/>
                <w:sz w:val="20"/>
                <w:szCs w:val="20"/>
                <w:lang w:eastAsia="en-US"/>
              </w:rPr>
              <w:t xml:space="preserve"> studies search</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6150C02F"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57</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71E9B6D2"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90</w:t>
            </w:r>
          </w:p>
        </w:tc>
        <w:tc>
          <w:tcPr>
            <w:tcW w:w="0" w:type="auto"/>
            <w:tcBorders>
              <w:top w:val="single" w:sz="4" w:space="0" w:color="000000"/>
              <w:left w:val="single" w:sz="4" w:space="0" w:color="000000"/>
              <w:bottom w:val="single" w:sz="4" w:space="0" w:color="000000"/>
              <w:right w:val="single" w:sz="4" w:space="0" w:color="000000"/>
            </w:tcBorders>
            <w:hideMark/>
          </w:tcPr>
          <w:p w14:paraId="2E1777C6"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c>
          <w:tcPr>
            <w:tcW w:w="0" w:type="auto"/>
            <w:tcBorders>
              <w:top w:val="single" w:sz="4" w:space="0" w:color="000000"/>
              <w:left w:val="single" w:sz="4" w:space="0" w:color="000000"/>
              <w:bottom w:val="single" w:sz="4" w:space="0" w:color="000000"/>
              <w:right w:val="single" w:sz="4" w:space="0" w:color="000000"/>
            </w:tcBorders>
            <w:hideMark/>
          </w:tcPr>
          <w:p w14:paraId="555AA68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r>
      <w:tr w:rsidR="009F01D8" w14:paraId="3F3F0B14" w14:textId="77777777" w:rsidTr="009F01D8">
        <w:tc>
          <w:tcPr>
            <w:tcW w:w="0" w:type="auto"/>
            <w:tcBorders>
              <w:top w:val="single" w:sz="4" w:space="0" w:color="000000"/>
              <w:left w:val="single" w:sz="4" w:space="0" w:color="000000"/>
              <w:bottom w:val="single" w:sz="4" w:space="0" w:color="000000"/>
              <w:right w:val="single" w:sz="4" w:space="0" w:color="000000"/>
            </w:tcBorders>
            <w:hideMark/>
          </w:tcPr>
          <w:p w14:paraId="421D92D1" w14:textId="77777777" w:rsidR="009F01D8" w:rsidRDefault="009F01D8" w:rsidP="009F01D8">
            <w:pPr>
              <w:jc w:val="both"/>
              <w:rPr>
                <w:rFonts w:asciiTheme="majorBidi" w:hAnsiTheme="majorBidi" w:cstheme="majorBidi"/>
              </w:rPr>
            </w:pPr>
          </w:p>
        </w:tc>
        <w:tc>
          <w:tcPr>
            <w:tcW w:w="0" w:type="auto"/>
            <w:tcBorders>
              <w:top w:val="single" w:sz="4" w:space="0" w:color="000000"/>
              <w:left w:val="single" w:sz="4" w:space="0" w:color="000000"/>
              <w:bottom w:val="single" w:sz="4" w:space="0" w:color="000000"/>
              <w:right w:val="single" w:sz="4" w:space="0" w:color="000000"/>
            </w:tcBorders>
            <w:hideMark/>
          </w:tcPr>
          <w:p w14:paraId="0396407C"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Clinical: first iteration of the susceptibility searches</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36347F62"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65</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17079E22"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179</w:t>
            </w:r>
          </w:p>
        </w:tc>
        <w:tc>
          <w:tcPr>
            <w:tcW w:w="0" w:type="auto"/>
            <w:tcBorders>
              <w:top w:val="single" w:sz="4" w:space="0" w:color="000000"/>
              <w:left w:val="single" w:sz="4" w:space="0" w:color="000000"/>
              <w:bottom w:val="single" w:sz="4" w:space="0" w:color="000000"/>
              <w:right w:val="single" w:sz="4" w:space="0" w:color="000000"/>
            </w:tcBorders>
            <w:hideMark/>
          </w:tcPr>
          <w:p w14:paraId="1A4A356D"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c>
          <w:tcPr>
            <w:tcW w:w="0" w:type="auto"/>
            <w:tcBorders>
              <w:top w:val="single" w:sz="4" w:space="0" w:color="000000"/>
              <w:left w:val="single" w:sz="4" w:space="0" w:color="000000"/>
              <w:bottom w:val="single" w:sz="4" w:space="0" w:color="000000"/>
              <w:right w:val="single" w:sz="4" w:space="0" w:color="000000"/>
            </w:tcBorders>
            <w:hideMark/>
          </w:tcPr>
          <w:p w14:paraId="2BF05D7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NS</w:t>
            </w:r>
          </w:p>
        </w:tc>
      </w:tr>
      <w:tr w:rsidR="009F01D8" w14:paraId="65716B08" w14:textId="77777777" w:rsidTr="009F01D8">
        <w:tc>
          <w:tcPr>
            <w:tcW w:w="0" w:type="auto"/>
            <w:tcBorders>
              <w:top w:val="single" w:sz="4" w:space="0" w:color="000000"/>
              <w:left w:val="single" w:sz="4" w:space="0" w:color="000000"/>
              <w:bottom w:val="single" w:sz="4" w:space="0" w:color="000000"/>
              <w:right w:val="single" w:sz="4" w:space="0" w:color="000000"/>
            </w:tcBorders>
            <w:hideMark/>
          </w:tcPr>
          <w:p w14:paraId="7098DE79" w14:textId="77777777" w:rsidR="009F01D8" w:rsidRDefault="009F01D8" w:rsidP="009F01D8">
            <w:pPr>
              <w:jc w:val="both"/>
              <w:rPr>
                <w:rFonts w:asciiTheme="majorBidi" w:hAnsiTheme="majorBidi" w:cstheme="majorBidi"/>
              </w:rPr>
            </w:pPr>
          </w:p>
        </w:tc>
        <w:tc>
          <w:tcPr>
            <w:tcW w:w="0" w:type="auto"/>
            <w:tcBorders>
              <w:top w:val="single" w:sz="4" w:space="0" w:color="000000"/>
              <w:left w:val="single" w:sz="4" w:space="0" w:color="000000"/>
              <w:bottom w:val="single" w:sz="4" w:space="0" w:color="000000"/>
              <w:right w:val="single" w:sz="4" w:space="0" w:color="000000"/>
            </w:tcBorders>
            <w:hideMark/>
          </w:tcPr>
          <w:p w14:paraId="339BAA7D"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CEA models</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75E851DA"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16</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6C990D3B"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56</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469D8625"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hideMark/>
          </w:tcPr>
          <w:p w14:paraId="24302112" w14:textId="77777777" w:rsidR="009F01D8" w:rsidRDefault="009F01D8" w:rsidP="009F01D8">
            <w:pPr>
              <w:pStyle w:val="NormalWeb"/>
              <w:spacing w:before="0" w:beforeAutospacing="0" w:after="0" w:afterAutospacing="0" w:line="256" w:lineRule="auto"/>
              <w:jc w:val="both"/>
              <w:rPr>
                <w:rFonts w:asciiTheme="majorBidi" w:hAnsiTheme="majorBidi" w:cstheme="majorBidi"/>
                <w:lang w:eastAsia="en-US"/>
              </w:rPr>
            </w:pPr>
            <w:r>
              <w:rPr>
                <w:rFonts w:asciiTheme="majorBidi" w:hAnsiTheme="majorBidi" w:cstheme="majorBidi"/>
                <w:color w:val="000000"/>
                <w:sz w:val="20"/>
                <w:szCs w:val="20"/>
                <w:lang w:eastAsia="en-US"/>
              </w:rPr>
              <w:t>14</w:t>
            </w:r>
          </w:p>
        </w:tc>
      </w:tr>
    </w:tbl>
    <w:p w14:paraId="4B23F449" w14:textId="77777777" w:rsidR="009F01D8" w:rsidRDefault="009F01D8" w:rsidP="009F01D8">
      <w:pPr>
        <w:pStyle w:val="NormalWeb"/>
        <w:spacing w:before="0" w:beforeAutospacing="0" w:after="160" w:afterAutospacing="0"/>
        <w:jc w:val="both"/>
        <w:rPr>
          <w:rFonts w:asciiTheme="majorBidi" w:hAnsiTheme="majorBidi" w:cstheme="majorBidi"/>
        </w:rPr>
      </w:pPr>
      <w:r>
        <w:rPr>
          <w:rFonts w:asciiTheme="majorBidi" w:hAnsiTheme="majorBidi" w:cstheme="majorBidi"/>
          <w:color w:val="000000"/>
          <w:sz w:val="20"/>
          <w:szCs w:val="20"/>
        </w:rPr>
        <w:t>NS is not searched; *numbers retrieved before removal of duplicate titles.</w:t>
      </w:r>
    </w:p>
    <w:p w14:paraId="3D5F8151" w14:textId="77777777" w:rsidR="009F01D8" w:rsidRDefault="009F01D8" w:rsidP="009F01D8">
      <w:pPr>
        <w:jc w:val="both"/>
        <w:rPr>
          <w:rFonts w:asciiTheme="majorBidi" w:hAnsiTheme="majorBidi" w:cstheme="majorBidi"/>
        </w:rPr>
      </w:pPr>
    </w:p>
    <w:p w14:paraId="13F0D061" w14:textId="3E8379FB" w:rsidR="009F01D8" w:rsidRPr="002E4F02" w:rsidRDefault="00C33621" w:rsidP="00D76748">
      <w:pPr>
        <w:pStyle w:val="Heading3"/>
        <w:tabs>
          <w:tab w:val="left" w:pos="709"/>
          <w:tab w:val="left" w:pos="1418"/>
        </w:tabs>
        <w:ind w:left="360"/>
        <w:rPr>
          <w:rFonts w:asciiTheme="majorBidi" w:hAnsiTheme="majorBidi"/>
          <w:sz w:val="26"/>
          <w:szCs w:val="26"/>
        </w:rPr>
      </w:pPr>
      <w:bookmarkStart w:id="584" w:name="_Toc77940605"/>
      <w:bookmarkStart w:id="585" w:name="_Toc77940970"/>
      <w:bookmarkStart w:id="586" w:name="_Toc77952412"/>
      <w:bookmarkStart w:id="587" w:name="_Hlk85396704"/>
      <w:r>
        <w:tab/>
      </w:r>
      <w:bookmarkStart w:id="588" w:name="_Toc87463074"/>
      <w:r w:rsidR="009F01D8" w:rsidRPr="002E4F02">
        <w:rPr>
          <w:rFonts w:asciiTheme="majorBidi" w:hAnsiTheme="majorBidi"/>
          <w:sz w:val="26"/>
          <w:szCs w:val="26"/>
        </w:rPr>
        <w:t>A1.1 CAZ/AVI</w:t>
      </w:r>
      <w:bookmarkEnd w:id="588"/>
      <w:r w:rsidR="009F01D8" w:rsidRPr="002E4F02">
        <w:rPr>
          <w:rFonts w:asciiTheme="majorBidi" w:hAnsiTheme="majorBidi"/>
          <w:sz w:val="26"/>
          <w:szCs w:val="26"/>
        </w:rPr>
        <w:t xml:space="preserve"> </w:t>
      </w:r>
    </w:p>
    <w:p w14:paraId="1876C573" w14:textId="68A43C71" w:rsidR="009F01D8" w:rsidRPr="002E4F02" w:rsidRDefault="00C33621" w:rsidP="009F01D8">
      <w:pPr>
        <w:pStyle w:val="Heading4"/>
        <w:rPr>
          <w:rFonts w:asciiTheme="majorBidi" w:hAnsiTheme="majorBidi"/>
          <w:b/>
          <w:bCs/>
          <w:i w:val="0"/>
          <w:iCs w:val="0"/>
          <w:color w:val="auto"/>
          <w:sz w:val="26"/>
          <w:szCs w:val="26"/>
        </w:rPr>
      </w:pPr>
      <w:r w:rsidRPr="002E4F02">
        <w:rPr>
          <w:rFonts w:asciiTheme="majorBidi" w:hAnsiTheme="majorBidi"/>
          <w:b/>
          <w:bCs/>
          <w:i w:val="0"/>
          <w:iCs w:val="0"/>
          <w:color w:val="auto"/>
          <w:sz w:val="26"/>
          <w:szCs w:val="26"/>
        </w:rPr>
        <w:tab/>
      </w:r>
      <w:r w:rsidRPr="002E4F02">
        <w:rPr>
          <w:rFonts w:asciiTheme="majorBidi" w:hAnsiTheme="majorBidi"/>
          <w:b/>
          <w:bCs/>
          <w:i w:val="0"/>
          <w:iCs w:val="0"/>
          <w:color w:val="auto"/>
          <w:sz w:val="26"/>
          <w:szCs w:val="26"/>
        </w:rPr>
        <w:tab/>
      </w:r>
      <w:r w:rsidR="009F01D8" w:rsidRPr="002E4F02">
        <w:rPr>
          <w:rFonts w:asciiTheme="majorBidi" w:hAnsiTheme="majorBidi"/>
          <w:b/>
          <w:bCs/>
          <w:i w:val="0"/>
          <w:iCs w:val="0"/>
          <w:color w:val="auto"/>
          <w:sz w:val="26"/>
          <w:szCs w:val="26"/>
        </w:rPr>
        <w:t>A1.1.1 sampling search (first 1-200 records)</w:t>
      </w:r>
      <w:bookmarkEnd w:id="584"/>
      <w:bookmarkEnd w:id="585"/>
      <w:bookmarkEnd w:id="586"/>
    </w:p>
    <w:bookmarkEnd w:id="587"/>
    <w:p w14:paraId="1F8186B3" w14:textId="77777777" w:rsidR="009F01D8" w:rsidRDefault="009F01D8" w:rsidP="009F01D8">
      <w:pPr>
        <w:jc w:val="both"/>
        <w:rPr>
          <w:rFonts w:asciiTheme="majorBidi" w:hAnsiTheme="majorBidi" w:cstheme="majorBidi"/>
        </w:rPr>
      </w:pPr>
    </w:p>
    <w:p w14:paraId="4719442A"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Term group(s): CAZ/AVI AND filter</w:t>
      </w:r>
    </w:p>
    <w:p w14:paraId="2F58CF82"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Filters: Exclusions filter (MEDLINE, Embase)</w:t>
      </w:r>
    </w:p>
    <w:p w14:paraId="7D1D764E"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Limits: None</w:t>
      </w:r>
    </w:p>
    <w:p w14:paraId="6E50847F" w14:textId="77777777" w:rsidR="009F01D8" w:rsidRDefault="009F01D8" w:rsidP="009F01D8">
      <w:pPr>
        <w:jc w:val="both"/>
        <w:rPr>
          <w:rFonts w:asciiTheme="majorBidi" w:hAnsiTheme="majorBidi" w:cstheme="majorBidi"/>
        </w:rPr>
      </w:pPr>
    </w:p>
    <w:p w14:paraId="21F7E736" w14:textId="6F9078CE"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 xml:space="preserve">A total of 2214 records were retrieved and 1478 are unique. Only first 200 records were reviewed to inform the antibiotic </w:t>
      </w:r>
      <w:r w:rsidR="00837CD7">
        <w:rPr>
          <w:rFonts w:asciiTheme="majorBidi" w:hAnsiTheme="majorBidi" w:cstheme="majorBidi"/>
          <w:color w:val="000000"/>
          <w:sz w:val="20"/>
          <w:szCs w:val="20"/>
        </w:rPr>
        <w:t>susceptibility</w:t>
      </w:r>
      <w:r>
        <w:rPr>
          <w:rFonts w:asciiTheme="majorBidi" w:hAnsiTheme="majorBidi" w:cstheme="majorBidi"/>
          <w:color w:val="000000"/>
          <w:sz w:val="20"/>
          <w:szCs w:val="20"/>
        </w:rPr>
        <w:t xml:space="preserve"> studies searches (2.3). </w:t>
      </w:r>
    </w:p>
    <w:p w14:paraId="3E6DCBD3" w14:textId="77777777" w:rsidR="009F01D8" w:rsidRDefault="009F01D8" w:rsidP="009F01D8">
      <w:pPr>
        <w:spacing w:after="240"/>
        <w:jc w:val="both"/>
        <w:rPr>
          <w:rFonts w:asciiTheme="majorBidi" w:hAnsiTheme="majorBidi" w:cstheme="majorBidi"/>
        </w:rPr>
      </w:pPr>
    </w:p>
    <w:p w14:paraId="153122E4"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 xml:space="preserve">Ovid MEDLINE(R) and </w:t>
      </w:r>
      <w:proofErr w:type="spellStart"/>
      <w:r>
        <w:rPr>
          <w:rFonts w:asciiTheme="majorBidi" w:hAnsiTheme="majorBidi" w:cstheme="majorBidi"/>
          <w:b/>
          <w:bCs/>
          <w:color w:val="000000"/>
          <w:sz w:val="20"/>
          <w:szCs w:val="20"/>
        </w:rPr>
        <w:t>Epub</w:t>
      </w:r>
      <w:proofErr w:type="spellEnd"/>
      <w:r>
        <w:rPr>
          <w:rFonts w:asciiTheme="majorBidi" w:hAnsiTheme="majorBidi" w:cstheme="majorBidi"/>
          <w:b/>
          <w:bCs/>
          <w:color w:val="000000"/>
          <w:sz w:val="20"/>
          <w:szCs w:val="20"/>
        </w:rPr>
        <w:t xml:space="preserve"> Ahead of Print, In-Process, In-Data-Review &amp; Other Non-Indexed Citations, Daily and Versions(R) 1946 to March 17, 2021 (searched via the Ovid SP platform)</w:t>
      </w:r>
    </w:p>
    <w:p w14:paraId="19143203"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17</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March 2021</w:t>
      </w:r>
    </w:p>
    <w:p w14:paraId="36CF64DF"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2611"/>
        <w:gridCol w:w="1096"/>
      </w:tblGrid>
      <w:tr w:rsidR="009F01D8" w:rsidRPr="00D76748" w14:paraId="3FE3691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D5D99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ACEF4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1076FD6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2E270AD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242DAE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29D4204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49E6967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10237</w:t>
            </w:r>
          </w:p>
        </w:tc>
      </w:tr>
      <w:tr w:rsidR="009F01D8" w:rsidRPr="00D76748" w14:paraId="1791E0C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AD7385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1D9831F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72C2004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4055</w:t>
            </w:r>
          </w:p>
        </w:tc>
      </w:tr>
      <w:tr w:rsidR="009F01D8" w:rsidRPr="00D76748" w14:paraId="64B9B38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268769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0C99C82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02A08FC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10237</w:t>
            </w:r>
          </w:p>
        </w:tc>
      </w:tr>
      <w:tr w:rsidR="009F01D8" w:rsidRPr="00D76748" w14:paraId="0A85641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329AFF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314F963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55431B9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974</w:t>
            </w:r>
          </w:p>
        </w:tc>
      </w:tr>
      <w:tr w:rsidR="009F01D8" w:rsidRPr="00D76748" w14:paraId="29CB646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A5E8F9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58B772A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4</w:t>
            </w:r>
          </w:p>
        </w:tc>
        <w:tc>
          <w:tcPr>
            <w:tcW w:w="0" w:type="auto"/>
            <w:tcBorders>
              <w:top w:val="single" w:sz="4" w:space="0" w:color="000000"/>
              <w:left w:val="single" w:sz="4" w:space="0" w:color="000000"/>
              <w:bottom w:val="single" w:sz="4" w:space="0" w:color="000000"/>
              <w:right w:val="single" w:sz="4" w:space="0" w:color="000000"/>
            </w:tcBorders>
            <w:hideMark/>
          </w:tcPr>
          <w:p w14:paraId="10B5CEC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797</w:t>
            </w:r>
          </w:p>
        </w:tc>
      </w:tr>
      <w:tr w:rsidR="009F01D8" w:rsidRPr="00D76748" w14:paraId="6FB3C8B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AD81D7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4FEF015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1F147AB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718</w:t>
            </w:r>
          </w:p>
        </w:tc>
      </w:tr>
      <w:tr w:rsidR="009F01D8" w:rsidRPr="00D76748" w14:paraId="0E98DE3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F2719D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7A1680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4C45033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r>
      <w:tr w:rsidR="009F01D8" w:rsidRPr="00D76748" w14:paraId="4470CD1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9910B1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6C64476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5E141B8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r>
      <w:tr w:rsidR="009F01D8" w:rsidRPr="00D76748" w14:paraId="2A6E880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6794E1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66B5948E"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F11015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65</w:t>
            </w:r>
          </w:p>
        </w:tc>
      </w:tr>
      <w:tr w:rsidR="009F01D8" w:rsidRPr="00D76748" w14:paraId="6294C2E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6571A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10</w:t>
            </w:r>
          </w:p>
        </w:tc>
        <w:tc>
          <w:tcPr>
            <w:tcW w:w="0" w:type="auto"/>
            <w:tcBorders>
              <w:top w:val="single" w:sz="4" w:space="0" w:color="000000"/>
              <w:left w:val="single" w:sz="4" w:space="0" w:color="000000"/>
              <w:bottom w:val="single" w:sz="4" w:space="0" w:color="000000"/>
              <w:right w:val="single" w:sz="4" w:space="0" w:color="000000"/>
            </w:tcBorders>
            <w:hideMark/>
          </w:tcPr>
          <w:p w14:paraId="67C6BA5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or/5-9</w:t>
            </w:r>
          </w:p>
        </w:tc>
        <w:tc>
          <w:tcPr>
            <w:tcW w:w="0" w:type="auto"/>
            <w:tcBorders>
              <w:top w:val="single" w:sz="4" w:space="0" w:color="000000"/>
              <w:left w:val="single" w:sz="4" w:space="0" w:color="000000"/>
              <w:bottom w:val="single" w:sz="4" w:space="0" w:color="000000"/>
              <w:right w:val="single" w:sz="4" w:space="0" w:color="000000"/>
            </w:tcBorders>
            <w:hideMark/>
          </w:tcPr>
          <w:p w14:paraId="4DE8446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800</w:t>
            </w:r>
          </w:p>
        </w:tc>
      </w:tr>
      <w:tr w:rsidR="009F01D8" w:rsidRPr="00D76748" w14:paraId="5BAD50F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005636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69C2E6D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Letter/</w:t>
            </w:r>
          </w:p>
        </w:tc>
        <w:tc>
          <w:tcPr>
            <w:tcW w:w="0" w:type="auto"/>
            <w:tcBorders>
              <w:top w:val="single" w:sz="4" w:space="0" w:color="000000"/>
              <w:left w:val="single" w:sz="4" w:space="0" w:color="000000"/>
              <w:bottom w:val="single" w:sz="4" w:space="0" w:color="000000"/>
              <w:right w:val="single" w:sz="4" w:space="0" w:color="000000"/>
            </w:tcBorders>
            <w:hideMark/>
          </w:tcPr>
          <w:p w14:paraId="751FAFE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1127089</w:t>
            </w:r>
          </w:p>
        </w:tc>
      </w:tr>
      <w:tr w:rsidR="009F01D8" w:rsidRPr="00D76748" w14:paraId="583869E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309132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2E30110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Historical article/</w:t>
            </w:r>
          </w:p>
        </w:tc>
        <w:tc>
          <w:tcPr>
            <w:tcW w:w="0" w:type="auto"/>
            <w:tcBorders>
              <w:top w:val="single" w:sz="4" w:space="0" w:color="000000"/>
              <w:left w:val="single" w:sz="4" w:space="0" w:color="000000"/>
              <w:bottom w:val="single" w:sz="4" w:space="0" w:color="000000"/>
              <w:right w:val="single" w:sz="4" w:space="0" w:color="000000"/>
            </w:tcBorders>
            <w:hideMark/>
          </w:tcPr>
          <w:p w14:paraId="05097E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362579</w:t>
            </w:r>
          </w:p>
        </w:tc>
      </w:tr>
      <w:tr w:rsidR="009F01D8" w:rsidRPr="00D76748" w14:paraId="20CF411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743289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14:paraId="367A189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 or 12</w:t>
            </w:r>
          </w:p>
        </w:tc>
        <w:tc>
          <w:tcPr>
            <w:tcW w:w="0" w:type="auto"/>
            <w:tcBorders>
              <w:top w:val="single" w:sz="4" w:space="0" w:color="000000"/>
              <w:left w:val="single" w:sz="4" w:space="0" w:color="000000"/>
              <w:bottom w:val="single" w:sz="4" w:space="0" w:color="000000"/>
              <w:right w:val="single" w:sz="4" w:space="0" w:color="000000"/>
            </w:tcBorders>
            <w:hideMark/>
          </w:tcPr>
          <w:p w14:paraId="050EB8A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1482068</w:t>
            </w:r>
          </w:p>
        </w:tc>
      </w:tr>
      <w:tr w:rsidR="009F01D8" w:rsidRPr="00D76748" w14:paraId="49F2E88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A01592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14:paraId="30C573A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exp Animals/</w:t>
            </w:r>
          </w:p>
        </w:tc>
        <w:tc>
          <w:tcPr>
            <w:tcW w:w="0" w:type="auto"/>
            <w:tcBorders>
              <w:top w:val="single" w:sz="4" w:space="0" w:color="000000"/>
              <w:left w:val="single" w:sz="4" w:space="0" w:color="000000"/>
              <w:bottom w:val="single" w:sz="4" w:space="0" w:color="000000"/>
              <w:right w:val="single" w:sz="4" w:space="0" w:color="000000"/>
            </w:tcBorders>
            <w:hideMark/>
          </w:tcPr>
          <w:p w14:paraId="21F187C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23901218</w:t>
            </w:r>
          </w:p>
        </w:tc>
      </w:tr>
      <w:tr w:rsidR="009F01D8" w:rsidRPr="00D76748" w14:paraId="5C74E79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6CEAFC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423B068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Humans/</w:t>
            </w:r>
          </w:p>
        </w:tc>
        <w:tc>
          <w:tcPr>
            <w:tcW w:w="0" w:type="auto"/>
            <w:tcBorders>
              <w:top w:val="single" w:sz="4" w:space="0" w:color="000000"/>
              <w:left w:val="single" w:sz="4" w:space="0" w:color="000000"/>
              <w:bottom w:val="single" w:sz="4" w:space="0" w:color="000000"/>
              <w:right w:val="single" w:sz="4" w:space="0" w:color="000000"/>
            </w:tcBorders>
            <w:hideMark/>
          </w:tcPr>
          <w:p w14:paraId="6D75D4E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19100537</w:t>
            </w:r>
          </w:p>
        </w:tc>
      </w:tr>
      <w:tr w:rsidR="009F01D8" w:rsidRPr="00D76748" w14:paraId="40C2CDF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BE6B2F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2C6CF01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 not (14 and 15)</w:t>
            </w:r>
          </w:p>
        </w:tc>
        <w:tc>
          <w:tcPr>
            <w:tcW w:w="0" w:type="auto"/>
            <w:tcBorders>
              <w:top w:val="single" w:sz="4" w:space="0" w:color="000000"/>
              <w:left w:val="single" w:sz="4" w:space="0" w:color="000000"/>
              <w:bottom w:val="single" w:sz="4" w:space="0" w:color="000000"/>
              <w:right w:val="single" w:sz="4" w:space="0" w:color="000000"/>
            </w:tcBorders>
            <w:hideMark/>
          </w:tcPr>
          <w:p w14:paraId="6A43A9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4800681</w:t>
            </w:r>
          </w:p>
        </w:tc>
      </w:tr>
      <w:tr w:rsidR="009F01D8" w:rsidRPr="00D76748" w14:paraId="297FFCF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C64FC5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193052A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 or 16</w:t>
            </w:r>
          </w:p>
        </w:tc>
        <w:tc>
          <w:tcPr>
            <w:tcW w:w="0" w:type="auto"/>
            <w:tcBorders>
              <w:top w:val="single" w:sz="4" w:space="0" w:color="000000"/>
              <w:left w:val="single" w:sz="4" w:space="0" w:color="000000"/>
              <w:bottom w:val="single" w:sz="4" w:space="0" w:color="000000"/>
              <w:right w:val="single" w:sz="4" w:space="0" w:color="000000"/>
            </w:tcBorders>
            <w:hideMark/>
          </w:tcPr>
          <w:p w14:paraId="6DDF45A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6235842</w:t>
            </w:r>
          </w:p>
        </w:tc>
      </w:tr>
      <w:tr w:rsidR="009F01D8" w:rsidRPr="00D76748" w14:paraId="13547F4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E18A61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hideMark/>
          </w:tcPr>
          <w:p w14:paraId="02A96F3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not 17</w:t>
            </w:r>
          </w:p>
        </w:tc>
        <w:tc>
          <w:tcPr>
            <w:tcW w:w="0" w:type="auto"/>
            <w:tcBorders>
              <w:top w:val="single" w:sz="4" w:space="0" w:color="000000"/>
              <w:left w:val="single" w:sz="4" w:space="0" w:color="000000"/>
              <w:bottom w:val="single" w:sz="4" w:space="0" w:color="000000"/>
              <w:right w:val="single" w:sz="4" w:space="0" w:color="000000"/>
            </w:tcBorders>
            <w:hideMark/>
          </w:tcPr>
          <w:p w14:paraId="391C722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738</w:t>
            </w:r>
          </w:p>
        </w:tc>
      </w:tr>
    </w:tbl>
    <w:p w14:paraId="2BA4160C" w14:textId="77777777" w:rsidR="009F01D8" w:rsidRDefault="009F01D8" w:rsidP="009F01D8">
      <w:pPr>
        <w:jc w:val="both"/>
        <w:rPr>
          <w:rFonts w:asciiTheme="majorBidi" w:hAnsiTheme="majorBidi" w:cstheme="majorBidi"/>
        </w:rPr>
      </w:pPr>
    </w:p>
    <w:p w14:paraId="50EE8DDE"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Embase 1974 to 2021 March 16 (searched via the Ovid SP platform)</w:t>
      </w:r>
    </w:p>
    <w:p w14:paraId="6AC570BC"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17</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March 2021</w:t>
      </w:r>
    </w:p>
    <w:p w14:paraId="3382DC80"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2611"/>
        <w:gridCol w:w="1096"/>
      </w:tblGrid>
      <w:tr w:rsidR="009F01D8" w:rsidRPr="00D76748" w14:paraId="282E236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E51EC3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7E10D3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3FC5F3F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30F31DD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D10EEE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5DA8D3A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30CC841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45294</w:t>
            </w:r>
          </w:p>
        </w:tc>
      </w:tr>
      <w:tr w:rsidR="009F01D8" w:rsidRPr="00D76748" w14:paraId="583A9A6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9CCE4F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447907D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722D8B0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43140</w:t>
            </w:r>
          </w:p>
        </w:tc>
      </w:tr>
      <w:tr w:rsidR="009F01D8" w:rsidRPr="00D76748" w14:paraId="7E6E178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B4230C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1555B6C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1450E50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45294</w:t>
            </w:r>
          </w:p>
        </w:tc>
      </w:tr>
      <w:tr w:rsidR="009F01D8" w:rsidRPr="00D76748" w14:paraId="5B5C40A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08875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6E20B24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77643BE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1916</w:t>
            </w:r>
          </w:p>
        </w:tc>
      </w:tr>
      <w:tr w:rsidR="009F01D8" w:rsidRPr="00D76748" w14:paraId="3920304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D281D4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06F72C5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4</w:t>
            </w:r>
          </w:p>
        </w:tc>
        <w:tc>
          <w:tcPr>
            <w:tcW w:w="0" w:type="auto"/>
            <w:tcBorders>
              <w:top w:val="single" w:sz="4" w:space="0" w:color="000000"/>
              <w:left w:val="single" w:sz="4" w:space="0" w:color="000000"/>
              <w:bottom w:val="single" w:sz="4" w:space="0" w:color="000000"/>
              <w:right w:val="single" w:sz="4" w:space="0" w:color="000000"/>
            </w:tcBorders>
            <w:hideMark/>
          </w:tcPr>
          <w:p w14:paraId="536DDF6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1630</w:t>
            </w:r>
          </w:p>
        </w:tc>
      </w:tr>
      <w:tr w:rsidR="009F01D8" w:rsidRPr="00D76748" w14:paraId="734751F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2EA21E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0B22DD7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53976D4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973</w:t>
            </w:r>
          </w:p>
        </w:tc>
      </w:tr>
      <w:tr w:rsidR="009F01D8" w:rsidRPr="00D76748" w14:paraId="0B90013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21F8A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5EFE212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564AB85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r>
      <w:tr w:rsidR="009F01D8" w:rsidRPr="00D76748" w14:paraId="68501D2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E8C23C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51455FF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6D80267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61</w:t>
            </w:r>
          </w:p>
        </w:tc>
      </w:tr>
      <w:tr w:rsidR="009F01D8" w:rsidRPr="00D76748" w14:paraId="66B4205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47B92D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73BC75D3"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001234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161</w:t>
            </w:r>
          </w:p>
        </w:tc>
      </w:tr>
      <w:tr w:rsidR="009F01D8" w:rsidRPr="00D76748" w14:paraId="1CA623D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4A25A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w:t>
            </w:r>
          </w:p>
        </w:tc>
        <w:tc>
          <w:tcPr>
            <w:tcW w:w="0" w:type="auto"/>
            <w:tcBorders>
              <w:top w:val="single" w:sz="4" w:space="0" w:color="000000"/>
              <w:left w:val="single" w:sz="4" w:space="0" w:color="000000"/>
              <w:bottom w:val="single" w:sz="4" w:space="0" w:color="000000"/>
              <w:right w:val="single" w:sz="4" w:space="0" w:color="000000"/>
            </w:tcBorders>
            <w:hideMark/>
          </w:tcPr>
          <w:p w14:paraId="6293C6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or/5-9</w:t>
            </w:r>
          </w:p>
        </w:tc>
        <w:tc>
          <w:tcPr>
            <w:tcW w:w="0" w:type="auto"/>
            <w:tcBorders>
              <w:top w:val="single" w:sz="4" w:space="0" w:color="000000"/>
              <w:left w:val="single" w:sz="4" w:space="0" w:color="000000"/>
              <w:bottom w:val="single" w:sz="4" w:space="0" w:color="000000"/>
              <w:right w:val="single" w:sz="4" w:space="0" w:color="000000"/>
            </w:tcBorders>
            <w:hideMark/>
          </w:tcPr>
          <w:p w14:paraId="5A2370A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1639</w:t>
            </w:r>
          </w:p>
        </w:tc>
      </w:tr>
      <w:tr w:rsidR="009F01D8" w:rsidRPr="00D76748" w14:paraId="09198E4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CB8DEA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4B4231F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Abstract report/ or letter/</w:t>
            </w:r>
          </w:p>
        </w:tc>
        <w:tc>
          <w:tcPr>
            <w:tcW w:w="0" w:type="auto"/>
            <w:tcBorders>
              <w:top w:val="single" w:sz="4" w:space="0" w:color="000000"/>
              <w:left w:val="single" w:sz="4" w:space="0" w:color="000000"/>
              <w:bottom w:val="single" w:sz="4" w:space="0" w:color="000000"/>
              <w:right w:val="single" w:sz="4" w:space="0" w:color="000000"/>
            </w:tcBorders>
            <w:hideMark/>
          </w:tcPr>
          <w:p w14:paraId="45848CC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1192921</w:t>
            </w:r>
          </w:p>
        </w:tc>
      </w:tr>
      <w:tr w:rsidR="009F01D8" w:rsidRPr="00D76748" w14:paraId="38B71CB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474076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624D749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editorial.pt.</w:t>
            </w:r>
          </w:p>
        </w:tc>
        <w:tc>
          <w:tcPr>
            <w:tcW w:w="0" w:type="auto"/>
            <w:tcBorders>
              <w:top w:val="single" w:sz="4" w:space="0" w:color="000000"/>
              <w:left w:val="single" w:sz="4" w:space="0" w:color="000000"/>
              <w:bottom w:val="single" w:sz="4" w:space="0" w:color="000000"/>
              <w:right w:val="single" w:sz="4" w:space="0" w:color="000000"/>
            </w:tcBorders>
            <w:hideMark/>
          </w:tcPr>
          <w:p w14:paraId="507F24E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688595</w:t>
            </w:r>
          </w:p>
        </w:tc>
      </w:tr>
      <w:tr w:rsidR="009F01D8" w:rsidRPr="00D76748" w14:paraId="7189AD3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3D562C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14:paraId="0C3C803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animal/</w:t>
            </w:r>
          </w:p>
        </w:tc>
        <w:tc>
          <w:tcPr>
            <w:tcW w:w="0" w:type="auto"/>
            <w:tcBorders>
              <w:top w:val="single" w:sz="4" w:space="0" w:color="000000"/>
              <w:left w:val="single" w:sz="4" w:space="0" w:color="000000"/>
              <w:bottom w:val="single" w:sz="4" w:space="0" w:color="000000"/>
              <w:right w:val="single" w:sz="4" w:space="0" w:color="000000"/>
            </w:tcBorders>
            <w:hideMark/>
          </w:tcPr>
          <w:p w14:paraId="081039E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1511248</w:t>
            </w:r>
          </w:p>
        </w:tc>
      </w:tr>
      <w:tr w:rsidR="009F01D8" w:rsidRPr="00D76748" w14:paraId="020D090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C77C4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14:paraId="04F6E94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human/</w:t>
            </w:r>
          </w:p>
        </w:tc>
        <w:tc>
          <w:tcPr>
            <w:tcW w:w="0" w:type="auto"/>
            <w:tcBorders>
              <w:top w:val="single" w:sz="4" w:space="0" w:color="000000"/>
              <w:left w:val="single" w:sz="4" w:space="0" w:color="000000"/>
              <w:bottom w:val="single" w:sz="4" w:space="0" w:color="000000"/>
              <w:right w:val="single" w:sz="4" w:space="0" w:color="000000"/>
            </w:tcBorders>
            <w:hideMark/>
          </w:tcPr>
          <w:p w14:paraId="0F60724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22017643</w:t>
            </w:r>
          </w:p>
        </w:tc>
      </w:tr>
      <w:tr w:rsidR="009F01D8" w:rsidRPr="00D76748" w14:paraId="02F946D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2109D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1383804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 not (13 and 14)</w:t>
            </w:r>
          </w:p>
        </w:tc>
        <w:tc>
          <w:tcPr>
            <w:tcW w:w="0" w:type="auto"/>
            <w:tcBorders>
              <w:top w:val="single" w:sz="4" w:space="0" w:color="000000"/>
              <w:left w:val="single" w:sz="4" w:space="0" w:color="000000"/>
              <w:bottom w:val="single" w:sz="4" w:space="0" w:color="000000"/>
              <w:right w:val="single" w:sz="4" w:space="0" w:color="000000"/>
            </w:tcBorders>
            <w:hideMark/>
          </w:tcPr>
          <w:p w14:paraId="36DE233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1106807</w:t>
            </w:r>
          </w:p>
        </w:tc>
      </w:tr>
      <w:tr w:rsidR="009F01D8" w:rsidRPr="00D76748" w14:paraId="08D82FB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01EEA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2D1E3A3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 or 12 or 15</w:t>
            </w:r>
          </w:p>
        </w:tc>
        <w:tc>
          <w:tcPr>
            <w:tcW w:w="0" w:type="auto"/>
            <w:tcBorders>
              <w:top w:val="single" w:sz="4" w:space="0" w:color="000000"/>
              <w:left w:val="single" w:sz="4" w:space="0" w:color="000000"/>
              <w:bottom w:val="single" w:sz="4" w:space="0" w:color="000000"/>
              <w:right w:val="single" w:sz="4" w:space="0" w:color="000000"/>
            </w:tcBorders>
            <w:hideMark/>
          </w:tcPr>
          <w:p w14:paraId="7BABCCA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2971223</w:t>
            </w:r>
          </w:p>
        </w:tc>
      </w:tr>
      <w:tr w:rsidR="009F01D8" w:rsidRPr="00D76748" w14:paraId="03F657E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8AB46B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0DC5908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not 16</w:t>
            </w:r>
          </w:p>
        </w:tc>
        <w:tc>
          <w:tcPr>
            <w:tcW w:w="0" w:type="auto"/>
            <w:tcBorders>
              <w:top w:val="single" w:sz="4" w:space="0" w:color="000000"/>
              <w:left w:val="single" w:sz="4" w:space="0" w:color="000000"/>
              <w:bottom w:val="single" w:sz="4" w:space="0" w:color="000000"/>
              <w:right w:val="single" w:sz="4" w:space="0" w:color="000000"/>
            </w:tcBorders>
            <w:hideMark/>
          </w:tcPr>
          <w:p w14:paraId="6F46A35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1524</w:t>
            </w:r>
          </w:p>
        </w:tc>
      </w:tr>
    </w:tbl>
    <w:p w14:paraId="1C979522" w14:textId="77777777" w:rsidR="009F01D8" w:rsidRDefault="009F01D8" w:rsidP="009F01D8">
      <w:pPr>
        <w:jc w:val="both"/>
        <w:rPr>
          <w:rFonts w:asciiTheme="majorBidi" w:hAnsiTheme="majorBidi" w:cstheme="majorBidi"/>
        </w:rPr>
      </w:pPr>
    </w:p>
    <w:p w14:paraId="7E410D1E"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CRD database (searched via the University of York CRD platform)</w:t>
      </w:r>
    </w:p>
    <w:p w14:paraId="20A13AF3"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1</w:t>
      </w:r>
      <w:r>
        <w:rPr>
          <w:rFonts w:asciiTheme="majorBidi" w:hAnsiTheme="majorBidi" w:cstheme="majorBidi"/>
          <w:color w:val="000000"/>
          <w:sz w:val="12"/>
          <w:szCs w:val="12"/>
          <w:vertAlign w:val="superscript"/>
        </w:rPr>
        <w:t>st</w:t>
      </w:r>
      <w:r>
        <w:rPr>
          <w:rFonts w:asciiTheme="majorBidi" w:hAnsiTheme="majorBidi" w:cstheme="majorBidi"/>
          <w:color w:val="000000"/>
          <w:sz w:val="20"/>
          <w:szCs w:val="20"/>
        </w:rPr>
        <w:t xml:space="preserve"> March 2021</w:t>
      </w:r>
    </w:p>
    <w:p w14:paraId="645F4A47"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sf</w:t>
      </w:r>
    </w:p>
    <w:tbl>
      <w:tblPr>
        <w:tblW w:w="0" w:type="auto"/>
        <w:tblLook w:val="04A0" w:firstRow="1" w:lastRow="0" w:firstColumn="1" w:lastColumn="0" w:noHBand="0" w:noVBand="1"/>
      </w:tblPr>
      <w:tblGrid>
        <w:gridCol w:w="436"/>
        <w:gridCol w:w="5588"/>
        <w:gridCol w:w="901"/>
      </w:tblGrid>
      <w:tr w:rsidR="009F01D8" w:rsidRPr="00D76748" w14:paraId="794AC2E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6B1630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E2FF5B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20F1DA2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07C1693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4236B8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1DE238C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0AA8C60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w:t>
            </w:r>
          </w:p>
        </w:tc>
      </w:tr>
      <w:tr w:rsidR="009F01D8" w:rsidRPr="00D76748" w14:paraId="58D3170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1EEFE3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689B282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proofErr w:type="spellStart"/>
            <w:r w:rsidRPr="00D76748">
              <w:rPr>
                <w:rFonts w:asciiTheme="majorBidi" w:hAnsiTheme="majorBidi" w:cstheme="majorBidi"/>
                <w:color w:val="000000"/>
                <w:sz w:val="22"/>
                <w:szCs w:val="22"/>
                <w:lang w:eastAsia="en-US"/>
              </w:rPr>
              <w:t>MeSH</w:t>
            </w:r>
            <w:proofErr w:type="spellEnd"/>
            <w:r w:rsidRPr="00D76748">
              <w:rPr>
                <w:rFonts w:asciiTheme="majorBidi" w:hAnsiTheme="majorBidi" w:cstheme="majorBidi"/>
                <w:color w:val="000000"/>
                <w:sz w:val="22"/>
                <w:szCs w:val="22"/>
                <w:lang w:eastAsia="en-US"/>
              </w:rPr>
              <w:t xml:space="preserve"> DESCRIPTOR Ceftazidime EXPLODE ALL TREES</w:t>
            </w:r>
          </w:p>
        </w:tc>
        <w:tc>
          <w:tcPr>
            <w:tcW w:w="0" w:type="auto"/>
            <w:tcBorders>
              <w:top w:val="single" w:sz="4" w:space="0" w:color="000000"/>
              <w:left w:val="single" w:sz="4" w:space="0" w:color="000000"/>
              <w:bottom w:val="single" w:sz="4" w:space="0" w:color="000000"/>
              <w:right w:val="single" w:sz="4" w:space="0" w:color="000000"/>
            </w:tcBorders>
            <w:hideMark/>
          </w:tcPr>
          <w:p w14:paraId="2360EF8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r>
      <w:tr w:rsidR="009F01D8" w:rsidRPr="00D76748" w14:paraId="774A632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527CF8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535108F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66D0E76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w:t>
            </w:r>
          </w:p>
        </w:tc>
      </w:tr>
      <w:tr w:rsidR="009F01D8" w:rsidRPr="00D76748" w14:paraId="6D810B7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BCB08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37193E4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w:t>
            </w:r>
          </w:p>
        </w:tc>
        <w:tc>
          <w:tcPr>
            <w:tcW w:w="0" w:type="auto"/>
            <w:tcBorders>
              <w:top w:val="single" w:sz="4" w:space="0" w:color="000000"/>
              <w:left w:val="single" w:sz="4" w:space="0" w:color="000000"/>
              <w:bottom w:val="single" w:sz="4" w:space="0" w:color="000000"/>
              <w:right w:val="single" w:sz="4" w:space="0" w:color="000000"/>
            </w:tcBorders>
            <w:hideMark/>
          </w:tcPr>
          <w:p w14:paraId="5E75EFE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0295EC2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AA0D36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56DBF3A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#4</w:t>
            </w:r>
          </w:p>
        </w:tc>
        <w:tc>
          <w:tcPr>
            <w:tcW w:w="0" w:type="auto"/>
            <w:tcBorders>
              <w:top w:val="single" w:sz="4" w:space="0" w:color="000000"/>
              <w:left w:val="single" w:sz="4" w:space="0" w:color="000000"/>
              <w:bottom w:val="single" w:sz="4" w:space="0" w:color="000000"/>
              <w:right w:val="single" w:sz="4" w:space="0" w:color="000000"/>
            </w:tcBorders>
            <w:hideMark/>
          </w:tcPr>
          <w:p w14:paraId="4F1F65E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72C52DB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C921AD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1C1D8A0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ceftazidime</w:t>
            </w:r>
            <w:proofErr w:type="gramEnd"/>
            <w:r w:rsidRPr="00D76748">
              <w:rPr>
                <w:rFonts w:asciiTheme="majorBidi" w:hAnsiTheme="majorBidi" w:cstheme="majorBidi"/>
                <w:color w:val="000000"/>
                <w:sz w:val="22"/>
                <w:szCs w:val="22"/>
                <w:lang w:eastAsia="en-US"/>
              </w:rPr>
              <w:t>-avibactam)</w:t>
            </w:r>
          </w:p>
        </w:tc>
        <w:tc>
          <w:tcPr>
            <w:tcW w:w="0" w:type="auto"/>
            <w:tcBorders>
              <w:top w:val="single" w:sz="4" w:space="0" w:color="000000"/>
              <w:left w:val="single" w:sz="4" w:space="0" w:color="000000"/>
              <w:bottom w:val="single" w:sz="4" w:space="0" w:color="000000"/>
              <w:right w:val="single" w:sz="4" w:space="0" w:color="000000"/>
            </w:tcBorders>
            <w:hideMark/>
          </w:tcPr>
          <w:p w14:paraId="3445BF3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04FCCD5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177C1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3A3564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zavicefta</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D5730E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6A90248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15E42E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48391F3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avycaz</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26E3FB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0CB9DCF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6D72ED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782C73A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val="pt-PT" w:eastAsia="en-US"/>
              </w:rPr>
            </w:pPr>
            <w:r w:rsidRPr="00D76748">
              <w:rPr>
                <w:rFonts w:asciiTheme="majorBidi" w:hAnsiTheme="majorBidi" w:cstheme="majorBidi"/>
                <w:color w:val="000000"/>
                <w:sz w:val="22"/>
                <w:szCs w:val="22"/>
                <w:lang w:val="pt-PT" w:eastAsia="en-US"/>
              </w:rPr>
              <w:t>((ctz-avi or caz-avi))</w:t>
            </w:r>
          </w:p>
        </w:tc>
        <w:tc>
          <w:tcPr>
            <w:tcW w:w="0" w:type="auto"/>
            <w:tcBorders>
              <w:top w:val="single" w:sz="4" w:space="0" w:color="000000"/>
              <w:left w:val="single" w:sz="4" w:space="0" w:color="000000"/>
              <w:bottom w:val="single" w:sz="4" w:space="0" w:color="000000"/>
              <w:right w:val="single" w:sz="4" w:space="0" w:color="000000"/>
            </w:tcBorders>
            <w:hideMark/>
          </w:tcPr>
          <w:p w14:paraId="5C5D921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r w:rsidR="009F01D8" w:rsidRPr="00D76748" w14:paraId="27D1987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15E9F1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10</w:t>
            </w:r>
          </w:p>
        </w:tc>
        <w:tc>
          <w:tcPr>
            <w:tcW w:w="0" w:type="auto"/>
            <w:tcBorders>
              <w:top w:val="single" w:sz="4" w:space="0" w:color="000000"/>
              <w:left w:val="single" w:sz="4" w:space="0" w:color="000000"/>
              <w:bottom w:val="single" w:sz="4" w:space="0" w:color="000000"/>
              <w:right w:val="single" w:sz="4" w:space="0" w:color="000000"/>
            </w:tcBorders>
            <w:hideMark/>
          </w:tcPr>
          <w:p w14:paraId="3609E1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 OR #6 OR #7 OR #8 OR #9</w:t>
            </w:r>
          </w:p>
        </w:tc>
        <w:tc>
          <w:tcPr>
            <w:tcW w:w="0" w:type="auto"/>
            <w:tcBorders>
              <w:top w:val="single" w:sz="4" w:space="0" w:color="000000"/>
              <w:left w:val="single" w:sz="4" w:space="0" w:color="000000"/>
              <w:bottom w:val="single" w:sz="4" w:space="0" w:color="000000"/>
              <w:right w:val="single" w:sz="4" w:space="0" w:color="000000"/>
            </w:tcBorders>
            <w:hideMark/>
          </w:tcPr>
          <w:p w14:paraId="340B128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0</w:t>
            </w:r>
          </w:p>
        </w:tc>
      </w:tr>
    </w:tbl>
    <w:p w14:paraId="2ED39AAD" w14:textId="642CCC39" w:rsidR="009F01D8" w:rsidRPr="002E4F02" w:rsidRDefault="00C33621" w:rsidP="00234086">
      <w:pPr>
        <w:pStyle w:val="Heading4"/>
        <w:rPr>
          <w:rFonts w:asciiTheme="majorBidi" w:hAnsiTheme="majorBidi"/>
          <w:b/>
          <w:bCs/>
          <w:i w:val="0"/>
          <w:iCs w:val="0"/>
          <w:color w:val="auto"/>
          <w:sz w:val="26"/>
          <w:szCs w:val="26"/>
        </w:rPr>
      </w:pPr>
      <w:bookmarkStart w:id="589" w:name="_Toc77940606"/>
      <w:bookmarkStart w:id="590" w:name="_Toc77940971"/>
      <w:bookmarkStart w:id="591" w:name="_Toc77952413"/>
      <w:r>
        <w:rPr>
          <w:rFonts w:asciiTheme="majorBidi" w:hAnsiTheme="majorBidi"/>
          <w:b/>
          <w:bCs/>
          <w:i w:val="0"/>
          <w:iCs w:val="0"/>
          <w:color w:val="auto"/>
        </w:rPr>
        <w:tab/>
      </w:r>
      <w:r>
        <w:rPr>
          <w:rFonts w:asciiTheme="majorBidi" w:hAnsiTheme="majorBidi"/>
          <w:b/>
          <w:bCs/>
          <w:i w:val="0"/>
          <w:iCs w:val="0"/>
          <w:color w:val="auto"/>
        </w:rPr>
        <w:tab/>
      </w:r>
      <w:r w:rsidR="009F01D8" w:rsidRPr="002E4F02">
        <w:rPr>
          <w:rFonts w:asciiTheme="majorBidi" w:hAnsiTheme="majorBidi"/>
          <w:b/>
          <w:bCs/>
          <w:i w:val="0"/>
          <w:iCs w:val="0"/>
          <w:color w:val="auto"/>
          <w:sz w:val="26"/>
          <w:szCs w:val="26"/>
        </w:rPr>
        <w:t xml:space="preserve">A1.1.2 CAZ/AVI RCTs, observational, susceptibility studies </w:t>
      </w:r>
      <w:r w:rsidR="00D76748">
        <w:rPr>
          <w:rFonts w:asciiTheme="majorBidi" w:hAnsiTheme="majorBidi"/>
          <w:b/>
          <w:bCs/>
          <w:i w:val="0"/>
          <w:iCs w:val="0"/>
          <w:color w:val="auto"/>
          <w:sz w:val="26"/>
          <w:szCs w:val="26"/>
        </w:rPr>
        <w:tab/>
      </w:r>
      <w:r w:rsidR="00D76748">
        <w:rPr>
          <w:rFonts w:asciiTheme="majorBidi" w:hAnsiTheme="majorBidi"/>
          <w:b/>
          <w:bCs/>
          <w:i w:val="0"/>
          <w:iCs w:val="0"/>
          <w:color w:val="auto"/>
          <w:sz w:val="26"/>
          <w:szCs w:val="26"/>
        </w:rPr>
        <w:tab/>
      </w:r>
      <w:r w:rsidR="00234086">
        <w:rPr>
          <w:rFonts w:asciiTheme="majorBidi" w:hAnsiTheme="majorBidi"/>
          <w:b/>
          <w:bCs/>
          <w:i w:val="0"/>
          <w:iCs w:val="0"/>
          <w:color w:val="auto"/>
          <w:sz w:val="26"/>
          <w:szCs w:val="26"/>
        </w:rPr>
        <w:tab/>
      </w:r>
      <w:r w:rsidR="009F01D8" w:rsidRPr="002E4F02">
        <w:rPr>
          <w:rFonts w:asciiTheme="majorBidi" w:hAnsiTheme="majorBidi"/>
          <w:b/>
          <w:bCs/>
          <w:i w:val="0"/>
          <w:iCs w:val="0"/>
          <w:color w:val="auto"/>
          <w:sz w:val="26"/>
          <w:szCs w:val="26"/>
        </w:rPr>
        <w:t>search</w:t>
      </w:r>
      <w:bookmarkEnd w:id="589"/>
      <w:bookmarkEnd w:id="590"/>
      <w:bookmarkEnd w:id="591"/>
    </w:p>
    <w:p w14:paraId="06E19938" w14:textId="77777777" w:rsidR="009F01D8" w:rsidRPr="00C33621" w:rsidRDefault="009F01D8" w:rsidP="009F01D8">
      <w:pPr>
        <w:jc w:val="both"/>
        <w:rPr>
          <w:rFonts w:asciiTheme="majorBidi" w:hAnsiTheme="majorBidi" w:cstheme="majorBidi"/>
        </w:rPr>
      </w:pPr>
    </w:p>
    <w:p w14:paraId="17BFBFEE"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Term group(s): CAZ-AVI AND filters OR focused OXA-48/antimicrobial susceptibility search terms </w:t>
      </w:r>
    </w:p>
    <w:p w14:paraId="3232C4FC"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Filters: RCTs, observational studies filter</w:t>
      </w:r>
    </w:p>
    <w:p w14:paraId="60BBC1E0"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Limits: None</w:t>
      </w:r>
    </w:p>
    <w:p w14:paraId="1E098F69" w14:textId="77777777" w:rsidR="009F01D8" w:rsidRDefault="009F01D8" w:rsidP="009F01D8">
      <w:pPr>
        <w:jc w:val="both"/>
        <w:rPr>
          <w:rFonts w:asciiTheme="majorBidi" w:hAnsiTheme="majorBidi" w:cstheme="majorBidi"/>
        </w:rPr>
      </w:pPr>
    </w:p>
    <w:p w14:paraId="6FCF6B3C"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 xml:space="preserve">Ovid MEDLINE(R) and </w:t>
      </w:r>
      <w:proofErr w:type="spellStart"/>
      <w:r>
        <w:rPr>
          <w:rFonts w:asciiTheme="majorBidi" w:hAnsiTheme="majorBidi" w:cstheme="majorBidi"/>
          <w:b/>
          <w:bCs/>
          <w:color w:val="000000"/>
          <w:sz w:val="20"/>
          <w:szCs w:val="20"/>
        </w:rPr>
        <w:t>Epub</w:t>
      </w:r>
      <w:proofErr w:type="spellEnd"/>
      <w:r>
        <w:rPr>
          <w:rFonts w:asciiTheme="majorBidi" w:hAnsiTheme="majorBidi" w:cstheme="majorBidi"/>
          <w:b/>
          <w:bCs/>
          <w:color w:val="000000"/>
          <w:sz w:val="20"/>
          <w:szCs w:val="20"/>
        </w:rPr>
        <w:t xml:space="preserve"> Ahead of Print, In-Process, In-Data-Review &amp; Other Non-Indexed Citations, Daily and Versions(R) 1946 to April 21, 2021 (searched via the Ovid SP platform)</w:t>
      </w:r>
    </w:p>
    <w:p w14:paraId="0351D091"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29</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March 2021 and 22</w:t>
      </w:r>
      <w:r>
        <w:rPr>
          <w:rFonts w:asciiTheme="majorBidi" w:hAnsiTheme="majorBidi" w:cstheme="majorBidi"/>
          <w:color w:val="000000"/>
          <w:sz w:val="12"/>
          <w:szCs w:val="12"/>
          <w:vertAlign w:val="superscript"/>
        </w:rPr>
        <w:t>nd</w:t>
      </w:r>
      <w:r>
        <w:rPr>
          <w:rFonts w:asciiTheme="majorBidi" w:hAnsiTheme="majorBidi" w:cstheme="majorBidi"/>
          <w:color w:val="000000"/>
          <w:sz w:val="20"/>
          <w:szCs w:val="20"/>
        </w:rPr>
        <w:t xml:space="preserve"> April 2021</w:t>
      </w:r>
    </w:p>
    <w:p w14:paraId="74BAF036"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7594"/>
        <w:gridCol w:w="986"/>
      </w:tblGrid>
      <w:tr w:rsidR="009F01D8" w:rsidRPr="00D76748" w14:paraId="057A693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29E47E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D390BE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208ABCD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141CBC2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423C4F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2B480AF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05D9EB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10296</w:t>
            </w:r>
          </w:p>
        </w:tc>
      </w:tr>
      <w:tr w:rsidR="009F01D8" w:rsidRPr="00D76748" w14:paraId="1DDB51E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D6A119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59325C6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7C10716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4067</w:t>
            </w:r>
          </w:p>
        </w:tc>
      </w:tr>
      <w:tr w:rsidR="009F01D8" w:rsidRPr="00D76748" w14:paraId="5C35E46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1E23B3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5F06E2E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263BB90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10296</w:t>
            </w:r>
          </w:p>
        </w:tc>
      </w:tr>
      <w:tr w:rsidR="009F01D8" w:rsidRPr="00D76748" w14:paraId="799B96D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A876F3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58C1CB1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1D985F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997</w:t>
            </w:r>
          </w:p>
        </w:tc>
      </w:tr>
      <w:tr w:rsidR="009F01D8" w:rsidRPr="00D76748" w14:paraId="1BE3CD7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0F7716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0FC663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4</w:t>
            </w:r>
          </w:p>
        </w:tc>
        <w:tc>
          <w:tcPr>
            <w:tcW w:w="0" w:type="auto"/>
            <w:tcBorders>
              <w:top w:val="single" w:sz="4" w:space="0" w:color="000000"/>
              <w:left w:val="single" w:sz="4" w:space="0" w:color="000000"/>
              <w:bottom w:val="single" w:sz="4" w:space="0" w:color="000000"/>
              <w:right w:val="single" w:sz="4" w:space="0" w:color="000000"/>
            </w:tcBorders>
            <w:hideMark/>
          </w:tcPr>
          <w:p w14:paraId="48E1DCE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815</w:t>
            </w:r>
          </w:p>
        </w:tc>
      </w:tr>
      <w:tr w:rsidR="009F01D8" w:rsidRPr="00D76748" w14:paraId="62D5300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D4D9E9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75C9598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487C47A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736</w:t>
            </w:r>
          </w:p>
        </w:tc>
      </w:tr>
      <w:tr w:rsidR="009F01D8" w:rsidRPr="00D76748" w14:paraId="7E9C31B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A0410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49EB842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6B38D6F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r>
      <w:tr w:rsidR="009F01D8" w:rsidRPr="00D76748" w14:paraId="58DEB87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2C7E9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4B0249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31C4758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r>
      <w:tr w:rsidR="009F01D8" w:rsidRPr="00D76748" w14:paraId="1A4AFB1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3571B3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6FBD294F"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6E6AB6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67</w:t>
            </w:r>
          </w:p>
        </w:tc>
      </w:tr>
      <w:tr w:rsidR="009F01D8" w:rsidRPr="00D76748" w14:paraId="1FB6E5D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90802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w:t>
            </w:r>
          </w:p>
        </w:tc>
        <w:tc>
          <w:tcPr>
            <w:tcW w:w="0" w:type="auto"/>
            <w:tcBorders>
              <w:top w:val="single" w:sz="4" w:space="0" w:color="000000"/>
              <w:left w:val="single" w:sz="4" w:space="0" w:color="000000"/>
              <w:bottom w:val="single" w:sz="4" w:space="0" w:color="000000"/>
              <w:right w:val="single" w:sz="4" w:space="0" w:color="000000"/>
            </w:tcBorders>
            <w:hideMark/>
          </w:tcPr>
          <w:p w14:paraId="4791DC6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or/5-9</w:t>
            </w:r>
          </w:p>
        </w:tc>
        <w:tc>
          <w:tcPr>
            <w:tcW w:w="0" w:type="auto"/>
            <w:tcBorders>
              <w:top w:val="single" w:sz="4" w:space="0" w:color="000000"/>
              <w:left w:val="single" w:sz="4" w:space="0" w:color="000000"/>
              <w:bottom w:val="single" w:sz="4" w:space="0" w:color="000000"/>
              <w:right w:val="single" w:sz="4" w:space="0" w:color="000000"/>
            </w:tcBorders>
            <w:hideMark/>
          </w:tcPr>
          <w:p w14:paraId="41C0E25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818</w:t>
            </w:r>
          </w:p>
        </w:tc>
      </w:tr>
      <w:tr w:rsidR="009F01D8" w:rsidRPr="00D76748" w14:paraId="02FF69A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69B32B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4AF6056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Randomized Controlled Trial.pt.</w:t>
            </w:r>
          </w:p>
        </w:tc>
        <w:tc>
          <w:tcPr>
            <w:tcW w:w="0" w:type="auto"/>
            <w:tcBorders>
              <w:top w:val="single" w:sz="4" w:space="0" w:color="000000"/>
              <w:left w:val="single" w:sz="4" w:space="0" w:color="000000"/>
              <w:bottom w:val="single" w:sz="4" w:space="0" w:color="000000"/>
              <w:right w:val="single" w:sz="4" w:space="0" w:color="000000"/>
            </w:tcBorders>
            <w:hideMark/>
          </w:tcPr>
          <w:p w14:paraId="5B3B0A1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527450</w:t>
            </w:r>
          </w:p>
        </w:tc>
      </w:tr>
      <w:tr w:rsidR="009F01D8" w:rsidRPr="00D76748" w14:paraId="6267CBF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B85F0B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7C7027F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Controlled Clinical Trial.pt.</w:t>
            </w:r>
          </w:p>
        </w:tc>
        <w:tc>
          <w:tcPr>
            <w:tcW w:w="0" w:type="auto"/>
            <w:tcBorders>
              <w:top w:val="single" w:sz="4" w:space="0" w:color="000000"/>
              <w:left w:val="single" w:sz="4" w:space="0" w:color="000000"/>
              <w:bottom w:val="single" w:sz="4" w:space="0" w:color="000000"/>
              <w:right w:val="single" w:sz="4" w:space="0" w:color="000000"/>
            </w:tcBorders>
            <w:hideMark/>
          </w:tcPr>
          <w:p w14:paraId="75B957B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94123</w:t>
            </w:r>
          </w:p>
        </w:tc>
      </w:tr>
      <w:tr w:rsidR="009F01D8" w:rsidRPr="00D76748" w14:paraId="7951788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309C37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14:paraId="689D61A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Clinical Trial.pt.</w:t>
            </w:r>
          </w:p>
        </w:tc>
        <w:tc>
          <w:tcPr>
            <w:tcW w:w="0" w:type="auto"/>
            <w:tcBorders>
              <w:top w:val="single" w:sz="4" w:space="0" w:color="000000"/>
              <w:left w:val="single" w:sz="4" w:space="0" w:color="000000"/>
              <w:bottom w:val="single" w:sz="4" w:space="0" w:color="000000"/>
              <w:right w:val="single" w:sz="4" w:space="0" w:color="000000"/>
            </w:tcBorders>
            <w:hideMark/>
          </w:tcPr>
          <w:p w14:paraId="78B9572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528337</w:t>
            </w:r>
          </w:p>
        </w:tc>
      </w:tr>
      <w:tr w:rsidR="009F01D8" w:rsidRPr="00D76748" w14:paraId="2C3F2E9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58A2C4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14:paraId="60D0CFF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exp Clinical Trials as Topic/</w:t>
            </w:r>
          </w:p>
        </w:tc>
        <w:tc>
          <w:tcPr>
            <w:tcW w:w="0" w:type="auto"/>
            <w:tcBorders>
              <w:top w:val="single" w:sz="4" w:space="0" w:color="000000"/>
              <w:left w:val="single" w:sz="4" w:space="0" w:color="000000"/>
              <w:bottom w:val="single" w:sz="4" w:space="0" w:color="000000"/>
              <w:right w:val="single" w:sz="4" w:space="0" w:color="000000"/>
            </w:tcBorders>
            <w:hideMark/>
          </w:tcPr>
          <w:p w14:paraId="45C8325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355534</w:t>
            </w:r>
          </w:p>
        </w:tc>
      </w:tr>
      <w:tr w:rsidR="009F01D8" w:rsidRPr="00D76748" w14:paraId="1CC22B6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EEBE0B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0A181E8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Placebos/</w:t>
            </w:r>
          </w:p>
        </w:tc>
        <w:tc>
          <w:tcPr>
            <w:tcW w:w="0" w:type="auto"/>
            <w:tcBorders>
              <w:top w:val="single" w:sz="4" w:space="0" w:color="000000"/>
              <w:left w:val="single" w:sz="4" w:space="0" w:color="000000"/>
              <w:bottom w:val="single" w:sz="4" w:space="0" w:color="000000"/>
              <w:right w:val="single" w:sz="4" w:space="0" w:color="000000"/>
            </w:tcBorders>
            <w:hideMark/>
          </w:tcPr>
          <w:p w14:paraId="5A58D3C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35440</w:t>
            </w:r>
          </w:p>
        </w:tc>
      </w:tr>
      <w:tr w:rsidR="009F01D8" w:rsidRPr="00D76748" w14:paraId="4117CE6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006DBC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022AAD0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 Allocation/</w:t>
            </w:r>
          </w:p>
        </w:tc>
        <w:tc>
          <w:tcPr>
            <w:tcW w:w="0" w:type="auto"/>
            <w:tcBorders>
              <w:top w:val="single" w:sz="4" w:space="0" w:color="000000"/>
              <w:left w:val="single" w:sz="4" w:space="0" w:color="000000"/>
              <w:bottom w:val="single" w:sz="4" w:space="0" w:color="000000"/>
              <w:right w:val="single" w:sz="4" w:space="0" w:color="000000"/>
            </w:tcBorders>
            <w:hideMark/>
          </w:tcPr>
          <w:p w14:paraId="3A3C94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105128</w:t>
            </w:r>
          </w:p>
        </w:tc>
      </w:tr>
      <w:tr w:rsidR="009F01D8" w:rsidRPr="00D76748" w14:paraId="4261879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553E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664A7CA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Double-Blind Method/</w:t>
            </w:r>
          </w:p>
        </w:tc>
        <w:tc>
          <w:tcPr>
            <w:tcW w:w="0" w:type="auto"/>
            <w:tcBorders>
              <w:top w:val="single" w:sz="4" w:space="0" w:color="000000"/>
              <w:left w:val="single" w:sz="4" w:space="0" w:color="000000"/>
              <w:bottom w:val="single" w:sz="4" w:space="0" w:color="000000"/>
              <w:right w:val="single" w:sz="4" w:space="0" w:color="000000"/>
            </w:tcBorders>
            <w:hideMark/>
          </w:tcPr>
          <w:p w14:paraId="529BE9B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163610</w:t>
            </w:r>
          </w:p>
        </w:tc>
      </w:tr>
      <w:tr w:rsidR="009F01D8" w:rsidRPr="00D76748" w14:paraId="04F3AA8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29B869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hideMark/>
          </w:tcPr>
          <w:p w14:paraId="13874DC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Single-Blind Method/</w:t>
            </w:r>
          </w:p>
        </w:tc>
        <w:tc>
          <w:tcPr>
            <w:tcW w:w="0" w:type="auto"/>
            <w:tcBorders>
              <w:top w:val="single" w:sz="4" w:space="0" w:color="000000"/>
              <w:left w:val="single" w:sz="4" w:space="0" w:color="000000"/>
              <w:bottom w:val="single" w:sz="4" w:space="0" w:color="000000"/>
              <w:right w:val="single" w:sz="4" w:space="0" w:color="000000"/>
            </w:tcBorders>
            <w:hideMark/>
          </w:tcPr>
          <w:p w14:paraId="48BFE65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30020</w:t>
            </w:r>
          </w:p>
        </w:tc>
      </w:tr>
      <w:tr w:rsidR="009F01D8" w:rsidRPr="00D76748" w14:paraId="5EB02E1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2E12B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w:t>
            </w:r>
          </w:p>
        </w:tc>
        <w:tc>
          <w:tcPr>
            <w:tcW w:w="0" w:type="auto"/>
            <w:tcBorders>
              <w:top w:val="single" w:sz="4" w:space="0" w:color="000000"/>
              <w:left w:val="single" w:sz="4" w:space="0" w:color="000000"/>
              <w:bottom w:val="single" w:sz="4" w:space="0" w:color="000000"/>
              <w:right w:val="single" w:sz="4" w:space="0" w:color="000000"/>
            </w:tcBorders>
            <w:hideMark/>
          </w:tcPr>
          <w:p w14:paraId="634C95A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Cross-Over Studies/</w:t>
            </w:r>
          </w:p>
        </w:tc>
        <w:tc>
          <w:tcPr>
            <w:tcW w:w="0" w:type="auto"/>
            <w:tcBorders>
              <w:top w:val="single" w:sz="4" w:space="0" w:color="000000"/>
              <w:left w:val="single" w:sz="4" w:space="0" w:color="000000"/>
              <w:bottom w:val="single" w:sz="4" w:space="0" w:color="000000"/>
              <w:right w:val="single" w:sz="4" w:space="0" w:color="000000"/>
            </w:tcBorders>
            <w:hideMark/>
          </w:tcPr>
          <w:p w14:paraId="0C16B87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49955</w:t>
            </w:r>
          </w:p>
        </w:tc>
      </w:tr>
      <w:tr w:rsidR="009F01D8" w:rsidRPr="00D76748" w14:paraId="5EAD0BE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E4CEF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w:t>
            </w:r>
          </w:p>
        </w:tc>
        <w:tc>
          <w:tcPr>
            <w:tcW w:w="0" w:type="auto"/>
            <w:tcBorders>
              <w:top w:val="single" w:sz="4" w:space="0" w:color="000000"/>
              <w:left w:val="single" w:sz="4" w:space="0" w:color="000000"/>
              <w:bottom w:val="single" w:sz="4" w:space="0" w:color="000000"/>
              <w:right w:val="single" w:sz="4" w:space="0" w:color="000000"/>
            </w:tcBorders>
            <w:hideMark/>
          </w:tcPr>
          <w:p w14:paraId="0FE3E24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 or control$ or clinical$) adj3 (trial$ or stud$)).</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346D42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1326053</w:t>
            </w:r>
          </w:p>
        </w:tc>
      </w:tr>
      <w:tr w:rsidR="009F01D8" w:rsidRPr="00D76748" w14:paraId="5884C21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FADC72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w:t>
            </w:r>
          </w:p>
        </w:tc>
        <w:tc>
          <w:tcPr>
            <w:tcW w:w="0" w:type="auto"/>
            <w:tcBorders>
              <w:top w:val="single" w:sz="4" w:space="0" w:color="000000"/>
              <w:left w:val="single" w:sz="4" w:space="0" w:color="000000"/>
              <w:bottom w:val="single" w:sz="4" w:space="0" w:color="000000"/>
              <w:right w:val="single" w:sz="4" w:space="0" w:color="000000"/>
            </w:tcBorders>
            <w:hideMark/>
          </w:tcPr>
          <w:p w14:paraId="38BCF14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(random$ adj3 </w:t>
            </w:r>
            <w:proofErr w:type="spellStart"/>
            <w:r w:rsidRPr="00D76748">
              <w:rPr>
                <w:rFonts w:asciiTheme="majorBidi" w:hAnsiTheme="majorBidi" w:cstheme="majorBidi"/>
                <w:color w:val="000000"/>
                <w:sz w:val="22"/>
                <w:szCs w:val="22"/>
                <w:lang w:eastAsia="en-US"/>
              </w:rPr>
              <w:t>allocat</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381757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38558</w:t>
            </w:r>
          </w:p>
        </w:tc>
      </w:tr>
      <w:tr w:rsidR="009F01D8" w:rsidRPr="00D76748" w14:paraId="4564354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817582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w:t>
            </w:r>
          </w:p>
        </w:tc>
        <w:tc>
          <w:tcPr>
            <w:tcW w:w="0" w:type="auto"/>
            <w:tcBorders>
              <w:top w:val="single" w:sz="4" w:space="0" w:color="000000"/>
              <w:left w:val="single" w:sz="4" w:space="0" w:color="000000"/>
              <w:bottom w:val="single" w:sz="4" w:space="0" w:color="000000"/>
              <w:right w:val="single" w:sz="4" w:space="0" w:color="000000"/>
            </w:tcBorders>
            <w:hideMark/>
          </w:tcPr>
          <w:p w14:paraId="329DC1E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placebo$.tw.</w:t>
            </w:r>
          </w:p>
        </w:tc>
        <w:tc>
          <w:tcPr>
            <w:tcW w:w="0" w:type="auto"/>
            <w:tcBorders>
              <w:top w:val="single" w:sz="4" w:space="0" w:color="000000"/>
              <w:left w:val="single" w:sz="4" w:space="0" w:color="000000"/>
              <w:bottom w:val="single" w:sz="4" w:space="0" w:color="000000"/>
              <w:right w:val="single" w:sz="4" w:space="0" w:color="000000"/>
            </w:tcBorders>
            <w:hideMark/>
          </w:tcPr>
          <w:p w14:paraId="6924D74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224234</w:t>
            </w:r>
          </w:p>
        </w:tc>
      </w:tr>
      <w:tr w:rsidR="009F01D8" w:rsidRPr="00D76748" w14:paraId="120C398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05DE21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w:t>
            </w:r>
          </w:p>
        </w:tc>
        <w:tc>
          <w:tcPr>
            <w:tcW w:w="0" w:type="auto"/>
            <w:tcBorders>
              <w:top w:val="single" w:sz="4" w:space="0" w:color="000000"/>
              <w:left w:val="single" w:sz="4" w:space="0" w:color="000000"/>
              <w:bottom w:val="single" w:sz="4" w:space="0" w:color="000000"/>
              <w:right w:val="single" w:sz="4" w:space="0" w:color="000000"/>
            </w:tcBorders>
            <w:hideMark/>
          </w:tcPr>
          <w:p w14:paraId="1CB7E7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singl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doubl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trebl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tripl</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(blind$ or mask$)).</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636DEB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179495</w:t>
            </w:r>
          </w:p>
        </w:tc>
      </w:tr>
      <w:tr w:rsidR="009F01D8" w:rsidRPr="00D76748" w14:paraId="47916D9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A07B85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14:paraId="153813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(crossover$ or (cross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over$)).</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33F1EE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90299</w:t>
            </w:r>
          </w:p>
        </w:tc>
      </w:tr>
      <w:tr w:rsidR="009F01D8" w:rsidRPr="00D76748" w14:paraId="4A8C6B0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12531D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w:t>
            </w:r>
          </w:p>
        </w:tc>
        <w:tc>
          <w:tcPr>
            <w:tcW w:w="0" w:type="auto"/>
            <w:tcBorders>
              <w:top w:val="single" w:sz="4" w:space="0" w:color="000000"/>
              <w:left w:val="single" w:sz="4" w:space="0" w:color="000000"/>
              <w:bottom w:val="single" w:sz="4" w:space="0" w:color="000000"/>
              <w:right w:val="single" w:sz="4" w:space="0" w:color="000000"/>
            </w:tcBorders>
            <w:hideMark/>
          </w:tcPr>
          <w:p w14:paraId="7AF6AB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or/11-24</w:t>
            </w:r>
          </w:p>
        </w:tc>
        <w:tc>
          <w:tcPr>
            <w:tcW w:w="0" w:type="auto"/>
            <w:tcBorders>
              <w:top w:val="single" w:sz="4" w:space="0" w:color="000000"/>
              <w:left w:val="single" w:sz="4" w:space="0" w:color="000000"/>
              <w:bottom w:val="single" w:sz="4" w:space="0" w:color="000000"/>
              <w:right w:val="single" w:sz="4" w:space="0" w:color="000000"/>
            </w:tcBorders>
            <w:hideMark/>
          </w:tcPr>
          <w:p w14:paraId="640FBB2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2133174</w:t>
            </w:r>
          </w:p>
        </w:tc>
      </w:tr>
      <w:tr w:rsidR="009F01D8" w:rsidRPr="00D76748" w14:paraId="4936AA2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7F23EB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w:t>
            </w:r>
          </w:p>
        </w:tc>
        <w:tc>
          <w:tcPr>
            <w:tcW w:w="0" w:type="auto"/>
            <w:tcBorders>
              <w:top w:val="single" w:sz="4" w:space="0" w:color="000000"/>
              <w:left w:val="single" w:sz="4" w:space="0" w:color="000000"/>
              <w:bottom w:val="single" w:sz="4" w:space="0" w:color="000000"/>
              <w:right w:val="single" w:sz="4" w:space="0" w:color="000000"/>
            </w:tcBorders>
            <w:hideMark/>
          </w:tcPr>
          <w:p w14:paraId="735D9AA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animals/ not humans/</w:t>
            </w:r>
          </w:p>
        </w:tc>
        <w:tc>
          <w:tcPr>
            <w:tcW w:w="0" w:type="auto"/>
            <w:tcBorders>
              <w:top w:val="single" w:sz="4" w:space="0" w:color="000000"/>
              <w:left w:val="single" w:sz="4" w:space="0" w:color="000000"/>
              <w:bottom w:val="single" w:sz="4" w:space="0" w:color="000000"/>
              <w:right w:val="single" w:sz="4" w:space="0" w:color="000000"/>
            </w:tcBorders>
            <w:hideMark/>
          </w:tcPr>
          <w:p w14:paraId="6903934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4781769</w:t>
            </w:r>
          </w:p>
        </w:tc>
      </w:tr>
      <w:tr w:rsidR="009F01D8" w:rsidRPr="00D76748" w14:paraId="69BAC5A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12A179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27</w:t>
            </w:r>
          </w:p>
        </w:tc>
        <w:tc>
          <w:tcPr>
            <w:tcW w:w="0" w:type="auto"/>
            <w:tcBorders>
              <w:top w:val="single" w:sz="4" w:space="0" w:color="000000"/>
              <w:left w:val="single" w:sz="4" w:space="0" w:color="000000"/>
              <w:bottom w:val="single" w:sz="4" w:space="0" w:color="000000"/>
              <w:right w:val="single" w:sz="4" w:space="0" w:color="000000"/>
            </w:tcBorders>
            <w:hideMark/>
          </w:tcPr>
          <w:p w14:paraId="56D901D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 not 26</w:t>
            </w:r>
          </w:p>
        </w:tc>
        <w:tc>
          <w:tcPr>
            <w:tcW w:w="0" w:type="auto"/>
            <w:tcBorders>
              <w:top w:val="single" w:sz="4" w:space="0" w:color="000000"/>
              <w:left w:val="single" w:sz="4" w:space="0" w:color="000000"/>
              <w:bottom w:val="single" w:sz="4" w:space="0" w:color="000000"/>
              <w:right w:val="single" w:sz="4" w:space="0" w:color="000000"/>
            </w:tcBorders>
            <w:hideMark/>
          </w:tcPr>
          <w:p w14:paraId="5E29194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2002497</w:t>
            </w:r>
          </w:p>
        </w:tc>
      </w:tr>
      <w:tr w:rsidR="009F01D8" w:rsidRPr="00D76748" w14:paraId="68B8716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D3C845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28</w:t>
            </w:r>
          </w:p>
        </w:tc>
        <w:tc>
          <w:tcPr>
            <w:tcW w:w="0" w:type="auto"/>
            <w:tcBorders>
              <w:top w:val="single" w:sz="4" w:space="0" w:color="000000"/>
              <w:left w:val="single" w:sz="4" w:space="0" w:color="000000"/>
              <w:bottom w:val="single" w:sz="4" w:space="0" w:color="000000"/>
              <w:right w:val="single" w:sz="4" w:space="0" w:color="000000"/>
            </w:tcBorders>
            <w:hideMark/>
          </w:tcPr>
          <w:p w14:paraId="55AE933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Observational Studies as Topic/</w:t>
            </w:r>
          </w:p>
        </w:tc>
        <w:tc>
          <w:tcPr>
            <w:tcW w:w="0" w:type="auto"/>
            <w:tcBorders>
              <w:top w:val="single" w:sz="4" w:space="0" w:color="000000"/>
              <w:left w:val="single" w:sz="4" w:space="0" w:color="000000"/>
              <w:bottom w:val="single" w:sz="4" w:space="0" w:color="000000"/>
              <w:right w:val="single" w:sz="4" w:space="0" w:color="000000"/>
            </w:tcBorders>
            <w:hideMark/>
          </w:tcPr>
          <w:p w14:paraId="25527DF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6139</w:t>
            </w:r>
          </w:p>
        </w:tc>
      </w:tr>
      <w:tr w:rsidR="009F01D8" w:rsidRPr="00D76748" w14:paraId="6834B57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6E29CF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w:t>
            </w:r>
          </w:p>
        </w:tc>
        <w:tc>
          <w:tcPr>
            <w:tcW w:w="0" w:type="auto"/>
            <w:tcBorders>
              <w:top w:val="single" w:sz="4" w:space="0" w:color="000000"/>
              <w:left w:val="single" w:sz="4" w:space="0" w:color="000000"/>
              <w:bottom w:val="single" w:sz="4" w:space="0" w:color="000000"/>
              <w:right w:val="single" w:sz="4" w:space="0" w:color="000000"/>
            </w:tcBorders>
            <w:hideMark/>
          </w:tcPr>
          <w:p w14:paraId="3EAC53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Observational Study/</w:t>
            </w:r>
          </w:p>
        </w:tc>
        <w:tc>
          <w:tcPr>
            <w:tcW w:w="0" w:type="auto"/>
            <w:tcBorders>
              <w:top w:val="single" w:sz="4" w:space="0" w:color="000000"/>
              <w:left w:val="single" w:sz="4" w:space="0" w:color="000000"/>
              <w:bottom w:val="single" w:sz="4" w:space="0" w:color="000000"/>
              <w:right w:val="single" w:sz="4" w:space="0" w:color="000000"/>
            </w:tcBorders>
            <w:hideMark/>
          </w:tcPr>
          <w:p w14:paraId="740B151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96666</w:t>
            </w:r>
          </w:p>
        </w:tc>
      </w:tr>
      <w:tr w:rsidR="009F01D8" w:rsidRPr="00D76748" w14:paraId="2E13783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921C9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30</w:t>
            </w:r>
          </w:p>
        </w:tc>
        <w:tc>
          <w:tcPr>
            <w:tcW w:w="0" w:type="auto"/>
            <w:tcBorders>
              <w:top w:val="single" w:sz="4" w:space="0" w:color="000000"/>
              <w:left w:val="single" w:sz="4" w:space="0" w:color="000000"/>
              <w:bottom w:val="single" w:sz="4" w:space="0" w:color="000000"/>
              <w:right w:val="single" w:sz="4" w:space="0" w:color="000000"/>
            </w:tcBorders>
            <w:hideMark/>
          </w:tcPr>
          <w:p w14:paraId="302DD45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Epidemiologic Studies/</w:t>
            </w:r>
          </w:p>
        </w:tc>
        <w:tc>
          <w:tcPr>
            <w:tcW w:w="0" w:type="auto"/>
            <w:tcBorders>
              <w:top w:val="single" w:sz="4" w:space="0" w:color="000000"/>
              <w:left w:val="single" w:sz="4" w:space="0" w:color="000000"/>
              <w:bottom w:val="single" w:sz="4" w:space="0" w:color="000000"/>
              <w:right w:val="single" w:sz="4" w:space="0" w:color="000000"/>
            </w:tcBorders>
            <w:hideMark/>
          </w:tcPr>
          <w:p w14:paraId="6938409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8624</w:t>
            </w:r>
          </w:p>
        </w:tc>
      </w:tr>
      <w:tr w:rsidR="009F01D8" w:rsidRPr="00D76748" w14:paraId="20EBF43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BF6A94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31</w:t>
            </w:r>
          </w:p>
        </w:tc>
        <w:tc>
          <w:tcPr>
            <w:tcW w:w="0" w:type="auto"/>
            <w:tcBorders>
              <w:top w:val="single" w:sz="4" w:space="0" w:color="000000"/>
              <w:left w:val="single" w:sz="4" w:space="0" w:color="000000"/>
              <w:bottom w:val="single" w:sz="4" w:space="0" w:color="000000"/>
              <w:right w:val="single" w:sz="4" w:space="0" w:color="000000"/>
            </w:tcBorders>
            <w:hideMark/>
          </w:tcPr>
          <w:p w14:paraId="00C8A2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exp Case-Control Studies/</w:t>
            </w:r>
          </w:p>
        </w:tc>
        <w:tc>
          <w:tcPr>
            <w:tcW w:w="0" w:type="auto"/>
            <w:tcBorders>
              <w:top w:val="single" w:sz="4" w:space="0" w:color="000000"/>
              <w:left w:val="single" w:sz="4" w:space="0" w:color="000000"/>
              <w:bottom w:val="single" w:sz="4" w:space="0" w:color="000000"/>
              <w:right w:val="single" w:sz="4" w:space="0" w:color="000000"/>
            </w:tcBorders>
            <w:hideMark/>
          </w:tcPr>
          <w:p w14:paraId="2C0041E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1160431</w:t>
            </w:r>
          </w:p>
        </w:tc>
      </w:tr>
      <w:tr w:rsidR="009F01D8" w:rsidRPr="00D76748" w14:paraId="13369C3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70485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32</w:t>
            </w:r>
          </w:p>
        </w:tc>
        <w:tc>
          <w:tcPr>
            <w:tcW w:w="0" w:type="auto"/>
            <w:tcBorders>
              <w:top w:val="single" w:sz="4" w:space="0" w:color="000000"/>
              <w:left w:val="single" w:sz="4" w:space="0" w:color="000000"/>
              <w:bottom w:val="single" w:sz="4" w:space="0" w:color="000000"/>
              <w:right w:val="single" w:sz="4" w:space="0" w:color="000000"/>
            </w:tcBorders>
            <w:hideMark/>
          </w:tcPr>
          <w:p w14:paraId="2389666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exp Cohort Studies/</w:t>
            </w:r>
          </w:p>
        </w:tc>
        <w:tc>
          <w:tcPr>
            <w:tcW w:w="0" w:type="auto"/>
            <w:tcBorders>
              <w:top w:val="single" w:sz="4" w:space="0" w:color="000000"/>
              <w:left w:val="single" w:sz="4" w:space="0" w:color="000000"/>
              <w:bottom w:val="single" w:sz="4" w:space="0" w:color="000000"/>
              <w:right w:val="single" w:sz="4" w:space="0" w:color="000000"/>
            </w:tcBorders>
            <w:hideMark/>
          </w:tcPr>
          <w:p w14:paraId="692A34C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2116863</w:t>
            </w:r>
          </w:p>
        </w:tc>
      </w:tr>
      <w:tr w:rsidR="009F01D8" w:rsidRPr="00D76748" w14:paraId="64E5B29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1134F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33</w:t>
            </w:r>
          </w:p>
        </w:tc>
        <w:tc>
          <w:tcPr>
            <w:tcW w:w="0" w:type="auto"/>
            <w:tcBorders>
              <w:top w:val="single" w:sz="4" w:space="0" w:color="000000"/>
              <w:left w:val="single" w:sz="4" w:space="0" w:color="000000"/>
              <w:bottom w:val="single" w:sz="4" w:space="0" w:color="000000"/>
              <w:right w:val="single" w:sz="4" w:space="0" w:color="000000"/>
            </w:tcBorders>
            <w:hideMark/>
          </w:tcPr>
          <w:p w14:paraId="4CCACA9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Cross-Sectional Studies/</w:t>
            </w:r>
          </w:p>
        </w:tc>
        <w:tc>
          <w:tcPr>
            <w:tcW w:w="0" w:type="auto"/>
            <w:tcBorders>
              <w:top w:val="single" w:sz="4" w:space="0" w:color="000000"/>
              <w:left w:val="single" w:sz="4" w:space="0" w:color="000000"/>
              <w:bottom w:val="single" w:sz="4" w:space="0" w:color="000000"/>
              <w:right w:val="single" w:sz="4" w:space="0" w:color="000000"/>
            </w:tcBorders>
            <w:hideMark/>
          </w:tcPr>
          <w:p w14:paraId="1ACA7B3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360619</w:t>
            </w:r>
          </w:p>
        </w:tc>
      </w:tr>
      <w:tr w:rsidR="009F01D8" w:rsidRPr="00D76748" w14:paraId="6886F88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B011AE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34</w:t>
            </w:r>
          </w:p>
        </w:tc>
        <w:tc>
          <w:tcPr>
            <w:tcW w:w="0" w:type="auto"/>
            <w:tcBorders>
              <w:top w:val="single" w:sz="4" w:space="0" w:color="000000"/>
              <w:left w:val="single" w:sz="4" w:space="0" w:color="000000"/>
              <w:bottom w:val="single" w:sz="4" w:space="0" w:color="000000"/>
              <w:right w:val="single" w:sz="4" w:space="0" w:color="000000"/>
            </w:tcBorders>
            <w:hideMark/>
          </w:tcPr>
          <w:p w14:paraId="5471034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Controlled Before-After Studies/</w:t>
            </w:r>
          </w:p>
        </w:tc>
        <w:tc>
          <w:tcPr>
            <w:tcW w:w="0" w:type="auto"/>
            <w:tcBorders>
              <w:top w:val="single" w:sz="4" w:space="0" w:color="000000"/>
              <w:left w:val="single" w:sz="4" w:space="0" w:color="000000"/>
              <w:bottom w:val="single" w:sz="4" w:space="0" w:color="000000"/>
              <w:right w:val="single" w:sz="4" w:space="0" w:color="000000"/>
            </w:tcBorders>
            <w:hideMark/>
          </w:tcPr>
          <w:p w14:paraId="0E9796F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604</w:t>
            </w:r>
          </w:p>
        </w:tc>
      </w:tr>
      <w:tr w:rsidR="009F01D8" w:rsidRPr="00D76748" w14:paraId="1D55A11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CF8ACA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w:t>
            </w:r>
          </w:p>
        </w:tc>
        <w:tc>
          <w:tcPr>
            <w:tcW w:w="0" w:type="auto"/>
            <w:tcBorders>
              <w:top w:val="single" w:sz="4" w:space="0" w:color="000000"/>
              <w:left w:val="single" w:sz="4" w:space="0" w:color="000000"/>
              <w:bottom w:val="single" w:sz="4" w:space="0" w:color="000000"/>
              <w:right w:val="single" w:sz="4" w:space="0" w:color="000000"/>
            </w:tcBorders>
            <w:hideMark/>
          </w:tcPr>
          <w:p w14:paraId="0B05690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Historically Controlled Study/</w:t>
            </w:r>
          </w:p>
        </w:tc>
        <w:tc>
          <w:tcPr>
            <w:tcW w:w="0" w:type="auto"/>
            <w:tcBorders>
              <w:top w:val="single" w:sz="4" w:space="0" w:color="000000"/>
              <w:left w:val="single" w:sz="4" w:space="0" w:color="000000"/>
              <w:bottom w:val="single" w:sz="4" w:space="0" w:color="000000"/>
              <w:right w:val="single" w:sz="4" w:space="0" w:color="000000"/>
            </w:tcBorders>
            <w:hideMark/>
          </w:tcPr>
          <w:p w14:paraId="699BE96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197</w:t>
            </w:r>
          </w:p>
        </w:tc>
      </w:tr>
      <w:tr w:rsidR="009F01D8" w:rsidRPr="00D76748" w14:paraId="1478BA6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91170D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36</w:t>
            </w:r>
          </w:p>
        </w:tc>
        <w:tc>
          <w:tcPr>
            <w:tcW w:w="0" w:type="auto"/>
            <w:tcBorders>
              <w:top w:val="single" w:sz="4" w:space="0" w:color="000000"/>
              <w:left w:val="single" w:sz="4" w:space="0" w:color="000000"/>
              <w:bottom w:val="single" w:sz="4" w:space="0" w:color="000000"/>
              <w:right w:val="single" w:sz="4" w:space="0" w:color="000000"/>
            </w:tcBorders>
            <w:hideMark/>
          </w:tcPr>
          <w:p w14:paraId="2D234D5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Interrupted Time Series Analysis/</w:t>
            </w:r>
          </w:p>
        </w:tc>
        <w:tc>
          <w:tcPr>
            <w:tcW w:w="0" w:type="auto"/>
            <w:tcBorders>
              <w:top w:val="single" w:sz="4" w:space="0" w:color="000000"/>
              <w:left w:val="single" w:sz="4" w:space="0" w:color="000000"/>
              <w:bottom w:val="single" w:sz="4" w:space="0" w:color="000000"/>
              <w:right w:val="single" w:sz="4" w:space="0" w:color="000000"/>
            </w:tcBorders>
            <w:hideMark/>
          </w:tcPr>
          <w:p w14:paraId="3E59C21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1190</w:t>
            </w:r>
          </w:p>
        </w:tc>
      </w:tr>
      <w:tr w:rsidR="009F01D8" w:rsidRPr="00D76748" w14:paraId="77B0FB1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693385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37</w:t>
            </w:r>
          </w:p>
        </w:tc>
        <w:tc>
          <w:tcPr>
            <w:tcW w:w="0" w:type="auto"/>
            <w:tcBorders>
              <w:top w:val="single" w:sz="4" w:space="0" w:color="000000"/>
              <w:left w:val="single" w:sz="4" w:space="0" w:color="000000"/>
              <w:bottom w:val="single" w:sz="4" w:space="0" w:color="000000"/>
              <w:right w:val="single" w:sz="4" w:space="0" w:color="000000"/>
            </w:tcBorders>
            <w:hideMark/>
          </w:tcPr>
          <w:p w14:paraId="08E61DC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Comparative Study.pt.</w:t>
            </w:r>
          </w:p>
        </w:tc>
        <w:tc>
          <w:tcPr>
            <w:tcW w:w="0" w:type="auto"/>
            <w:tcBorders>
              <w:top w:val="single" w:sz="4" w:space="0" w:color="000000"/>
              <w:left w:val="single" w:sz="4" w:space="0" w:color="000000"/>
              <w:bottom w:val="single" w:sz="4" w:space="0" w:color="000000"/>
              <w:right w:val="single" w:sz="4" w:space="0" w:color="000000"/>
            </w:tcBorders>
            <w:hideMark/>
          </w:tcPr>
          <w:p w14:paraId="7F122F6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1887768</w:t>
            </w:r>
          </w:p>
        </w:tc>
      </w:tr>
      <w:tr w:rsidR="009F01D8" w:rsidRPr="00D76748" w14:paraId="6D7B134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B9CE98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38</w:t>
            </w:r>
          </w:p>
        </w:tc>
        <w:tc>
          <w:tcPr>
            <w:tcW w:w="0" w:type="auto"/>
            <w:tcBorders>
              <w:top w:val="single" w:sz="4" w:space="0" w:color="000000"/>
              <w:left w:val="single" w:sz="4" w:space="0" w:color="000000"/>
              <w:bottom w:val="single" w:sz="4" w:space="0" w:color="000000"/>
              <w:right w:val="single" w:sz="4" w:space="0" w:color="000000"/>
            </w:tcBorders>
            <w:hideMark/>
          </w:tcPr>
          <w:p w14:paraId="2DB7FA5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case control$.tw.</w:t>
            </w:r>
          </w:p>
        </w:tc>
        <w:tc>
          <w:tcPr>
            <w:tcW w:w="0" w:type="auto"/>
            <w:tcBorders>
              <w:top w:val="single" w:sz="4" w:space="0" w:color="000000"/>
              <w:left w:val="single" w:sz="4" w:space="0" w:color="000000"/>
              <w:bottom w:val="single" w:sz="4" w:space="0" w:color="000000"/>
              <w:right w:val="single" w:sz="4" w:space="0" w:color="000000"/>
            </w:tcBorders>
            <w:hideMark/>
          </w:tcPr>
          <w:p w14:paraId="060AF58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136555</w:t>
            </w:r>
          </w:p>
        </w:tc>
      </w:tr>
      <w:tr w:rsidR="009F01D8" w:rsidRPr="00D76748" w14:paraId="0DEB542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59FDB6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39</w:t>
            </w:r>
          </w:p>
        </w:tc>
        <w:tc>
          <w:tcPr>
            <w:tcW w:w="0" w:type="auto"/>
            <w:tcBorders>
              <w:top w:val="single" w:sz="4" w:space="0" w:color="000000"/>
              <w:left w:val="single" w:sz="4" w:space="0" w:color="000000"/>
              <w:bottom w:val="single" w:sz="4" w:space="0" w:color="000000"/>
              <w:right w:val="single" w:sz="4" w:space="0" w:color="000000"/>
            </w:tcBorders>
            <w:hideMark/>
          </w:tcPr>
          <w:p w14:paraId="00B07F8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case series.tw.</w:t>
            </w:r>
          </w:p>
        </w:tc>
        <w:tc>
          <w:tcPr>
            <w:tcW w:w="0" w:type="auto"/>
            <w:tcBorders>
              <w:top w:val="single" w:sz="4" w:space="0" w:color="000000"/>
              <w:left w:val="single" w:sz="4" w:space="0" w:color="000000"/>
              <w:bottom w:val="single" w:sz="4" w:space="0" w:color="000000"/>
              <w:right w:val="single" w:sz="4" w:space="0" w:color="000000"/>
            </w:tcBorders>
            <w:hideMark/>
          </w:tcPr>
          <w:p w14:paraId="0E19C6C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82265</w:t>
            </w:r>
          </w:p>
        </w:tc>
      </w:tr>
      <w:tr w:rsidR="009F01D8" w:rsidRPr="00D76748" w14:paraId="596126F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808205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w:t>
            </w:r>
          </w:p>
        </w:tc>
        <w:tc>
          <w:tcPr>
            <w:tcW w:w="0" w:type="auto"/>
            <w:tcBorders>
              <w:top w:val="single" w:sz="4" w:space="0" w:color="000000"/>
              <w:left w:val="single" w:sz="4" w:space="0" w:color="000000"/>
              <w:bottom w:val="single" w:sz="4" w:space="0" w:color="000000"/>
              <w:right w:val="single" w:sz="4" w:space="0" w:color="000000"/>
            </w:tcBorders>
            <w:hideMark/>
          </w:tcPr>
          <w:p w14:paraId="0ACC91D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cohort</w:t>
            </w:r>
            <w:proofErr w:type="gram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503AF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232629</w:t>
            </w:r>
          </w:p>
        </w:tc>
      </w:tr>
      <w:tr w:rsidR="009F01D8" w:rsidRPr="00D76748" w14:paraId="4DB6346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F1FA7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41</w:t>
            </w:r>
          </w:p>
        </w:tc>
        <w:tc>
          <w:tcPr>
            <w:tcW w:w="0" w:type="auto"/>
            <w:tcBorders>
              <w:top w:val="single" w:sz="4" w:space="0" w:color="000000"/>
              <w:left w:val="single" w:sz="4" w:space="0" w:color="000000"/>
              <w:bottom w:val="single" w:sz="4" w:space="0" w:color="000000"/>
              <w:right w:val="single" w:sz="4" w:space="0" w:color="000000"/>
            </w:tcBorders>
            <w:hideMark/>
          </w:tcPr>
          <w:p w14:paraId="7C58336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cohort analy$.tw.</w:t>
            </w:r>
          </w:p>
        </w:tc>
        <w:tc>
          <w:tcPr>
            <w:tcW w:w="0" w:type="auto"/>
            <w:tcBorders>
              <w:top w:val="single" w:sz="4" w:space="0" w:color="000000"/>
              <w:left w:val="single" w:sz="4" w:space="0" w:color="000000"/>
              <w:bottom w:val="single" w:sz="4" w:space="0" w:color="000000"/>
              <w:right w:val="single" w:sz="4" w:space="0" w:color="000000"/>
            </w:tcBorders>
            <w:hideMark/>
          </w:tcPr>
          <w:p w14:paraId="5EB7D6B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8972</w:t>
            </w:r>
          </w:p>
        </w:tc>
      </w:tr>
      <w:tr w:rsidR="009F01D8" w:rsidRPr="00D76748" w14:paraId="5AAFC30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20442A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42</w:t>
            </w:r>
          </w:p>
        </w:tc>
        <w:tc>
          <w:tcPr>
            <w:tcW w:w="0" w:type="auto"/>
            <w:tcBorders>
              <w:top w:val="single" w:sz="4" w:space="0" w:color="000000"/>
              <w:left w:val="single" w:sz="4" w:space="0" w:color="000000"/>
              <w:bottom w:val="single" w:sz="4" w:space="0" w:color="000000"/>
              <w:right w:val="single" w:sz="4" w:space="0" w:color="000000"/>
            </w:tcBorders>
            <w:hideMark/>
          </w:tcPr>
          <w:p w14:paraId="587E039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follow</w:t>
            </w:r>
            <w:proofErr w:type="gramEnd"/>
            <w:r w:rsidRPr="00D76748">
              <w:rPr>
                <w:rFonts w:asciiTheme="majorBidi" w:hAnsiTheme="majorBidi" w:cstheme="majorBidi"/>
                <w:color w:val="000000"/>
                <w:sz w:val="22"/>
                <w:szCs w:val="22"/>
                <w:lang w:eastAsia="en-US"/>
              </w:rPr>
              <w:t xml:space="preserve"> up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55BB80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50946</w:t>
            </w:r>
          </w:p>
        </w:tc>
      </w:tr>
      <w:tr w:rsidR="009F01D8" w:rsidRPr="00D76748" w14:paraId="2AE8A3D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3D9BF5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43</w:t>
            </w:r>
          </w:p>
        </w:tc>
        <w:tc>
          <w:tcPr>
            <w:tcW w:w="0" w:type="auto"/>
            <w:tcBorders>
              <w:top w:val="single" w:sz="4" w:space="0" w:color="000000"/>
              <w:left w:val="single" w:sz="4" w:space="0" w:color="000000"/>
              <w:bottom w:val="single" w:sz="4" w:space="0" w:color="000000"/>
              <w:right w:val="single" w:sz="4" w:space="0" w:color="000000"/>
            </w:tcBorders>
            <w:hideMark/>
          </w:tcPr>
          <w:p w14:paraId="738DE6E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observational</w:t>
            </w:r>
            <w:proofErr w:type="gram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5E059F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120378</w:t>
            </w:r>
          </w:p>
        </w:tc>
      </w:tr>
      <w:tr w:rsidR="009F01D8" w:rsidRPr="00D76748" w14:paraId="05765BD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9E3192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44</w:t>
            </w:r>
          </w:p>
        </w:tc>
        <w:tc>
          <w:tcPr>
            <w:tcW w:w="0" w:type="auto"/>
            <w:tcBorders>
              <w:top w:val="single" w:sz="4" w:space="0" w:color="000000"/>
              <w:left w:val="single" w:sz="4" w:space="0" w:color="000000"/>
              <w:bottom w:val="single" w:sz="4" w:space="0" w:color="000000"/>
              <w:right w:val="single" w:sz="4" w:space="0" w:color="000000"/>
            </w:tcBorders>
            <w:hideMark/>
          </w:tcPr>
          <w:p w14:paraId="5849763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longitudinal.tw.</w:t>
            </w:r>
          </w:p>
        </w:tc>
        <w:tc>
          <w:tcPr>
            <w:tcW w:w="0" w:type="auto"/>
            <w:tcBorders>
              <w:top w:val="single" w:sz="4" w:space="0" w:color="000000"/>
              <w:left w:val="single" w:sz="4" w:space="0" w:color="000000"/>
              <w:bottom w:val="single" w:sz="4" w:space="0" w:color="000000"/>
              <w:right w:val="single" w:sz="4" w:space="0" w:color="000000"/>
            </w:tcBorders>
            <w:hideMark/>
          </w:tcPr>
          <w:p w14:paraId="1547FB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263982</w:t>
            </w:r>
          </w:p>
        </w:tc>
      </w:tr>
      <w:tr w:rsidR="009F01D8" w:rsidRPr="00D76748" w14:paraId="7C2D008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8AD28B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45</w:t>
            </w:r>
          </w:p>
        </w:tc>
        <w:tc>
          <w:tcPr>
            <w:tcW w:w="0" w:type="auto"/>
            <w:tcBorders>
              <w:top w:val="single" w:sz="4" w:space="0" w:color="000000"/>
              <w:left w:val="single" w:sz="4" w:space="0" w:color="000000"/>
              <w:bottom w:val="single" w:sz="4" w:space="0" w:color="000000"/>
              <w:right w:val="single" w:sz="4" w:space="0" w:color="000000"/>
            </w:tcBorders>
            <w:hideMark/>
          </w:tcPr>
          <w:p w14:paraId="15FF820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prospective.tw.</w:t>
            </w:r>
          </w:p>
        </w:tc>
        <w:tc>
          <w:tcPr>
            <w:tcW w:w="0" w:type="auto"/>
            <w:tcBorders>
              <w:top w:val="single" w:sz="4" w:space="0" w:color="000000"/>
              <w:left w:val="single" w:sz="4" w:space="0" w:color="000000"/>
              <w:bottom w:val="single" w:sz="4" w:space="0" w:color="000000"/>
              <w:right w:val="single" w:sz="4" w:space="0" w:color="000000"/>
            </w:tcBorders>
            <w:hideMark/>
          </w:tcPr>
          <w:p w14:paraId="062CB51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606748</w:t>
            </w:r>
          </w:p>
        </w:tc>
      </w:tr>
      <w:tr w:rsidR="009F01D8" w:rsidRPr="00D76748" w14:paraId="1E1384C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57B64C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46</w:t>
            </w:r>
          </w:p>
        </w:tc>
        <w:tc>
          <w:tcPr>
            <w:tcW w:w="0" w:type="auto"/>
            <w:tcBorders>
              <w:top w:val="single" w:sz="4" w:space="0" w:color="000000"/>
              <w:left w:val="single" w:sz="4" w:space="0" w:color="000000"/>
              <w:bottom w:val="single" w:sz="4" w:space="0" w:color="000000"/>
              <w:right w:val="single" w:sz="4" w:space="0" w:color="000000"/>
            </w:tcBorders>
            <w:hideMark/>
          </w:tcPr>
          <w:p w14:paraId="49D6502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retrospective.tw.</w:t>
            </w:r>
          </w:p>
        </w:tc>
        <w:tc>
          <w:tcPr>
            <w:tcW w:w="0" w:type="auto"/>
            <w:tcBorders>
              <w:top w:val="single" w:sz="4" w:space="0" w:color="000000"/>
              <w:left w:val="single" w:sz="4" w:space="0" w:color="000000"/>
              <w:bottom w:val="single" w:sz="4" w:space="0" w:color="000000"/>
              <w:right w:val="single" w:sz="4" w:space="0" w:color="000000"/>
            </w:tcBorders>
            <w:hideMark/>
          </w:tcPr>
          <w:p w14:paraId="3DCDDFE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584947</w:t>
            </w:r>
          </w:p>
        </w:tc>
      </w:tr>
      <w:tr w:rsidR="009F01D8" w:rsidRPr="00D76748" w14:paraId="6613307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DA64D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47</w:t>
            </w:r>
          </w:p>
        </w:tc>
        <w:tc>
          <w:tcPr>
            <w:tcW w:w="0" w:type="auto"/>
            <w:tcBorders>
              <w:top w:val="single" w:sz="4" w:space="0" w:color="000000"/>
              <w:left w:val="single" w:sz="4" w:space="0" w:color="000000"/>
              <w:bottom w:val="single" w:sz="4" w:space="0" w:color="000000"/>
              <w:right w:val="single" w:sz="4" w:space="0" w:color="000000"/>
            </w:tcBorders>
            <w:hideMark/>
          </w:tcPr>
          <w:p w14:paraId="6E5A968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cross sectional.tw.</w:t>
            </w:r>
          </w:p>
        </w:tc>
        <w:tc>
          <w:tcPr>
            <w:tcW w:w="0" w:type="auto"/>
            <w:tcBorders>
              <w:top w:val="single" w:sz="4" w:space="0" w:color="000000"/>
              <w:left w:val="single" w:sz="4" w:space="0" w:color="000000"/>
              <w:bottom w:val="single" w:sz="4" w:space="0" w:color="000000"/>
              <w:right w:val="single" w:sz="4" w:space="0" w:color="000000"/>
            </w:tcBorders>
            <w:hideMark/>
          </w:tcPr>
          <w:p w14:paraId="244E2CA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391367</w:t>
            </w:r>
          </w:p>
        </w:tc>
      </w:tr>
      <w:tr w:rsidR="009F01D8" w:rsidRPr="00D76748" w14:paraId="02F80B9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93761D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w:t>
            </w:r>
          </w:p>
        </w:tc>
        <w:tc>
          <w:tcPr>
            <w:tcW w:w="0" w:type="auto"/>
            <w:tcBorders>
              <w:top w:val="single" w:sz="4" w:space="0" w:color="000000"/>
              <w:left w:val="single" w:sz="4" w:space="0" w:color="000000"/>
              <w:bottom w:val="single" w:sz="4" w:space="0" w:color="000000"/>
              <w:right w:val="single" w:sz="4" w:space="0" w:color="000000"/>
            </w:tcBorders>
            <w:hideMark/>
          </w:tcPr>
          <w:p w14:paraId="2CB0F3F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or/28-47</w:t>
            </w:r>
          </w:p>
        </w:tc>
        <w:tc>
          <w:tcPr>
            <w:tcW w:w="0" w:type="auto"/>
            <w:tcBorders>
              <w:top w:val="single" w:sz="4" w:space="0" w:color="000000"/>
              <w:left w:val="single" w:sz="4" w:space="0" w:color="000000"/>
              <w:bottom w:val="single" w:sz="4" w:space="0" w:color="000000"/>
              <w:right w:val="single" w:sz="4" w:space="0" w:color="000000"/>
            </w:tcBorders>
            <w:hideMark/>
          </w:tcPr>
          <w:p w14:paraId="1B8CC89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4885385</w:t>
            </w:r>
          </w:p>
        </w:tc>
      </w:tr>
      <w:tr w:rsidR="009F01D8" w:rsidRPr="00D76748" w14:paraId="4C0D612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0E2802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w:t>
            </w:r>
          </w:p>
        </w:tc>
        <w:tc>
          <w:tcPr>
            <w:tcW w:w="0" w:type="auto"/>
            <w:tcBorders>
              <w:top w:val="single" w:sz="4" w:space="0" w:color="000000"/>
              <w:left w:val="single" w:sz="4" w:space="0" w:color="000000"/>
              <w:bottom w:val="single" w:sz="4" w:space="0" w:color="000000"/>
              <w:right w:val="single" w:sz="4" w:space="0" w:color="000000"/>
            </w:tcBorders>
            <w:hideMark/>
          </w:tcPr>
          <w:p w14:paraId="0C5BCE5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("phase 3" or "phase three").</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3906919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16551</w:t>
            </w:r>
          </w:p>
        </w:tc>
      </w:tr>
      <w:tr w:rsidR="009F01D8" w:rsidRPr="00D76748" w14:paraId="4D64231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855D44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50</w:t>
            </w:r>
          </w:p>
        </w:tc>
        <w:tc>
          <w:tcPr>
            <w:tcW w:w="0" w:type="auto"/>
            <w:tcBorders>
              <w:top w:val="single" w:sz="4" w:space="0" w:color="000000"/>
              <w:left w:val="single" w:sz="4" w:space="0" w:color="000000"/>
              <w:bottom w:val="single" w:sz="4" w:space="0" w:color="000000"/>
              <w:right w:val="single" w:sz="4" w:space="0" w:color="000000"/>
            </w:tcBorders>
            <w:hideMark/>
          </w:tcPr>
          <w:p w14:paraId="4FBDE5A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 or 48 or 49</w:t>
            </w:r>
          </w:p>
        </w:tc>
        <w:tc>
          <w:tcPr>
            <w:tcW w:w="0" w:type="auto"/>
            <w:tcBorders>
              <w:top w:val="single" w:sz="4" w:space="0" w:color="000000"/>
              <w:left w:val="single" w:sz="4" w:space="0" w:color="000000"/>
              <w:bottom w:val="single" w:sz="4" w:space="0" w:color="000000"/>
              <w:right w:val="single" w:sz="4" w:space="0" w:color="000000"/>
            </w:tcBorders>
            <w:hideMark/>
          </w:tcPr>
          <w:p w14:paraId="432068E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6204759</w:t>
            </w:r>
          </w:p>
        </w:tc>
      </w:tr>
      <w:tr w:rsidR="009F01D8" w:rsidRPr="00D76748" w14:paraId="39085F4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5A3927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51</w:t>
            </w:r>
          </w:p>
        </w:tc>
        <w:tc>
          <w:tcPr>
            <w:tcW w:w="0" w:type="auto"/>
            <w:tcBorders>
              <w:top w:val="single" w:sz="4" w:space="0" w:color="000000"/>
              <w:left w:val="single" w:sz="4" w:space="0" w:color="000000"/>
              <w:bottom w:val="single" w:sz="4" w:space="0" w:color="000000"/>
              <w:right w:val="single" w:sz="4" w:space="0" w:color="000000"/>
            </w:tcBorders>
            <w:hideMark/>
          </w:tcPr>
          <w:p w14:paraId="3F366F9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and 50</w:t>
            </w:r>
          </w:p>
        </w:tc>
        <w:tc>
          <w:tcPr>
            <w:tcW w:w="0" w:type="auto"/>
            <w:tcBorders>
              <w:top w:val="single" w:sz="4" w:space="0" w:color="000000"/>
              <w:left w:val="single" w:sz="4" w:space="0" w:color="000000"/>
              <w:bottom w:val="single" w:sz="4" w:space="0" w:color="000000"/>
              <w:right w:val="single" w:sz="4" w:space="0" w:color="000000"/>
            </w:tcBorders>
            <w:hideMark/>
          </w:tcPr>
          <w:p w14:paraId="2662D81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222</w:t>
            </w:r>
          </w:p>
        </w:tc>
      </w:tr>
      <w:tr w:rsidR="009F01D8" w:rsidRPr="00D76748" w14:paraId="265F637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13B920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52</w:t>
            </w:r>
          </w:p>
        </w:tc>
        <w:tc>
          <w:tcPr>
            <w:tcW w:w="0" w:type="auto"/>
            <w:tcBorders>
              <w:top w:val="single" w:sz="4" w:space="0" w:color="000000"/>
              <w:left w:val="single" w:sz="4" w:space="0" w:color="000000"/>
              <w:bottom w:val="single" w:sz="4" w:space="0" w:color="000000"/>
              <w:right w:val="single" w:sz="4" w:space="0" w:color="000000"/>
            </w:tcBorders>
            <w:hideMark/>
          </w:tcPr>
          <w:p w14:paraId="355E576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oxa</w:t>
            </w:r>
            <w:proofErr w:type="spellEnd"/>
            <w:r w:rsidRPr="00D76748">
              <w:rPr>
                <w:rFonts w:asciiTheme="majorBidi" w:hAnsiTheme="majorBidi" w:cstheme="majorBidi"/>
                <w:color w:val="000000"/>
                <w:sz w:val="22"/>
                <w:szCs w:val="22"/>
                <w:lang w:eastAsia="en-US"/>
              </w:rPr>
              <w:t xml:space="preserve"> 48" or oxacillinase-48 or "oxacillinase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F4C1F7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1210</w:t>
            </w:r>
          </w:p>
        </w:tc>
      </w:tr>
      <w:tr w:rsidR="009F01D8" w:rsidRPr="00D76748" w14:paraId="44AD363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478445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53</w:t>
            </w:r>
          </w:p>
        </w:tc>
        <w:tc>
          <w:tcPr>
            <w:tcW w:w="0" w:type="auto"/>
            <w:tcBorders>
              <w:top w:val="single" w:sz="4" w:space="0" w:color="000000"/>
              <w:left w:val="single" w:sz="4" w:space="0" w:color="000000"/>
              <w:bottom w:val="single" w:sz="4" w:space="0" w:color="000000"/>
              <w:right w:val="single" w:sz="4" w:space="0" w:color="000000"/>
            </w:tcBorders>
            <w:hideMark/>
          </w:tcPr>
          <w:p w14:paraId="04E1C11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(antibiotic* or </w:t>
            </w:r>
            <w:proofErr w:type="spellStart"/>
            <w:r w:rsidRPr="00D76748">
              <w:rPr>
                <w:rFonts w:asciiTheme="majorBidi" w:hAnsiTheme="majorBidi" w:cstheme="majorBidi"/>
                <w:color w:val="000000"/>
                <w:sz w:val="22"/>
                <w:szCs w:val="22"/>
                <w:lang w:eastAsia="en-US"/>
              </w:rPr>
              <w:t>antimicrob</w:t>
            </w:r>
            <w:proofErr w:type="spellEnd"/>
            <w:r w:rsidRPr="00D76748">
              <w:rPr>
                <w:rFonts w:asciiTheme="majorBidi" w:hAnsiTheme="majorBidi" w:cstheme="majorBidi"/>
                <w:color w:val="000000"/>
                <w:sz w:val="22"/>
                <w:szCs w:val="22"/>
                <w:lang w:eastAsia="en-US"/>
              </w:rPr>
              <w:t>* or anti-</w:t>
            </w:r>
            <w:proofErr w:type="spellStart"/>
            <w:r w:rsidRPr="00D76748">
              <w:rPr>
                <w:rFonts w:asciiTheme="majorBidi" w:hAnsiTheme="majorBidi" w:cstheme="majorBidi"/>
                <w:color w:val="000000"/>
                <w:sz w:val="22"/>
                <w:szCs w:val="22"/>
                <w:lang w:eastAsia="en-US"/>
              </w:rPr>
              <w:t>microb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antibact</w:t>
            </w:r>
            <w:proofErr w:type="spellEnd"/>
            <w:r w:rsidRPr="00D76748">
              <w:rPr>
                <w:rFonts w:asciiTheme="majorBidi" w:hAnsiTheme="majorBidi" w:cstheme="majorBidi"/>
                <w:color w:val="000000"/>
                <w:sz w:val="22"/>
                <w:szCs w:val="22"/>
                <w:lang w:eastAsia="en-US"/>
              </w:rPr>
              <w:t>* or anti-</w:t>
            </w:r>
            <w:proofErr w:type="spellStart"/>
            <w:r w:rsidRPr="00D76748">
              <w:rPr>
                <w:rFonts w:asciiTheme="majorBidi" w:hAnsiTheme="majorBidi" w:cstheme="majorBidi"/>
                <w:color w:val="000000"/>
                <w:sz w:val="22"/>
                <w:szCs w:val="22"/>
                <w:lang w:eastAsia="en-US"/>
              </w:rPr>
              <w:t>bacter</w:t>
            </w:r>
            <w:proofErr w:type="spellEnd"/>
            <w:r w:rsidRPr="00D76748">
              <w:rPr>
                <w:rFonts w:asciiTheme="majorBidi" w:hAnsiTheme="majorBidi" w:cstheme="majorBidi"/>
                <w:color w:val="000000"/>
                <w:sz w:val="22"/>
                <w:szCs w:val="22"/>
                <w:lang w:eastAsia="en-US"/>
              </w:rPr>
              <w:t>* or "in vitro").</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3B8D41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1750265</w:t>
            </w:r>
          </w:p>
        </w:tc>
      </w:tr>
      <w:tr w:rsidR="009F01D8" w:rsidRPr="00D76748" w14:paraId="4052F87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404ECB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54</w:t>
            </w:r>
          </w:p>
        </w:tc>
        <w:tc>
          <w:tcPr>
            <w:tcW w:w="0" w:type="auto"/>
            <w:tcBorders>
              <w:top w:val="single" w:sz="4" w:space="0" w:color="000000"/>
              <w:left w:val="single" w:sz="4" w:space="0" w:color="000000"/>
              <w:bottom w:val="single" w:sz="4" w:space="0" w:color="000000"/>
              <w:right w:val="single" w:sz="4" w:space="0" w:color="000000"/>
            </w:tcBorders>
            <w:hideMark/>
          </w:tcPr>
          <w:p w14:paraId="0BF9E61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susceptib</w:t>
            </w:r>
            <w:proofErr w:type="spellEnd"/>
            <w:r w:rsidRPr="00D76748">
              <w:rPr>
                <w:rFonts w:asciiTheme="majorBidi" w:hAnsiTheme="majorBidi" w:cstheme="majorBidi"/>
                <w:color w:val="000000"/>
                <w:sz w:val="22"/>
                <w:szCs w:val="22"/>
                <w:lang w:eastAsia="en-US"/>
              </w:rPr>
              <w:t xml:space="preserve">* or "minimum inhibitory concentration" or </w:t>
            </w:r>
            <w:proofErr w:type="spellStart"/>
            <w:r w:rsidRPr="00D76748">
              <w:rPr>
                <w:rFonts w:asciiTheme="majorBidi" w:hAnsiTheme="majorBidi" w:cstheme="majorBidi"/>
                <w:color w:val="000000"/>
                <w:sz w:val="22"/>
                <w:szCs w:val="22"/>
                <w:lang w:eastAsia="en-US"/>
              </w:rPr>
              <w:t>sensitiv</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resistan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activ</w:t>
            </w:r>
            <w:proofErr w:type="spellEnd"/>
            <w:r w:rsidRPr="00D76748">
              <w:rPr>
                <w:rFonts w:asciiTheme="majorBidi" w:hAnsiTheme="majorBidi" w:cstheme="majorBidi"/>
                <w:color w:val="000000"/>
                <w:sz w:val="22"/>
                <w:szCs w:val="22"/>
                <w:lang w:eastAsia="en-US"/>
              </w:rPr>
              <w:t>* or isolate or isolates).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CFC263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7084782</w:t>
            </w:r>
          </w:p>
        </w:tc>
      </w:tr>
      <w:tr w:rsidR="009F01D8" w:rsidRPr="00D76748" w14:paraId="442AE80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A133AC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14:paraId="5EC2078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53 and 54</w:t>
            </w:r>
          </w:p>
        </w:tc>
        <w:tc>
          <w:tcPr>
            <w:tcW w:w="0" w:type="auto"/>
            <w:tcBorders>
              <w:top w:val="single" w:sz="4" w:space="0" w:color="000000"/>
              <w:left w:val="single" w:sz="4" w:space="0" w:color="000000"/>
              <w:bottom w:val="single" w:sz="4" w:space="0" w:color="000000"/>
              <w:right w:val="single" w:sz="4" w:space="0" w:color="000000"/>
            </w:tcBorders>
            <w:hideMark/>
          </w:tcPr>
          <w:p w14:paraId="54A7CB3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945882</w:t>
            </w:r>
          </w:p>
        </w:tc>
      </w:tr>
      <w:tr w:rsidR="009F01D8" w:rsidRPr="00D76748" w14:paraId="5A74012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D1404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56</w:t>
            </w:r>
          </w:p>
        </w:tc>
        <w:tc>
          <w:tcPr>
            <w:tcW w:w="0" w:type="auto"/>
            <w:tcBorders>
              <w:top w:val="single" w:sz="4" w:space="0" w:color="000000"/>
              <w:left w:val="single" w:sz="4" w:space="0" w:color="000000"/>
              <w:bottom w:val="single" w:sz="4" w:space="0" w:color="000000"/>
              <w:right w:val="single" w:sz="4" w:space="0" w:color="000000"/>
            </w:tcBorders>
            <w:hideMark/>
          </w:tcPr>
          <w:p w14:paraId="43EF003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and 52 and 55</w:t>
            </w:r>
          </w:p>
        </w:tc>
        <w:tc>
          <w:tcPr>
            <w:tcW w:w="0" w:type="auto"/>
            <w:tcBorders>
              <w:top w:val="single" w:sz="4" w:space="0" w:color="000000"/>
              <w:left w:val="single" w:sz="4" w:space="0" w:color="000000"/>
              <w:bottom w:val="single" w:sz="4" w:space="0" w:color="000000"/>
              <w:right w:val="single" w:sz="4" w:space="0" w:color="000000"/>
            </w:tcBorders>
            <w:hideMark/>
          </w:tcPr>
          <w:p w14:paraId="42E8077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57</w:t>
            </w:r>
          </w:p>
        </w:tc>
      </w:tr>
      <w:tr w:rsidR="009F01D8" w:rsidRPr="00D76748" w14:paraId="1B5F40D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F5D1E9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57</w:t>
            </w:r>
          </w:p>
        </w:tc>
        <w:tc>
          <w:tcPr>
            <w:tcW w:w="0" w:type="auto"/>
            <w:tcBorders>
              <w:top w:val="single" w:sz="4" w:space="0" w:color="000000"/>
              <w:left w:val="single" w:sz="4" w:space="0" w:color="000000"/>
              <w:bottom w:val="single" w:sz="4" w:space="0" w:color="000000"/>
              <w:right w:val="single" w:sz="4" w:space="0" w:color="000000"/>
            </w:tcBorders>
            <w:hideMark/>
          </w:tcPr>
          <w:p w14:paraId="226B768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51 or 56</w:t>
            </w:r>
          </w:p>
        </w:tc>
        <w:tc>
          <w:tcPr>
            <w:tcW w:w="0" w:type="auto"/>
            <w:tcBorders>
              <w:top w:val="single" w:sz="4" w:space="0" w:color="000000"/>
              <w:left w:val="single" w:sz="4" w:space="0" w:color="000000"/>
              <w:bottom w:val="single" w:sz="4" w:space="0" w:color="000000"/>
              <w:right w:val="single" w:sz="4" w:space="0" w:color="000000"/>
            </w:tcBorders>
            <w:hideMark/>
          </w:tcPr>
          <w:p w14:paraId="0FADD8B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261</w:t>
            </w:r>
          </w:p>
        </w:tc>
      </w:tr>
    </w:tbl>
    <w:p w14:paraId="30465A15"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18"/>
          <w:szCs w:val="18"/>
        </w:rPr>
        <w:t xml:space="preserve">Strategy adapted from: NICE (2017) </w:t>
      </w:r>
      <w:r>
        <w:rPr>
          <w:rFonts w:asciiTheme="majorBidi" w:hAnsiTheme="majorBidi" w:cstheme="majorBidi"/>
          <w:color w:val="000000"/>
          <w:sz w:val="20"/>
          <w:szCs w:val="20"/>
        </w:rPr>
        <w:t>Ceftazidime/avibactam Evidence review on ceftazidime/avibactam Evidence review. NICE evidence summary 16.</w:t>
      </w:r>
    </w:p>
    <w:p w14:paraId="15FAAE66" w14:textId="77777777" w:rsidR="009F01D8" w:rsidRDefault="009F01D8" w:rsidP="009F01D8">
      <w:pPr>
        <w:jc w:val="both"/>
        <w:rPr>
          <w:rFonts w:asciiTheme="majorBidi" w:hAnsiTheme="majorBidi" w:cstheme="majorBidi"/>
        </w:rPr>
      </w:pPr>
    </w:p>
    <w:p w14:paraId="4D013F91"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Embase 1974 to 2021 April 21 (searched via the Ovid SP platform)</w:t>
      </w:r>
    </w:p>
    <w:p w14:paraId="43F08693"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29</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March 2021 and 22</w:t>
      </w:r>
      <w:r>
        <w:rPr>
          <w:rFonts w:asciiTheme="majorBidi" w:hAnsiTheme="majorBidi" w:cstheme="majorBidi"/>
          <w:color w:val="000000"/>
          <w:sz w:val="12"/>
          <w:szCs w:val="12"/>
          <w:vertAlign w:val="superscript"/>
        </w:rPr>
        <w:t>nd</w:t>
      </w:r>
      <w:r>
        <w:rPr>
          <w:rFonts w:asciiTheme="majorBidi" w:hAnsiTheme="majorBidi" w:cstheme="majorBidi"/>
          <w:color w:val="000000"/>
          <w:sz w:val="20"/>
          <w:szCs w:val="20"/>
        </w:rPr>
        <w:t xml:space="preserve"> April 2021</w:t>
      </w:r>
    </w:p>
    <w:p w14:paraId="7D679AA1"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7594"/>
        <w:gridCol w:w="986"/>
      </w:tblGrid>
      <w:tr w:rsidR="009F01D8" w:rsidRPr="00D76748" w14:paraId="4F4EE62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AA3FB8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FF5AA1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1E8AD66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68E81BF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0E1739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041C2B8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47BE419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44756</w:t>
            </w:r>
          </w:p>
        </w:tc>
      </w:tr>
      <w:tr w:rsidR="009F01D8" w:rsidRPr="00D76748" w14:paraId="3171E50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B86D80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6F1B89C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0E82227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42587</w:t>
            </w:r>
          </w:p>
        </w:tc>
      </w:tr>
      <w:tr w:rsidR="009F01D8" w:rsidRPr="00D76748" w14:paraId="582BD7B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96D4D8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714364F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41864C5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44756</w:t>
            </w:r>
          </w:p>
        </w:tc>
      </w:tr>
      <w:tr w:rsidR="009F01D8" w:rsidRPr="00D76748" w14:paraId="737D419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4FF31B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6D240A9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1AB6D7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1875</w:t>
            </w:r>
          </w:p>
        </w:tc>
      </w:tr>
      <w:tr w:rsidR="009F01D8" w:rsidRPr="00D76748" w14:paraId="36D80B7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4A491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67E2244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w:t>
            </w:r>
          </w:p>
        </w:tc>
        <w:tc>
          <w:tcPr>
            <w:tcW w:w="0" w:type="auto"/>
            <w:tcBorders>
              <w:top w:val="single" w:sz="4" w:space="0" w:color="000000"/>
              <w:left w:val="single" w:sz="4" w:space="0" w:color="000000"/>
              <w:bottom w:val="single" w:sz="4" w:space="0" w:color="000000"/>
              <w:right w:val="single" w:sz="4" w:space="0" w:color="000000"/>
            </w:tcBorders>
            <w:hideMark/>
          </w:tcPr>
          <w:p w14:paraId="6995E75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738</w:t>
            </w:r>
          </w:p>
        </w:tc>
      </w:tr>
      <w:tr w:rsidR="009F01D8" w:rsidRPr="00D76748" w14:paraId="7AD7B1A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93D4D9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5FD686E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 or 5</w:t>
            </w:r>
          </w:p>
        </w:tc>
        <w:tc>
          <w:tcPr>
            <w:tcW w:w="0" w:type="auto"/>
            <w:tcBorders>
              <w:top w:val="single" w:sz="4" w:space="0" w:color="000000"/>
              <w:left w:val="single" w:sz="4" w:space="0" w:color="000000"/>
              <w:bottom w:val="single" w:sz="4" w:space="0" w:color="000000"/>
              <w:right w:val="single" w:sz="4" w:space="0" w:color="000000"/>
            </w:tcBorders>
            <w:hideMark/>
          </w:tcPr>
          <w:p w14:paraId="4401243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1875</w:t>
            </w:r>
          </w:p>
        </w:tc>
      </w:tr>
      <w:tr w:rsidR="009F01D8" w:rsidRPr="00D76748" w14:paraId="4DFF1C2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FC6C1F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470CBF7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6</w:t>
            </w:r>
          </w:p>
        </w:tc>
        <w:tc>
          <w:tcPr>
            <w:tcW w:w="0" w:type="auto"/>
            <w:tcBorders>
              <w:top w:val="single" w:sz="4" w:space="0" w:color="000000"/>
              <w:left w:val="single" w:sz="4" w:space="0" w:color="000000"/>
              <w:bottom w:val="single" w:sz="4" w:space="0" w:color="000000"/>
              <w:right w:val="single" w:sz="4" w:space="0" w:color="000000"/>
            </w:tcBorders>
            <w:hideMark/>
          </w:tcPr>
          <w:p w14:paraId="4F1AB0D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1596</w:t>
            </w:r>
          </w:p>
        </w:tc>
      </w:tr>
      <w:tr w:rsidR="009F01D8" w:rsidRPr="00D76748" w14:paraId="5E73B66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EE8855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494F839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0A78FC4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1025</w:t>
            </w:r>
          </w:p>
        </w:tc>
      </w:tr>
      <w:tr w:rsidR="009F01D8" w:rsidRPr="00D76748" w14:paraId="6F335AD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829F3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1C678EF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4BE36F5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r>
      <w:tr w:rsidR="009F01D8" w:rsidRPr="00D76748" w14:paraId="50A47D1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031863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w:t>
            </w:r>
          </w:p>
        </w:tc>
        <w:tc>
          <w:tcPr>
            <w:tcW w:w="0" w:type="auto"/>
            <w:tcBorders>
              <w:top w:val="single" w:sz="4" w:space="0" w:color="000000"/>
              <w:left w:val="single" w:sz="4" w:space="0" w:color="000000"/>
              <w:bottom w:val="single" w:sz="4" w:space="0" w:color="000000"/>
              <w:right w:val="single" w:sz="4" w:space="0" w:color="000000"/>
            </w:tcBorders>
            <w:hideMark/>
          </w:tcPr>
          <w:p w14:paraId="26F77D3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7F8C9E5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60</w:t>
            </w:r>
          </w:p>
        </w:tc>
      </w:tr>
      <w:tr w:rsidR="009F01D8" w:rsidRPr="00D76748" w14:paraId="127AC42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160192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6EB1A450"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FF9854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177</w:t>
            </w:r>
          </w:p>
        </w:tc>
      </w:tr>
      <w:tr w:rsidR="009F01D8" w:rsidRPr="00D76748" w14:paraId="5504674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AC380A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092A7B6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or/7-11</w:t>
            </w:r>
          </w:p>
        </w:tc>
        <w:tc>
          <w:tcPr>
            <w:tcW w:w="0" w:type="auto"/>
            <w:tcBorders>
              <w:top w:val="single" w:sz="4" w:space="0" w:color="000000"/>
              <w:left w:val="single" w:sz="4" w:space="0" w:color="000000"/>
              <w:bottom w:val="single" w:sz="4" w:space="0" w:color="000000"/>
              <w:right w:val="single" w:sz="4" w:space="0" w:color="000000"/>
            </w:tcBorders>
            <w:hideMark/>
          </w:tcPr>
          <w:p w14:paraId="3DCBF86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1606</w:t>
            </w:r>
          </w:p>
        </w:tc>
      </w:tr>
      <w:tr w:rsidR="009F01D8" w:rsidRPr="00D76748" w14:paraId="4D23BC9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4FBA21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13</w:t>
            </w:r>
          </w:p>
        </w:tc>
        <w:tc>
          <w:tcPr>
            <w:tcW w:w="0" w:type="auto"/>
            <w:tcBorders>
              <w:top w:val="single" w:sz="4" w:space="0" w:color="000000"/>
              <w:left w:val="single" w:sz="4" w:space="0" w:color="000000"/>
              <w:bottom w:val="single" w:sz="4" w:space="0" w:color="000000"/>
              <w:right w:val="single" w:sz="4" w:space="0" w:color="000000"/>
            </w:tcBorders>
            <w:hideMark/>
          </w:tcPr>
          <w:p w14:paraId="6485C07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Randomization/</w:t>
            </w:r>
          </w:p>
        </w:tc>
        <w:tc>
          <w:tcPr>
            <w:tcW w:w="0" w:type="auto"/>
            <w:tcBorders>
              <w:top w:val="single" w:sz="4" w:space="0" w:color="000000"/>
              <w:left w:val="single" w:sz="4" w:space="0" w:color="000000"/>
              <w:bottom w:val="single" w:sz="4" w:space="0" w:color="000000"/>
              <w:right w:val="single" w:sz="4" w:space="0" w:color="000000"/>
            </w:tcBorders>
            <w:hideMark/>
          </w:tcPr>
          <w:p w14:paraId="7A348D7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92650</w:t>
            </w:r>
          </w:p>
        </w:tc>
      </w:tr>
      <w:tr w:rsidR="009F01D8" w:rsidRPr="00D76748" w14:paraId="472E215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F07974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14:paraId="1144044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Placebo/</w:t>
            </w:r>
          </w:p>
        </w:tc>
        <w:tc>
          <w:tcPr>
            <w:tcW w:w="0" w:type="auto"/>
            <w:tcBorders>
              <w:top w:val="single" w:sz="4" w:space="0" w:color="000000"/>
              <w:left w:val="single" w:sz="4" w:space="0" w:color="000000"/>
              <w:bottom w:val="single" w:sz="4" w:space="0" w:color="000000"/>
              <w:right w:val="single" w:sz="4" w:space="0" w:color="000000"/>
            </w:tcBorders>
            <w:hideMark/>
          </w:tcPr>
          <w:p w14:paraId="7965886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370211</w:t>
            </w:r>
          </w:p>
        </w:tc>
      </w:tr>
      <w:tr w:rsidR="009F01D8" w:rsidRPr="00D76748" w14:paraId="49AD182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FC11B3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3E3E9B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Double Blind Procedure/</w:t>
            </w:r>
          </w:p>
        </w:tc>
        <w:tc>
          <w:tcPr>
            <w:tcW w:w="0" w:type="auto"/>
            <w:tcBorders>
              <w:top w:val="single" w:sz="4" w:space="0" w:color="000000"/>
              <w:left w:val="single" w:sz="4" w:space="0" w:color="000000"/>
              <w:bottom w:val="single" w:sz="4" w:space="0" w:color="000000"/>
              <w:right w:val="single" w:sz="4" w:space="0" w:color="000000"/>
            </w:tcBorders>
            <w:hideMark/>
          </w:tcPr>
          <w:p w14:paraId="02DF402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185230</w:t>
            </w:r>
          </w:p>
        </w:tc>
      </w:tr>
      <w:tr w:rsidR="009F01D8" w:rsidRPr="00D76748" w14:paraId="3961E39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084269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38C8ABC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Single Blind Procedure/</w:t>
            </w:r>
          </w:p>
        </w:tc>
        <w:tc>
          <w:tcPr>
            <w:tcW w:w="0" w:type="auto"/>
            <w:tcBorders>
              <w:top w:val="single" w:sz="4" w:space="0" w:color="000000"/>
              <w:left w:val="single" w:sz="4" w:space="0" w:color="000000"/>
              <w:bottom w:val="single" w:sz="4" w:space="0" w:color="000000"/>
              <w:right w:val="single" w:sz="4" w:space="0" w:color="000000"/>
            </w:tcBorders>
            <w:hideMark/>
          </w:tcPr>
          <w:p w14:paraId="0573752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42836</w:t>
            </w:r>
          </w:p>
        </w:tc>
      </w:tr>
      <w:tr w:rsidR="009F01D8" w:rsidRPr="00D76748" w14:paraId="1B4CDE1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B64AE7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60869F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Crossover Procedure/</w:t>
            </w:r>
          </w:p>
        </w:tc>
        <w:tc>
          <w:tcPr>
            <w:tcW w:w="0" w:type="auto"/>
            <w:tcBorders>
              <w:top w:val="single" w:sz="4" w:space="0" w:color="000000"/>
              <w:left w:val="single" w:sz="4" w:space="0" w:color="000000"/>
              <w:bottom w:val="single" w:sz="4" w:space="0" w:color="000000"/>
              <w:right w:val="single" w:sz="4" w:space="0" w:color="000000"/>
            </w:tcBorders>
            <w:hideMark/>
          </w:tcPr>
          <w:p w14:paraId="279BB3C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66963</w:t>
            </w:r>
          </w:p>
        </w:tc>
      </w:tr>
      <w:tr w:rsidR="009F01D8" w:rsidRPr="00D76748" w14:paraId="414D09A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EF006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hideMark/>
          </w:tcPr>
          <w:p w14:paraId="09464FE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 or control$ or clinical$) adj3 (trial$ or stud$)).</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974CF9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1860752</w:t>
            </w:r>
          </w:p>
        </w:tc>
      </w:tr>
      <w:tr w:rsidR="009F01D8" w:rsidRPr="00D76748" w14:paraId="4DF8FCC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37758A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w:t>
            </w:r>
          </w:p>
        </w:tc>
        <w:tc>
          <w:tcPr>
            <w:tcW w:w="0" w:type="auto"/>
            <w:tcBorders>
              <w:top w:val="single" w:sz="4" w:space="0" w:color="000000"/>
              <w:left w:val="single" w:sz="4" w:space="0" w:color="000000"/>
              <w:bottom w:val="single" w:sz="4" w:space="0" w:color="000000"/>
              <w:right w:val="single" w:sz="4" w:space="0" w:color="000000"/>
            </w:tcBorders>
            <w:hideMark/>
          </w:tcPr>
          <w:p w14:paraId="5490DF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(random$ adj3 </w:t>
            </w:r>
            <w:proofErr w:type="spellStart"/>
            <w:r w:rsidRPr="00D76748">
              <w:rPr>
                <w:rFonts w:asciiTheme="majorBidi" w:hAnsiTheme="majorBidi" w:cstheme="majorBidi"/>
                <w:color w:val="000000"/>
                <w:sz w:val="22"/>
                <w:szCs w:val="22"/>
                <w:lang w:eastAsia="en-US"/>
              </w:rPr>
              <w:t>allocat</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4DA18D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48808</w:t>
            </w:r>
          </w:p>
        </w:tc>
      </w:tr>
      <w:tr w:rsidR="009F01D8" w:rsidRPr="00D76748" w14:paraId="67F59B4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40628F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w:t>
            </w:r>
          </w:p>
        </w:tc>
        <w:tc>
          <w:tcPr>
            <w:tcW w:w="0" w:type="auto"/>
            <w:tcBorders>
              <w:top w:val="single" w:sz="4" w:space="0" w:color="000000"/>
              <w:left w:val="single" w:sz="4" w:space="0" w:color="000000"/>
              <w:bottom w:val="single" w:sz="4" w:space="0" w:color="000000"/>
              <w:right w:val="single" w:sz="4" w:space="0" w:color="000000"/>
            </w:tcBorders>
            <w:hideMark/>
          </w:tcPr>
          <w:p w14:paraId="5B5F9C2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placebo$.tw.</w:t>
            </w:r>
          </w:p>
        </w:tc>
        <w:tc>
          <w:tcPr>
            <w:tcW w:w="0" w:type="auto"/>
            <w:tcBorders>
              <w:top w:val="single" w:sz="4" w:space="0" w:color="000000"/>
              <w:left w:val="single" w:sz="4" w:space="0" w:color="000000"/>
              <w:bottom w:val="single" w:sz="4" w:space="0" w:color="000000"/>
              <w:right w:val="single" w:sz="4" w:space="0" w:color="000000"/>
            </w:tcBorders>
            <w:hideMark/>
          </w:tcPr>
          <w:p w14:paraId="7DF62BA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328545</w:t>
            </w:r>
          </w:p>
        </w:tc>
      </w:tr>
      <w:tr w:rsidR="009F01D8" w:rsidRPr="00D76748" w14:paraId="48FF742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453E01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w:t>
            </w:r>
          </w:p>
        </w:tc>
        <w:tc>
          <w:tcPr>
            <w:tcW w:w="0" w:type="auto"/>
            <w:tcBorders>
              <w:top w:val="single" w:sz="4" w:space="0" w:color="000000"/>
              <w:left w:val="single" w:sz="4" w:space="0" w:color="000000"/>
              <w:bottom w:val="single" w:sz="4" w:space="0" w:color="000000"/>
              <w:right w:val="single" w:sz="4" w:space="0" w:color="000000"/>
            </w:tcBorders>
            <w:hideMark/>
          </w:tcPr>
          <w:p w14:paraId="30C7D9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singl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doubl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trebl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tripl</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(blind$ or mask$)).</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DE1582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253412</w:t>
            </w:r>
          </w:p>
        </w:tc>
      </w:tr>
      <w:tr w:rsidR="009F01D8" w:rsidRPr="00D76748" w14:paraId="69F8060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B171D6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w:t>
            </w:r>
          </w:p>
        </w:tc>
        <w:tc>
          <w:tcPr>
            <w:tcW w:w="0" w:type="auto"/>
            <w:tcBorders>
              <w:top w:val="single" w:sz="4" w:space="0" w:color="000000"/>
              <w:left w:val="single" w:sz="4" w:space="0" w:color="000000"/>
              <w:bottom w:val="single" w:sz="4" w:space="0" w:color="000000"/>
              <w:right w:val="single" w:sz="4" w:space="0" w:color="000000"/>
            </w:tcBorders>
            <w:hideMark/>
          </w:tcPr>
          <w:p w14:paraId="10CF1B0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(crossover$ or (cross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over$)).</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44DDBD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113308</w:t>
            </w:r>
          </w:p>
        </w:tc>
      </w:tr>
      <w:tr w:rsidR="009F01D8" w:rsidRPr="00D76748" w14:paraId="7A14B6C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B0BE7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w:t>
            </w:r>
          </w:p>
        </w:tc>
        <w:tc>
          <w:tcPr>
            <w:tcW w:w="0" w:type="auto"/>
            <w:tcBorders>
              <w:top w:val="single" w:sz="4" w:space="0" w:color="000000"/>
              <w:left w:val="single" w:sz="4" w:space="0" w:color="000000"/>
              <w:bottom w:val="single" w:sz="4" w:space="0" w:color="000000"/>
              <w:right w:val="single" w:sz="4" w:space="0" w:color="000000"/>
            </w:tcBorders>
            <w:hideMark/>
          </w:tcPr>
          <w:p w14:paraId="42AE936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or/13-22</w:t>
            </w:r>
          </w:p>
        </w:tc>
        <w:tc>
          <w:tcPr>
            <w:tcW w:w="0" w:type="auto"/>
            <w:tcBorders>
              <w:top w:val="single" w:sz="4" w:space="0" w:color="000000"/>
              <w:left w:val="single" w:sz="4" w:space="0" w:color="000000"/>
              <w:bottom w:val="single" w:sz="4" w:space="0" w:color="000000"/>
              <w:right w:val="single" w:sz="4" w:space="0" w:color="000000"/>
            </w:tcBorders>
            <w:hideMark/>
          </w:tcPr>
          <w:p w14:paraId="3E5912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2287059</w:t>
            </w:r>
          </w:p>
        </w:tc>
      </w:tr>
      <w:tr w:rsidR="009F01D8" w:rsidRPr="00D76748" w14:paraId="254F099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7B5119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14:paraId="487190B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nonhuman/ not human/</w:t>
            </w:r>
          </w:p>
        </w:tc>
        <w:tc>
          <w:tcPr>
            <w:tcW w:w="0" w:type="auto"/>
            <w:tcBorders>
              <w:top w:val="single" w:sz="4" w:space="0" w:color="000000"/>
              <w:left w:val="single" w:sz="4" w:space="0" w:color="000000"/>
              <w:bottom w:val="single" w:sz="4" w:space="0" w:color="000000"/>
              <w:right w:val="single" w:sz="4" w:space="0" w:color="000000"/>
            </w:tcBorders>
            <w:hideMark/>
          </w:tcPr>
          <w:p w14:paraId="47C9D72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4849224</w:t>
            </w:r>
          </w:p>
        </w:tc>
      </w:tr>
      <w:tr w:rsidR="009F01D8" w:rsidRPr="00D76748" w14:paraId="7CA468F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42FE8A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w:t>
            </w:r>
          </w:p>
        </w:tc>
        <w:tc>
          <w:tcPr>
            <w:tcW w:w="0" w:type="auto"/>
            <w:tcBorders>
              <w:top w:val="single" w:sz="4" w:space="0" w:color="000000"/>
              <w:left w:val="single" w:sz="4" w:space="0" w:color="000000"/>
              <w:bottom w:val="single" w:sz="4" w:space="0" w:color="000000"/>
              <w:right w:val="single" w:sz="4" w:space="0" w:color="000000"/>
            </w:tcBorders>
            <w:hideMark/>
          </w:tcPr>
          <w:p w14:paraId="1CFE3A9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 not 24</w:t>
            </w:r>
          </w:p>
        </w:tc>
        <w:tc>
          <w:tcPr>
            <w:tcW w:w="0" w:type="auto"/>
            <w:tcBorders>
              <w:top w:val="single" w:sz="4" w:space="0" w:color="000000"/>
              <w:left w:val="single" w:sz="4" w:space="0" w:color="000000"/>
              <w:bottom w:val="single" w:sz="4" w:space="0" w:color="000000"/>
              <w:right w:val="single" w:sz="4" w:space="0" w:color="000000"/>
            </w:tcBorders>
            <w:hideMark/>
          </w:tcPr>
          <w:p w14:paraId="601ABBD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2188317</w:t>
            </w:r>
          </w:p>
        </w:tc>
      </w:tr>
      <w:tr w:rsidR="009F01D8" w:rsidRPr="00D76748" w14:paraId="680E25B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A5C9BD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w:t>
            </w:r>
          </w:p>
        </w:tc>
        <w:tc>
          <w:tcPr>
            <w:tcW w:w="0" w:type="auto"/>
            <w:tcBorders>
              <w:top w:val="single" w:sz="4" w:space="0" w:color="000000"/>
              <w:left w:val="single" w:sz="4" w:space="0" w:color="000000"/>
              <w:bottom w:val="single" w:sz="4" w:space="0" w:color="000000"/>
              <w:right w:val="single" w:sz="4" w:space="0" w:color="000000"/>
            </w:tcBorders>
            <w:hideMark/>
          </w:tcPr>
          <w:p w14:paraId="5DD41AC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Clinical study/</w:t>
            </w:r>
          </w:p>
        </w:tc>
        <w:tc>
          <w:tcPr>
            <w:tcW w:w="0" w:type="auto"/>
            <w:tcBorders>
              <w:top w:val="single" w:sz="4" w:space="0" w:color="000000"/>
              <w:left w:val="single" w:sz="4" w:space="0" w:color="000000"/>
              <w:bottom w:val="single" w:sz="4" w:space="0" w:color="000000"/>
              <w:right w:val="single" w:sz="4" w:space="0" w:color="000000"/>
            </w:tcBorders>
            <w:hideMark/>
          </w:tcPr>
          <w:p w14:paraId="2D13B4D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154534</w:t>
            </w:r>
          </w:p>
        </w:tc>
      </w:tr>
      <w:tr w:rsidR="009F01D8" w:rsidRPr="00D76748" w14:paraId="22FBB5F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1CA273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27</w:t>
            </w:r>
          </w:p>
        </w:tc>
        <w:tc>
          <w:tcPr>
            <w:tcW w:w="0" w:type="auto"/>
            <w:tcBorders>
              <w:top w:val="single" w:sz="4" w:space="0" w:color="000000"/>
              <w:left w:val="single" w:sz="4" w:space="0" w:color="000000"/>
              <w:bottom w:val="single" w:sz="4" w:space="0" w:color="000000"/>
              <w:right w:val="single" w:sz="4" w:space="0" w:color="000000"/>
            </w:tcBorders>
            <w:hideMark/>
          </w:tcPr>
          <w:p w14:paraId="434E356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Case control study/</w:t>
            </w:r>
          </w:p>
        </w:tc>
        <w:tc>
          <w:tcPr>
            <w:tcW w:w="0" w:type="auto"/>
            <w:tcBorders>
              <w:top w:val="single" w:sz="4" w:space="0" w:color="000000"/>
              <w:left w:val="single" w:sz="4" w:space="0" w:color="000000"/>
              <w:bottom w:val="single" w:sz="4" w:space="0" w:color="000000"/>
              <w:right w:val="single" w:sz="4" w:space="0" w:color="000000"/>
            </w:tcBorders>
            <w:hideMark/>
          </w:tcPr>
          <w:p w14:paraId="2A62950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169380</w:t>
            </w:r>
          </w:p>
        </w:tc>
      </w:tr>
      <w:tr w:rsidR="009F01D8" w:rsidRPr="00D76748" w14:paraId="3F5C499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D7F78D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28</w:t>
            </w:r>
          </w:p>
        </w:tc>
        <w:tc>
          <w:tcPr>
            <w:tcW w:w="0" w:type="auto"/>
            <w:tcBorders>
              <w:top w:val="single" w:sz="4" w:space="0" w:color="000000"/>
              <w:left w:val="single" w:sz="4" w:space="0" w:color="000000"/>
              <w:bottom w:val="single" w:sz="4" w:space="0" w:color="000000"/>
              <w:right w:val="single" w:sz="4" w:space="0" w:color="000000"/>
            </w:tcBorders>
            <w:hideMark/>
          </w:tcPr>
          <w:p w14:paraId="0E4C13A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Family study/</w:t>
            </w:r>
          </w:p>
        </w:tc>
        <w:tc>
          <w:tcPr>
            <w:tcW w:w="0" w:type="auto"/>
            <w:tcBorders>
              <w:top w:val="single" w:sz="4" w:space="0" w:color="000000"/>
              <w:left w:val="single" w:sz="4" w:space="0" w:color="000000"/>
              <w:bottom w:val="single" w:sz="4" w:space="0" w:color="000000"/>
              <w:right w:val="single" w:sz="4" w:space="0" w:color="000000"/>
            </w:tcBorders>
            <w:hideMark/>
          </w:tcPr>
          <w:p w14:paraId="179B641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25397</w:t>
            </w:r>
          </w:p>
        </w:tc>
      </w:tr>
      <w:tr w:rsidR="009F01D8" w:rsidRPr="00D76748" w14:paraId="11645AD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280AB6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w:t>
            </w:r>
          </w:p>
        </w:tc>
        <w:tc>
          <w:tcPr>
            <w:tcW w:w="0" w:type="auto"/>
            <w:tcBorders>
              <w:top w:val="single" w:sz="4" w:space="0" w:color="000000"/>
              <w:left w:val="single" w:sz="4" w:space="0" w:color="000000"/>
              <w:bottom w:val="single" w:sz="4" w:space="0" w:color="000000"/>
              <w:right w:val="single" w:sz="4" w:space="0" w:color="000000"/>
            </w:tcBorders>
            <w:hideMark/>
          </w:tcPr>
          <w:p w14:paraId="2D3D78E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Longitudinal study/</w:t>
            </w:r>
          </w:p>
        </w:tc>
        <w:tc>
          <w:tcPr>
            <w:tcW w:w="0" w:type="auto"/>
            <w:tcBorders>
              <w:top w:val="single" w:sz="4" w:space="0" w:color="000000"/>
              <w:left w:val="single" w:sz="4" w:space="0" w:color="000000"/>
              <w:bottom w:val="single" w:sz="4" w:space="0" w:color="000000"/>
              <w:right w:val="single" w:sz="4" w:space="0" w:color="000000"/>
            </w:tcBorders>
            <w:hideMark/>
          </w:tcPr>
          <w:p w14:paraId="2A54C70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151121</w:t>
            </w:r>
          </w:p>
        </w:tc>
      </w:tr>
      <w:tr w:rsidR="009F01D8" w:rsidRPr="00D76748" w14:paraId="01B048D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1FCE6C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30</w:t>
            </w:r>
          </w:p>
        </w:tc>
        <w:tc>
          <w:tcPr>
            <w:tcW w:w="0" w:type="auto"/>
            <w:tcBorders>
              <w:top w:val="single" w:sz="4" w:space="0" w:color="000000"/>
              <w:left w:val="single" w:sz="4" w:space="0" w:color="000000"/>
              <w:bottom w:val="single" w:sz="4" w:space="0" w:color="000000"/>
              <w:right w:val="single" w:sz="4" w:space="0" w:color="000000"/>
            </w:tcBorders>
            <w:hideMark/>
          </w:tcPr>
          <w:p w14:paraId="6E2D6A5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Retrospective study/</w:t>
            </w:r>
          </w:p>
        </w:tc>
        <w:tc>
          <w:tcPr>
            <w:tcW w:w="0" w:type="auto"/>
            <w:tcBorders>
              <w:top w:val="single" w:sz="4" w:space="0" w:color="000000"/>
              <w:left w:val="single" w:sz="4" w:space="0" w:color="000000"/>
              <w:bottom w:val="single" w:sz="4" w:space="0" w:color="000000"/>
              <w:right w:val="single" w:sz="4" w:space="0" w:color="000000"/>
            </w:tcBorders>
            <w:hideMark/>
          </w:tcPr>
          <w:p w14:paraId="5F5602A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1057830</w:t>
            </w:r>
          </w:p>
        </w:tc>
      </w:tr>
      <w:tr w:rsidR="009F01D8" w:rsidRPr="00D76748" w14:paraId="1B8A38E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2E70BD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31</w:t>
            </w:r>
          </w:p>
        </w:tc>
        <w:tc>
          <w:tcPr>
            <w:tcW w:w="0" w:type="auto"/>
            <w:tcBorders>
              <w:top w:val="single" w:sz="4" w:space="0" w:color="000000"/>
              <w:left w:val="single" w:sz="4" w:space="0" w:color="000000"/>
              <w:bottom w:val="single" w:sz="4" w:space="0" w:color="000000"/>
              <w:right w:val="single" w:sz="4" w:space="0" w:color="000000"/>
            </w:tcBorders>
            <w:hideMark/>
          </w:tcPr>
          <w:p w14:paraId="54BEFA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comparative study/</w:t>
            </w:r>
          </w:p>
        </w:tc>
        <w:tc>
          <w:tcPr>
            <w:tcW w:w="0" w:type="auto"/>
            <w:tcBorders>
              <w:top w:val="single" w:sz="4" w:space="0" w:color="000000"/>
              <w:left w:val="single" w:sz="4" w:space="0" w:color="000000"/>
              <w:bottom w:val="single" w:sz="4" w:space="0" w:color="000000"/>
              <w:right w:val="single" w:sz="4" w:space="0" w:color="000000"/>
            </w:tcBorders>
            <w:hideMark/>
          </w:tcPr>
          <w:p w14:paraId="3D8E6A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867060</w:t>
            </w:r>
          </w:p>
        </w:tc>
      </w:tr>
      <w:tr w:rsidR="009F01D8" w:rsidRPr="00D76748" w14:paraId="0CC36CD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0B693C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32</w:t>
            </w:r>
          </w:p>
        </w:tc>
        <w:tc>
          <w:tcPr>
            <w:tcW w:w="0" w:type="auto"/>
            <w:tcBorders>
              <w:top w:val="single" w:sz="4" w:space="0" w:color="000000"/>
              <w:left w:val="single" w:sz="4" w:space="0" w:color="000000"/>
              <w:bottom w:val="single" w:sz="4" w:space="0" w:color="000000"/>
              <w:right w:val="single" w:sz="4" w:space="0" w:color="000000"/>
            </w:tcBorders>
            <w:hideMark/>
          </w:tcPr>
          <w:p w14:paraId="174FC4D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Prospective study/</w:t>
            </w:r>
          </w:p>
        </w:tc>
        <w:tc>
          <w:tcPr>
            <w:tcW w:w="0" w:type="auto"/>
            <w:tcBorders>
              <w:top w:val="single" w:sz="4" w:space="0" w:color="000000"/>
              <w:left w:val="single" w:sz="4" w:space="0" w:color="000000"/>
              <w:bottom w:val="single" w:sz="4" w:space="0" w:color="000000"/>
              <w:right w:val="single" w:sz="4" w:space="0" w:color="000000"/>
            </w:tcBorders>
            <w:hideMark/>
          </w:tcPr>
          <w:p w14:paraId="6A3EF82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682380</w:t>
            </w:r>
          </w:p>
        </w:tc>
      </w:tr>
      <w:tr w:rsidR="009F01D8" w:rsidRPr="00D76748" w14:paraId="1F26253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032C76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33</w:t>
            </w:r>
          </w:p>
        </w:tc>
        <w:tc>
          <w:tcPr>
            <w:tcW w:w="0" w:type="auto"/>
            <w:tcBorders>
              <w:top w:val="single" w:sz="4" w:space="0" w:color="000000"/>
              <w:left w:val="single" w:sz="4" w:space="0" w:color="000000"/>
              <w:bottom w:val="single" w:sz="4" w:space="0" w:color="000000"/>
              <w:right w:val="single" w:sz="4" w:space="0" w:color="000000"/>
            </w:tcBorders>
            <w:hideMark/>
          </w:tcPr>
          <w:p w14:paraId="771776D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Randomized controlled trials/</w:t>
            </w:r>
          </w:p>
        </w:tc>
        <w:tc>
          <w:tcPr>
            <w:tcW w:w="0" w:type="auto"/>
            <w:tcBorders>
              <w:top w:val="single" w:sz="4" w:space="0" w:color="000000"/>
              <w:left w:val="single" w:sz="4" w:space="0" w:color="000000"/>
              <w:bottom w:val="single" w:sz="4" w:space="0" w:color="000000"/>
              <w:right w:val="single" w:sz="4" w:space="0" w:color="000000"/>
            </w:tcBorders>
            <w:hideMark/>
          </w:tcPr>
          <w:p w14:paraId="5A37864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200667</w:t>
            </w:r>
          </w:p>
        </w:tc>
      </w:tr>
      <w:tr w:rsidR="009F01D8" w:rsidRPr="00D76748" w14:paraId="1ADAEDB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56F3C6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34</w:t>
            </w:r>
          </w:p>
        </w:tc>
        <w:tc>
          <w:tcPr>
            <w:tcW w:w="0" w:type="auto"/>
            <w:tcBorders>
              <w:top w:val="single" w:sz="4" w:space="0" w:color="000000"/>
              <w:left w:val="single" w:sz="4" w:space="0" w:color="000000"/>
              <w:bottom w:val="single" w:sz="4" w:space="0" w:color="000000"/>
              <w:right w:val="single" w:sz="4" w:space="0" w:color="000000"/>
            </w:tcBorders>
            <w:hideMark/>
          </w:tcPr>
          <w:p w14:paraId="676DDBF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32 not 33</w:t>
            </w:r>
          </w:p>
        </w:tc>
        <w:tc>
          <w:tcPr>
            <w:tcW w:w="0" w:type="auto"/>
            <w:tcBorders>
              <w:top w:val="single" w:sz="4" w:space="0" w:color="000000"/>
              <w:left w:val="single" w:sz="4" w:space="0" w:color="000000"/>
              <w:bottom w:val="single" w:sz="4" w:space="0" w:color="000000"/>
              <w:right w:val="single" w:sz="4" w:space="0" w:color="000000"/>
            </w:tcBorders>
            <w:hideMark/>
          </w:tcPr>
          <w:p w14:paraId="7C9C7FA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674399</w:t>
            </w:r>
          </w:p>
        </w:tc>
      </w:tr>
      <w:tr w:rsidR="009F01D8" w:rsidRPr="00D76748" w14:paraId="184CA58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BDF0FB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w:t>
            </w:r>
          </w:p>
        </w:tc>
        <w:tc>
          <w:tcPr>
            <w:tcW w:w="0" w:type="auto"/>
            <w:tcBorders>
              <w:top w:val="single" w:sz="4" w:space="0" w:color="000000"/>
              <w:left w:val="single" w:sz="4" w:space="0" w:color="000000"/>
              <w:bottom w:val="single" w:sz="4" w:space="0" w:color="000000"/>
              <w:right w:val="single" w:sz="4" w:space="0" w:color="000000"/>
            </w:tcBorders>
            <w:hideMark/>
          </w:tcPr>
          <w:p w14:paraId="176A2E0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Cohort analysis/</w:t>
            </w:r>
          </w:p>
        </w:tc>
        <w:tc>
          <w:tcPr>
            <w:tcW w:w="0" w:type="auto"/>
            <w:tcBorders>
              <w:top w:val="single" w:sz="4" w:space="0" w:color="000000"/>
              <w:left w:val="single" w:sz="4" w:space="0" w:color="000000"/>
              <w:bottom w:val="single" w:sz="4" w:space="0" w:color="000000"/>
              <w:right w:val="single" w:sz="4" w:space="0" w:color="000000"/>
            </w:tcBorders>
            <w:hideMark/>
          </w:tcPr>
          <w:p w14:paraId="5F74A0E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687697</w:t>
            </w:r>
          </w:p>
        </w:tc>
      </w:tr>
      <w:tr w:rsidR="009F01D8" w:rsidRPr="00D76748" w14:paraId="03BC621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F76814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36</w:t>
            </w:r>
          </w:p>
        </w:tc>
        <w:tc>
          <w:tcPr>
            <w:tcW w:w="0" w:type="auto"/>
            <w:tcBorders>
              <w:top w:val="single" w:sz="4" w:space="0" w:color="000000"/>
              <w:left w:val="single" w:sz="4" w:space="0" w:color="000000"/>
              <w:bottom w:val="single" w:sz="4" w:space="0" w:color="000000"/>
              <w:right w:val="single" w:sz="4" w:space="0" w:color="000000"/>
            </w:tcBorders>
            <w:hideMark/>
          </w:tcPr>
          <w:p w14:paraId="1049A5A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cohort analy$.tw.</w:t>
            </w:r>
          </w:p>
        </w:tc>
        <w:tc>
          <w:tcPr>
            <w:tcW w:w="0" w:type="auto"/>
            <w:tcBorders>
              <w:top w:val="single" w:sz="4" w:space="0" w:color="000000"/>
              <w:left w:val="single" w:sz="4" w:space="0" w:color="000000"/>
              <w:bottom w:val="single" w:sz="4" w:space="0" w:color="000000"/>
              <w:right w:val="single" w:sz="4" w:space="0" w:color="000000"/>
            </w:tcBorders>
            <w:hideMark/>
          </w:tcPr>
          <w:p w14:paraId="7465E2D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14572</w:t>
            </w:r>
          </w:p>
        </w:tc>
      </w:tr>
      <w:tr w:rsidR="009F01D8" w:rsidRPr="00D76748" w14:paraId="48C12D3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0CF73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37</w:t>
            </w:r>
          </w:p>
        </w:tc>
        <w:tc>
          <w:tcPr>
            <w:tcW w:w="0" w:type="auto"/>
            <w:tcBorders>
              <w:top w:val="single" w:sz="4" w:space="0" w:color="000000"/>
              <w:left w:val="single" w:sz="4" w:space="0" w:color="000000"/>
              <w:bottom w:val="single" w:sz="4" w:space="0" w:color="000000"/>
              <w:right w:val="single" w:sz="4" w:space="0" w:color="000000"/>
            </w:tcBorders>
            <w:hideMark/>
          </w:tcPr>
          <w:p w14:paraId="2575869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(Cohort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8B87DD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342114</w:t>
            </w:r>
          </w:p>
        </w:tc>
      </w:tr>
      <w:tr w:rsidR="009F01D8" w:rsidRPr="00D76748" w14:paraId="16E1771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5EFD3E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38</w:t>
            </w:r>
          </w:p>
        </w:tc>
        <w:tc>
          <w:tcPr>
            <w:tcW w:w="0" w:type="auto"/>
            <w:tcBorders>
              <w:top w:val="single" w:sz="4" w:space="0" w:color="000000"/>
              <w:left w:val="single" w:sz="4" w:space="0" w:color="000000"/>
              <w:bottom w:val="single" w:sz="4" w:space="0" w:color="000000"/>
              <w:right w:val="single" w:sz="4" w:space="0" w:color="000000"/>
            </w:tcBorders>
            <w:hideMark/>
          </w:tcPr>
          <w:p w14:paraId="4CA1C8C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(Case control$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5A004B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147652</w:t>
            </w:r>
          </w:p>
        </w:tc>
      </w:tr>
      <w:tr w:rsidR="009F01D8" w:rsidRPr="00D76748" w14:paraId="10DA681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2A3419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39</w:t>
            </w:r>
          </w:p>
        </w:tc>
        <w:tc>
          <w:tcPr>
            <w:tcW w:w="0" w:type="auto"/>
            <w:tcBorders>
              <w:top w:val="single" w:sz="4" w:space="0" w:color="000000"/>
              <w:left w:val="single" w:sz="4" w:space="0" w:color="000000"/>
              <w:bottom w:val="single" w:sz="4" w:space="0" w:color="000000"/>
              <w:right w:val="single" w:sz="4" w:space="0" w:color="000000"/>
            </w:tcBorders>
            <w:hideMark/>
          </w:tcPr>
          <w:p w14:paraId="2C19191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follow</w:t>
            </w:r>
            <w:proofErr w:type="gramEnd"/>
            <w:r w:rsidRPr="00D76748">
              <w:rPr>
                <w:rFonts w:asciiTheme="majorBidi" w:hAnsiTheme="majorBidi" w:cstheme="majorBidi"/>
                <w:color w:val="000000"/>
                <w:sz w:val="22"/>
                <w:szCs w:val="22"/>
                <w:lang w:eastAsia="en-US"/>
              </w:rPr>
              <w:t xml:space="preserve"> up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9E3BD1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66592</w:t>
            </w:r>
          </w:p>
        </w:tc>
      </w:tr>
      <w:tr w:rsidR="009F01D8" w:rsidRPr="00D76748" w14:paraId="34564B3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5D6EA9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w:t>
            </w:r>
          </w:p>
        </w:tc>
        <w:tc>
          <w:tcPr>
            <w:tcW w:w="0" w:type="auto"/>
            <w:tcBorders>
              <w:top w:val="single" w:sz="4" w:space="0" w:color="000000"/>
              <w:left w:val="single" w:sz="4" w:space="0" w:color="000000"/>
              <w:bottom w:val="single" w:sz="4" w:space="0" w:color="000000"/>
              <w:right w:val="single" w:sz="4" w:space="0" w:color="000000"/>
            </w:tcBorders>
            <w:hideMark/>
          </w:tcPr>
          <w:p w14:paraId="40F2158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observational</w:t>
            </w:r>
            <w:proofErr w:type="gram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2305C6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190068</w:t>
            </w:r>
          </w:p>
        </w:tc>
      </w:tr>
      <w:tr w:rsidR="009F01D8" w:rsidRPr="00D76748" w14:paraId="1EB400A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8F53D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41</w:t>
            </w:r>
          </w:p>
        </w:tc>
        <w:tc>
          <w:tcPr>
            <w:tcW w:w="0" w:type="auto"/>
            <w:tcBorders>
              <w:top w:val="single" w:sz="4" w:space="0" w:color="000000"/>
              <w:left w:val="single" w:sz="4" w:space="0" w:color="000000"/>
              <w:bottom w:val="single" w:sz="4" w:space="0" w:color="000000"/>
              <w:right w:val="single" w:sz="4" w:space="0" w:color="000000"/>
            </w:tcBorders>
            <w:hideMark/>
          </w:tcPr>
          <w:p w14:paraId="2E9146E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(epidemiologic$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65A3BC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111957</w:t>
            </w:r>
          </w:p>
        </w:tc>
      </w:tr>
      <w:tr w:rsidR="009F01D8" w:rsidRPr="00D76748" w14:paraId="29C02A3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A8B06A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42</w:t>
            </w:r>
          </w:p>
        </w:tc>
        <w:tc>
          <w:tcPr>
            <w:tcW w:w="0" w:type="auto"/>
            <w:tcBorders>
              <w:top w:val="single" w:sz="4" w:space="0" w:color="000000"/>
              <w:left w:val="single" w:sz="4" w:space="0" w:color="000000"/>
              <w:bottom w:val="single" w:sz="4" w:space="0" w:color="000000"/>
              <w:right w:val="single" w:sz="4" w:space="0" w:color="000000"/>
            </w:tcBorders>
            <w:hideMark/>
          </w:tcPr>
          <w:p w14:paraId="428BF12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cross</w:t>
            </w:r>
            <w:proofErr w:type="gramEnd"/>
            <w:r w:rsidRPr="00D76748">
              <w:rPr>
                <w:rFonts w:asciiTheme="majorBidi" w:hAnsiTheme="majorBidi" w:cstheme="majorBidi"/>
                <w:color w:val="000000"/>
                <w:sz w:val="22"/>
                <w:szCs w:val="22"/>
                <w:lang w:eastAsia="en-US"/>
              </w:rPr>
              <w:t xml:space="preserve"> sectional </w:t>
            </w:r>
            <w:proofErr w:type="spellStart"/>
            <w:r w:rsidRPr="00D76748">
              <w:rPr>
                <w:rFonts w:asciiTheme="majorBidi" w:hAnsiTheme="majorBidi" w:cstheme="majorBidi"/>
                <w:color w:val="000000"/>
                <w:sz w:val="22"/>
                <w:szCs w:val="22"/>
                <w:lang w:eastAsia="en-US"/>
              </w:rPr>
              <w:t>adj</w:t>
            </w:r>
            <w:proofErr w:type="spellEnd"/>
            <w:r w:rsidRPr="00D76748">
              <w:rPr>
                <w:rFonts w:asciiTheme="majorBidi" w:hAnsiTheme="majorBidi" w:cstheme="majorBidi"/>
                <w:color w:val="000000"/>
                <w:sz w:val="22"/>
                <w:szCs w:val="22"/>
                <w:lang w:eastAsia="en-US"/>
              </w:rPr>
              <w:t xml:space="preserve"> (study or studies)).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DAFBBB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251201</w:t>
            </w:r>
          </w:p>
        </w:tc>
      </w:tr>
      <w:tr w:rsidR="009F01D8" w:rsidRPr="00D76748" w14:paraId="28EDA64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C1FC98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43</w:t>
            </w:r>
          </w:p>
        </w:tc>
        <w:tc>
          <w:tcPr>
            <w:tcW w:w="0" w:type="auto"/>
            <w:tcBorders>
              <w:top w:val="single" w:sz="4" w:space="0" w:color="000000"/>
              <w:left w:val="single" w:sz="4" w:space="0" w:color="000000"/>
              <w:bottom w:val="single" w:sz="4" w:space="0" w:color="000000"/>
              <w:right w:val="single" w:sz="4" w:space="0" w:color="000000"/>
            </w:tcBorders>
            <w:hideMark/>
          </w:tcPr>
          <w:p w14:paraId="7A82580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case series.tw.</w:t>
            </w:r>
          </w:p>
        </w:tc>
        <w:tc>
          <w:tcPr>
            <w:tcW w:w="0" w:type="auto"/>
            <w:tcBorders>
              <w:top w:val="single" w:sz="4" w:space="0" w:color="000000"/>
              <w:left w:val="single" w:sz="4" w:space="0" w:color="000000"/>
              <w:bottom w:val="single" w:sz="4" w:space="0" w:color="000000"/>
              <w:right w:val="single" w:sz="4" w:space="0" w:color="000000"/>
            </w:tcBorders>
            <w:hideMark/>
          </w:tcPr>
          <w:p w14:paraId="7578735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115673</w:t>
            </w:r>
          </w:p>
        </w:tc>
      </w:tr>
      <w:tr w:rsidR="009F01D8" w:rsidRPr="00D76748" w14:paraId="714D874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00FB06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44</w:t>
            </w:r>
          </w:p>
        </w:tc>
        <w:tc>
          <w:tcPr>
            <w:tcW w:w="0" w:type="auto"/>
            <w:tcBorders>
              <w:top w:val="single" w:sz="4" w:space="0" w:color="000000"/>
              <w:left w:val="single" w:sz="4" w:space="0" w:color="000000"/>
              <w:bottom w:val="single" w:sz="4" w:space="0" w:color="000000"/>
              <w:right w:val="single" w:sz="4" w:space="0" w:color="000000"/>
            </w:tcBorders>
            <w:hideMark/>
          </w:tcPr>
          <w:p w14:paraId="34EF406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prospective.tw.</w:t>
            </w:r>
          </w:p>
        </w:tc>
        <w:tc>
          <w:tcPr>
            <w:tcW w:w="0" w:type="auto"/>
            <w:tcBorders>
              <w:top w:val="single" w:sz="4" w:space="0" w:color="000000"/>
              <w:left w:val="single" w:sz="4" w:space="0" w:color="000000"/>
              <w:bottom w:val="single" w:sz="4" w:space="0" w:color="000000"/>
              <w:right w:val="single" w:sz="4" w:space="0" w:color="000000"/>
            </w:tcBorders>
            <w:hideMark/>
          </w:tcPr>
          <w:p w14:paraId="59857E5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927526</w:t>
            </w:r>
          </w:p>
        </w:tc>
      </w:tr>
      <w:tr w:rsidR="009F01D8" w:rsidRPr="00D76748" w14:paraId="27F8F84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64CAD2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45</w:t>
            </w:r>
          </w:p>
        </w:tc>
        <w:tc>
          <w:tcPr>
            <w:tcW w:w="0" w:type="auto"/>
            <w:tcBorders>
              <w:top w:val="single" w:sz="4" w:space="0" w:color="000000"/>
              <w:left w:val="single" w:sz="4" w:space="0" w:color="000000"/>
              <w:bottom w:val="single" w:sz="4" w:space="0" w:color="000000"/>
              <w:right w:val="single" w:sz="4" w:space="0" w:color="000000"/>
            </w:tcBorders>
            <w:hideMark/>
          </w:tcPr>
          <w:p w14:paraId="069B87B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retrospective.tw.</w:t>
            </w:r>
          </w:p>
        </w:tc>
        <w:tc>
          <w:tcPr>
            <w:tcW w:w="0" w:type="auto"/>
            <w:tcBorders>
              <w:top w:val="single" w:sz="4" w:space="0" w:color="000000"/>
              <w:left w:val="single" w:sz="4" w:space="0" w:color="000000"/>
              <w:bottom w:val="single" w:sz="4" w:space="0" w:color="000000"/>
              <w:right w:val="single" w:sz="4" w:space="0" w:color="000000"/>
            </w:tcBorders>
            <w:hideMark/>
          </w:tcPr>
          <w:p w14:paraId="17B2231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980960</w:t>
            </w:r>
          </w:p>
        </w:tc>
      </w:tr>
      <w:tr w:rsidR="009F01D8" w:rsidRPr="00D76748" w14:paraId="5A6E34A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558B9B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46</w:t>
            </w:r>
          </w:p>
        </w:tc>
        <w:tc>
          <w:tcPr>
            <w:tcW w:w="0" w:type="auto"/>
            <w:tcBorders>
              <w:top w:val="single" w:sz="4" w:space="0" w:color="000000"/>
              <w:left w:val="single" w:sz="4" w:space="0" w:color="000000"/>
              <w:bottom w:val="single" w:sz="4" w:space="0" w:color="000000"/>
              <w:right w:val="single" w:sz="4" w:space="0" w:color="000000"/>
            </w:tcBorders>
            <w:hideMark/>
          </w:tcPr>
          <w:p w14:paraId="07D9951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or/26-31,34-45</w:t>
            </w:r>
          </w:p>
        </w:tc>
        <w:tc>
          <w:tcPr>
            <w:tcW w:w="0" w:type="auto"/>
            <w:tcBorders>
              <w:top w:val="single" w:sz="4" w:space="0" w:color="000000"/>
              <w:left w:val="single" w:sz="4" w:space="0" w:color="000000"/>
              <w:bottom w:val="single" w:sz="4" w:space="0" w:color="000000"/>
              <w:right w:val="single" w:sz="4" w:space="0" w:color="000000"/>
            </w:tcBorders>
            <w:hideMark/>
          </w:tcPr>
          <w:p w14:paraId="41399DF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4350379</w:t>
            </w:r>
          </w:p>
        </w:tc>
      </w:tr>
      <w:tr w:rsidR="009F01D8" w:rsidRPr="00D76748" w14:paraId="71BEE86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0E679F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47</w:t>
            </w:r>
          </w:p>
        </w:tc>
        <w:tc>
          <w:tcPr>
            <w:tcW w:w="0" w:type="auto"/>
            <w:tcBorders>
              <w:top w:val="single" w:sz="4" w:space="0" w:color="000000"/>
              <w:left w:val="single" w:sz="4" w:space="0" w:color="000000"/>
              <w:bottom w:val="single" w:sz="4" w:space="0" w:color="000000"/>
              <w:right w:val="single" w:sz="4" w:space="0" w:color="000000"/>
            </w:tcBorders>
            <w:hideMark/>
          </w:tcPr>
          <w:p w14:paraId="34E1619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("phase 3" or "phase three").</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5693FB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43241</w:t>
            </w:r>
          </w:p>
        </w:tc>
      </w:tr>
      <w:tr w:rsidR="009F01D8" w:rsidRPr="00D76748" w14:paraId="08954F9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3E5F6A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w:t>
            </w:r>
          </w:p>
        </w:tc>
        <w:tc>
          <w:tcPr>
            <w:tcW w:w="0" w:type="auto"/>
            <w:tcBorders>
              <w:top w:val="single" w:sz="4" w:space="0" w:color="000000"/>
              <w:left w:val="single" w:sz="4" w:space="0" w:color="000000"/>
              <w:bottom w:val="single" w:sz="4" w:space="0" w:color="000000"/>
              <w:right w:val="single" w:sz="4" w:space="0" w:color="000000"/>
            </w:tcBorders>
            <w:hideMark/>
          </w:tcPr>
          <w:p w14:paraId="68354D7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 or 46 or 47</w:t>
            </w:r>
          </w:p>
        </w:tc>
        <w:tc>
          <w:tcPr>
            <w:tcW w:w="0" w:type="auto"/>
            <w:tcBorders>
              <w:top w:val="single" w:sz="4" w:space="0" w:color="000000"/>
              <w:left w:val="single" w:sz="4" w:space="0" w:color="000000"/>
              <w:bottom w:val="single" w:sz="4" w:space="0" w:color="000000"/>
              <w:right w:val="single" w:sz="4" w:space="0" w:color="000000"/>
            </w:tcBorders>
            <w:hideMark/>
          </w:tcPr>
          <w:p w14:paraId="5FE8FF4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5859476</w:t>
            </w:r>
          </w:p>
        </w:tc>
      </w:tr>
      <w:tr w:rsidR="009F01D8" w:rsidRPr="00D76748" w14:paraId="625AF17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31AE1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w:t>
            </w:r>
          </w:p>
        </w:tc>
        <w:tc>
          <w:tcPr>
            <w:tcW w:w="0" w:type="auto"/>
            <w:tcBorders>
              <w:top w:val="single" w:sz="4" w:space="0" w:color="000000"/>
              <w:left w:val="single" w:sz="4" w:space="0" w:color="000000"/>
              <w:bottom w:val="single" w:sz="4" w:space="0" w:color="000000"/>
              <w:right w:val="single" w:sz="4" w:space="0" w:color="000000"/>
            </w:tcBorders>
            <w:hideMark/>
          </w:tcPr>
          <w:p w14:paraId="1943BB1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 and 48</w:t>
            </w:r>
          </w:p>
        </w:tc>
        <w:tc>
          <w:tcPr>
            <w:tcW w:w="0" w:type="auto"/>
            <w:tcBorders>
              <w:top w:val="single" w:sz="4" w:space="0" w:color="000000"/>
              <w:left w:val="single" w:sz="4" w:space="0" w:color="000000"/>
              <w:bottom w:val="single" w:sz="4" w:space="0" w:color="000000"/>
              <w:right w:val="single" w:sz="4" w:space="0" w:color="000000"/>
            </w:tcBorders>
            <w:hideMark/>
          </w:tcPr>
          <w:p w14:paraId="566E590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358</w:t>
            </w:r>
          </w:p>
        </w:tc>
      </w:tr>
      <w:tr w:rsidR="009F01D8" w:rsidRPr="00D76748" w14:paraId="71DF8A5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5EDF60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50</w:t>
            </w:r>
          </w:p>
        </w:tc>
        <w:tc>
          <w:tcPr>
            <w:tcW w:w="0" w:type="auto"/>
            <w:tcBorders>
              <w:top w:val="single" w:sz="4" w:space="0" w:color="000000"/>
              <w:left w:val="single" w:sz="4" w:space="0" w:color="000000"/>
              <w:bottom w:val="single" w:sz="4" w:space="0" w:color="000000"/>
              <w:right w:val="single" w:sz="4" w:space="0" w:color="000000"/>
            </w:tcBorders>
            <w:hideMark/>
          </w:tcPr>
          <w:p w14:paraId="2503A92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oxa</w:t>
            </w:r>
            <w:proofErr w:type="spellEnd"/>
            <w:r w:rsidRPr="00D76748">
              <w:rPr>
                <w:rFonts w:asciiTheme="majorBidi" w:hAnsiTheme="majorBidi" w:cstheme="majorBidi"/>
                <w:color w:val="000000"/>
                <w:sz w:val="22"/>
                <w:szCs w:val="22"/>
                <w:lang w:eastAsia="en-US"/>
              </w:rPr>
              <w:t xml:space="preserve"> 48" or oxacillinase-48 or "oxacillinase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87C413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1508</w:t>
            </w:r>
          </w:p>
        </w:tc>
      </w:tr>
      <w:tr w:rsidR="009F01D8" w:rsidRPr="00D76748" w14:paraId="2FC415C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CBFD6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51</w:t>
            </w:r>
          </w:p>
        </w:tc>
        <w:tc>
          <w:tcPr>
            <w:tcW w:w="0" w:type="auto"/>
            <w:tcBorders>
              <w:top w:val="single" w:sz="4" w:space="0" w:color="000000"/>
              <w:left w:val="single" w:sz="4" w:space="0" w:color="000000"/>
              <w:bottom w:val="single" w:sz="4" w:space="0" w:color="000000"/>
              <w:right w:val="single" w:sz="4" w:space="0" w:color="000000"/>
            </w:tcBorders>
            <w:hideMark/>
          </w:tcPr>
          <w:p w14:paraId="57C46C2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(antibiotic* or </w:t>
            </w:r>
            <w:proofErr w:type="spellStart"/>
            <w:r w:rsidRPr="00D76748">
              <w:rPr>
                <w:rFonts w:asciiTheme="majorBidi" w:hAnsiTheme="majorBidi" w:cstheme="majorBidi"/>
                <w:color w:val="000000"/>
                <w:sz w:val="22"/>
                <w:szCs w:val="22"/>
                <w:lang w:eastAsia="en-US"/>
              </w:rPr>
              <w:t>antimicrob</w:t>
            </w:r>
            <w:proofErr w:type="spellEnd"/>
            <w:r w:rsidRPr="00D76748">
              <w:rPr>
                <w:rFonts w:asciiTheme="majorBidi" w:hAnsiTheme="majorBidi" w:cstheme="majorBidi"/>
                <w:color w:val="000000"/>
                <w:sz w:val="22"/>
                <w:szCs w:val="22"/>
                <w:lang w:eastAsia="en-US"/>
              </w:rPr>
              <w:t>* or anti-</w:t>
            </w:r>
            <w:proofErr w:type="spellStart"/>
            <w:r w:rsidRPr="00D76748">
              <w:rPr>
                <w:rFonts w:asciiTheme="majorBidi" w:hAnsiTheme="majorBidi" w:cstheme="majorBidi"/>
                <w:color w:val="000000"/>
                <w:sz w:val="22"/>
                <w:szCs w:val="22"/>
                <w:lang w:eastAsia="en-US"/>
              </w:rPr>
              <w:t>microb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antibact</w:t>
            </w:r>
            <w:proofErr w:type="spellEnd"/>
            <w:r w:rsidRPr="00D76748">
              <w:rPr>
                <w:rFonts w:asciiTheme="majorBidi" w:hAnsiTheme="majorBidi" w:cstheme="majorBidi"/>
                <w:color w:val="000000"/>
                <w:sz w:val="22"/>
                <w:szCs w:val="22"/>
                <w:lang w:eastAsia="en-US"/>
              </w:rPr>
              <w:t>* or anti-</w:t>
            </w:r>
            <w:proofErr w:type="spellStart"/>
            <w:r w:rsidRPr="00D76748">
              <w:rPr>
                <w:rFonts w:asciiTheme="majorBidi" w:hAnsiTheme="majorBidi" w:cstheme="majorBidi"/>
                <w:color w:val="000000"/>
                <w:sz w:val="22"/>
                <w:szCs w:val="22"/>
                <w:lang w:eastAsia="en-US"/>
              </w:rPr>
              <w:t>bacter</w:t>
            </w:r>
            <w:proofErr w:type="spellEnd"/>
            <w:r w:rsidRPr="00D76748">
              <w:rPr>
                <w:rFonts w:asciiTheme="majorBidi" w:hAnsiTheme="majorBidi" w:cstheme="majorBidi"/>
                <w:color w:val="000000"/>
                <w:sz w:val="22"/>
                <w:szCs w:val="22"/>
                <w:lang w:eastAsia="en-US"/>
              </w:rPr>
              <w:t>* or "in vitro").</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575B59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2208761</w:t>
            </w:r>
          </w:p>
        </w:tc>
      </w:tr>
      <w:tr w:rsidR="009F01D8" w:rsidRPr="00D76748" w14:paraId="78E3F84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0846EC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52</w:t>
            </w:r>
          </w:p>
        </w:tc>
        <w:tc>
          <w:tcPr>
            <w:tcW w:w="0" w:type="auto"/>
            <w:tcBorders>
              <w:top w:val="single" w:sz="4" w:space="0" w:color="000000"/>
              <w:left w:val="single" w:sz="4" w:space="0" w:color="000000"/>
              <w:bottom w:val="single" w:sz="4" w:space="0" w:color="000000"/>
              <w:right w:val="single" w:sz="4" w:space="0" w:color="000000"/>
            </w:tcBorders>
            <w:hideMark/>
          </w:tcPr>
          <w:p w14:paraId="439A88F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susceptib</w:t>
            </w:r>
            <w:proofErr w:type="spellEnd"/>
            <w:r w:rsidRPr="00D76748">
              <w:rPr>
                <w:rFonts w:asciiTheme="majorBidi" w:hAnsiTheme="majorBidi" w:cstheme="majorBidi"/>
                <w:color w:val="000000"/>
                <w:sz w:val="22"/>
                <w:szCs w:val="22"/>
                <w:lang w:eastAsia="en-US"/>
              </w:rPr>
              <w:t xml:space="preserve">* or "minimum inhibitory concentration" or </w:t>
            </w:r>
            <w:proofErr w:type="spellStart"/>
            <w:r w:rsidRPr="00D76748">
              <w:rPr>
                <w:rFonts w:asciiTheme="majorBidi" w:hAnsiTheme="majorBidi" w:cstheme="majorBidi"/>
                <w:color w:val="000000"/>
                <w:sz w:val="22"/>
                <w:szCs w:val="22"/>
                <w:lang w:eastAsia="en-US"/>
              </w:rPr>
              <w:t>sensitiv</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resistan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activ</w:t>
            </w:r>
            <w:proofErr w:type="spellEnd"/>
            <w:r w:rsidRPr="00D76748">
              <w:rPr>
                <w:rFonts w:asciiTheme="majorBidi" w:hAnsiTheme="majorBidi" w:cstheme="majorBidi"/>
                <w:color w:val="000000"/>
                <w:sz w:val="22"/>
                <w:szCs w:val="22"/>
                <w:lang w:eastAsia="en-US"/>
              </w:rPr>
              <w:t>* or isolate or isolates).</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A84EF7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8842097</w:t>
            </w:r>
          </w:p>
        </w:tc>
      </w:tr>
      <w:tr w:rsidR="009F01D8" w:rsidRPr="00D76748" w14:paraId="321649A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CB9B22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53</w:t>
            </w:r>
          </w:p>
        </w:tc>
        <w:tc>
          <w:tcPr>
            <w:tcW w:w="0" w:type="auto"/>
            <w:tcBorders>
              <w:top w:val="single" w:sz="4" w:space="0" w:color="000000"/>
              <w:left w:val="single" w:sz="4" w:space="0" w:color="000000"/>
              <w:bottom w:val="single" w:sz="4" w:space="0" w:color="000000"/>
              <w:right w:val="single" w:sz="4" w:space="0" w:color="000000"/>
            </w:tcBorders>
            <w:hideMark/>
          </w:tcPr>
          <w:p w14:paraId="5AF3AE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51 and 52</w:t>
            </w:r>
          </w:p>
        </w:tc>
        <w:tc>
          <w:tcPr>
            <w:tcW w:w="0" w:type="auto"/>
            <w:tcBorders>
              <w:top w:val="single" w:sz="4" w:space="0" w:color="000000"/>
              <w:left w:val="single" w:sz="4" w:space="0" w:color="000000"/>
              <w:bottom w:val="single" w:sz="4" w:space="0" w:color="000000"/>
              <w:right w:val="single" w:sz="4" w:space="0" w:color="000000"/>
            </w:tcBorders>
            <w:hideMark/>
          </w:tcPr>
          <w:p w14:paraId="517935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1221015</w:t>
            </w:r>
          </w:p>
        </w:tc>
      </w:tr>
      <w:tr w:rsidR="009F01D8" w:rsidRPr="00D76748" w14:paraId="7DC13ED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C15020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54</w:t>
            </w:r>
          </w:p>
        </w:tc>
        <w:tc>
          <w:tcPr>
            <w:tcW w:w="0" w:type="auto"/>
            <w:tcBorders>
              <w:top w:val="single" w:sz="4" w:space="0" w:color="000000"/>
              <w:left w:val="single" w:sz="4" w:space="0" w:color="000000"/>
              <w:bottom w:val="single" w:sz="4" w:space="0" w:color="000000"/>
              <w:right w:val="single" w:sz="4" w:space="0" w:color="000000"/>
            </w:tcBorders>
            <w:hideMark/>
          </w:tcPr>
          <w:p w14:paraId="6CFBCFB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 and 50 and 53</w:t>
            </w:r>
          </w:p>
        </w:tc>
        <w:tc>
          <w:tcPr>
            <w:tcW w:w="0" w:type="auto"/>
            <w:tcBorders>
              <w:top w:val="single" w:sz="4" w:space="0" w:color="000000"/>
              <w:left w:val="single" w:sz="4" w:space="0" w:color="000000"/>
              <w:bottom w:val="single" w:sz="4" w:space="0" w:color="000000"/>
              <w:right w:val="single" w:sz="4" w:space="0" w:color="000000"/>
            </w:tcBorders>
            <w:hideMark/>
          </w:tcPr>
          <w:p w14:paraId="135D4F8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90</w:t>
            </w:r>
          </w:p>
        </w:tc>
      </w:tr>
      <w:tr w:rsidR="009F01D8" w:rsidRPr="00D76748" w14:paraId="72AB15E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995AD6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14:paraId="7E2A31D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49 or 54</w:t>
            </w:r>
          </w:p>
        </w:tc>
        <w:tc>
          <w:tcPr>
            <w:tcW w:w="0" w:type="auto"/>
            <w:tcBorders>
              <w:top w:val="single" w:sz="4" w:space="0" w:color="000000"/>
              <w:left w:val="single" w:sz="4" w:space="0" w:color="000000"/>
              <w:bottom w:val="single" w:sz="4" w:space="0" w:color="000000"/>
              <w:right w:val="single" w:sz="4" w:space="0" w:color="000000"/>
            </w:tcBorders>
            <w:hideMark/>
          </w:tcPr>
          <w:p w14:paraId="33C6F4D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424</w:t>
            </w:r>
          </w:p>
        </w:tc>
      </w:tr>
    </w:tbl>
    <w:p w14:paraId="2873EAD4" w14:textId="77777777" w:rsidR="009F01D8" w:rsidRDefault="009F01D8" w:rsidP="009F01D8">
      <w:pPr>
        <w:jc w:val="both"/>
        <w:rPr>
          <w:rFonts w:asciiTheme="majorBidi" w:hAnsiTheme="majorBidi" w:cstheme="majorBidi"/>
        </w:rPr>
      </w:pPr>
    </w:p>
    <w:p w14:paraId="02048B94" w14:textId="01078C80" w:rsidR="009F01D8" w:rsidRPr="002E4F02" w:rsidRDefault="00C33621" w:rsidP="00D76748">
      <w:pPr>
        <w:pStyle w:val="Heading4"/>
        <w:tabs>
          <w:tab w:val="left" w:pos="1418"/>
        </w:tabs>
        <w:rPr>
          <w:rFonts w:asciiTheme="majorBidi" w:hAnsiTheme="majorBidi"/>
          <w:b/>
          <w:bCs/>
          <w:i w:val="0"/>
          <w:iCs w:val="0"/>
          <w:color w:val="auto"/>
          <w:sz w:val="26"/>
          <w:szCs w:val="26"/>
        </w:rPr>
      </w:pPr>
      <w:bookmarkStart w:id="592" w:name="_Toc77940607"/>
      <w:bookmarkStart w:id="593" w:name="_Toc77940972"/>
      <w:bookmarkStart w:id="594" w:name="_Toc77952414"/>
      <w:r>
        <w:rPr>
          <w:rFonts w:asciiTheme="majorBidi" w:hAnsiTheme="majorBidi"/>
          <w:b/>
          <w:bCs/>
          <w:i w:val="0"/>
          <w:iCs w:val="0"/>
          <w:color w:val="auto"/>
        </w:rPr>
        <w:lastRenderedPageBreak/>
        <w:tab/>
      </w:r>
      <w:r>
        <w:rPr>
          <w:rFonts w:asciiTheme="majorBidi" w:hAnsiTheme="majorBidi"/>
          <w:b/>
          <w:bCs/>
          <w:i w:val="0"/>
          <w:iCs w:val="0"/>
          <w:color w:val="auto"/>
        </w:rPr>
        <w:tab/>
      </w:r>
      <w:r w:rsidR="009F01D8" w:rsidRPr="002E4F02">
        <w:rPr>
          <w:rFonts w:asciiTheme="majorBidi" w:hAnsiTheme="majorBidi"/>
          <w:b/>
          <w:bCs/>
          <w:i w:val="0"/>
          <w:iCs w:val="0"/>
          <w:color w:val="auto"/>
          <w:sz w:val="26"/>
          <w:szCs w:val="26"/>
        </w:rPr>
        <w:t>A1.1.3 First iteration of the susceptibility searches</w:t>
      </w:r>
      <w:bookmarkEnd w:id="592"/>
      <w:bookmarkEnd w:id="593"/>
      <w:bookmarkEnd w:id="594"/>
    </w:p>
    <w:p w14:paraId="036B67F7" w14:textId="77777777" w:rsidR="009F01D8" w:rsidRDefault="009F01D8" w:rsidP="009F01D8">
      <w:pPr>
        <w:jc w:val="both"/>
        <w:rPr>
          <w:rFonts w:asciiTheme="majorBidi" w:hAnsiTheme="majorBidi" w:cstheme="majorBidi"/>
        </w:rPr>
      </w:pPr>
    </w:p>
    <w:p w14:paraId="4A800EE0"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Term group(s): CAZ/AVI AND UK filter AND (broader OXA-48 [statements 11 &amp; 12] OR antimicrobial susceptibility [statement 27])</w:t>
      </w:r>
    </w:p>
    <w:p w14:paraId="2DC79549"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Filters: UK</w:t>
      </w:r>
    </w:p>
    <w:p w14:paraId="5CB6EDFB"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Limits: None</w:t>
      </w:r>
    </w:p>
    <w:p w14:paraId="70D49591" w14:textId="77777777" w:rsidR="009F01D8" w:rsidRDefault="009F01D8" w:rsidP="009F01D8">
      <w:pPr>
        <w:jc w:val="both"/>
        <w:rPr>
          <w:rFonts w:asciiTheme="majorBidi" w:hAnsiTheme="majorBidi" w:cstheme="majorBidi"/>
        </w:rPr>
      </w:pPr>
    </w:p>
    <w:p w14:paraId="267ABE49"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 xml:space="preserve">Ovid MEDLINE(R) and </w:t>
      </w:r>
      <w:proofErr w:type="spellStart"/>
      <w:r>
        <w:rPr>
          <w:rFonts w:asciiTheme="majorBidi" w:hAnsiTheme="majorBidi" w:cstheme="majorBidi"/>
          <w:b/>
          <w:bCs/>
          <w:color w:val="000000"/>
          <w:sz w:val="20"/>
          <w:szCs w:val="20"/>
        </w:rPr>
        <w:t>Epub</w:t>
      </w:r>
      <w:proofErr w:type="spellEnd"/>
      <w:r>
        <w:rPr>
          <w:rFonts w:asciiTheme="majorBidi" w:hAnsiTheme="majorBidi" w:cstheme="majorBidi"/>
          <w:b/>
          <w:bCs/>
          <w:color w:val="000000"/>
          <w:sz w:val="20"/>
          <w:szCs w:val="20"/>
        </w:rPr>
        <w:t xml:space="preserve"> Ahead of Print, In-Process, In-Data-Review &amp; Other Non-Indexed Citations, Daily and Versions(R) 1946 to May 11, 2021 (searched via the Ovid SP platform)</w:t>
      </w:r>
    </w:p>
    <w:p w14:paraId="4DE2AB7E"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12</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May 2021</w:t>
      </w:r>
    </w:p>
    <w:p w14:paraId="0BD9EABA"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7594"/>
        <w:gridCol w:w="986"/>
      </w:tblGrid>
      <w:tr w:rsidR="009F01D8" w:rsidRPr="00D76748" w14:paraId="5F59D43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20E8EE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38D09A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14B7844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2C1BB7B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42ED53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63B752C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0AEFC9C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10338</w:t>
            </w:r>
          </w:p>
        </w:tc>
      </w:tr>
      <w:tr w:rsidR="009F01D8" w:rsidRPr="00D76748" w14:paraId="62B4F62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E63058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77D8BC8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50C64E4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4079</w:t>
            </w:r>
          </w:p>
        </w:tc>
      </w:tr>
      <w:tr w:rsidR="009F01D8" w:rsidRPr="00D76748" w14:paraId="4AF56D3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353BDC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4EA59C4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4268D66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10338</w:t>
            </w:r>
          </w:p>
        </w:tc>
      </w:tr>
      <w:tr w:rsidR="009F01D8" w:rsidRPr="00D76748" w14:paraId="4D9A1AE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46B4A8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63178A7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1928CF0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1015</w:t>
            </w:r>
          </w:p>
        </w:tc>
      </w:tr>
      <w:tr w:rsidR="009F01D8" w:rsidRPr="00D76748" w14:paraId="02C1749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C07CD7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426220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4</w:t>
            </w:r>
          </w:p>
        </w:tc>
        <w:tc>
          <w:tcPr>
            <w:tcW w:w="0" w:type="auto"/>
            <w:tcBorders>
              <w:top w:val="single" w:sz="4" w:space="0" w:color="000000"/>
              <w:left w:val="single" w:sz="4" w:space="0" w:color="000000"/>
              <w:bottom w:val="single" w:sz="4" w:space="0" w:color="000000"/>
              <w:right w:val="single" w:sz="4" w:space="0" w:color="000000"/>
            </w:tcBorders>
            <w:hideMark/>
          </w:tcPr>
          <w:p w14:paraId="497759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831</w:t>
            </w:r>
          </w:p>
        </w:tc>
      </w:tr>
      <w:tr w:rsidR="009F01D8" w:rsidRPr="00D76748" w14:paraId="1E2C79E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2A2DE7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4D3D164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3B8CA89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749</w:t>
            </w:r>
          </w:p>
        </w:tc>
      </w:tr>
      <w:tr w:rsidR="009F01D8" w:rsidRPr="00D76748" w14:paraId="02FE31E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B4E677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79E42F6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41FC315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r>
      <w:tr w:rsidR="009F01D8" w:rsidRPr="00D76748" w14:paraId="5BCF6FB0"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CCDF79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34A103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200E333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r>
      <w:tr w:rsidR="009F01D8" w:rsidRPr="00D76748" w14:paraId="47CA4B0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FFCA14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59C51C87"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79E4562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68</w:t>
            </w:r>
          </w:p>
        </w:tc>
      </w:tr>
      <w:tr w:rsidR="009F01D8" w:rsidRPr="00D76748" w14:paraId="28F8D81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6ADD16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w:t>
            </w:r>
          </w:p>
        </w:tc>
        <w:tc>
          <w:tcPr>
            <w:tcW w:w="0" w:type="auto"/>
            <w:tcBorders>
              <w:top w:val="single" w:sz="4" w:space="0" w:color="000000"/>
              <w:left w:val="single" w:sz="4" w:space="0" w:color="000000"/>
              <w:bottom w:val="single" w:sz="4" w:space="0" w:color="000000"/>
              <w:right w:val="single" w:sz="4" w:space="0" w:color="000000"/>
            </w:tcBorders>
            <w:hideMark/>
          </w:tcPr>
          <w:p w14:paraId="4547C9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or/5-9</w:t>
            </w:r>
          </w:p>
        </w:tc>
        <w:tc>
          <w:tcPr>
            <w:tcW w:w="0" w:type="auto"/>
            <w:tcBorders>
              <w:top w:val="single" w:sz="4" w:space="0" w:color="000000"/>
              <w:left w:val="single" w:sz="4" w:space="0" w:color="000000"/>
              <w:bottom w:val="single" w:sz="4" w:space="0" w:color="000000"/>
              <w:right w:val="single" w:sz="4" w:space="0" w:color="000000"/>
            </w:tcBorders>
            <w:hideMark/>
          </w:tcPr>
          <w:p w14:paraId="6E03F5C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834</w:t>
            </w:r>
          </w:p>
        </w:tc>
      </w:tr>
      <w:tr w:rsidR="009F01D8" w:rsidRPr="00D76748" w14:paraId="5C4A23A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85D8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42DF99E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oxa</w:t>
            </w:r>
            <w:proofErr w:type="spellEnd"/>
            <w:r w:rsidRPr="00D76748">
              <w:rPr>
                <w:rFonts w:asciiTheme="majorBidi" w:hAnsiTheme="majorBidi" w:cstheme="majorBidi"/>
                <w:color w:val="000000"/>
                <w:sz w:val="22"/>
                <w:szCs w:val="22"/>
                <w:lang w:eastAsia="en-US"/>
              </w:rPr>
              <w:t xml:space="preserve"> 48*" or oxacillinase-48* or "oxacillinase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720B19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1233</w:t>
            </w:r>
          </w:p>
        </w:tc>
      </w:tr>
      <w:tr w:rsidR="009F01D8" w:rsidRPr="00D76748" w14:paraId="6C1136C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345CAA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477C497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blaoxa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blaoxa</w:t>
            </w:r>
            <w:proofErr w:type="spellEnd"/>
            <w:r w:rsidRPr="00D76748">
              <w:rPr>
                <w:rFonts w:asciiTheme="majorBidi" w:hAnsiTheme="majorBidi" w:cstheme="majorBidi"/>
                <w:color w:val="000000"/>
                <w:sz w:val="22"/>
                <w:szCs w:val="22"/>
                <w:lang w:eastAsia="en-US"/>
              </w:rPr>
              <w:t xml:space="preserv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61B9AE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509</w:t>
            </w:r>
          </w:p>
        </w:tc>
      </w:tr>
      <w:tr w:rsidR="009F01D8" w:rsidRPr="00D76748" w14:paraId="675C3F1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B6F3AF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14:paraId="2537263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 or 12</w:t>
            </w:r>
          </w:p>
        </w:tc>
        <w:tc>
          <w:tcPr>
            <w:tcW w:w="0" w:type="auto"/>
            <w:tcBorders>
              <w:top w:val="single" w:sz="4" w:space="0" w:color="000000"/>
              <w:left w:val="single" w:sz="4" w:space="0" w:color="000000"/>
              <w:bottom w:val="single" w:sz="4" w:space="0" w:color="000000"/>
              <w:right w:val="single" w:sz="4" w:space="0" w:color="000000"/>
            </w:tcBorders>
            <w:hideMark/>
          </w:tcPr>
          <w:p w14:paraId="4FC22D9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1569</w:t>
            </w:r>
          </w:p>
        </w:tc>
      </w:tr>
      <w:tr w:rsidR="009F01D8" w:rsidRPr="00D76748" w14:paraId="0E0E50D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8EC4C0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14:paraId="7C2CEAF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exp Great Britain/</w:t>
            </w:r>
          </w:p>
        </w:tc>
        <w:tc>
          <w:tcPr>
            <w:tcW w:w="0" w:type="auto"/>
            <w:tcBorders>
              <w:top w:val="single" w:sz="4" w:space="0" w:color="000000"/>
              <w:left w:val="single" w:sz="4" w:space="0" w:color="000000"/>
              <w:bottom w:val="single" w:sz="4" w:space="0" w:color="000000"/>
              <w:right w:val="single" w:sz="4" w:space="0" w:color="000000"/>
            </w:tcBorders>
            <w:hideMark/>
          </w:tcPr>
          <w:p w14:paraId="623E60A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373468</w:t>
            </w:r>
          </w:p>
        </w:tc>
      </w:tr>
      <w:tr w:rsidR="009F01D8" w:rsidRPr="00D76748" w14:paraId="76EE430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6410D9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18B35BD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(national health service* or </w:t>
            </w:r>
            <w:proofErr w:type="spellStart"/>
            <w:r w:rsidRPr="00D76748">
              <w:rPr>
                <w:rFonts w:asciiTheme="majorBidi" w:hAnsiTheme="majorBidi" w:cstheme="majorBidi"/>
                <w:color w:val="000000"/>
                <w:sz w:val="22"/>
                <w:szCs w:val="22"/>
                <w:lang w:eastAsia="en-US"/>
              </w:rPr>
              <w:t>nhs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33D7C00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218667</w:t>
            </w:r>
          </w:p>
        </w:tc>
      </w:tr>
      <w:tr w:rsidR="009F01D8" w:rsidRPr="00D76748" w14:paraId="1640076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D8E3AC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44710EC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english</w:t>
            </w:r>
            <w:proofErr w:type="spellEnd"/>
            <w:r w:rsidRPr="00D76748">
              <w:rPr>
                <w:rFonts w:asciiTheme="majorBidi" w:hAnsiTheme="majorBidi" w:cstheme="majorBidi"/>
                <w:color w:val="000000"/>
                <w:sz w:val="22"/>
                <w:szCs w:val="22"/>
                <w:lang w:eastAsia="en-US"/>
              </w:rPr>
              <w:t xml:space="preserve"> not ((published or publication* or </w:t>
            </w:r>
            <w:proofErr w:type="spellStart"/>
            <w:r w:rsidRPr="00D76748">
              <w:rPr>
                <w:rFonts w:asciiTheme="majorBidi" w:hAnsiTheme="majorBidi" w:cstheme="majorBidi"/>
                <w:color w:val="000000"/>
                <w:sz w:val="22"/>
                <w:szCs w:val="22"/>
                <w:lang w:eastAsia="en-US"/>
              </w:rPr>
              <w:t>translat</w:t>
            </w:r>
            <w:proofErr w:type="spellEnd"/>
            <w:r w:rsidRPr="00D76748">
              <w:rPr>
                <w:rFonts w:asciiTheme="majorBidi" w:hAnsiTheme="majorBidi" w:cstheme="majorBidi"/>
                <w:color w:val="000000"/>
                <w:sz w:val="22"/>
                <w:szCs w:val="22"/>
                <w:lang w:eastAsia="en-US"/>
              </w:rPr>
              <w:t xml:space="preserve">* or written or language* or speak* or literature or citation*) adj5 </w:t>
            </w:r>
            <w:proofErr w:type="spellStart"/>
            <w:r w:rsidRPr="00D76748">
              <w:rPr>
                <w:rFonts w:asciiTheme="majorBidi" w:hAnsiTheme="majorBidi" w:cstheme="majorBidi"/>
                <w:color w:val="000000"/>
                <w:sz w:val="22"/>
                <w:szCs w:val="22"/>
                <w:lang w:eastAsia="en-US"/>
              </w:rPr>
              <w:t>english</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0519EA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40422</w:t>
            </w:r>
          </w:p>
        </w:tc>
      </w:tr>
      <w:tr w:rsidR="009F01D8" w:rsidRPr="00D76748" w14:paraId="1B67D02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16967C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33BF9B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gb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britain</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british</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british</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columbia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uk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u.k.</w:t>
            </w:r>
            <w:proofErr w:type="spellEnd"/>
            <w:r w:rsidRPr="00D76748">
              <w:rPr>
                <w:rFonts w:asciiTheme="majorBidi" w:hAnsiTheme="majorBidi" w:cstheme="majorBidi"/>
                <w:color w:val="000000"/>
                <w:sz w:val="22"/>
                <w:szCs w:val="22"/>
                <w:lang w:eastAsia="en-US"/>
              </w:rPr>
              <w:t>" or united kingdom* or (</w:t>
            </w:r>
            <w:proofErr w:type="spellStart"/>
            <w:r w:rsidRPr="00D76748">
              <w:rPr>
                <w:rFonts w:asciiTheme="majorBidi" w:hAnsiTheme="majorBidi" w:cstheme="majorBidi"/>
                <w:color w:val="000000"/>
                <w:sz w:val="22"/>
                <w:szCs w:val="22"/>
                <w:lang w:eastAsia="en-US"/>
              </w:rPr>
              <w:t>england</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england</w:t>
            </w:r>
            <w:proofErr w:type="spellEnd"/>
            <w:r w:rsidRPr="00D76748">
              <w:rPr>
                <w:rFonts w:asciiTheme="majorBidi" w:hAnsiTheme="majorBidi" w:cstheme="majorBidi"/>
                <w:color w:val="000000"/>
                <w:sz w:val="22"/>
                <w:szCs w:val="22"/>
                <w:lang w:eastAsia="en-US"/>
              </w:rPr>
              <w:t xml:space="preserve">") or northern </w:t>
            </w:r>
            <w:proofErr w:type="spellStart"/>
            <w:r w:rsidRPr="00D76748">
              <w:rPr>
                <w:rFonts w:asciiTheme="majorBidi" w:hAnsiTheme="majorBidi" w:cstheme="majorBidi"/>
                <w:color w:val="000000"/>
                <w:sz w:val="22"/>
                <w:szCs w:val="22"/>
                <w:lang w:eastAsia="en-US"/>
              </w:rPr>
              <w:t>ireland</w:t>
            </w:r>
            <w:proofErr w:type="spellEnd"/>
            <w:r w:rsidRPr="00D76748">
              <w:rPr>
                <w:rFonts w:asciiTheme="majorBidi" w:hAnsiTheme="majorBidi" w:cstheme="majorBidi"/>
                <w:color w:val="000000"/>
                <w:sz w:val="22"/>
                <w:szCs w:val="22"/>
                <w:lang w:eastAsia="en-US"/>
              </w:rPr>
              <w:t xml:space="preserve">* or northern </w:t>
            </w:r>
            <w:proofErr w:type="spellStart"/>
            <w:r w:rsidRPr="00D76748">
              <w:rPr>
                <w:rFonts w:asciiTheme="majorBidi" w:hAnsiTheme="majorBidi" w:cstheme="majorBidi"/>
                <w:color w:val="000000"/>
                <w:sz w:val="22"/>
                <w:szCs w:val="22"/>
                <w:lang w:eastAsia="en-US"/>
              </w:rPr>
              <w:t>irish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scotland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scottish</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welsh</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,ab,jw,in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8AA616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2176325</w:t>
            </w:r>
          </w:p>
        </w:tc>
      </w:tr>
      <w:tr w:rsidR="009F01D8" w:rsidRPr="00D76748" w14:paraId="479DDA5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8A8A4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hideMark/>
          </w:tcPr>
          <w:p w14:paraId="78AD88E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(bath or "bath's" or ((</w:t>
            </w:r>
            <w:proofErr w:type="spellStart"/>
            <w:r w:rsidRPr="00D76748">
              <w:rPr>
                <w:rFonts w:asciiTheme="majorBidi" w:hAnsiTheme="majorBidi" w:cstheme="majorBidi"/>
                <w:color w:val="000000"/>
                <w:sz w:val="22"/>
                <w:szCs w:val="22"/>
                <w:lang w:eastAsia="en-US"/>
              </w:rPr>
              <w:t>birmingham</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alabama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birmingham's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alabama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bradford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bradford's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brighton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brighton's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bristol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bristol's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carlisle</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carlisle's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cambridge</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cambridge's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xml:space="preserve">*)) or (canterbury not </w:t>
            </w:r>
            <w:proofErr w:type="spellStart"/>
            <w:r w:rsidRPr="00D76748">
              <w:rPr>
                <w:rFonts w:asciiTheme="majorBidi" w:hAnsiTheme="majorBidi" w:cstheme="majorBidi"/>
                <w:color w:val="000000"/>
                <w:sz w:val="22"/>
                <w:szCs w:val="22"/>
                <w:lang w:eastAsia="en-US"/>
              </w:rPr>
              <w:t>zealand</w:t>
            </w:r>
            <w:proofErr w:type="spellEnd"/>
            <w:r w:rsidRPr="00D76748">
              <w:rPr>
                <w:rFonts w:asciiTheme="majorBidi" w:hAnsiTheme="majorBidi" w:cstheme="majorBidi"/>
                <w:color w:val="000000"/>
                <w:sz w:val="22"/>
                <w:szCs w:val="22"/>
                <w:lang w:eastAsia="en-US"/>
              </w:rPr>
              <w:t xml:space="preserve">*) or ("canterbury's" not </w:t>
            </w:r>
            <w:proofErr w:type="spellStart"/>
            <w:r w:rsidRPr="00D76748">
              <w:rPr>
                <w:rFonts w:asciiTheme="majorBidi" w:hAnsiTheme="majorBidi" w:cstheme="majorBidi"/>
                <w:color w:val="000000"/>
                <w:sz w:val="22"/>
                <w:szCs w:val="22"/>
                <w:lang w:eastAsia="en-US"/>
              </w:rPr>
              <w:t>zealand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chelmsford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chelmsford's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chichester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chichester's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coventry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coventry's</w:t>
            </w:r>
            <w:proofErr w:type="spellEnd"/>
            <w:r w:rsidRPr="00D76748">
              <w:rPr>
                <w:rFonts w:asciiTheme="majorBidi" w:hAnsiTheme="majorBidi" w:cstheme="majorBidi"/>
                <w:color w:val="000000"/>
                <w:sz w:val="22"/>
                <w:szCs w:val="22"/>
                <w:lang w:eastAsia="en-US"/>
              </w:rPr>
              <w:t>" or derby or "derby's" or (</w:t>
            </w:r>
            <w:proofErr w:type="spellStart"/>
            <w:r w:rsidRPr="00D76748">
              <w:rPr>
                <w:rFonts w:asciiTheme="majorBidi" w:hAnsiTheme="majorBidi" w:cstheme="majorBidi"/>
                <w:color w:val="000000"/>
                <w:sz w:val="22"/>
                <w:szCs w:val="22"/>
                <w:lang w:eastAsia="en-US"/>
              </w:rPr>
              <w:t>durham</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carolina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nc</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durham's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carolina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nc</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ely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ely's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exeter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exeter's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gloucester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gloucester's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hereford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hereford's</w:t>
            </w:r>
            <w:proofErr w:type="spellEnd"/>
            <w:r w:rsidRPr="00D76748">
              <w:rPr>
                <w:rFonts w:asciiTheme="majorBidi" w:hAnsiTheme="majorBidi" w:cstheme="majorBidi"/>
                <w:color w:val="000000"/>
                <w:sz w:val="22"/>
                <w:szCs w:val="22"/>
                <w:lang w:eastAsia="en-US"/>
              </w:rPr>
              <w:t xml:space="preserve">" or hull or "hull's" or </w:t>
            </w:r>
            <w:proofErr w:type="spellStart"/>
            <w:r w:rsidRPr="00D76748">
              <w:rPr>
                <w:rFonts w:asciiTheme="majorBidi" w:hAnsiTheme="majorBidi" w:cstheme="majorBidi"/>
                <w:color w:val="000000"/>
                <w:sz w:val="22"/>
                <w:szCs w:val="22"/>
                <w:lang w:eastAsia="en-US"/>
              </w:rPr>
              <w:t>lancaster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lancaster's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leeds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leicester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leicester's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lincoln</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nebraska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lincoln's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nebraska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liverpool</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liverpool's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london</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london's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manchester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manchester's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newcastle</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newcastle's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norwich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norwich's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lastRenderedPageBreak/>
              <w:t>nottingham</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nottingham's</w:t>
            </w:r>
            <w:proofErr w:type="spellEnd"/>
            <w:r w:rsidRPr="00D76748">
              <w:rPr>
                <w:rFonts w:asciiTheme="majorBidi" w:hAnsiTheme="majorBidi" w:cstheme="majorBidi"/>
                <w:color w:val="000000"/>
                <w:sz w:val="22"/>
                <w:szCs w:val="22"/>
                <w:lang w:eastAsia="en-US"/>
              </w:rPr>
              <w:t xml:space="preserve">" or oxford or "oxford's" or </w:t>
            </w:r>
            <w:proofErr w:type="spellStart"/>
            <w:r w:rsidRPr="00D76748">
              <w:rPr>
                <w:rFonts w:asciiTheme="majorBidi" w:hAnsiTheme="majorBidi" w:cstheme="majorBidi"/>
                <w:color w:val="000000"/>
                <w:sz w:val="22"/>
                <w:szCs w:val="22"/>
                <w:lang w:eastAsia="en-US"/>
              </w:rPr>
              <w:t>peterborough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peterborough's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plymouth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plymouth's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portsmouth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portsmouth's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preston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preston's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ripon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ripon's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salisbury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salisbury's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sheffield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sheffield's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southampton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southampton's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albans</w:t>
            </w:r>
            <w:proofErr w:type="spellEnd"/>
            <w:r w:rsidRPr="00D76748">
              <w:rPr>
                <w:rFonts w:asciiTheme="majorBidi" w:hAnsiTheme="majorBidi" w:cstheme="majorBidi"/>
                <w:color w:val="000000"/>
                <w:sz w:val="22"/>
                <w:szCs w:val="22"/>
                <w:lang w:eastAsia="en-US"/>
              </w:rPr>
              <w:t xml:space="preserve"> or stoke or "</w:t>
            </w:r>
            <w:proofErr w:type="spellStart"/>
            <w:r w:rsidRPr="00D76748">
              <w:rPr>
                <w:rFonts w:asciiTheme="majorBidi" w:hAnsiTheme="majorBidi" w:cstheme="majorBidi"/>
                <w:color w:val="000000"/>
                <w:sz w:val="22"/>
                <w:szCs w:val="22"/>
                <w:lang w:eastAsia="en-US"/>
              </w:rPr>
              <w:t>stoke's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sunderland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sunderland's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truro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truro's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wakefield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wakefield's</w:t>
            </w:r>
            <w:proofErr w:type="spellEnd"/>
            <w:r w:rsidRPr="00D76748">
              <w:rPr>
                <w:rFonts w:asciiTheme="majorBidi" w:hAnsiTheme="majorBidi" w:cstheme="majorBidi"/>
                <w:color w:val="000000"/>
                <w:sz w:val="22"/>
                <w:szCs w:val="22"/>
                <w:lang w:eastAsia="en-US"/>
              </w:rPr>
              <w:t xml:space="preserve">" or wells or </w:t>
            </w:r>
            <w:proofErr w:type="spellStart"/>
            <w:r w:rsidRPr="00D76748">
              <w:rPr>
                <w:rFonts w:asciiTheme="majorBidi" w:hAnsiTheme="majorBidi" w:cstheme="majorBidi"/>
                <w:color w:val="000000"/>
                <w:sz w:val="22"/>
                <w:szCs w:val="22"/>
                <w:lang w:eastAsia="en-US"/>
              </w:rPr>
              <w:t>westminster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westminster's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winchester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winchester's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wolverhampton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wolverhampton's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worcester</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worcester's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york's</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ti,ab,in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346952E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1504740</w:t>
            </w:r>
          </w:p>
        </w:tc>
      </w:tr>
      <w:tr w:rsidR="009F01D8" w:rsidRPr="00D76748" w14:paraId="533412D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DCEB39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w:t>
            </w:r>
          </w:p>
        </w:tc>
        <w:tc>
          <w:tcPr>
            <w:tcW w:w="0" w:type="auto"/>
            <w:tcBorders>
              <w:top w:val="single" w:sz="4" w:space="0" w:color="000000"/>
              <w:left w:val="single" w:sz="4" w:space="0" w:color="000000"/>
              <w:bottom w:val="single" w:sz="4" w:space="0" w:color="000000"/>
              <w:right w:val="single" w:sz="4" w:space="0" w:color="000000"/>
            </w:tcBorders>
            <w:hideMark/>
          </w:tcPr>
          <w:p w14:paraId="4DCD971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bangor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bangor's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cardiff</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cardiff's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newport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newport's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asaph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asaph's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davids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swansea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swansea's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329BC9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59745</w:t>
            </w:r>
          </w:p>
        </w:tc>
      </w:tr>
      <w:tr w:rsidR="009F01D8" w:rsidRPr="00D76748" w14:paraId="05B90E6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FC4A2B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w:t>
            </w:r>
          </w:p>
        </w:tc>
        <w:tc>
          <w:tcPr>
            <w:tcW w:w="0" w:type="auto"/>
            <w:tcBorders>
              <w:top w:val="single" w:sz="4" w:space="0" w:color="000000"/>
              <w:left w:val="single" w:sz="4" w:space="0" w:color="000000"/>
              <w:bottom w:val="single" w:sz="4" w:space="0" w:color="000000"/>
              <w:right w:val="single" w:sz="4" w:space="0" w:color="000000"/>
            </w:tcBorders>
            <w:hideMark/>
          </w:tcPr>
          <w:p w14:paraId="05A33F0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aberdeen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aberdeen's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dundee</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dundee's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edinburgh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edinburgh's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glasgow</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glasgow's</w:t>
            </w:r>
            <w:proofErr w:type="spellEnd"/>
            <w:r w:rsidRPr="00D76748">
              <w:rPr>
                <w:rFonts w:asciiTheme="majorBidi" w:hAnsiTheme="majorBidi" w:cstheme="majorBidi"/>
                <w:color w:val="000000"/>
                <w:sz w:val="22"/>
                <w:szCs w:val="22"/>
                <w:lang w:eastAsia="en-US"/>
              </w:rPr>
              <w:t>" or inverness or (</w:t>
            </w:r>
            <w:proofErr w:type="spellStart"/>
            <w:r w:rsidRPr="00D76748">
              <w:rPr>
                <w:rFonts w:asciiTheme="majorBidi" w:hAnsiTheme="majorBidi" w:cstheme="majorBidi"/>
                <w:color w:val="000000"/>
                <w:sz w:val="22"/>
                <w:szCs w:val="22"/>
                <w:lang w:eastAsia="en-US"/>
              </w:rPr>
              <w:t>perth</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australia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perth's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australia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stirling</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stirling's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2B6466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222632</w:t>
            </w:r>
          </w:p>
        </w:tc>
      </w:tr>
      <w:tr w:rsidR="009F01D8" w:rsidRPr="00D76748" w14:paraId="04D98F96"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76B605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w:t>
            </w:r>
          </w:p>
        </w:tc>
        <w:tc>
          <w:tcPr>
            <w:tcW w:w="0" w:type="auto"/>
            <w:tcBorders>
              <w:top w:val="single" w:sz="4" w:space="0" w:color="000000"/>
              <w:left w:val="single" w:sz="4" w:space="0" w:color="000000"/>
              <w:bottom w:val="single" w:sz="4" w:space="0" w:color="000000"/>
              <w:right w:val="single" w:sz="4" w:space="0" w:color="000000"/>
            </w:tcBorders>
            <w:hideMark/>
          </w:tcPr>
          <w:p w14:paraId="5D5B9CE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armagh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armagh's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belfast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belfast's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lisburn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lisburn's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londonderry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londonderry's</w:t>
            </w:r>
            <w:proofErr w:type="spellEnd"/>
            <w:r w:rsidRPr="00D76748">
              <w:rPr>
                <w:rFonts w:asciiTheme="majorBidi" w:hAnsiTheme="majorBidi" w:cstheme="majorBidi"/>
                <w:color w:val="000000"/>
                <w:sz w:val="22"/>
                <w:szCs w:val="22"/>
                <w:lang w:eastAsia="en-US"/>
              </w:rPr>
              <w:t xml:space="preserve">" or derry or "derry's" or </w:t>
            </w:r>
            <w:proofErr w:type="spellStart"/>
            <w:r w:rsidRPr="00D76748">
              <w:rPr>
                <w:rFonts w:asciiTheme="majorBidi" w:hAnsiTheme="majorBidi" w:cstheme="majorBidi"/>
                <w:color w:val="000000"/>
                <w:sz w:val="22"/>
                <w:szCs w:val="22"/>
                <w:lang w:eastAsia="en-US"/>
              </w:rPr>
              <w:t>newry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newry's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EA0409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28291</w:t>
            </w:r>
          </w:p>
        </w:tc>
      </w:tr>
      <w:tr w:rsidR="009F01D8" w:rsidRPr="00D76748" w14:paraId="1B25EEF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966149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w:t>
            </w:r>
          </w:p>
        </w:tc>
        <w:tc>
          <w:tcPr>
            <w:tcW w:w="0" w:type="auto"/>
            <w:tcBorders>
              <w:top w:val="single" w:sz="4" w:space="0" w:color="000000"/>
              <w:left w:val="single" w:sz="4" w:space="0" w:color="000000"/>
              <w:bottom w:val="single" w:sz="4" w:space="0" w:color="000000"/>
              <w:right w:val="single" w:sz="4" w:space="0" w:color="000000"/>
            </w:tcBorders>
            <w:hideMark/>
          </w:tcPr>
          <w:p w14:paraId="4C31511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or/14-21</w:t>
            </w:r>
          </w:p>
        </w:tc>
        <w:tc>
          <w:tcPr>
            <w:tcW w:w="0" w:type="auto"/>
            <w:tcBorders>
              <w:top w:val="single" w:sz="4" w:space="0" w:color="000000"/>
              <w:left w:val="single" w:sz="4" w:space="0" w:color="000000"/>
              <w:bottom w:val="single" w:sz="4" w:space="0" w:color="000000"/>
              <w:right w:val="single" w:sz="4" w:space="0" w:color="000000"/>
            </w:tcBorders>
            <w:hideMark/>
          </w:tcPr>
          <w:p w14:paraId="1B0147A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2735913</w:t>
            </w:r>
          </w:p>
        </w:tc>
      </w:tr>
      <w:tr w:rsidR="009F01D8" w:rsidRPr="00D76748" w14:paraId="1662F57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94E314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w:t>
            </w:r>
          </w:p>
        </w:tc>
        <w:tc>
          <w:tcPr>
            <w:tcW w:w="0" w:type="auto"/>
            <w:tcBorders>
              <w:top w:val="single" w:sz="4" w:space="0" w:color="000000"/>
              <w:left w:val="single" w:sz="4" w:space="0" w:color="000000"/>
              <w:bottom w:val="single" w:sz="4" w:space="0" w:color="000000"/>
              <w:right w:val="single" w:sz="4" w:space="0" w:color="000000"/>
            </w:tcBorders>
            <w:hideMark/>
          </w:tcPr>
          <w:p w14:paraId="67C57B0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exp</w:t>
            </w:r>
            <w:proofErr w:type="gram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africa</w:t>
            </w:r>
            <w:proofErr w:type="spellEnd"/>
            <w:r w:rsidRPr="00D76748">
              <w:rPr>
                <w:rFonts w:asciiTheme="majorBidi" w:hAnsiTheme="majorBidi" w:cstheme="majorBidi"/>
                <w:color w:val="000000"/>
                <w:sz w:val="22"/>
                <w:szCs w:val="22"/>
                <w:lang w:eastAsia="en-US"/>
              </w:rPr>
              <w:t xml:space="preserve">/ or exp </w:t>
            </w:r>
            <w:proofErr w:type="spellStart"/>
            <w:r w:rsidRPr="00D76748">
              <w:rPr>
                <w:rFonts w:asciiTheme="majorBidi" w:hAnsiTheme="majorBidi" w:cstheme="majorBidi"/>
                <w:color w:val="000000"/>
                <w:sz w:val="22"/>
                <w:szCs w:val="22"/>
                <w:lang w:eastAsia="en-US"/>
              </w:rPr>
              <w:t>americas</w:t>
            </w:r>
            <w:proofErr w:type="spellEnd"/>
            <w:r w:rsidRPr="00D76748">
              <w:rPr>
                <w:rFonts w:asciiTheme="majorBidi" w:hAnsiTheme="majorBidi" w:cstheme="majorBidi"/>
                <w:color w:val="000000"/>
                <w:sz w:val="22"/>
                <w:szCs w:val="22"/>
                <w:lang w:eastAsia="en-US"/>
              </w:rPr>
              <w:t xml:space="preserve">/ or exp </w:t>
            </w:r>
            <w:proofErr w:type="spellStart"/>
            <w:r w:rsidRPr="00D76748">
              <w:rPr>
                <w:rFonts w:asciiTheme="majorBidi" w:hAnsiTheme="majorBidi" w:cstheme="majorBidi"/>
                <w:color w:val="000000"/>
                <w:sz w:val="22"/>
                <w:szCs w:val="22"/>
                <w:lang w:eastAsia="en-US"/>
              </w:rPr>
              <w:t>antarctic</w:t>
            </w:r>
            <w:proofErr w:type="spellEnd"/>
            <w:r w:rsidRPr="00D76748">
              <w:rPr>
                <w:rFonts w:asciiTheme="majorBidi" w:hAnsiTheme="majorBidi" w:cstheme="majorBidi"/>
                <w:color w:val="000000"/>
                <w:sz w:val="22"/>
                <w:szCs w:val="22"/>
                <w:lang w:eastAsia="en-US"/>
              </w:rPr>
              <w:t xml:space="preserve"> regions/ or exp arctic regions/ or exp </w:t>
            </w:r>
            <w:proofErr w:type="spellStart"/>
            <w:r w:rsidRPr="00D76748">
              <w:rPr>
                <w:rFonts w:asciiTheme="majorBidi" w:hAnsiTheme="majorBidi" w:cstheme="majorBidi"/>
                <w:color w:val="000000"/>
                <w:sz w:val="22"/>
                <w:szCs w:val="22"/>
                <w:lang w:eastAsia="en-US"/>
              </w:rPr>
              <w:t>asia</w:t>
            </w:r>
            <w:proofErr w:type="spellEnd"/>
            <w:r w:rsidRPr="00D76748">
              <w:rPr>
                <w:rFonts w:asciiTheme="majorBidi" w:hAnsiTheme="majorBidi" w:cstheme="majorBidi"/>
                <w:color w:val="000000"/>
                <w:sz w:val="22"/>
                <w:szCs w:val="22"/>
                <w:lang w:eastAsia="en-US"/>
              </w:rPr>
              <w:t xml:space="preserve">/ or exp </w:t>
            </w:r>
            <w:proofErr w:type="spellStart"/>
            <w:r w:rsidRPr="00D76748">
              <w:rPr>
                <w:rFonts w:asciiTheme="majorBidi" w:hAnsiTheme="majorBidi" w:cstheme="majorBidi"/>
                <w:color w:val="000000"/>
                <w:sz w:val="22"/>
                <w:szCs w:val="22"/>
                <w:lang w:eastAsia="en-US"/>
              </w:rPr>
              <w:t>oceania</w:t>
            </w:r>
            <w:proofErr w:type="spellEnd"/>
            <w:r w:rsidRPr="00D76748">
              <w:rPr>
                <w:rFonts w:asciiTheme="majorBidi" w:hAnsiTheme="majorBidi" w:cstheme="majorBidi"/>
                <w:color w:val="000000"/>
                <w:sz w:val="22"/>
                <w:szCs w:val="22"/>
                <w:lang w:eastAsia="en-US"/>
              </w:rPr>
              <w:t xml:space="preserve">/) not (exp great </w:t>
            </w:r>
            <w:proofErr w:type="spellStart"/>
            <w:r w:rsidRPr="00D76748">
              <w:rPr>
                <w:rFonts w:asciiTheme="majorBidi" w:hAnsiTheme="majorBidi" w:cstheme="majorBidi"/>
                <w:color w:val="000000"/>
                <w:sz w:val="22"/>
                <w:szCs w:val="22"/>
                <w:lang w:eastAsia="en-US"/>
              </w:rPr>
              <w:t>britain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europe</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E0DE6F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2999329</w:t>
            </w:r>
          </w:p>
        </w:tc>
      </w:tr>
      <w:tr w:rsidR="009F01D8" w:rsidRPr="00D76748" w14:paraId="0F44B5B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D6EA3C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14:paraId="488CE35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 not 23</w:t>
            </w:r>
          </w:p>
        </w:tc>
        <w:tc>
          <w:tcPr>
            <w:tcW w:w="0" w:type="auto"/>
            <w:tcBorders>
              <w:top w:val="single" w:sz="4" w:space="0" w:color="000000"/>
              <w:left w:val="single" w:sz="4" w:space="0" w:color="000000"/>
              <w:bottom w:val="single" w:sz="4" w:space="0" w:color="000000"/>
              <w:right w:val="single" w:sz="4" w:space="0" w:color="000000"/>
            </w:tcBorders>
            <w:hideMark/>
          </w:tcPr>
          <w:p w14:paraId="5FF9DA9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2603545</w:t>
            </w:r>
          </w:p>
        </w:tc>
      </w:tr>
      <w:tr w:rsidR="009F01D8" w:rsidRPr="00D76748" w14:paraId="048F8A2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9FC10E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w:t>
            </w:r>
          </w:p>
        </w:tc>
        <w:tc>
          <w:tcPr>
            <w:tcW w:w="0" w:type="auto"/>
            <w:tcBorders>
              <w:top w:val="single" w:sz="4" w:space="0" w:color="000000"/>
              <w:left w:val="single" w:sz="4" w:space="0" w:color="000000"/>
              <w:bottom w:val="single" w:sz="4" w:space="0" w:color="000000"/>
              <w:right w:val="single" w:sz="4" w:space="0" w:color="000000"/>
            </w:tcBorders>
            <w:hideMark/>
          </w:tcPr>
          <w:p w14:paraId="362195E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and 13</w:t>
            </w:r>
          </w:p>
        </w:tc>
        <w:tc>
          <w:tcPr>
            <w:tcW w:w="0" w:type="auto"/>
            <w:tcBorders>
              <w:top w:val="single" w:sz="4" w:space="0" w:color="000000"/>
              <w:left w:val="single" w:sz="4" w:space="0" w:color="000000"/>
              <w:bottom w:val="single" w:sz="4" w:space="0" w:color="000000"/>
              <w:right w:val="single" w:sz="4" w:space="0" w:color="000000"/>
            </w:tcBorders>
            <w:hideMark/>
          </w:tcPr>
          <w:p w14:paraId="4180C84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91</w:t>
            </w:r>
          </w:p>
        </w:tc>
      </w:tr>
      <w:tr w:rsidR="009F01D8" w:rsidRPr="00D76748" w14:paraId="54B58B4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1B3F5E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w:t>
            </w:r>
          </w:p>
        </w:tc>
        <w:tc>
          <w:tcPr>
            <w:tcW w:w="0" w:type="auto"/>
            <w:tcBorders>
              <w:top w:val="single" w:sz="4" w:space="0" w:color="000000"/>
              <w:left w:val="single" w:sz="4" w:space="0" w:color="000000"/>
              <w:bottom w:val="single" w:sz="4" w:space="0" w:color="000000"/>
              <w:right w:val="single" w:sz="4" w:space="0" w:color="000000"/>
            </w:tcBorders>
            <w:hideMark/>
          </w:tcPr>
          <w:p w14:paraId="3FEC67F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 and 25</w:t>
            </w:r>
          </w:p>
        </w:tc>
        <w:tc>
          <w:tcPr>
            <w:tcW w:w="0" w:type="auto"/>
            <w:tcBorders>
              <w:top w:val="single" w:sz="4" w:space="0" w:color="000000"/>
              <w:left w:val="single" w:sz="4" w:space="0" w:color="000000"/>
              <w:bottom w:val="single" w:sz="4" w:space="0" w:color="000000"/>
              <w:right w:val="single" w:sz="4" w:space="0" w:color="000000"/>
            </w:tcBorders>
            <w:hideMark/>
          </w:tcPr>
          <w:p w14:paraId="6B5C730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r>
      <w:tr w:rsidR="009F01D8" w:rsidRPr="00D76748" w14:paraId="26CA80D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3AD751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27</w:t>
            </w:r>
          </w:p>
        </w:tc>
        <w:tc>
          <w:tcPr>
            <w:tcW w:w="0" w:type="auto"/>
            <w:tcBorders>
              <w:top w:val="single" w:sz="4" w:space="0" w:color="000000"/>
              <w:left w:val="single" w:sz="4" w:space="0" w:color="000000"/>
              <w:bottom w:val="single" w:sz="4" w:space="0" w:color="000000"/>
              <w:right w:val="single" w:sz="4" w:space="0" w:color="000000"/>
            </w:tcBorders>
            <w:hideMark/>
          </w:tcPr>
          <w:p w14:paraId="4072D49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susceptib</w:t>
            </w:r>
            <w:proofErr w:type="spellEnd"/>
            <w:r w:rsidRPr="00D76748">
              <w:rPr>
                <w:rFonts w:asciiTheme="majorBidi" w:hAnsiTheme="majorBidi" w:cstheme="majorBidi"/>
                <w:color w:val="000000"/>
                <w:sz w:val="22"/>
                <w:szCs w:val="22"/>
                <w:lang w:eastAsia="en-US"/>
              </w:rPr>
              <w:t xml:space="preserve">* or inhibit* or mic or mics or </w:t>
            </w:r>
            <w:proofErr w:type="spellStart"/>
            <w:r w:rsidRPr="00D76748">
              <w:rPr>
                <w:rFonts w:asciiTheme="majorBidi" w:hAnsiTheme="majorBidi" w:cstheme="majorBidi"/>
                <w:color w:val="000000"/>
                <w:sz w:val="22"/>
                <w:szCs w:val="22"/>
                <w:lang w:eastAsia="en-US"/>
              </w:rPr>
              <w:t>isolat</w:t>
            </w:r>
            <w:proofErr w:type="spellEnd"/>
            <w:r w:rsidRPr="00D76748">
              <w:rPr>
                <w:rFonts w:asciiTheme="majorBidi" w:hAnsiTheme="majorBidi" w:cstheme="majorBidi"/>
                <w:color w:val="000000"/>
                <w:sz w:val="22"/>
                <w:szCs w:val="22"/>
                <w:lang w:eastAsia="en-US"/>
              </w:rPr>
              <w:t xml:space="preserve">* or in-vitro or "in vitro" or </w:t>
            </w:r>
            <w:proofErr w:type="spellStart"/>
            <w:r w:rsidRPr="00D76748">
              <w:rPr>
                <w:rFonts w:asciiTheme="majorBidi" w:hAnsiTheme="majorBidi" w:cstheme="majorBidi"/>
                <w:color w:val="000000"/>
                <w:sz w:val="22"/>
                <w:szCs w:val="22"/>
                <w:lang w:eastAsia="en-US"/>
              </w:rPr>
              <w:t>activ</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1051A24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7765079</w:t>
            </w:r>
          </w:p>
        </w:tc>
      </w:tr>
      <w:tr w:rsidR="009F01D8" w:rsidRPr="00D76748" w14:paraId="568D111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1BC86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28</w:t>
            </w:r>
          </w:p>
        </w:tc>
        <w:tc>
          <w:tcPr>
            <w:tcW w:w="0" w:type="auto"/>
            <w:tcBorders>
              <w:top w:val="single" w:sz="4" w:space="0" w:color="000000"/>
              <w:left w:val="single" w:sz="4" w:space="0" w:color="000000"/>
              <w:bottom w:val="single" w:sz="4" w:space="0" w:color="000000"/>
              <w:right w:val="single" w:sz="4" w:space="0" w:color="000000"/>
            </w:tcBorders>
            <w:hideMark/>
          </w:tcPr>
          <w:p w14:paraId="7879108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 and 27</w:t>
            </w:r>
          </w:p>
        </w:tc>
        <w:tc>
          <w:tcPr>
            <w:tcW w:w="0" w:type="auto"/>
            <w:tcBorders>
              <w:top w:val="single" w:sz="4" w:space="0" w:color="000000"/>
              <w:left w:val="single" w:sz="4" w:space="0" w:color="000000"/>
              <w:bottom w:val="single" w:sz="4" w:space="0" w:color="000000"/>
              <w:right w:val="single" w:sz="4" w:space="0" w:color="000000"/>
            </w:tcBorders>
            <w:hideMark/>
          </w:tcPr>
          <w:p w14:paraId="577C4C6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689</w:t>
            </w:r>
          </w:p>
        </w:tc>
      </w:tr>
      <w:tr w:rsidR="009F01D8" w:rsidRPr="00D76748" w14:paraId="2971BA2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CD6A11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w:t>
            </w:r>
          </w:p>
        </w:tc>
        <w:tc>
          <w:tcPr>
            <w:tcW w:w="0" w:type="auto"/>
            <w:tcBorders>
              <w:top w:val="single" w:sz="4" w:space="0" w:color="000000"/>
              <w:left w:val="single" w:sz="4" w:space="0" w:color="000000"/>
              <w:bottom w:val="single" w:sz="4" w:space="0" w:color="000000"/>
              <w:right w:val="single" w:sz="4" w:space="0" w:color="000000"/>
            </w:tcBorders>
            <w:hideMark/>
          </w:tcPr>
          <w:p w14:paraId="50EEA62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 and 28</w:t>
            </w:r>
          </w:p>
        </w:tc>
        <w:tc>
          <w:tcPr>
            <w:tcW w:w="0" w:type="auto"/>
            <w:tcBorders>
              <w:top w:val="single" w:sz="4" w:space="0" w:color="000000"/>
              <w:left w:val="single" w:sz="4" w:space="0" w:color="000000"/>
              <w:bottom w:val="single" w:sz="4" w:space="0" w:color="000000"/>
              <w:right w:val="single" w:sz="4" w:space="0" w:color="000000"/>
            </w:tcBorders>
            <w:hideMark/>
          </w:tcPr>
          <w:p w14:paraId="6E68116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65</w:t>
            </w:r>
          </w:p>
        </w:tc>
      </w:tr>
    </w:tbl>
    <w:p w14:paraId="0B0004BA" w14:textId="77777777" w:rsidR="009F01D8" w:rsidRPr="002E4F02" w:rsidRDefault="009F01D8" w:rsidP="009F01D8">
      <w:pPr>
        <w:pStyle w:val="NormalWeb"/>
        <w:spacing w:before="0" w:beforeAutospacing="0" w:after="0" w:afterAutospacing="0"/>
        <w:jc w:val="both"/>
        <w:rPr>
          <w:rFonts w:asciiTheme="majorBidi" w:hAnsiTheme="majorBidi" w:cstheme="majorBidi"/>
          <w:sz w:val="20"/>
          <w:szCs w:val="20"/>
        </w:rPr>
      </w:pPr>
      <w:r w:rsidRPr="002E4F02">
        <w:rPr>
          <w:rFonts w:asciiTheme="majorBidi" w:hAnsiTheme="majorBidi" w:cstheme="majorBidi"/>
          <w:color w:val="000000"/>
          <w:sz w:val="20"/>
          <w:szCs w:val="20"/>
        </w:rPr>
        <w:t xml:space="preserve">MELDINE UK search filter: </w:t>
      </w:r>
      <w:proofErr w:type="spellStart"/>
      <w:r w:rsidRPr="002E4F02">
        <w:rPr>
          <w:rFonts w:asciiTheme="majorBidi" w:hAnsiTheme="majorBidi" w:cstheme="majorBidi"/>
          <w:color w:val="000000"/>
          <w:sz w:val="20"/>
          <w:szCs w:val="20"/>
        </w:rPr>
        <w:t>Ayiku</w:t>
      </w:r>
      <w:proofErr w:type="spellEnd"/>
      <w:r w:rsidRPr="002E4F02">
        <w:rPr>
          <w:rFonts w:asciiTheme="majorBidi" w:hAnsiTheme="majorBidi" w:cstheme="majorBidi"/>
          <w:color w:val="000000"/>
          <w:sz w:val="20"/>
          <w:szCs w:val="20"/>
        </w:rPr>
        <w:t xml:space="preserve"> L, Levay P, Hudson T, Craven J, Barrett E, Finnegan A, Adams R. The Medline UK filter: development and validation of a geographic search filter to retrieve research about the UK from OVID Medline. Health Information &amp; Libraries Journal. 2017 Sep;34(3):200-16.</w:t>
      </w:r>
    </w:p>
    <w:p w14:paraId="1AC205C6" w14:textId="77777777" w:rsidR="009F01D8" w:rsidRDefault="009F01D8" w:rsidP="009F01D8">
      <w:pPr>
        <w:spacing w:after="240"/>
        <w:jc w:val="both"/>
        <w:rPr>
          <w:rFonts w:asciiTheme="majorBidi" w:hAnsiTheme="majorBidi" w:cstheme="majorBidi"/>
        </w:rPr>
      </w:pPr>
    </w:p>
    <w:p w14:paraId="20644B3B"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b/>
          <w:bCs/>
          <w:color w:val="000000"/>
          <w:sz w:val="20"/>
          <w:szCs w:val="20"/>
        </w:rPr>
        <w:t>Embase 1974 to 2021 May 11 (searched via the Ovid SP platform)</w:t>
      </w:r>
    </w:p>
    <w:p w14:paraId="42A6E928" w14:textId="77777777" w:rsidR="009F01D8" w:rsidRDefault="009F01D8" w:rsidP="009F01D8">
      <w:pPr>
        <w:pStyle w:val="NormalWeb"/>
        <w:spacing w:before="0" w:beforeAutospacing="0" w:after="0" w:afterAutospacing="0"/>
        <w:jc w:val="both"/>
        <w:rPr>
          <w:rFonts w:asciiTheme="majorBidi" w:hAnsiTheme="majorBidi" w:cstheme="majorBidi"/>
        </w:rPr>
      </w:pPr>
      <w:r>
        <w:rPr>
          <w:rFonts w:asciiTheme="majorBidi" w:hAnsiTheme="majorBidi" w:cstheme="majorBidi"/>
          <w:color w:val="000000"/>
          <w:sz w:val="20"/>
          <w:szCs w:val="20"/>
        </w:rPr>
        <w:t>12</w:t>
      </w:r>
      <w:r>
        <w:rPr>
          <w:rFonts w:asciiTheme="majorBidi" w:hAnsiTheme="majorBidi" w:cstheme="majorBidi"/>
          <w:color w:val="000000"/>
          <w:sz w:val="12"/>
          <w:szCs w:val="12"/>
          <w:vertAlign w:val="superscript"/>
        </w:rPr>
        <w:t>th</w:t>
      </w:r>
      <w:r>
        <w:rPr>
          <w:rFonts w:asciiTheme="majorBidi" w:hAnsiTheme="majorBidi" w:cstheme="majorBidi"/>
          <w:color w:val="000000"/>
          <w:sz w:val="20"/>
          <w:szCs w:val="20"/>
        </w:rPr>
        <w:t xml:space="preserve"> May 2021</w:t>
      </w:r>
    </w:p>
    <w:p w14:paraId="184B6B64" w14:textId="77777777" w:rsidR="009F01D8" w:rsidRDefault="009F01D8" w:rsidP="009F01D8">
      <w:pPr>
        <w:jc w:val="both"/>
        <w:rPr>
          <w:rFonts w:asciiTheme="majorBidi" w:hAnsiTheme="majorBidi" w:cstheme="majorBidi"/>
        </w:rPr>
      </w:pPr>
    </w:p>
    <w:tbl>
      <w:tblPr>
        <w:tblW w:w="0" w:type="auto"/>
        <w:tblLook w:val="04A0" w:firstRow="1" w:lastRow="0" w:firstColumn="1" w:lastColumn="0" w:noHBand="0" w:noVBand="1"/>
      </w:tblPr>
      <w:tblGrid>
        <w:gridCol w:w="436"/>
        <w:gridCol w:w="7594"/>
        <w:gridCol w:w="986"/>
      </w:tblGrid>
      <w:tr w:rsidR="009F01D8" w:rsidRPr="00D76748" w14:paraId="61FCF9B2"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063963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786D9B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Searches</w:t>
            </w:r>
          </w:p>
        </w:tc>
        <w:tc>
          <w:tcPr>
            <w:tcW w:w="0" w:type="auto"/>
            <w:tcBorders>
              <w:top w:val="single" w:sz="4" w:space="0" w:color="000000"/>
              <w:left w:val="single" w:sz="4" w:space="0" w:color="000000"/>
              <w:bottom w:val="single" w:sz="4" w:space="0" w:color="000000"/>
              <w:right w:val="single" w:sz="4" w:space="0" w:color="000000"/>
            </w:tcBorders>
            <w:hideMark/>
          </w:tcPr>
          <w:p w14:paraId="7B5AB5C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b/>
                <w:bCs/>
                <w:color w:val="000000"/>
                <w:sz w:val="22"/>
                <w:szCs w:val="22"/>
                <w:lang w:eastAsia="en-US"/>
              </w:rPr>
              <w:t>Results</w:t>
            </w:r>
          </w:p>
        </w:tc>
      </w:tr>
      <w:tr w:rsidR="009F01D8" w:rsidRPr="00D76748" w14:paraId="2A88A5E5"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104107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53F9315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ceftazidime.mp.</w:t>
            </w:r>
          </w:p>
        </w:tc>
        <w:tc>
          <w:tcPr>
            <w:tcW w:w="0" w:type="auto"/>
            <w:tcBorders>
              <w:top w:val="single" w:sz="4" w:space="0" w:color="000000"/>
              <w:left w:val="single" w:sz="4" w:space="0" w:color="000000"/>
              <w:bottom w:val="single" w:sz="4" w:space="0" w:color="000000"/>
              <w:right w:val="single" w:sz="4" w:space="0" w:color="000000"/>
            </w:tcBorders>
            <w:hideMark/>
          </w:tcPr>
          <w:p w14:paraId="19E6138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46493</w:t>
            </w:r>
          </w:p>
        </w:tc>
      </w:tr>
      <w:tr w:rsidR="009F01D8" w:rsidRPr="00D76748" w14:paraId="6C85C07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751195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5D45B53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w:t>
            </w:r>
          </w:p>
        </w:tc>
        <w:tc>
          <w:tcPr>
            <w:tcW w:w="0" w:type="auto"/>
            <w:tcBorders>
              <w:top w:val="single" w:sz="4" w:space="0" w:color="000000"/>
              <w:left w:val="single" w:sz="4" w:space="0" w:color="000000"/>
              <w:bottom w:val="single" w:sz="4" w:space="0" w:color="000000"/>
              <w:right w:val="single" w:sz="4" w:space="0" w:color="000000"/>
            </w:tcBorders>
            <w:hideMark/>
          </w:tcPr>
          <w:p w14:paraId="5646931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44258</w:t>
            </w:r>
          </w:p>
        </w:tc>
      </w:tr>
      <w:tr w:rsidR="009F01D8" w:rsidRPr="00D76748" w14:paraId="37500AB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2351FF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2B175FD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 or 2</w:t>
            </w:r>
          </w:p>
        </w:tc>
        <w:tc>
          <w:tcPr>
            <w:tcW w:w="0" w:type="auto"/>
            <w:tcBorders>
              <w:top w:val="single" w:sz="4" w:space="0" w:color="000000"/>
              <w:left w:val="single" w:sz="4" w:space="0" w:color="000000"/>
              <w:bottom w:val="single" w:sz="4" w:space="0" w:color="000000"/>
              <w:right w:val="single" w:sz="4" w:space="0" w:color="000000"/>
            </w:tcBorders>
            <w:hideMark/>
          </w:tcPr>
          <w:p w14:paraId="3AC51F5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46493</w:t>
            </w:r>
          </w:p>
        </w:tc>
      </w:tr>
      <w:tr w:rsidR="009F01D8" w:rsidRPr="00D76748" w14:paraId="2B044964"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4B824F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776DDAD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avibactam.mp.</w:t>
            </w:r>
          </w:p>
        </w:tc>
        <w:tc>
          <w:tcPr>
            <w:tcW w:w="0" w:type="auto"/>
            <w:tcBorders>
              <w:top w:val="single" w:sz="4" w:space="0" w:color="000000"/>
              <w:left w:val="single" w:sz="4" w:space="0" w:color="000000"/>
              <w:bottom w:val="single" w:sz="4" w:space="0" w:color="000000"/>
              <w:right w:val="single" w:sz="4" w:space="0" w:color="000000"/>
            </w:tcBorders>
            <w:hideMark/>
          </w:tcPr>
          <w:p w14:paraId="4C7120C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2029</w:t>
            </w:r>
          </w:p>
        </w:tc>
      </w:tr>
      <w:tr w:rsidR="009F01D8" w:rsidRPr="00D76748" w14:paraId="5A82AFA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E8050E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hideMark/>
          </w:tcPr>
          <w:p w14:paraId="7BAC84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avibactam/</w:t>
            </w:r>
          </w:p>
        </w:tc>
        <w:tc>
          <w:tcPr>
            <w:tcW w:w="0" w:type="auto"/>
            <w:tcBorders>
              <w:top w:val="single" w:sz="4" w:space="0" w:color="000000"/>
              <w:left w:val="single" w:sz="4" w:space="0" w:color="000000"/>
              <w:bottom w:val="single" w:sz="4" w:space="0" w:color="000000"/>
              <w:right w:val="single" w:sz="4" w:space="0" w:color="000000"/>
            </w:tcBorders>
            <w:hideMark/>
          </w:tcPr>
          <w:p w14:paraId="2451359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775</w:t>
            </w:r>
          </w:p>
        </w:tc>
      </w:tr>
      <w:tr w:rsidR="009F01D8" w:rsidRPr="00D76748" w14:paraId="03B6627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299C84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w:t>
            </w:r>
          </w:p>
        </w:tc>
        <w:tc>
          <w:tcPr>
            <w:tcW w:w="0" w:type="auto"/>
            <w:tcBorders>
              <w:top w:val="single" w:sz="4" w:space="0" w:color="000000"/>
              <w:left w:val="single" w:sz="4" w:space="0" w:color="000000"/>
              <w:bottom w:val="single" w:sz="4" w:space="0" w:color="000000"/>
              <w:right w:val="single" w:sz="4" w:space="0" w:color="000000"/>
            </w:tcBorders>
            <w:hideMark/>
          </w:tcPr>
          <w:p w14:paraId="40A421A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 or 5</w:t>
            </w:r>
          </w:p>
        </w:tc>
        <w:tc>
          <w:tcPr>
            <w:tcW w:w="0" w:type="auto"/>
            <w:tcBorders>
              <w:top w:val="single" w:sz="4" w:space="0" w:color="000000"/>
              <w:left w:val="single" w:sz="4" w:space="0" w:color="000000"/>
              <w:bottom w:val="single" w:sz="4" w:space="0" w:color="000000"/>
              <w:right w:val="single" w:sz="4" w:space="0" w:color="000000"/>
            </w:tcBorders>
            <w:hideMark/>
          </w:tcPr>
          <w:p w14:paraId="73AB0A4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2029</w:t>
            </w:r>
          </w:p>
        </w:tc>
      </w:tr>
      <w:tr w:rsidR="009F01D8" w:rsidRPr="00D76748" w14:paraId="7FB90D4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6EC683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7</w:t>
            </w:r>
          </w:p>
        </w:tc>
        <w:tc>
          <w:tcPr>
            <w:tcW w:w="0" w:type="auto"/>
            <w:tcBorders>
              <w:top w:val="single" w:sz="4" w:space="0" w:color="000000"/>
              <w:left w:val="single" w:sz="4" w:space="0" w:color="000000"/>
              <w:bottom w:val="single" w:sz="4" w:space="0" w:color="000000"/>
              <w:right w:val="single" w:sz="4" w:space="0" w:color="000000"/>
            </w:tcBorders>
            <w:hideMark/>
          </w:tcPr>
          <w:p w14:paraId="3667D36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 and 6</w:t>
            </w:r>
          </w:p>
        </w:tc>
        <w:tc>
          <w:tcPr>
            <w:tcW w:w="0" w:type="auto"/>
            <w:tcBorders>
              <w:top w:val="single" w:sz="4" w:space="0" w:color="000000"/>
              <w:left w:val="single" w:sz="4" w:space="0" w:color="000000"/>
              <w:bottom w:val="single" w:sz="4" w:space="0" w:color="000000"/>
              <w:right w:val="single" w:sz="4" w:space="0" w:color="000000"/>
            </w:tcBorders>
            <w:hideMark/>
          </w:tcPr>
          <w:p w14:paraId="4826488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1740</w:t>
            </w:r>
          </w:p>
        </w:tc>
      </w:tr>
      <w:tr w:rsidR="009F01D8" w:rsidRPr="00D76748" w14:paraId="28A103A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9402DE4"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w:t>
            </w:r>
          </w:p>
        </w:tc>
        <w:tc>
          <w:tcPr>
            <w:tcW w:w="0" w:type="auto"/>
            <w:tcBorders>
              <w:top w:val="single" w:sz="4" w:space="0" w:color="000000"/>
              <w:left w:val="single" w:sz="4" w:space="0" w:color="000000"/>
              <w:bottom w:val="single" w:sz="4" w:space="0" w:color="000000"/>
              <w:right w:val="single" w:sz="4" w:space="0" w:color="000000"/>
            </w:tcBorders>
            <w:hideMark/>
          </w:tcPr>
          <w:p w14:paraId="2E2D8BD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ceftazidime-avibactam.mp.</w:t>
            </w:r>
          </w:p>
        </w:tc>
        <w:tc>
          <w:tcPr>
            <w:tcW w:w="0" w:type="auto"/>
            <w:tcBorders>
              <w:top w:val="single" w:sz="4" w:space="0" w:color="000000"/>
              <w:left w:val="single" w:sz="4" w:space="0" w:color="000000"/>
              <w:bottom w:val="single" w:sz="4" w:space="0" w:color="000000"/>
              <w:right w:val="single" w:sz="4" w:space="0" w:color="000000"/>
            </w:tcBorders>
            <w:hideMark/>
          </w:tcPr>
          <w:p w14:paraId="2459EB3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1031</w:t>
            </w:r>
          </w:p>
        </w:tc>
      </w:tr>
      <w:tr w:rsidR="009F01D8" w:rsidRPr="00D76748" w14:paraId="6A87BFF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4160EB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w:t>
            </w:r>
          </w:p>
        </w:tc>
        <w:tc>
          <w:tcPr>
            <w:tcW w:w="0" w:type="auto"/>
            <w:tcBorders>
              <w:top w:val="single" w:sz="4" w:space="0" w:color="000000"/>
              <w:left w:val="single" w:sz="4" w:space="0" w:color="000000"/>
              <w:bottom w:val="single" w:sz="4" w:space="0" w:color="000000"/>
              <w:right w:val="single" w:sz="4" w:space="0" w:color="000000"/>
            </w:tcBorders>
            <w:hideMark/>
          </w:tcPr>
          <w:p w14:paraId="1D401FC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zavicefta.mp.</w:t>
            </w:r>
          </w:p>
        </w:tc>
        <w:tc>
          <w:tcPr>
            <w:tcW w:w="0" w:type="auto"/>
            <w:tcBorders>
              <w:top w:val="single" w:sz="4" w:space="0" w:color="000000"/>
              <w:left w:val="single" w:sz="4" w:space="0" w:color="000000"/>
              <w:bottom w:val="single" w:sz="4" w:space="0" w:color="000000"/>
              <w:right w:val="single" w:sz="4" w:space="0" w:color="000000"/>
            </w:tcBorders>
            <w:hideMark/>
          </w:tcPr>
          <w:p w14:paraId="4011160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r>
      <w:tr w:rsidR="009F01D8" w:rsidRPr="00D76748" w14:paraId="2F19FF4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4DD7A3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w:t>
            </w:r>
          </w:p>
        </w:tc>
        <w:tc>
          <w:tcPr>
            <w:tcW w:w="0" w:type="auto"/>
            <w:tcBorders>
              <w:top w:val="single" w:sz="4" w:space="0" w:color="000000"/>
              <w:left w:val="single" w:sz="4" w:space="0" w:color="000000"/>
              <w:bottom w:val="single" w:sz="4" w:space="0" w:color="000000"/>
              <w:right w:val="single" w:sz="4" w:space="0" w:color="000000"/>
            </w:tcBorders>
            <w:hideMark/>
          </w:tcPr>
          <w:p w14:paraId="6FA6955A"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avycaz.mp.</w:t>
            </w:r>
          </w:p>
        </w:tc>
        <w:tc>
          <w:tcPr>
            <w:tcW w:w="0" w:type="auto"/>
            <w:tcBorders>
              <w:top w:val="single" w:sz="4" w:space="0" w:color="000000"/>
              <w:left w:val="single" w:sz="4" w:space="0" w:color="000000"/>
              <w:bottom w:val="single" w:sz="4" w:space="0" w:color="000000"/>
              <w:right w:val="single" w:sz="4" w:space="0" w:color="000000"/>
            </w:tcBorders>
            <w:hideMark/>
          </w:tcPr>
          <w:p w14:paraId="64BC83D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65</w:t>
            </w:r>
          </w:p>
        </w:tc>
      </w:tr>
      <w:tr w:rsidR="009F01D8" w:rsidRPr="00D76748" w14:paraId="77E0EED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1364426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hideMark/>
          </w:tcPr>
          <w:p w14:paraId="0853646D" w14:textId="77777777" w:rsidR="009F01D8" w:rsidRPr="00454CF5" w:rsidRDefault="009F01D8" w:rsidP="009F01D8">
            <w:pPr>
              <w:pStyle w:val="NormalWeb"/>
              <w:spacing w:before="0" w:beforeAutospacing="0" w:after="0" w:afterAutospacing="0" w:line="256" w:lineRule="auto"/>
              <w:jc w:val="both"/>
              <w:rPr>
                <w:rFonts w:asciiTheme="majorBidi" w:hAnsiTheme="majorBidi" w:cstheme="majorBidi"/>
                <w:sz w:val="22"/>
                <w:szCs w:val="22"/>
                <w:lang w:val="fr-FR" w:eastAsia="en-US"/>
              </w:rPr>
            </w:pPr>
            <w:r w:rsidRPr="00454CF5">
              <w:rPr>
                <w:rFonts w:asciiTheme="majorBidi" w:hAnsiTheme="majorBidi" w:cstheme="majorBidi"/>
                <w:color w:val="000000"/>
                <w:sz w:val="22"/>
                <w:szCs w:val="22"/>
                <w:lang w:val="fr-FR" w:eastAsia="en-US"/>
              </w:rPr>
              <w:t>(</w:t>
            </w:r>
            <w:proofErr w:type="spellStart"/>
            <w:proofErr w:type="gramStart"/>
            <w:r w:rsidRPr="00454CF5">
              <w:rPr>
                <w:rFonts w:asciiTheme="majorBidi" w:hAnsiTheme="majorBidi" w:cstheme="majorBidi"/>
                <w:color w:val="000000"/>
                <w:sz w:val="22"/>
                <w:szCs w:val="22"/>
                <w:lang w:val="fr-FR" w:eastAsia="en-US"/>
              </w:rPr>
              <w:t>ctz</w:t>
            </w:r>
            <w:proofErr w:type="gramEnd"/>
            <w:r w:rsidRPr="00454CF5">
              <w:rPr>
                <w:rFonts w:asciiTheme="majorBidi" w:hAnsiTheme="majorBidi" w:cstheme="majorBidi"/>
                <w:color w:val="000000"/>
                <w:sz w:val="22"/>
                <w:szCs w:val="22"/>
                <w:lang w:val="fr-FR" w:eastAsia="en-US"/>
              </w:rPr>
              <w:t>-avi</w:t>
            </w:r>
            <w:proofErr w:type="spellEnd"/>
            <w:r w:rsidRPr="00454CF5">
              <w:rPr>
                <w:rFonts w:asciiTheme="majorBidi" w:hAnsiTheme="majorBidi" w:cstheme="majorBidi"/>
                <w:color w:val="000000"/>
                <w:sz w:val="22"/>
                <w:szCs w:val="22"/>
                <w:lang w:val="fr-FR" w:eastAsia="en-US"/>
              </w:rPr>
              <w:t xml:space="preserve"> or </w:t>
            </w:r>
            <w:proofErr w:type="spellStart"/>
            <w:r w:rsidRPr="00454CF5">
              <w:rPr>
                <w:rFonts w:asciiTheme="majorBidi" w:hAnsiTheme="majorBidi" w:cstheme="majorBidi"/>
                <w:color w:val="000000"/>
                <w:sz w:val="22"/>
                <w:szCs w:val="22"/>
                <w:lang w:val="fr-FR" w:eastAsia="en-US"/>
              </w:rPr>
              <w:t>caz-avi</w:t>
            </w:r>
            <w:proofErr w:type="spellEnd"/>
            <w:r w:rsidRPr="00454CF5">
              <w:rPr>
                <w:rFonts w:asciiTheme="majorBidi" w:hAnsiTheme="majorBidi" w:cstheme="majorBidi"/>
                <w:color w:val="000000"/>
                <w:sz w:val="22"/>
                <w:szCs w:val="22"/>
                <w:lang w:val="fr-FR" w:eastAsia="en-US"/>
              </w:rPr>
              <w:t>).</w:t>
            </w:r>
            <w:proofErr w:type="spellStart"/>
            <w:r w:rsidRPr="00454CF5">
              <w:rPr>
                <w:rFonts w:asciiTheme="majorBidi" w:hAnsiTheme="majorBidi" w:cstheme="majorBidi"/>
                <w:color w:val="000000"/>
                <w:sz w:val="22"/>
                <w:szCs w:val="22"/>
                <w:lang w:val="fr-FR" w:eastAsia="en-US"/>
              </w:rPr>
              <w:t>mp</w:t>
            </w:r>
            <w:proofErr w:type="spellEnd"/>
            <w:r w:rsidRPr="00454CF5">
              <w:rPr>
                <w:rFonts w:asciiTheme="majorBidi" w:hAnsiTheme="majorBidi" w:cstheme="majorBidi"/>
                <w:color w:val="000000"/>
                <w:sz w:val="22"/>
                <w:szCs w:val="22"/>
                <w:lang w:val="fr-FR"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2404D4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178</w:t>
            </w:r>
          </w:p>
        </w:tc>
      </w:tr>
      <w:tr w:rsidR="009F01D8" w:rsidRPr="00D76748" w14:paraId="4DA454A9"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B3860D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w:t>
            </w:r>
          </w:p>
        </w:tc>
        <w:tc>
          <w:tcPr>
            <w:tcW w:w="0" w:type="auto"/>
            <w:tcBorders>
              <w:top w:val="single" w:sz="4" w:space="0" w:color="000000"/>
              <w:left w:val="single" w:sz="4" w:space="0" w:color="000000"/>
              <w:bottom w:val="single" w:sz="4" w:space="0" w:color="000000"/>
              <w:right w:val="single" w:sz="4" w:space="0" w:color="000000"/>
            </w:tcBorders>
            <w:hideMark/>
          </w:tcPr>
          <w:p w14:paraId="0CE8E14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or/7-11</w:t>
            </w:r>
          </w:p>
        </w:tc>
        <w:tc>
          <w:tcPr>
            <w:tcW w:w="0" w:type="auto"/>
            <w:tcBorders>
              <w:top w:val="single" w:sz="4" w:space="0" w:color="000000"/>
              <w:left w:val="single" w:sz="4" w:space="0" w:color="000000"/>
              <w:bottom w:val="single" w:sz="4" w:space="0" w:color="000000"/>
              <w:right w:val="single" w:sz="4" w:space="0" w:color="000000"/>
            </w:tcBorders>
            <w:hideMark/>
          </w:tcPr>
          <w:p w14:paraId="5D16C585"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1749</w:t>
            </w:r>
          </w:p>
        </w:tc>
      </w:tr>
      <w:tr w:rsidR="009F01D8" w:rsidRPr="00D76748" w14:paraId="0EADB63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450ACF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14:paraId="160843D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oxa</w:t>
            </w:r>
            <w:proofErr w:type="spellEnd"/>
            <w:r w:rsidRPr="00D76748">
              <w:rPr>
                <w:rFonts w:asciiTheme="majorBidi" w:hAnsiTheme="majorBidi" w:cstheme="majorBidi"/>
                <w:color w:val="000000"/>
                <w:sz w:val="22"/>
                <w:szCs w:val="22"/>
                <w:lang w:eastAsia="en-US"/>
              </w:rPr>
              <w:t xml:space="preserve"> 48*" or oxacillinase-48* or "oxacillinase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61F6D3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1521</w:t>
            </w:r>
          </w:p>
        </w:tc>
      </w:tr>
      <w:tr w:rsidR="009F01D8" w:rsidRPr="00D76748" w14:paraId="0EC2BAB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93430A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lastRenderedPageBreak/>
              <w:t>14</w:t>
            </w:r>
          </w:p>
        </w:tc>
        <w:tc>
          <w:tcPr>
            <w:tcW w:w="0" w:type="auto"/>
            <w:tcBorders>
              <w:top w:val="single" w:sz="4" w:space="0" w:color="000000"/>
              <w:left w:val="single" w:sz="4" w:space="0" w:color="000000"/>
              <w:bottom w:val="single" w:sz="4" w:space="0" w:color="000000"/>
              <w:right w:val="single" w:sz="4" w:space="0" w:color="000000"/>
            </w:tcBorders>
            <w:hideMark/>
          </w:tcPr>
          <w:p w14:paraId="223B33E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blaoxa</w:t>
            </w:r>
            <w:proofErr w:type="gramEnd"/>
            <w:r w:rsidRPr="00D76748">
              <w:rPr>
                <w:rFonts w:asciiTheme="majorBidi" w:hAnsiTheme="majorBidi" w:cstheme="majorBidi"/>
                <w:color w:val="000000"/>
                <w:sz w:val="22"/>
                <w:szCs w:val="22"/>
                <w:lang w:eastAsia="en-US"/>
              </w:rPr>
              <w:t>-48* or "</w:t>
            </w:r>
            <w:proofErr w:type="spellStart"/>
            <w:r w:rsidRPr="00D76748">
              <w:rPr>
                <w:rFonts w:asciiTheme="majorBidi" w:hAnsiTheme="majorBidi" w:cstheme="majorBidi"/>
                <w:color w:val="000000"/>
                <w:sz w:val="22"/>
                <w:szCs w:val="22"/>
                <w:lang w:eastAsia="en-US"/>
              </w:rPr>
              <w:t>blaoxa</w:t>
            </w:r>
            <w:proofErr w:type="spellEnd"/>
            <w:r w:rsidRPr="00D76748">
              <w:rPr>
                <w:rFonts w:asciiTheme="majorBidi" w:hAnsiTheme="majorBidi" w:cstheme="majorBidi"/>
                <w:color w:val="000000"/>
                <w:sz w:val="22"/>
                <w:szCs w:val="22"/>
                <w:lang w:eastAsia="en-US"/>
              </w:rPr>
              <w:t xml:space="preserve"> 48*").</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54424E4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818</w:t>
            </w:r>
          </w:p>
        </w:tc>
      </w:tr>
      <w:tr w:rsidR="009F01D8" w:rsidRPr="00D76748" w14:paraId="779AC9EF"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F81B0A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14:paraId="0D63F7E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13 or 14</w:t>
            </w:r>
          </w:p>
        </w:tc>
        <w:tc>
          <w:tcPr>
            <w:tcW w:w="0" w:type="auto"/>
            <w:tcBorders>
              <w:top w:val="single" w:sz="4" w:space="0" w:color="000000"/>
              <w:left w:val="single" w:sz="4" w:space="0" w:color="000000"/>
              <w:bottom w:val="single" w:sz="4" w:space="0" w:color="000000"/>
              <w:right w:val="single" w:sz="4" w:space="0" w:color="000000"/>
            </w:tcBorders>
            <w:hideMark/>
          </w:tcPr>
          <w:p w14:paraId="4F291F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2042</w:t>
            </w:r>
          </w:p>
        </w:tc>
      </w:tr>
      <w:tr w:rsidR="009F01D8" w:rsidRPr="00D76748" w14:paraId="4D80B99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841DD7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16</w:t>
            </w:r>
          </w:p>
        </w:tc>
        <w:tc>
          <w:tcPr>
            <w:tcW w:w="0" w:type="auto"/>
            <w:tcBorders>
              <w:top w:val="single" w:sz="4" w:space="0" w:color="000000"/>
              <w:left w:val="single" w:sz="4" w:space="0" w:color="000000"/>
              <w:bottom w:val="single" w:sz="4" w:space="0" w:color="000000"/>
              <w:right w:val="single" w:sz="4" w:space="0" w:color="000000"/>
            </w:tcBorders>
            <w:hideMark/>
          </w:tcPr>
          <w:p w14:paraId="61D92F8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United Kingdom/</w:t>
            </w:r>
          </w:p>
        </w:tc>
        <w:tc>
          <w:tcPr>
            <w:tcW w:w="0" w:type="auto"/>
            <w:tcBorders>
              <w:top w:val="single" w:sz="4" w:space="0" w:color="000000"/>
              <w:left w:val="single" w:sz="4" w:space="0" w:color="000000"/>
              <w:bottom w:val="single" w:sz="4" w:space="0" w:color="000000"/>
              <w:right w:val="single" w:sz="4" w:space="0" w:color="000000"/>
            </w:tcBorders>
            <w:hideMark/>
          </w:tcPr>
          <w:p w14:paraId="6402764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396661</w:t>
            </w:r>
          </w:p>
        </w:tc>
      </w:tr>
      <w:tr w:rsidR="009F01D8" w:rsidRPr="00D76748" w14:paraId="781C44A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5E5CC55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w:t>
            </w:r>
          </w:p>
        </w:tc>
        <w:tc>
          <w:tcPr>
            <w:tcW w:w="0" w:type="auto"/>
            <w:tcBorders>
              <w:top w:val="single" w:sz="4" w:space="0" w:color="000000"/>
              <w:left w:val="single" w:sz="4" w:space="0" w:color="000000"/>
              <w:bottom w:val="single" w:sz="4" w:space="0" w:color="000000"/>
              <w:right w:val="single" w:sz="4" w:space="0" w:color="000000"/>
            </w:tcBorders>
            <w:hideMark/>
          </w:tcPr>
          <w:p w14:paraId="280BCBF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english</w:t>
            </w:r>
            <w:proofErr w:type="spellEnd"/>
            <w:r w:rsidRPr="00D76748">
              <w:rPr>
                <w:rFonts w:asciiTheme="majorBidi" w:hAnsiTheme="majorBidi" w:cstheme="majorBidi"/>
                <w:color w:val="000000"/>
                <w:sz w:val="22"/>
                <w:szCs w:val="22"/>
                <w:lang w:eastAsia="en-US"/>
              </w:rPr>
              <w:t xml:space="preserve"> not ((published or publication* or </w:t>
            </w:r>
            <w:proofErr w:type="spellStart"/>
            <w:r w:rsidRPr="00D76748">
              <w:rPr>
                <w:rFonts w:asciiTheme="majorBidi" w:hAnsiTheme="majorBidi" w:cstheme="majorBidi"/>
                <w:color w:val="000000"/>
                <w:sz w:val="22"/>
                <w:szCs w:val="22"/>
                <w:lang w:eastAsia="en-US"/>
              </w:rPr>
              <w:t>translat</w:t>
            </w:r>
            <w:proofErr w:type="spellEnd"/>
            <w:r w:rsidRPr="00D76748">
              <w:rPr>
                <w:rFonts w:asciiTheme="majorBidi" w:hAnsiTheme="majorBidi" w:cstheme="majorBidi"/>
                <w:color w:val="000000"/>
                <w:sz w:val="22"/>
                <w:szCs w:val="22"/>
                <w:lang w:eastAsia="en-US"/>
              </w:rPr>
              <w:t xml:space="preserve">* or written or language* or speak* or literature or citation*) adj5 </w:t>
            </w:r>
            <w:proofErr w:type="spellStart"/>
            <w:r w:rsidRPr="00D76748">
              <w:rPr>
                <w:rFonts w:asciiTheme="majorBidi" w:hAnsiTheme="majorBidi" w:cstheme="majorBidi"/>
                <w:color w:val="000000"/>
                <w:sz w:val="22"/>
                <w:szCs w:val="22"/>
                <w:lang w:eastAsia="en-US"/>
              </w:rPr>
              <w:t>english</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79C740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48166</w:t>
            </w:r>
          </w:p>
        </w:tc>
      </w:tr>
      <w:tr w:rsidR="009F01D8" w:rsidRPr="00D76748" w14:paraId="49779BA8"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F837EA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hideMark/>
          </w:tcPr>
          <w:p w14:paraId="229EDCC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gb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g.b.</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britain</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british</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british</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columbia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uk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u.k.</w:t>
            </w:r>
            <w:proofErr w:type="spellEnd"/>
            <w:r w:rsidRPr="00D76748">
              <w:rPr>
                <w:rFonts w:asciiTheme="majorBidi" w:hAnsiTheme="majorBidi" w:cstheme="majorBidi"/>
                <w:color w:val="000000"/>
                <w:sz w:val="22"/>
                <w:szCs w:val="22"/>
                <w:lang w:eastAsia="en-US"/>
              </w:rPr>
              <w:t>" or united kingdom* or (</w:t>
            </w:r>
            <w:proofErr w:type="spellStart"/>
            <w:r w:rsidRPr="00D76748">
              <w:rPr>
                <w:rFonts w:asciiTheme="majorBidi" w:hAnsiTheme="majorBidi" w:cstheme="majorBidi"/>
                <w:color w:val="000000"/>
                <w:sz w:val="22"/>
                <w:szCs w:val="22"/>
                <w:lang w:eastAsia="en-US"/>
              </w:rPr>
              <w:t>england</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england</w:t>
            </w:r>
            <w:proofErr w:type="spellEnd"/>
            <w:r w:rsidRPr="00D76748">
              <w:rPr>
                <w:rFonts w:asciiTheme="majorBidi" w:hAnsiTheme="majorBidi" w:cstheme="majorBidi"/>
                <w:color w:val="000000"/>
                <w:sz w:val="22"/>
                <w:szCs w:val="22"/>
                <w:lang w:eastAsia="en-US"/>
              </w:rPr>
              <w:t xml:space="preserve">") or northern </w:t>
            </w:r>
            <w:proofErr w:type="spellStart"/>
            <w:r w:rsidRPr="00D76748">
              <w:rPr>
                <w:rFonts w:asciiTheme="majorBidi" w:hAnsiTheme="majorBidi" w:cstheme="majorBidi"/>
                <w:color w:val="000000"/>
                <w:sz w:val="22"/>
                <w:szCs w:val="22"/>
                <w:lang w:eastAsia="en-US"/>
              </w:rPr>
              <w:t>ireland</w:t>
            </w:r>
            <w:proofErr w:type="spellEnd"/>
            <w:r w:rsidRPr="00D76748">
              <w:rPr>
                <w:rFonts w:asciiTheme="majorBidi" w:hAnsiTheme="majorBidi" w:cstheme="majorBidi"/>
                <w:color w:val="000000"/>
                <w:sz w:val="22"/>
                <w:szCs w:val="22"/>
                <w:lang w:eastAsia="en-US"/>
              </w:rPr>
              <w:t xml:space="preserve">* or northern </w:t>
            </w:r>
            <w:proofErr w:type="spellStart"/>
            <w:r w:rsidRPr="00D76748">
              <w:rPr>
                <w:rFonts w:asciiTheme="majorBidi" w:hAnsiTheme="majorBidi" w:cstheme="majorBidi"/>
                <w:color w:val="000000"/>
                <w:sz w:val="22"/>
                <w:szCs w:val="22"/>
                <w:lang w:eastAsia="en-US"/>
              </w:rPr>
              <w:t>irish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scotland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scottish</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welsh</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,ab,jx,in,ad</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387BD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3375725</w:t>
            </w:r>
          </w:p>
        </w:tc>
      </w:tr>
      <w:tr w:rsidR="009F01D8" w:rsidRPr="00D76748" w14:paraId="6D3A9DA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C9B48D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19</w:t>
            </w:r>
          </w:p>
        </w:tc>
        <w:tc>
          <w:tcPr>
            <w:tcW w:w="0" w:type="auto"/>
            <w:tcBorders>
              <w:top w:val="single" w:sz="4" w:space="0" w:color="000000"/>
              <w:left w:val="single" w:sz="4" w:space="0" w:color="000000"/>
              <w:bottom w:val="single" w:sz="4" w:space="0" w:color="000000"/>
              <w:right w:val="single" w:sz="4" w:space="0" w:color="000000"/>
            </w:tcBorders>
            <w:hideMark/>
          </w:tcPr>
          <w:p w14:paraId="3C45F43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(bath or "bath's" or ((</w:t>
            </w:r>
            <w:proofErr w:type="spellStart"/>
            <w:r w:rsidRPr="00D76748">
              <w:rPr>
                <w:rFonts w:asciiTheme="majorBidi" w:hAnsiTheme="majorBidi" w:cstheme="majorBidi"/>
                <w:color w:val="000000"/>
                <w:sz w:val="22"/>
                <w:szCs w:val="22"/>
                <w:lang w:eastAsia="en-US"/>
              </w:rPr>
              <w:t>birmingham</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alabama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birmingham's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alabama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bradford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bradford's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brighton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brighton's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bristol</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bristol's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carlisle</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carlisle's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cambridge</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cambridge's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xml:space="preserve">*)) or (canterbury not </w:t>
            </w:r>
            <w:proofErr w:type="spellStart"/>
            <w:r w:rsidRPr="00D76748">
              <w:rPr>
                <w:rFonts w:asciiTheme="majorBidi" w:hAnsiTheme="majorBidi" w:cstheme="majorBidi"/>
                <w:color w:val="000000"/>
                <w:sz w:val="22"/>
                <w:szCs w:val="22"/>
                <w:lang w:eastAsia="en-US"/>
              </w:rPr>
              <w:t>zealand</w:t>
            </w:r>
            <w:proofErr w:type="spellEnd"/>
            <w:r w:rsidRPr="00D76748">
              <w:rPr>
                <w:rFonts w:asciiTheme="majorBidi" w:hAnsiTheme="majorBidi" w:cstheme="majorBidi"/>
                <w:color w:val="000000"/>
                <w:sz w:val="22"/>
                <w:szCs w:val="22"/>
                <w:lang w:eastAsia="en-US"/>
              </w:rPr>
              <w:t xml:space="preserve">*) or ("canterbury's" not </w:t>
            </w:r>
            <w:proofErr w:type="spellStart"/>
            <w:r w:rsidRPr="00D76748">
              <w:rPr>
                <w:rFonts w:asciiTheme="majorBidi" w:hAnsiTheme="majorBidi" w:cstheme="majorBidi"/>
                <w:color w:val="000000"/>
                <w:sz w:val="22"/>
                <w:szCs w:val="22"/>
                <w:lang w:eastAsia="en-US"/>
              </w:rPr>
              <w:t>zealand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chelmsford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chelmsford's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chichester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chichester's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coventry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coventry's</w:t>
            </w:r>
            <w:proofErr w:type="spellEnd"/>
            <w:r w:rsidRPr="00D76748">
              <w:rPr>
                <w:rFonts w:asciiTheme="majorBidi" w:hAnsiTheme="majorBidi" w:cstheme="majorBidi"/>
                <w:color w:val="000000"/>
                <w:sz w:val="22"/>
                <w:szCs w:val="22"/>
                <w:lang w:eastAsia="en-US"/>
              </w:rPr>
              <w:t>" or derby or "derby's" or (</w:t>
            </w:r>
            <w:proofErr w:type="spellStart"/>
            <w:r w:rsidRPr="00D76748">
              <w:rPr>
                <w:rFonts w:asciiTheme="majorBidi" w:hAnsiTheme="majorBidi" w:cstheme="majorBidi"/>
                <w:color w:val="000000"/>
                <w:sz w:val="22"/>
                <w:szCs w:val="22"/>
                <w:lang w:eastAsia="en-US"/>
              </w:rPr>
              <w:t>durham</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carolina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nc</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durham's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carolina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nc</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ely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ely's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exeter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exeter's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gloucester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gloucester's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hereford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hereford's</w:t>
            </w:r>
            <w:proofErr w:type="spellEnd"/>
            <w:r w:rsidRPr="00D76748">
              <w:rPr>
                <w:rFonts w:asciiTheme="majorBidi" w:hAnsiTheme="majorBidi" w:cstheme="majorBidi"/>
                <w:color w:val="000000"/>
                <w:sz w:val="22"/>
                <w:szCs w:val="22"/>
                <w:lang w:eastAsia="en-US"/>
              </w:rPr>
              <w:t xml:space="preserve">" or hull or "hull's" or </w:t>
            </w:r>
            <w:proofErr w:type="spellStart"/>
            <w:r w:rsidRPr="00D76748">
              <w:rPr>
                <w:rFonts w:asciiTheme="majorBidi" w:hAnsiTheme="majorBidi" w:cstheme="majorBidi"/>
                <w:color w:val="000000"/>
                <w:sz w:val="22"/>
                <w:szCs w:val="22"/>
                <w:lang w:eastAsia="en-US"/>
              </w:rPr>
              <w:t>lancaster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lancaster's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leeds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leicester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leicester's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lincoln</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nebraska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lincoln's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nebraska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liverpool</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liverpool's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london</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london's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manchester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manchester's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newcastle</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newcastle's</w:t>
            </w:r>
            <w:proofErr w:type="spellEnd"/>
            <w:r w:rsidRPr="00D76748">
              <w:rPr>
                <w:rFonts w:asciiTheme="majorBidi" w:hAnsiTheme="majorBidi" w:cstheme="majorBidi"/>
                <w:color w:val="000000"/>
                <w:sz w:val="22"/>
                <w:szCs w:val="22"/>
                <w:lang w:eastAsia="en-US"/>
              </w:rPr>
              <w:t xml:space="preserve">" not (new south </w:t>
            </w:r>
            <w:proofErr w:type="spellStart"/>
            <w:r w:rsidRPr="00D76748">
              <w:rPr>
                <w:rFonts w:asciiTheme="majorBidi" w:hAnsiTheme="majorBidi" w:cstheme="majorBidi"/>
                <w:color w:val="000000"/>
                <w:sz w:val="22"/>
                <w:szCs w:val="22"/>
                <w:lang w:eastAsia="en-US"/>
              </w:rPr>
              <w:t>wales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nsw</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norwich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norwich's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nottingham</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nottingham's</w:t>
            </w:r>
            <w:proofErr w:type="spellEnd"/>
            <w:r w:rsidRPr="00D76748">
              <w:rPr>
                <w:rFonts w:asciiTheme="majorBidi" w:hAnsiTheme="majorBidi" w:cstheme="majorBidi"/>
                <w:color w:val="000000"/>
                <w:sz w:val="22"/>
                <w:szCs w:val="22"/>
                <w:lang w:eastAsia="en-US"/>
              </w:rPr>
              <w:t xml:space="preserve">" or oxford or "oxford's" or </w:t>
            </w:r>
            <w:proofErr w:type="spellStart"/>
            <w:r w:rsidRPr="00D76748">
              <w:rPr>
                <w:rFonts w:asciiTheme="majorBidi" w:hAnsiTheme="majorBidi" w:cstheme="majorBidi"/>
                <w:color w:val="000000"/>
                <w:sz w:val="22"/>
                <w:szCs w:val="22"/>
                <w:lang w:eastAsia="en-US"/>
              </w:rPr>
              <w:t>peterborough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peterborough's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plymouth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plymouth's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portsmouth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portsmouth's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preston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preston's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ripon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ripon's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salford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salford's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salisbury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salisbury's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sheffield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sheffield's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southampton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southampton's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albans</w:t>
            </w:r>
            <w:proofErr w:type="spellEnd"/>
            <w:r w:rsidRPr="00D76748">
              <w:rPr>
                <w:rFonts w:asciiTheme="majorBidi" w:hAnsiTheme="majorBidi" w:cstheme="majorBidi"/>
                <w:color w:val="000000"/>
                <w:sz w:val="22"/>
                <w:szCs w:val="22"/>
                <w:lang w:eastAsia="en-US"/>
              </w:rPr>
              <w:t xml:space="preserve"> or stoke or "</w:t>
            </w:r>
            <w:proofErr w:type="spellStart"/>
            <w:r w:rsidRPr="00D76748">
              <w:rPr>
                <w:rFonts w:asciiTheme="majorBidi" w:hAnsiTheme="majorBidi" w:cstheme="majorBidi"/>
                <w:color w:val="000000"/>
                <w:sz w:val="22"/>
                <w:szCs w:val="22"/>
                <w:lang w:eastAsia="en-US"/>
              </w:rPr>
              <w:t>stoke's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sunderland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sunderland's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truro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truro's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wakefield</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wakefield's</w:t>
            </w:r>
            <w:proofErr w:type="spellEnd"/>
            <w:r w:rsidRPr="00D76748">
              <w:rPr>
                <w:rFonts w:asciiTheme="majorBidi" w:hAnsiTheme="majorBidi" w:cstheme="majorBidi"/>
                <w:color w:val="000000"/>
                <w:sz w:val="22"/>
                <w:szCs w:val="22"/>
                <w:lang w:eastAsia="en-US"/>
              </w:rPr>
              <w:t xml:space="preserve">" or wells or </w:t>
            </w:r>
            <w:proofErr w:type="spellStart"/>
            <w:r w:rsidRPr="00D76748">
              <w:rPr>
                <w:rFonts w:asciiTheme="majorBidi" w:hAnsiTheme="majorBidi" w:cstheme="majorBidi"/>
                <w:color w:val="000000"/>
                <w:sz w:val="22"/>
                <w:szCs w:val="22"/>
                <w:lang w:eastAsia="en-US"/>
              </w:rPr>
              <w:t>westminster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westminster's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winchester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winchester's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wolverhampton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wolverhampton's</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worcester</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worcester's</w:t>
            </w:r>
            <w:proofErr w:type="spellEnd"/>
            <w:r w:rsidRPr="00D76748">
              <w:rPr>
                <w:rFonts w:asciiTheme="majorBidi" w:hAnsiTheme="majorBidi" w:cstheme="majorBidi"/>
                <w:color w:val="000000"/>
                <w:sz w:val="22"/>
                <w:szCs w:val="22"/>
                <w:lang w:eastAsia="en-US"/>
              </w:rPr>
              <w:t>" not (</w:t>
            </w:r>
            <w:proofErr w:type="spellStart"/>
            <w:r w:rsidRPr="00D76748">
              <w:rPr>
                <w:rFonts w:asciiTheme="majorBidi" w:hAnsiTheme="majorBidi" w:cstheme="majorBidi"/>
                <w:color w:val="000000"/>
                <w:sz w:val="22"/>
                <w:szCs w:val="22"/>
                <w:lang w:eastAsia="en-US"/>
              </w:rPr>
              <w:t>massachusetts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boston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harvard</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york's</w:t>
            </w:r>
            <w:proofErr w:type="spellEnd"/>
            <w:r w:rsidRPr="00D76748">
              <w:rPr>
                <w:rFonts w:asciiTheme="majorBidi" w:hAnsiTheme="majorBidi" w:cstheme="majorBidi"/>
                <w:color w:val="000000"/>
                <w:sz w:val="22"/>
                <w:szCs w:val="22"/>
                <w:lang w:eastAsia="en-US"/>
              </w:rPr>
              <w:t xml:space="preserve">" not ("new </w:t>
            </w:r>
            <w:proofErr w:type="spellStart"/>
            <w:r w:rsidRPr="00D76748">
              <w:rPr>
                <w:rFonts w:asciiTheme="majorBidi" w:hAnsiTheme="majorBidi" w:cstheme="majorBidi"/>
                <w:color w:val="000000"/>
                <w:sz w:val="22"/>
                <w:szCs w:val="22"/>
                <w:lang w:eastAsia="en-US"/>
              </w:rPr>
              <w:t>york</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ontario</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ont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toronto</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ti,ab,in,ad</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62B5A2FD"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2611006</w:t>
            </w:r>
          </w:p>
        </w:tc>
      </w:tr>
      <w:tr w:rsidR="009F01D8" w:rsidRPr="00D76748" w14:paraId="624FCAD7"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CBFC08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20</w:t>
            </w:r>
          </w:p>
        </w:tc>
        <w:tc>
          <w:tcPr>
            <w:tcW w:w="0" w:type="auto"/>
            <w:tcBorders>
              <w:top w:val="single" w:sz="4" w:space="0" w:color="000000"/>
              <w:left w:val="single" w:sz="4" w:space="0" w:color="000000"/>
              <w:bottom w:val="single" w:sz="4" w:space="0" w:color="000000"/>
              <w:right w:val="single" w:sz="4" w:space="0" w:color="000000"/>
            </w:tcBorders>
            <w:hideMark/>
          </w:tcPr>
          <w:p w14:paraId="634ABEC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bangor</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bangor's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cardiff</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cardiff's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newport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newport's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asaph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asaph's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w:t>
            </w:r>
            <w:proofErr w:type="spellEnd"/>
            <w:r w:rsidRPr="00D76748">
              <w:rPr>
                <w:rFonts w:asciiTheme="majorBidi" w:hAnsiTheme="majorBidi" w:cstheme="majorBidi"/>
                <w:color w:val="000000"/>
                <w:sz w:val="22"/>
                <w:szCs w:val="22"/>
                <w:lang w:eastAsia="en-US"/>
              </w:rPr>
              <w:t xml:space="preserve"> </w:t>
            </w:r>
            <w:proofErr w:type="spellStart"/>
            <w:r w:rsidRPr="00D76748">
              <w:rPr>
                <w:rFonts w:asciiTheme="majorBidi" w:hAnsiTheme="majorBidi" w:cstheme="majorBidi"/>
                <w:color w:val="000000"/>
                <w:sz w:val="22"/>
                <w:szCs w:val="22"/>
                <w:lang w:eastAsia="en-US"/>
              </w:rPr>
              <w:t>davids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swansea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swansea's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,ab,in,ad</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4586E018"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106769</w:t>
            </w:r>
          </w:p>
        </w:tc>
      </w:tr>
      <w:tr w:rsidR="009F01D8" w:rsidRPr="00D76748" w14:paraId="57E01783"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2A2576F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21</w:t>
            </w:r>
          </w:p>
        </w:tc>
        <w:tc>
          <w:tcPr>
            <w:tcW w:w="0" w:type="auto"/>
            <w:tcBorders>
              <w:top w:val="single" w:sz="4" w:space="0" w:color="000000"/>
              <w:left w:val="single" w:sz="4" w:space="0" w:color="000000"/>
              <w:bottom w:val="single" w:sz="4" w:space="0" w:color="000000"/>
              <w:right w:val="single" w:sz="4" w:space="0" w:color="000000"/>
            </w:tcBorders>
            <w:hideMark/>
          </w:tcPr>
          <w:p w14:paraId="7A50D76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aberdeen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aberdeen's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dundee</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dundee's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edinburgh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edinburgh's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glasgow</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glasgow's</w:t>
            </w:r>
            <w:proofErr w:type="spellEnd"/>
            <w:r w:rsidRPr="00D76748">
              <w:rPr>
                <w:rFonts w:asciiTheme="majorBidi" w:hAnsiTheme="majorBidi" w:cstheme="majorBidi"/>
                <w:color w:val="000000"/>
                <w:sz w:val="22"/>
                <w:szCs w:val="22"/>
                <w:lang w:eastAsia="en-US"/>
              </w:rPr>
              <w:t>" or inverness or (</w:t>
            </w:r>
            <w:proofErr w:type="spellStart"/>
            <w:r w:rsidRPr="00D76748">
              <w:rPr>
                <w:rFonts w:asciiTheme="majorBidi" w:hAnsiTheme="majorBidi" w:cstheme="majorBidi"/>
                <w:color w:val="000000"/>
                <w:sz w:val="22"/>
                <w:szCs w:val="22"/>
                <w:lang w:eastAsia="en-US"/>
              </w:rPr>
              <w:t>perth</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australia</w:t>
            </w:r>
            <w:proofErr w:type="spellEnd"/>
            <w:r w:rsidRPr="00D76748">
              <w:rPr>
                <w:rFonts w:asciiTheme="majorBidi" w:hAnsiTheme="majorBidi" w:cstheme="majorBidi"/>
                <w:color w:val="000000"/>
                <w:sz w:val="22"/>
                <w:szCs w:val="22"/>
                <w:lang w:eastAsia="en-US"/>
              </w:rPr>
              <w:t>*) or ("</w:t>
            </w:r>
            <w:proofErr w:type="spellStart"/>
            <w:r w:rsidRPr="00D76748">
              <w:rPr>
                <w:rFonts w:asciiTheme="majorBidi" w:hAnsiTheme="majorBidi" w:cstheme="majorBidi"/>
                <w:color w:val="000000"/>
                <w:sz w:val="22"/>
                <w:szCs w:val="22"/>
                <w:lang w:eastAsia="en-US"/>
              </w:rPr>
              <w:t>perth's</w:t>
            </w:r>
            <w:proofErr w:type="spellEnd"/>
            <w:r w:rsidRPr="00D76748">
              <w:rPr>
                <w:rFonts w:asciiTheme="majorBidi" w:hAnsiTheme="majorBidi" w:cstheme="majorBidi"/>
                <w:color w:val="000000"/>
                <w:sz w:val="22"/>
                <w:szCs w:val="22"/>
                <w:lang w:eastAsia="en-US"/>
              </w:rPr>
              <w:t xml:space="preserve">" not </w:t>
            </w:r>
            <w:proofErr w:type="spellStart"/>
            <w:r w:rsidRPr="00D76748">
              <w:rPr>
                <w:rFonts w:asciiTheme="majorBidi" w:hAnsiTheme="majorBidi" w:cstheme="majorBidi"/>
                <w:color w:val="000000"/>
                <w:sz w:val="22"/>
                <w:szCs w:val="22"/>
                <w:lang w:eastAsia="en-US"/>
              </w:rPr>
              <w:t>australia</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stirling</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stirling's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,ab,in,ad</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A64CB8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359669</w:t>
            </w:r>
          </w:p>
        </w:tc>
      </w:tr>
      <w:tr w:rsidR="009F01D8" w:rsidRPr="00D76748" w14:paraId="59DE3A8D"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AF2DBE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22</w:t>
            </w:r>
          </w:p>
        </w:tc>
        <w:tc>
          <w:tcPr>
            <w:tcW w:w="0" w:type="auto"/>
            <w:tcBorders>
              <w:top w:val="single" w:sz="4" w:space="0" w:color="000000"/>
              <w:left w:val="single" w:sz="4" w:space="0" w:color="000000"/>
              <w:bottom w:val="single" w:sz="4" w:space="0" w:color="000000"/>
              <w:right w:val="single" w:sz="4" w:space="0" w:color="000000"/>
            </w:tcBorders>
            <w:hideMark/>
          </w:tcPr>
          <w:p w14:paraId="61EAE23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armagh</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armagh's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belfast</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belfast's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lisburn</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lisburn's</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londonderry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londonderry's</w:t>
            </w:r>
            <w:proofErr w:type="spellEnd"/>
            <w:r w:rsidRPr="00D76748">
              <w:rPr>
                <w:rFonts w:asciiTheme="majorBidi" w:hAnsiTheme="majorBidi" w:cstheme="majorBidi"/>
                <w:color w:val="000000"/>
                <w:sz w:val="22"/>
                <w:szCs w:val="22"/>
                <w:lang w:eastAsia="en-US"/>
              </w:rPr>
              <w:t xml:space="preserve">" or derry or "derry's" or </w:t>
            </w:r>
            <w:proofErr w:type="spellStart"/>
            <w:r w:rsidRPr="00D76748">
              <w:rPr>
                <w:rFonts w:asciiTheme="majorBidi" w:hAnsiTheme="majorBidi" w:cstheme="majorBidi"/>
                <w:color w:val="000000"/>
                <w:sz w:val="22"/>
                <w:szCs w:val="22"/>
                <w:lang w:eastAsia="en-US"/>
              </w:rPr>
              <w:t>newry</w:t>
            </w:r>
            <w:proofErr w:type="spell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newry's</w:t>
            </w:r>
            <w:proofErr w:type="spellEnd"/>
            <w:r w:rsidRPr="00D76748">
              <w:rPr>
                <w:rFonts w:asciiTheme="majorBidi" w:hAnsiTheme="majorBidi" w:cstheme="majorBidi"/>
                <w:color w:val="000000"/>
                <w:sz w:val="22"/>
                <w:szCs w:val="22"/>
                <w:lang w:eastAsia="en-US"/>
              </w:rPr>
              <w:t>"</w:t>
            </w:r>
            <w:proofErr w:type="gramStart"/>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ti</w:t>
            </w:r>
            <w:proofErr w:type="gramEnd"/>
            <w:r w:rsidRPr="00D76748">
              <w:rPr>
                <w:rFonts w:asciiTheme="majorBidi" w:hAnsiTheme="majorBidi" w:cstheme="majorBidi"/>
                <w:color w:val="000000"/>
                <w:sz w:val="22"/>
                <w:szCs w:val="22"/>
                <w:lang w:eastAsia="en-US"/>
              </w:rPr>
              <w:t>,ab,in,ad</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0AF4514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48772</w:t>
            </w:r>
          </w:p>
        </w:tc>
      </w:tr>
      <w:tr w:rsidR="009F01D8" w:rsidRPr="00D76748" w14:paraId="2C8005D1"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3D790A7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w:t>
            </w:r>
          </w:p>
        </w:tc>
        <w:tc>
          <w:tcPr>
            <w:tcW w:w="0" w:type="auto"/>
            <w:tcBorders>
              <w:top w:val="single" w:sz="4" w:space="0" w:color="000000"/>
              <w:left w:val="single" w:sz="4" w:space="0" w:color="000000"/>
              <w:bottom w:val="single" w:sz="4" w:space="0" w:color="000000"/>
              <w:right w:val="single" w:sz="4" w:space="0" w:color="000000"/>
            </w:tcBorders>
            <w:hideMark/>
          </w:tcPr>
          <w:p w14:paraId="6792550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or/16-22</w:t>
            </w:r>
          </w:p>
        </w:tc>
        <w:tc>
          <w:tcPr>
            <w:tcW w:w="0" w:type="auto"/>
            <w:tcBorders>
              <w:top w:val="single" w:sz="4" w:space="0" w:color="000000"/>
              <w:left w:val="single" w:sz="4" w:space="0" w:color="000000"/>
              <w:bottom w:val="single" w:sz="4" w:space="0" w:color="000000"/>
              <w:right w:val="single" w:sz="4" w:space="0" w:color="000000"/>
            </w:tcBorders>
            <w:hideMark/>
          </w:tcPr>
          <w:p w14:paraId="73D42443"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4091713</w:t>
            </w:r>
          </w:p>
        </w:tc>
      </w:tr>
      <w:tr w:rsidR="009F01D8" w:rsidRPr="00D76748" w14:paraId="180DDB9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466BF6E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14:paraId="36EC86F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 xml:space="preserve">(exp "arctic and </w:t>
            </w:r>
            <w:proofErr w:type="spellStart"/>
            <w:r w:rsidRPr="00D76748">
              <w:rPr>
                <w:rFonts w:asciiTheme="majorBidi" w:hAnsiTheme="majorBidi" w:cstheme="majorBidi"/>
                <w:color w:val="000000"/>
                <w:sz w:val="22"/>
                <w:szCs w:val="22"/>
                <w:lang w:eastAsia="en-US"/>
              </w:rPr>
              <w:t>antarctic</w:t>
            </w:r>
            <w:proofErr w:type="spellEnd"/>
            <w:r w:rsidRPr="00D76748">
              <w:rPr>
                <w:rFonts w:asciiTheme="majorBidi" w:hAnsiTheme="majorBidi" w:cstheme="majorBidi"/>
                <w:color w:val="000000"/>
                <w:sz w:val="22"/>
                <w:szCs w:val="22"/>
                <w:lang w:eastAsia="en-US"/>
              </w:rPr>
              <w:t xml:space="preserve">"/ or exp oceanic regions/ or exp western hemisphere/ or exp </w:t>
            </w:r>
            <w:proofErr w:type="spellStart"/>
            <w:r w:rsidRPr="00D76748">
              <w:rPr>
                <w:rFonts w:asciiTheme="majorBidi" w:hAnsiTheme="majorBidi" w:cstheme="majorBidi"/>
                <w:color w:val="000000"/>
                <w:sz w:val="22"/>
                <w:szCs w:val="22"/>
                <w:lang w:eastAsia="en-US"/>
              </w:rPr>
              <w:t>africa</w:t>
            </w:r>
            <w:proofErr w:type="spellEnd"/>
            <w:r w:rsidRPr="00D76748">
              <w:rPr>
                <w:rFonts w:asciiTheme="majorBidi" w:hAnsiTheme="majorBidi" w:cstheme="majorBidi"/>
                <w:color w:val="000000"/>
                <w:sz w:val="22"/>
                <w:szCs w:val="22"/>
                <w:lang w:eastAsia="en-US"/>
              </w:rPr>
              <w:t xml:space="preserve">/ or exp </w:t>
            </w:r>
            <w:proofErr w:type="spellStart"/>
            <w:r w:rsidRPr="00D76748">
              <w:rPr>
                <w:rFonts w:asciiTheme="majorBidi" w:hAnsiTheme="majorBidi" w:cstheme="majorBidi"/>
                <w:color w:val="000000"/>
                <w:sz w:val="22"/>
                <w:szCs w:val="22"/>
                <w:lang w:eastAsia="en-US"/>
              </w:rPr>
              <w:t>asia</w:t>
            </w:r>
            <w:proofErr w:type="spellEnd"/>
            <w:r w:rsidRPr="00D76748">
              <w:rPr>
                <w:rFonts w:asciiTheme="majorBidi" w:hAnsiTheme="majorBidi" w:cstheme="majorBidi"/>
                <w:color w:val="000000"/>
                <w:sz w:val="22"/>
                <w:szCs w:val="22"/>
                <w:lang w:eastAsia="en-US"/>
              </w:rPr>
              <w:t>/) not (</w:t>
            </w:r>
            <w:proofErr w:type="gramStart"/>
            <w:r w:rsidRPr="00D76748">
              <w:rPr>
                <w:rFonts w:asciiTheme="majorBidi" w:hAnsiTheme="majorBidi" w:cstheme="majorBidi"/>
                <w:color w:val="000000"/>
                <w:sz w:val="22"/>
                <w:szCs w:val="22"/>
                <w:lang w:eastAsia="en-US"/>
              </w:rPr>
              <w:t>united kingdom</w:t>
            </w:r>
            <w:proofErr w:type="gramEnd"/>
            <w:r w:rsidRPr="00D76748">
              <w:rPr>
                <w:rFonts w:asciiTheme="majorBidi" w:hAnsiTheme="majorBidi" w:cstheme="majorBidi"/>
                <w:color w:val="000000"/>
                <w:sz w:val="22"/>
                <w:szCs w:val="22"/>
                <w:lang w:eastAsia="en-US"/>
              </w:rPr>
              <w:t xml:space="preserve">/ or </w:t>
            </w:r>
            <w:proofErr w:type="spellStart"/>
            <w:r w:rsidRPr="00D76748">
              <w:rPr>
                <w:rFonts w:asciiTheme="majorBidi" w:hAnsiTheme="majorBidi" w:cstheme="majorBidi"/>
                <w:color w:val="000000"/>
                <w:sz w:val="22"/>
                <w:szCs w:val="22"/>
                <w:lang w:eastAsia="en-US"/>
              </w:rPr>
              <w:t>europe</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2B02734B"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3115003</w:t>
            </w:r>
          </w:p>
        </w:tc>
      </w:tr>
      <w:tr w:rsidR="009F01D8" w:rsidRPr="00D76748" w14:paraId="5B05B57B"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66AEE7E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w:t>
            </w:r>
          </w:p>
        </w:tc>
        <w:tc>
          <w:tcPr>
            <w:tcW w:w="0" w:type="auto"/>
            <w:tcBorders>
              <w:top w:val="single" w:sz="4" w:space="0" w:color="000000"/>
              <w:left w:val="single" w:sz="4" w:space="0" w:color="000000"/>
              <w:bottom w:val="single" w:sz="4" w:space="0" w:color="000000"/>
              <w:right w:val="single" w:sz="4" w:space="0" w:color="000000"/>
            </w:tcBorders>
            <w:hideMark/>
          </w:tcPr>
          <w:p w14:paraId="5F0483C1"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23 not 24</w:t>
            </w:r>
          </w:p>
        </w:tc>
        <w:tc>
          <w:tcPr>
            <w:tcW w:w="0" w:type="auto"/>
            <w:tcBorders>
              <w:top w:val="single" w:sz="4" w:space="0" w:color="000000"/>
              <w:left w:val="single" w:sz="4" w:space="0" w:color="000000"/>
              <w:bottom w:val="single" w:sz="4" w:space="0" w:color="000000"/>
              <w:right w:val="single" w:sz="4" w:space="0" w:color="000000"/>
            </w:tcBorders>
            <w:hideMark/>
          </w:tcPr>
          <w:p w14:paraId="4B3F6B5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3874523</w:t>
            </w:r>
          </w:p>
        </w:tc>
      </w:tr>
      <w:tr w:rsidR="009F01D8" w:rsidRPr="00D76748" w14:paraId="7DD260E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510177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26</w:t>
            </w:r>
          </w:p>
        </w:tc>
        <w:tc>
          <w:tcPr>
            <w:tcW w:w="0" w:type="auto"/>
            <w:tcBorders>
              <w:top w:val="single" w:sz="4" w:space="0" w:color="000000"/>
              <w:left w:val="single" w:sz="4" w:space="0" w:color="000000"/>
              <w:bottom w:val="single" w:sz="4" w:space="0" w:color="000000"/>
              <w:right w:val="single" w:sz="4" w:space="0" w:color="000000"/>
            </w:tcBorders>
            <w:hideMark/>
          </w:tcPr>
          <w:p w14:paraId="5560D34C"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 and 15 and 25</w:t>
            </w:r>
          </w:p>
        </w:tc>
        <w:tc>
          <w:tcPr>
            <w:tcW w:w="0" w:type="auto"/>
            <w:tcBorders>
              <w:top w:val="single" w:sz="4" w:space="0" w:color="000000"/>
              <w:left w:val="single" w:sz="4" w:space="0" w:color="000000"/>
              <w:bottom w:val="single" w:sz="4" w:space="0" w:color="000000"/>
              <w:right w:val="single" w:sz="4" w:space="0" w:color="000000"/>
            </w:tcBorders>
            <w:hideMark/>
          </w:tcPr>
          <w:p w14:paraId="7E96E4BF"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25</w:t>
            </w:r>
          </w:p>
        </w:tc>
      </w:tr>
      <w:tr w:rsidR="009F01D8" w:rsidRPr="00D76748" w14:paraId="6E73FD8A"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0ADD79E2"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27</w:t>
            </w:r>
          </w:p>
        </w:tc>
        <w:tc>
          <w:tcPr>
            <w:tcW w:w="0" w:type="auto"/>
            <w:tcBorders>
              <w:top w:val="single" w:sz="4" w:space="0" w:color="000000"/>
              <w:left w:val="single" w:sz="4" w:space="0" w:color="000000"/>
              <w:bottom w:val="single" w:sz="4" w:space="0" w:color="000000"/>
              <w:right w:val="single" w:sz="4" w:space="0" w:color="000000"/>
            </w:tcBorders>
            <w:hideMark/>
          </w:tcPr>
          <w:p w14:paraId="6D998A79"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susceptib</w:t>
            </w:r>
            <w:proofErr w:type="spellEnd"/>
            <w:r w:rsidRPr="00D76748">
              <w:rPr>
                <w:rFonts w:asciiTheme="majorBidi" w:hAnsiTheme="majorBidi" w:cstheme="majorBidi"/>
                <w:color w:val="000000"/>
                <w:sz w:val="22"/>
                <w:szCs w:val="22"/>
                <w:lang w:eastAsia="en-US"/>
              </w:rPr>
              <w:t xml:space="preserve">* or inhibit* or mic or mics or </w:t>
            </w:r>
            <w:proofErr w:type="spellStart"/>
            <w:r w:rsidRPr="00D76748">
              <w:rPr>
                <w:rFonts w:asciiTheme="majorBidi" w:hAnsiTheme="majorBidi" w:cstheme="majorBidi"/>
                <w:color w:val="000000"/>
                <w:sz w:val="22"/>
                <w:szCs w:val="22"/>
                <w:lang w:eastAsia="en-US"/>
              </w:rPr>
              <w:t>isolat</w:t>
            </w:r>
            <w:proofErr w:type="spellEnd"/>
            <w:r w:rsidRPr="00D76748">
              <w:rPr>
                <w:rFonts w:asciiTheme="majorBidi" w:hAnsiTheme="majorBidi" w:cstheme="majorBidi"/>
                <w:color w:val="000000"/>
                <w:sz w:val="22"/>
                <w:szCs w:val="22"/>
                <w:lang w:eastAsia="en-US"/>
              </w:rPr>
              <w:t xml:space="preserve">* or in-vitro or "in vitro" or </w:t>
            </w:r>
            <w:proofErr w:type="spellStart"/>
            <w:r w:rsidRPr="00D76748">
              <w:rPr>
                <w:rFonts w:asciiTheme="majorBidi" w:hAnsiTheme="majorBidi" w:cstheme="majorBidi"/>
                <w:color w:val="000000"/>
                <w:sz w:val="22"/>
                <w:szCs w:val="22"/>
                <w:lang w:eastAsia="en-US"/>
              </w:rPr>
              <w:t>activ</w:t>
            </w:r>
            <w:proofErr w:type="spellEnd"/>
            <w:r w:rsidRPr="00D76748">
              <w:rPr>
                <w:rFonts w:asciiTheme="majorBidi" w:hAnsiTheme="majorBidi" w:cstheme="majorBidi"/>
                <w:color w:val="000000"/>
                <w:sz w:val="22"/>
                <w:szCs w:val="22"/>
                <w:lang w:eastAsia="en-US"/>
              </w:rPr>
              <w:t>*).</w:t>
            </w:r>
            <w:proofErr w:type="spellStart"/>
            <w:r w:rsidRPr="00D76748">
              <w:rPr>
                <w:rFonts w:asciiTheme="majorBidi" w:hAnsiTheme="majorBidi" w:cstheme="majorBidi"/>
                <w:color w:val="000000"/>
                <w:sz w:val="22"/>
                <w:szCs w:val="22"/>
                <w:lang w:eastAsia="en-US"/>
              </w:rPr>
              <w:t>tw</w:t>
            </w:r>
            <w:proofErr w:type="spellEnd"/>
            <w:r w:rsidRPr="00D76748">
              <w:rPr>
                <w:rFonts w:asciiTheme="majorBidi" w:hAnsiTheme="majorBidi" w:cstheme="majorBidi"/>
                <w:color w:val="000000"/>
                <w:sz w:val="22"/>
                <w:szCs w:val="22"/>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14:paraId="366226B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9609593</w:t>
            </w:r>
          </w:p>
        </w:tc>
      </w:tr>
      <w:tr w:rsidR="009F01D8" w:rsidRPr="00D76748" w14:paraId="6215D71E"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2D286C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28</w:t>
            </w:r>
          </w:p>
        </w:tc>
        <w:tc>
          <w:tcPr>
            <w:tcW w:w="0" w:type="auto"/>
            <w:tcBorders>
              <w:top w:val="single" w:sz="4" w:space="0" w:color="000000"/>
              <w:left w:val="single" w:sz="4" w:space="0" w:color="000000"/>
              <w:bottom w:val="single" w:sz="4" w:space="0" w:color="000000"/>
              <w:right w:val="single" w:sz="4" w:space="0" w:color="000000"/>
            </w:tcBorders>
            <w:hideMark/>
          </w:tcPr>
          <w:p w14:paraId="11894CA6"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 and 27</w:t>
            </w:r>
          </w:p>
        </w:tc>
        <w:tc>
          <w:tcPr>
            <w:tcW w:w="0" w:type="auto"/>
            <w:tcBorders>
              <w:top w:val="single" w:sz="4" w:space="0" w:color="000000"/>
              <w:left w:val="single" w:sz="4" w:space="0" w:color="000000"/>
              <w:bottom w:val="single" w:sz="4" w:space="0" w:color="000000"/>
              <w:right w:val="single" w:sz="4" w:space="0" w:color="000000"/>
            </w:tcBorders>
            <w:hideMark/>
          </w:tcPr>
          <w:p w14:paraId="5B4E336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1268</w:t>
            </w:r>
          </w:p>
        </w:tc>
      </w:tr>
      <w:tr w:rsidR="009F01D8" w:rsidRPr="00D76748" w14:paraId="24F19CAC" w14:textId="77777777" w:rsidTr="009F01D8">
        <w:trPr>
          <w:trHeight w:val="288"/>
        </w:trPr>
        <w:tc>
          <w:tcPr>
            <w:tcW w:w="0" w:type="auto"/>
            <w:tcBorders>
              <w:top w:val="single" w:sz="4" w:space="0" w:color="000000"/>
              <w:left w:val="single" w:sz="4" w:space="0" w:color="000000"/>
              <w:bottom w:val="single" w:sz="4" w:space="0" w:color="000000"/>
              <w:right w:val="single" w:sz="4" w:space="0" w:color="000000"/>
            </w:tcBorders>
            <w:hideMark/>
          </w:tcPr>
          <w:p w14:paraId="7AEA93A7"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29</w:t>
            </w:r>
          </w:p>
        </w:tc>
        <w:tc>
          <w:tcPr>
            <w:tcW w:w="0" w:type="auto"/>
            <w:tcBorders>
              <w:top w:val="single" w:sz="4" w:space="0" w:color="000000"/>
              <w:left w:val="single" w:sz="4" w:space="0" w:color="000000"/>
              <w:bottom w:val="single" w:sz="4" w:space="0" w:color="000000"/>
              <w:right w:val="single" w:sz="4" w:space="0" w:color="000000"/>
            </w:tcBorders>
            <w:hideMark/>
          </w:tcPr>
          <w:p w14:paraId="142F743E"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12 and 25 and 28</w:t>
            </w:r>
          </w:p>
        </w:tc>
        <w:tc>
          <w:tcPr>
            <w:tcW w:w="0" w:type="auto"/>
            <w:tcBorders>
              <w:top w:val="single" w:sz="4" w:space="0" w:color="000000"/>
              <w:left w:val="single" w:sz="4" w:space="0" w:color="000000"/>
              <w:bottom w:val="single" w:sz="4" w:space="0" w:color="000000"/>
              <w:right w:val="single" w:sz="4" w:space="0" w:color="000000"/>
            </w:tcBorders>
            <w:hideMark/>
          </w:tcPr>
          <w:p w14:paraId="7B8B2AB0" w14:textId="77777777" w:rsidR="009F01D8" w:rsidRPr="00D76748" w:rsidRDefault="009F01D8" w:rsidP="009F01D8">
            <w:pPr>
              <w:pStyle w:val="NormalWeb"/>
              <w:spacing w:before="0" w:beforeAutospacing="0" w:after="0" w:afterAutospacing="0" w:line="256" w:lineRule="auto"/>
              <w:jc w:val="both"/>
              <w:rPr>
                <w:rFonts w:asciiTheme="majorBidi" w:hAnsiTheme="majorBidi" w:cstheme="majorBidi"/>
                <w:sz w:val="22"/>
                <w:szCs w:val="22"/>
                <w:lang w:eastAsia="en-US"/>
              </w:rPr>
            </w:pPr>
            <w:r w:rsidRPr="00D76748">
              <w:rPr>
                <w:rFonts w:asciiTheme="majorBidi" w:hAnsiTheme="majorBidi" w:cstheme="majorBidi"/>
                <w:color w:val="000000"/>
                <w:sz w:val="22"/>
                <w:szCs w:val="22"/>
                <w:lang w:eastAsia="en-US"/>
              </w:rPr>
              <w:t>177</w:t>
            </w:r>
          </w:p>
        </w:tc>
      </w:tr>
    </w:tbl>
    <w:p w14:paraId="64143A57" w14:textId="77777777" w:rsidR="009F01D8" w:rsidRPr="002E4F02" w:rsidRDefault="009F01D8" w:rsidP="009F01D8">
      <w:pPr>
        <w:pStyle w:val="NormalWeb"/>
        <w:spacing w:before="0" w:beforeAutospacing="0" w:after="0" w:afterAutospacing="0"/>
        <w:jc w:val="both"/>
        <w:rPr>
          <w:rFonts w:asciiTheme="majorBidi" w:hAnsiTheme="majorBidi" w:cstheme="majorBidi"/>
          <w:sz w:val="20"/>
          <w:szCs w:val="20"/>
        </w:rPr>
      </w:pPr>
      <w:r w:rsidRPr="002E4F02">
        <w:rPr>
          <w:rFonts w:asciiTheme="majorBidi" w:hAnsiTheme="majorBidi" w:cstheme="majorBidi"/>
          <w:color w:val="000000"/>
          <w:sz w:val="20"/>
          <w:szCs w:val="20"/>
        </w:rPr>
        <w:lastRenderedPageBreak/>
        <w:t xml:space="preserve">Embase UK search filter: </w:t>
      </w:r>
      <w:proofErr w:type="spellStart"/>
      <w:r w:rsidRPr="002E4F02">
        <w:rPr>
          <w:rFonts w:asciiTheme="majorBidi" w:hAnsiTheme="majorBidi" w:cstheme="majorBidi"/>
          <w:color w:val="000000"/>
          <w:sz w:val="20"/>
          <w:szCs w:val="20"/>
        </w:rPr>
        <w:t>Ayiku</w:t>
      </w:r>
      <w:proofErr w:type="spellEnd"/>
      <w:r w:rsidRPr="002E4F02">
        <w:rPr>
          <w:rFonts w:asciiTheme="majorBidi" w:hAnsiTheme="majorBidi" w:cstheme="majorBidi"/>
          <w:color w:val="000000"/>
          <w:sz w:val="20"/>
          <w:szCs w:val="20"/>
        </w:rPr>
        <w:t xml:space="preserve"> L, Levay P, Hudson T, Craven J, Finnegan A, Adams R, Barrett E. The Embase UK filter: validation of a geographic search filter to retrieve research about the UK from OVID Embase. Health Information &amp; Libraries Journal. 2019 Jun;36(2):121-33.</w:t>
      </w:r>
    </w:p>
    <w:p w14:paraId="770EFCDC" w14:textId="77777777" w:rsidR="009F01D8" w:rsidRDefault="009F01D8" w:rsidP="009F01D8">
      <w:pPr>
        <w:spacing w:line="360" w:lineRule="auto"/>
        <w:jc w:val="both"/>
        <w:rPr>
          <w:b/>
          <w:bCs/>
        </w:rPr>
      </w:pPr>
    </w:p>
    <w:p w14:paraId="15077B49" w14:textId="2C71A234" w:rsidR="009F01D8" w:rsidRPr="002E4F02" w:rsidRDefault="002E4F02" w:rsidP="00D76748">
      <w:pPr>
        <w:pStyle w:val="Heading3"/>
        <w:tabs>
          <w:tab w:val="left" w:pos="567"/>
        </w:tabs>
        <w:ind w:left="360"/>
        <w:rPr>
          <w:rFonts w:asciiTheme="majorBidi" w:hAnsiTheme="majorBidi"/>
          <w:b w:val="0"/>
          <w:noProof/>
          <w:sz w:val="26"/>
          <w:szCs w:val="26"/>
        </w:rPr>
      </w:pPr>
      <w:r>
        <w:rPr>
          <w:rFonts w:asciiTheme="majorBidi" w:hAnsiTheme="majorBidi"/>
          <w:sz w:val="26"/>
          <w:szCs w:val="26"/>
        </w:rPr>
        <w:tab/>
      </w:r>
      <w:bookmarkStart w:id="595" w:name="_Toc87463075"/>
      <w:r w:rsidR="009F01D8" w:rsidRPr="002E4F02">
        <w:rPr>
          <w:rFonts w:asciiTheme="majorBidi" w:hAnsiTheme="majorBidi"/>
          <w:sz w:val="26"/>
          <w:szCs w:val="26"/>
        </w:rPr>
        <w:t>A1.</w:t>
      </w:r>
      <w:bookmarkStart w:id="596" w:name="_Toc77254194"/>
      <w:r w:rsidR="009F01D8" w:rsidRPr="002E4F02">
        <w:rPr>
          <w:rFonts w:asciiTheme="majorBidi" w:hAnsiTheme="majorBidi"/>
          <w:sz w:val="26"/>
          <w:szCs w:val="26"/>
        </w:rPr>
        <w:t>2</w:t>
      </w:r>
      <w:r w:rsidR="009F01D8" w:rsidRPr="002E4F02">
        <w:rPr>
          <w:rFonts w:asciiTheme="majorBidi" w:hAnsiTheme="majorBidi"/>
          <w:noProof/>
          <w:sz w:val="26"/>
          <w:szCs w:val="26"/>
        </w:rPr>
        <w:t xml:space="preserve"> CAZ/AVI CEA models</w:t>
      </w:r>
      <w:bookmarkEnd w:id="596"/>
      <w:bookmarkEnd w:id="595"/>
    </w:p>
    <w:p w14:paraId="5B1160A2" w14:textId="77777777" w:rsidR="009F01D8" w:rsidRPr="000264C0" w:rsidRDefault="009F01D8" w:rsidP="009F01D8">
      <w:pPr>
        <w:spacing w:after="0"/>
      </w:pPr>
    </w:p>
    <w:p w14:paraId="44B4FAC5"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Term group(s): CAZ/AVI AND filters</w:t>
      </w:r>
    </w:p>
    <w:p w14:paraId="6E054230"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Economic (MEDLINE, Embase), Exclusion (Embase)</w:t>
      </w:r>
    </w:p>
    <w:p w14:paraId="5AC9177C"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None</w:t>
      </w:r>
    </w:p>
    <w:p w14:paraId="6F96C730" w14:textId="77777777" w:rsidR="009F01D8" w:rsidRPr="00D76748" w:rsidRDefault="009F01D8" w:rsidP="009F01D8">
      <w:pPr>
        <w:spacing w:after="0"/>
        <w:rPr>
          <w:rFonts w:asciiTheme="majorBidi" w:hAnsiTheme="majorBidi" w:cstheme="majorBidi"/>
        </w:rPr>
      </w:pPr>
    </w:p>
    <w:p w14:paraId="06645FCC" w14:textId="77777777" w:rsidR="009F01D8" w:rsidRPr="00D76748" w:rsidRDefault="009F01D8" w:rsidP="009F01D8">
      <w:pPr>
        <w:spacing w:after="0"/>
        <w:rPr>
          <w:rFonts w:asciiTheme="majorBidi" w:hAnsiTheme="majorBidi" w:cstheme="majorBidi"/>
          <w:b/>
        </w:rPr>
      </w:pPr>
      <w:r w:rsidRPr="00D76748">
        <w:rPr>
          <w:rFonts w:asciiTheme="majorBidi" w:hAnsiTheme="majorBidi" w:cstheme="majorBidi"/>
          <w:b/>
        </w:rPr>
        <w:t xml:space="preserve">Ovid MEDLINE(R) and </w:t>
      </w:r>
      <w:proofErr w:type="spellStart"/>
      <w:r w:rsidRPr="00D76748">
        <w:rPr>
          <w:rFonts w:asciiTheme="majorBidi" w:hAnsiTheme="majorBidi" w:cstheme="majorBidi"/>
          <w:b/>
        </w:rPr>
        <w:t>Epub</w:t>
      </w:r>
      <w:proofErr w:type="spellEnd"/>
      <w:r w:rsidRPr="00D76748">
        <w:rPr>
          <w:rFonts w:asciiTheme="majorBidi" w:hAnsiTheme="majorBidi" w:cstheme="majorBidi"/>
          <w:b/>
        </w:rPr>
        <w:t xml:space="preserve"> Ahead of Print, In-Process, In-Data-Review &amp; Other Non-Indexed Citations, Daily and Versions(R) 1946 to February 26, 2021 (searched via the Ovid SP platform)</w:t>
      </w:r>
    </w:p>
    <w:p w14:paraId="53BBC330"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1st March 2021</w:t>
      </w:r>
    </w:p>
    <w:p w14:paraId="653BFD79" w14:textId="77777777" w:rsidR="009F01D8" w:rsidRPr="00D76748" w:rsidRDefault="009F01D8" w:rsidP="009F01D8">
      <w:pPr>
        <w:spacing w:after="0"/>
        <w:rPr>
          <w:rFonts w:asciiTheme="majorBidi" w:hAnsiTheme="majorBidi" w:cstheme="majorBidi"/>
        </w:rPr>
      </w:pPr>
    </w:p>
    <w:tbl>
      <w:tblPr>
        <w:tblStyle w:val="TableGrid"/>
        <w:tblW w:w="0" w:type="auto"/>
        <w:tblLook w:val="04A0" w:firstRow="1" w:lastRow="0" w:firstColumn="1" w:lastColumn="0" w:noHBand="0" w:noVBand="1"/>
      </w:tblPr>
      <w:tblGrid>
        <w:gridCol w:w="1129"/>
        <w:gridCol w:w="6379"/>
        <w:gridCol w:w="1508"/>
      </w:tblGrid>
      <w:tr w:rsidR="009F01D8" w:rsidRPr="00D76748" w14:paraId="58B3FE9B" w14:textId="77777777" w:rsidTr="009F01D8">
        <w:trPr>
          <w:trHeight w:val="279"/>
        </w:trPr>
        <w:tc>
          <w:tcPr>
            <w:tcW w:w="1129" w:type="dxa"/>
            <w:hideMark/>
          </w:tcPr>
          <w:p w14:paraId="49780085"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w:t>
            </w:r>
          </w:p>
        </w:tc>
        <w:tc>
          <w:tcPr>
            <w:tcW w:w="6379" w:type="dxa"/>
            <w:hideMark/>
          </w:tcPr>
          <w:p w14:paraId="1BB8C7EF"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Searches</w:t>
            </w:r>
          </w:p>
        </w:tc>
        <w:tc>
          <w:tcPr>
            <w:tcW w:w="1508" w:type="dxa"/>
            <w:hideMark/>
          </w:tcPr>
          <w:p w14:paraId="1ADAD898"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Results</w:t>
            </w:r>
          </w:p>
        </w:tc>
      </w:tr>
      <w:tr w:rsidR="009F01D8" w:rsidRPr="00D76748" w14:paraId="6F08D3B0" w14:textId="77777777" w:rsidTr="009F01D8">
        <w:trPr>
          <w:trHeight w:val="279"/>
        </w:trPr>
        <w:tc>
          <w:tcPr>
            <w:tcW w:w="1129" w:type="dxa"/>
            <w:hideMark/>
          </w:tcPr>
          <w:p w14:paraId="0C3B73C7" w14:textId="77777777" w:rsidR="009F01D8" w:rsidRPr="00D76748" w:rsidRDefault="009F01D8" w:rsidP="009F01D8">
            <w:pPr>
              <w:rPr>
                <w:rFonts w:asciiTheme="majorBidi" w:hAnsiTheme="majorBidi" w:cstheme="majorBidi"/>
              </w:rPr>
            </w:pPr>
            <w:r w:rsidRPr="00D76748">
              <w:rPr>
                <w:rFonts w:asciiTheme="majorBidi" w:hAnsiTheme="majorBidi" w:cstheme="majorBidi"/>
              </w:rPr>
              <w:t>1</w:t>
            </w:r>
          </w:p>
        </w:tc>
        <w:tc>
          <w:tcPr>
            <w:tcW w:w="6379" w:type="dxa"/>
            <w:hideMark/>
          </w:tcPr>
          <w:p w14:paraId="5FD5493F" w14:textId="77777777" w:rsidR="009F01D8" w:rsidRPr="00D76748" w:rsidRDefault="009F01D8" w:rsidP="009F01D8">
            <w:pPr>
              <w:rPr>
                <w:rFonts w:asciiTheme="majorBidi" w:hAnsiTheme="majorBidi" w:cstheme="majorBidi"/>
              </w:rPr>
            </w:pPr>
            <w:r w:rsidRPr="00D76748">
              <w:rPr>
                <w:rFonts w:asciiTheme="majorBidi" w:hAnsiTheme="majorBidi" w:cstheme="majorBidi"/>
              </w:rPr>
              <w:t>ceftazidime.mp.</w:t>
            </w:r>
          </w:p>
        </w:tc>
        <w:tc>
          <w:tcPr>
            <w:tcW w:w="1508" w:type="dxa"/>
            <w:hideMark/>
          </w:tcPr>
          <w:p w14:paraId="1467D952" w14:textId="77777777" w:rsidR="009F01D8" w:rsidRPr="00D76748" w:rsidRDefault="009F01D8" w:rsidP="009F01D8">
            <w:pPr>
              <w:rPr>
                <w:rFonts w:asciiTheme="majorBidi" w:hAnsiTheme="majorBidi" w:cstheme="majorBidi"/>
              </w:rPr>
            </w:pPr>
            <w:r w:rsidRPr="00D76748">
              <w:rPr>
                <w:rFonts w:asciiTheme="majorBidi" w:hAnsiTheme="majorBidi" w:cstheme="majorBidi"/>
              </w:rPr>
              <w:t>10210</w:t>
            </w:r>
          </w:p>
        </w:tc>
      </w:tr>
      <w:tr w:rsidR="009F01D8" w:rsidRPr="00D76748" w14:paraId="09D7BA1E" w14:textId="77777777" w:rsidTr="009F01D8">
        <w:trPr>
          <w:trHeight w:val="279"/>
        </w:trPr>
        <w:tc>
          <w:tcPr>
            <w:tcW w:w="1129" w:type="dxa"/>
            <w:hideMark/>
          </w:tcPr>
          <w:p w14:paraId="40ADE9EB"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c>
          <w:tcPr>
            <w:tcW w:w="6379" w:type="dxa"/>
            <w:hideMark/>
          </w:tcPr>
          <w:p w14:paraId="6AF3B442" w14:textId="77777777" w:rsidR="009F01D8" w:rsidRPr="00D76748" w:rsidRDefault="009F01D8" w:rsidP="009F01D8">
            <w:pPr>
              <w:rPr>
                <w:rFonts w:asciiTheme="majorBidi" w:hAnsiTheme="majorBidi" w:cstheme="majorBidi"/>
              </w:rPr>
            </w:pPr>
            <w:r w:rsidRPr="00D76748">
              <w:rPr>
                <w:rFonts w:asciiTheme="majorBidi" w:hAnsiTheme="majorBidi" w:cstheme="majorBidi"/>
              </w:rPr>
              <w:t>Ceftazidime/</w:t>
            </w:r>
          </w:p>
        </w:tc>
        <w:tc>
          <w:tcPr>
            <w:tcW w:w="1508" w:type="dxa"/>
            <w:hideMark/>
          </w:tcPr>
          <w:p w14:paraId="22574AA7" w14:textId="77777777" w:rsidR="009F01D8" w:rsidRPr="00D76748" w:rsidRDefault="009F01D8" w:rsidP="009F01D8">
            <w:pPr>
              <w:rPr>
                <w:rFonts w:asciiTheme="majorBidi" w:hAnsiTheme="majorBidi" w:cstheme="majorBidi"/>
              </w:rPr>
            </w:pPr>
            <w:r w:rsidRPr="00D76748">
              <w:rPr>
                <w:rFonts w:asciiTheme="majorBidi" w:hAnsiTheme="majorBidi" w:cstheme="majorBidi"/>
              </w:rPr>
              <w:t>4047</w:t>
            </w:r>
          </w:p>
        </w:tc>
      </w:tr>
      <w:tr w:rsidR="009F01D8" w:rsidRPr="00D76748" w14:paraId="539E2F81" w14:textId="77777777" w:rsidTr="009F01D8">
        <w:trPr>
          <w:trHeight w:val="279"/>
        </w:trPr>
        <w:tc>
          <w:tcPr>
            <w:tcW w:w="1129" w:type="dxa"/>
            <w:hideMark/>
          </w:tcPr>
          <w:p w14:paraId="340BD562" w14:textId="77777777" w:rsidR="009F01D8" w:rsidRPr="00D76748" w:rsidRDefault="009F01D8" w:rsidP="009F01D8">
            <w:pPr>
              <w:rPr>
                <w:rFonts w:asciiTheme="majorBidi" w:hAnsiTheme="majorBidi" w:cstheme="majorBidi"/>
              </w:rPr>
            </w:pPr>
            <w:r w:rsidRPr="00D76748">
              <w:rPr>
                <w:rFonts w:asciiTheme="majorBidi" w:hAnsiTheme="majorBidi" w:cstheme="majorBidi"/>
              </w:rPr>
              <w:t>3</w:t>
            </w:r>
          </w:p>
        </w:tc>
        <w:tc>
          <w:tcPr>
            <w:tcW w:w="6379" w:type="dxa"/>
            <w:hideMark/>
          </w:tcPr>
          <w:p w14:paraId="4505EB31" w14:textId="77777777" w:rsidR="009F01D8" w:rsidRPr="00D76748" w:rsidRDefault="009F01D8" w:rsidP="009F01D8">
            <w:pPr>
              <w:rPr>
                <w:rFonts w:asciiTheme="majorBidi" w:hAnsiTheme="majorBidi" w:cstheme="majorBidi"/>
              </w:rPr>
            </w:pPr>
            <w:r w:rsidRPr="00D76748">
              <w:rPr>
                <w:rFonts w:asciiTheme="majorBidi" w:hAnsiTheme="majorBidi" w:cstheme="majorBidi"/>
              </w:rPr>
              <w:t>1 or 2</w:t>
            </w:r>
          </w:p>
        </w:tc>
        <w:tc>
          <w:tcPr>
            <w:tcW w:w="1508" w:type="dxa"/>
            <w:hideMark/>
          </w:tcPr>
          <w:p w14:paraId="0F1C816F" w14:textId="77777777" w:rsidR="009F01D8" w:rsidRPr="00D76748" w:rsidRDefault="009F01D8" w:rsidP="009F01D8">
            <w:pPr>
              <w:rPr>
                <w:rFonts w:asciiTheme="majorBidi" w:hAnsiTheme="majorBidi" w:cstheme="majorBidi"/>
              </w:rPr>
            </w:pPr>
            <w:r w:rsidRPr="00D76748">
              <w:rPr>
                <w:rFonts w:asciiTheme="majorBidi" w:hAnsiTheme="majorBidi" w:cstheme="majorBidi"/>
              </w:rPr>
              <w:t>10210</w:t>
            </w:r>
          </w:p>
        </w:tc>
      </w:tr>
      <w:tr w:rsidR="009F01D8" w:rsidRPr="00D76748" w14:paraId="5F6A1EB2" w14:textId="77777777" w:rsidTr="009F01D8">
        <w:trPr>
          <w:trHeight w:val="279"/>
        </w:trPr>
        <w:tc>
          <w:tcPr>
            <w:tcW w:w="1129" w:type="dxa"/>
            <w:hideMark/>
          </w:tcPr>
          <w:p w14:paraId="769139D5" w14:textId="77777777" w:rsidR="009F01D8" w:rsidRPr="00D76748" w:rsidRDefault="009F01D8" w:rsidP="009F01D8">
            <w:pPr>
              <w:rPr>
                <w:rFonts w:asciiTheme="majorBidi" w:hAnsiTheme="majorBidi" w:cstheme="majorBidi"/>
              </w:rPr>
            </w:pPr>
            <w:r w:rsidRPr="00D76748">
              <w:rPr>
                <w:rFonts w:asciiTheme="majorBidi" w:hAnsiTheme="majorBidi" w:cstheme="majorBidi"/>
              </w:rPr>
              <w:t>4</w:t>
            </w:r>
          </w:p>
        </w:tc>
        <w:tc>
          <w:tcPr>
            <w:tcW w:w="6379" w:type="dxa"/>
            <w:hideMark/>
          </w:tcPr>
          <w:p w14:paraId="3C6495A4" w14:textId="77777777" w:rsidR="009F01D8" w:rsidRPr="00D76748" w:rsidRDefault="009F01D8" w:rsidP="009F01D8">
            <w:pPr>
              <w:rPr>
                <w:rFonts w:asciiTheme="majorBidi" w:hAnsiTheme="majorBidi" w:cstheme="majorBidi"/>
              </w:rPr>
            </w:pPr>
            <w:r w:rsidRPr="00D76748">
              <w:rPr>
                <w:rFonts w:asciiTheme="majorBidi" w:hAnsiTheme="majorBidi" w:cstheme="majorBidi"/>
              </w:rPr>
              <w:t>avibactam.mp.</w:t>
            </w:r>
          </w:p>
        </w:tc>
        <w:tc>
          <w:tcPr>
            <w:tcW w:w="1508" w:type="dxa"/>
            <w:hideMark/>
          </w:tcPr>
          <w:p w14:paraId="79CD98C1" w14:textId="77777777" w:rsidR="009F01D8" w:rsidRPr="00D76748" w:rsidRDefault="009F01D8" w:rsidP="009F01D8">
            <w:pPr>
              <w:rPr>
                <w:rFonts w:asciiTheme="majorBidi" w:hAnsiTheme="majorBidi" w:cstheme="majorBidi"/>
              </w:rPr>
            </w:pPr>
            <w:r w:rsidRPr="00D76748">
              <w:rPr>
                <w:rFonts w:asciiTheme="majorBidi" w:hAnsiTheme="majorBidi" w:cstheme="majorBidi"/>
              </w:rPr>
              <w:t>964</w:t>
            </w:r>
          </w:p>
        </w:tc>
      </w:tr>
      <w:tr w:rsidR="009F01D8" w:rsidRPr="00D76748" w14:paraId="1419733B" w14:textId="77777777" w:rsidTr="009F01D8">
        <w:trPr>
          <w:trHeight w:val="279"/>
        </w:trPr>
        <w:tc>
          <w:tcPr>
            <w:tcW w:w="1129" w:type="dxa"/>
            <w:hideMark/>
          </w:tcPr>
          <w:p w14:paraId="052872CD" w14:textId="77777777" w:rsidR="009F01D8" w:rsidRPr="00D76748" w:rsidRDefault="009F01D8" w:rsidP="009F01D8">
            <w:pPr>
              <w:rPr>
                <w:rFonts w:asciiTheme="majorBidi" w:hAnsiTheme="majorBidi" w:cstheme="majorBidi"/>
              </w:rPr>
            </w:pPr>
            <w:r w:rsidRPr="00D76748">
              <w:rPr>
                <w:rFonts w:asciiTheme="majorBidi" w:hAnsiTheme="majorBidi" w:cstheme="majorBidi"/>
              </w:rPr>
              <w:t>5</w:t>
            </w:r>
          </w:p>
        </w:tc>
        <w:tc>
          <w:tcPr>
            <w:tcW w:w="6379" w:type="dxa"/>
            <w:hideMark/>
          </w:tcPr>
          <w:p w14:paraId="7BC8D7AB" w14:textId="77777777" w:rsidR="009F01D8" w:rsidRPr="00D76748" w:rsidRDefault="009F01D8" w:rsidP="009F01D8">
            <w:pPr>
              <w:rPr>
                <w:rFonts w:asciiTheme="majorBidi" w:hAnsiTheme="majorBidi" w:cstheme="majorBidi"/>
              </w:rPr>
            </w:pPr>
            <w:r w:rsidRPr="00D76748">
              <w:rPr>
                <w:rFonts w:asciiTheme="majorBidi" w:hAnsiTheme="majorBidi" w:cstheme="majorBidi"/>
              </w:rPr>
              <w:t>3 and 4</w:t>
            </w:r>
          </w:p>
        </w:tc>
        <w:tc>
          <w:tcPr>
            <w:tcW w:w="1508" w:type="dxa"/>
            <w:hideMark/>
          </w:tcPr>
          <w:p w14:paraId="6306B9F9" w14:textId="77777777" w:rsidR="009F01D8" w:rsidRPr="00D76748" w:rsidRDefault="009F01D8" w:rsidP="009F01D8">
            <w:pPr>
              <w:rPr>
                <w:rFonts w:asciiTheme="majorBidi" w:hAnsiTheme="majorBidi" w:cstheme="majorBidi"/>
              </w:rPr>
            </w:pPr>
            <w:r w:rsidRPr="00D76748">
              <w:rPr>
                <w:rFonts w:asciiTheme="majorBidi" w:hAnsiTheme="majorBidi" w:cstheme="majorBidi"/>
              </w:rPr>
              <w:t>789</w:t>
            </w:r>
          </w:p>
        </w:tc>
      </w:tr>
      <w:tr w:rsidR="009F01D8" w:rsidRPr="00D76748" w14:paraId="510277E6" w14:textId="77777777" w:rsidTr="009F01D8">
        <w:trPr>
          <w:trHeight w:val="279"/>
        </w:trPr>
        <w:tc>
          <w:tcPr>
            <w:tcW w:w="1129" w:type="dxa"/>
            <w:hideMark/>
          </w:tcPr>
          <w:p w14:paraId="2F6655E2" w14:textId="77777777" w:rsidR="009F01D8" w:rsidRPr="00D76748" w:rsidRDefault="009F01D8" w:rsidP="009F01D8">
            <w:pPr>
              <w:rPr>
                <w:rFonts w:asciiTheme="majorBidi" w:hAnsiTheme="majorBidi" w:cstheme="majorBidi"/>
              </w:rPr>
            </w:pPr>
            <w:r w:rsidRPr="00D76748">
              <w:rPr>
                <w:rFonts w:asciiTheme="majorBidi" w:hAnsiTheme="majorBidi" w:cstheme="majorBidi"/>
              </w:rPr>
              <w:t>6</w:t>
            </w:r>
          </w:p>
        </w:tc>
        <w:tc>
          <w:tcPr>
            <w:tcW w:w="6379" w:type="dxa"/>
            <w:hideMark/>
          </w:tcPr>
          <w:p w14:paraId="03F98277" w14:textId="77777777" w:rsidR="009F01D8" w:rsidRPr="00D76748" w:rsidRDefault="009F01D8" w:rsidP="009F01D8">
            <w:pPr>
              <w:rPr>
                <w:rFonts w:asciiTheme="majorBidi" w:hAnsiTheme="majorBidi" w:cstheme="majorBidi"/>
              </w:rPr>
            </w:pPr>
            <w:r w:rsidRPr="00D76748">
              <w:rPr>
                <w:rFonts w:asciiTheme="majorBidi" w:hAnsiTheme="majorBidi" w:cstheme="majorBidi"/>
              </w:rPr>
              <w:t>ceftazidime-avibactam.mp.</w:t>
            </w:r>
          </w:p>
        </w:tc>
        <w:tc>
          <w:tcPr>
            <w:tcW w:w="1508" w:type="dxa"/>
            <w:hideMark/>
          </w:tcPr>
          <w:p w14:paraId="160ECE06" w14:textId="77777777" w:rsidR="009F01D8" w:rsidRPr="00D76748" w:rsidRDefault="009F01D8" w:rsidP="009F01D8">
            <w:pPr>
              <w:rPr>
                <w:rFonts w:asciiTheme="majorBidi" w:hAnsiTheme="majorBidi" w:cstheme="majorBidi"/>
              </w:rPr>
            </w:pPr>
            <w:r w:rsidRPr="00D76748">
              <w:rPr>
                <w:rFonts w:asciiTheme="majorBidi" w:hAnsiTheme="majorBidi" w:cstheme="majorBidi"/>
              </w:rPr>
              <w:t>711</w:t>
            </w:r>
          </w:p>
        </w:tc>
      </w:tr>
      <w:tr w:rsidR="009F01D8" w:rsidRPr="00D76748" w14:paraId="205A9972" w14:textId="77777777" w:rsidTr="009F01D8">
        <w:trPr>
          <w:trHeight w:val="279"/>
        </w:trPr>
        <w:tc>
          <w:tcPr>
            <w:tcW w:w="1129" w:type="dxa"/>
            <w:hideMark/>
          </w:tcPr>
          <w:p w14:paraId="66BE837A" w14:textId="77777777" w:rsidR="009F01D8" w:rsidRPr="00D76748" w:rsidRDefault="009F01D8" w:rsidP="009F01D8">
            <w:pPr>
              <w:rPr>
                <w:rFonts w:asciiTheme="majorBidi" w:hAnsiTheme="majorBidi" w:cstheme="majorBidi"/>
              </w:rPr>
            </w:pPr>
            <w:r w:rsidRPr="00D76748">
              <w:rPr>
                <w:rFonts w:asciiTheme="majorBidi" w:hAnsiTheme="majorBidi" w:cstheme="majorBidi"/>
              </w:rPr>
              <w:t>7</w:t>
            </w:r>
          </w:p>
        </w:tc>
        <w:tc>
          <w:tcPr>
            <w:tcW w:w="6379" w:type="dxa"/>
            <w:hideMark/>
          </w:tcPr>
          <w:p w14:paraId="35C6BFC1" w14:textId="77777777" w:rsidR="009F01D8" w:rsidRPr="00D76748" w:rsidRDefault="009F01D8" w:rsidP="009F01D8">
            <w:pPr>
              <w:rPr>
                <w:rFonts w:asciiTheme="majorBidi" w:hAnsiTheme="majorBidi" w:cstheme="majorBidi"/>
              </w:rPr>
            </w:pPr>
            <w:r w:rsidRPr="00D76748">
              <w:rPr>
                <w:rFonts w:asciiTheme="majorBidi" w:hAnsiTheme="majorBidi" w:cstheme="majorBidi"/>
              </w:rPr>
              <w:t>zavicefta.mp.</w:t>
            </w:r>
          </w:p>
        </w:tc>
        <w:tc>
          <w:tcPr>
            <w:tcW w:w="1508" w:type="dxa"/>
            <w:hideMark/>
          </w:tcPr>
          <w:p w14:paraId="24B72030"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r>
      <w:tr w:rsidR="009F01D8" w:rsidRPr="00D76748" w14:paraId="101B7AD8" w14:textId="77777777" w:rsidTr="009F01D8">
        <w:trPr>
          <w:trHeight w:val="279"/>
        </w:trPr>
        <w:tc>
          <w:tcPr>
            <w:tcW w:w="1129" w:type="dxa"/>
            <w:hideMark/>
          </w:tcPr>
          <w:p w14:paraId="4EBD733E"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c>
          <w:tcPr>
            <w:tcW w:w="6379" w:type="dxa"/>
            <w:hideMark/>
          </w:tcPr>
          <w:p w14:paraId="54FB00A4" w14:textId="77777777" w:rsidR="009F01D8" w:rsidRPr="00D76748" w:rsidRDefault="009F01D8" w:rsidP="009F01D8">
            <w:pPr>
              <w:rPr>
                <w:rFonts w:asciiTheme="majorBidi" w:hAnsiTheme="majorBidi" w:cstheme="majorBidi"/>
              </w:rPr>
            </w:pPr>
            <w:r w:rsidRPr="00D76748">
              <w:rPr>
                <w:rFonts w:asciiTheme="majorBidi" w:hAnsiTheme="majorBidi" w:cstheme="majorBidi"/>
              </w:rPr>
              <w:t>avycaz.mp.</w:t>
            </w:r>
          </w:p>
        </w:tc>
        <w:tc>
          <w:tcPr>
            <w:tcW w:w="1508" w:type="dxa"/>
            <w:hideMark/>
          </w:tcPr>
          <w:p w14:paraId="3C547BBB"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r>
      <w:tr w:rsidR="009F01D8" w:rsidRPr="00D76748" w14:paraId="45E5C032" w14:textId="77777777" w:rsidTr="009F01D8">
        <w:trPr>
          <w:trHeight w:val="279"/>
        </w:trPr>
        <w:tc>
          <w:tcPr>
            <w:tcW w:w="1129" w:type="dxa"/>
            <w:hideMark/>
          </w:tcPr>
          <w:p w14:paraId="09447602" w14:textId="77777777" w:rsidR="009F01D8" w:rsidRPr="00D76748" w:rsidRDefault="009F01D8" w:rsidP="009F01D8">
            <w:pPr>
              <w:rPr>
                <w:rFonts w:asciiTheme="majorBidi" w:hAnsiTheme="majorBidi" w:cstheme="majorBidi"/>
              </w:rPr>
            </w:pPr>
            <w:r w:rsidRPr="00D76748">
              <w:rPr>
                <w:rFonts w:asciiTheme="majorBidi" w:hAnsiTheme="majorBidi" w:cstheme="majorBidi"/>
              </w:rPr>
              <w:t>9</w:t>
            </w:r>
          </w:p>
        </w:tc>
        <w:tc>
          <w:tcPr>
            <w:tcW w:w="6379" w:type="dxa"/>
            <w:hideMark/>
          </w:tcPr>
          <w:p w14:paraId="226FCD6C" w14:textId="77777777" w:rsidR="009F01D8" w:rsidRPr="00454CF5" w:rsidRDefault="009F01D8" w:rsidP="009F01D8">
            <w:pPr>
              <w:rPr>
                <w:rFonts w:asciiTheme="majorBidi" w:hAnsiTheme="majorBidi" w:cstheme="majorBidi"/>
                <w:lang w:val="fr-FR"/>
              </w:rPr>
            </w:pPr>
            <w:r w:rsidRPr="00454CF5">
              <w:rPr>
                <w:rFonts w:asciiTheme="majorBidi" w:hAnsiTheme="majorBidi" w:cstheme="majorBidi"/>
                <w:lang w:val="fr-FR"/>
              </w:rPr>
              <w:t>(</w:t>
            </w:r>
            <w:proofErr w:type="spellStart"/>
            <w:proofErr w:type="gramStart"/>
            <w:r w:rsidRPr="00454CF5">
              <w:rPr>
                <w:rFonts w:asciiTheme="majorBidi" w:hAnsiTheme="majorBidi" w:cstheme="majorBidi"/>
                <w:lang w:val="fr-FR"/>
              </w:rPr>
              <w:t>ctz</w:t>
            </w:r>
            <w:proofErr w:type="gramEnd"/>
            <w:r w:rsidRPr="00454CF5">
              <w:rPr>
                <w:rFonts w:asciiTheme="majorBidi" w:hAnsiTheme="majorBidi" w:cstheme="majorBidi"/>
                <w:lang w:val="fr-FR"/>
              </w:rPr>
              <w:t>-avi</w:t>
            </w:r>
            <w:proofErr w:type="spellEnd"/>
            <w:r w:rsidRPr="00454CF5">
              <w:rPr>
                <w:rFonts w:asciiTheme="majorBidi" w:hAnsiTheme="majorBidi" w:cstheme="majorBidi"/>
                <w:lang w:val="fr-FR"/>
              </w:rPr>
              <w:t xml:space="preserve"> or </w:t>
            </w:r>
            <w:proofErr w:type="spellStart"/>
            <w:r w:rsidRPr="00454CF5">
              <w:rPr>
                <w:rFonts w:asciiTheme="majorBidi" w:hAnsiTheme="majorBidi" w:cstheme="majorBidi"/>
                <w:lang w:val="fr-FR"/>
              </w:rPr>
              <w:t>caz-avi</w:t>
            </w:r>
            <w:proofErr w:type="spellEnd"/>
            <w:r w:rsidRPr="00454CF5">
              <w:rPr>
                <w:rFonts w:asciiTheme="majorBidi" w:hAnsiTheme="majorBidi" w:cstheme="majorBidi"/>
                <w:lang w:val="fr-FR"/>
              </w:rPr>
              <w:t>).</w:t>
            </w:r>
            <w:proofErr w:type="spellStart"/>
            <w:r w:rsidRPr="00454CF5">
              <w:rPr>
                <w:rFonts w:asciiTheme="majorBidi" w:hAnsiTheme="majorBidi" w:cstheme="majorBidi"/>
                <w:lang w:val="fr-FR"/>
              </w:rPr>
              <w:t>mp</w:t>
            </w:r>
            <w:proofErr w:type="spellEnd"/>
            <w:r w:rsidRPr="00454CF5">
              <w:rPr>
                <w:rFonts w:asciiTheme="majorBidi" w:hAnsiTheme="majorBidi" w:cstheme="majorBidi"/>
                <w:lang w:val="fr-FR"/>
              </w:rPr>
              <w:t>.</w:t>
            </w:r>
          </w:p>
        </w:tc>
        <w:tc>
          <w:tcPr>
            <w:tcW w:w="1508" w:type="dxa"/>
            <w:hideMark/>
          </w:tcPr>
          <w:p w14:paraId="36285F88" w14:textId="77777777" w:rsidR="009F01D8" w:rsidRPr="00D76748" w:rsidRDefault="009F01D8" w:rsidP="009F01D8">
            <w:pPr>
              <w:rPr>
                <w:rFonts w:asciiTheme="majorBidi" w:hAnsiTheme="majorBidi" w:cstheme="majorBidi"/>
              </w:rPr>
            </w:pPr>
            <w:r w:rsidRPr="00D76748">
              <w:rPr>
                <w:rFonts w:asciiTheme="majorBidi" w:hAnsiTheme="majorBidi" w:cstheme="majorBidi"/>
              </w:rPr>
              <w:t>65</w:t>
            </w:r>
          </w:p>
        </w:tc>
      </w:tr>
      <w:tr w:rsidR="009F01D8" w:rsidRPr="00D76748" w14:paraId="1C25D8BA" w14:textId="77777777" w:rsidTr="009F01D8">
        <w:trPr>
          <w:trHeight w:val="279"/>
        </w:trPr>
        <w:tc>
          <w:tcPr>
            <w:tcW w:w="1129" w:type="dxa"/>
            <w:hideMark/>
          </w:tcPr>
          <w:p w14:paraId="1A0B0533" w14:textId="77777777" w:rsidR="009F01D8" w:rsidRPr="00D76748" w:rsidRDefault="009F01D8" w:rsidP="009F01D8">
            <w:pPr>
              <w:rPr>
                <w:rFonts w:asciiTheme="majorBidi" w:hAnsiTheme="majorBidi" w:cstheme="majorBidi"/>
              </w:rPr>
            </w:pPr>
            <w:r w:rsidRPr="00D76748">
              <w:rPr>
                <w:rFonts w:asciiTheme="majorBidi" w:hAnsiTheme="majorBidi" w:cstheme="majorBidi"/>
              </w:rPr>
              <w:t>10</w:t>
            </w:r>
          </w:p>
        </w:tc>
        <w:tc>
          <w:tcPr>
            <w:tcW w:w="6379" w:type="dxa"/>
            <w:hideMark/>
          </w:tcPr>
          <w:p w14:paraId="33D3307F" w14:textId="77777777" w:rsidR="009F01D8" w:rsidRPr="00D76748" w:rsidRDefault="009F01D8" w:rsidP="009F01D8">
            <w:pPr>
              <w:rPr>
                <w:rFonts w:asciiTheme="majorBidi" w:hAnsiTheme="majorBidi" w:cstheme="majorBidi"/>
              </w:rPr>
            </w:pPr>
            <w:r w:rsidRPr="00D76748">
              <w:rPr>
                <w:rFonts w:asciiTheme="majorBidi" w:hAnsiTheme="majorBidi" w:cstheme="majorBidi"/>
              </w:rPr>
              <w:t>or/5-9</w:t>
            </w:r>
          </w:p>
        </w:tc>
        <w:tc>
          <w:tcPr>
            <w:tcW w:w="1508" w:type="dxa"/>
            <w:hideMark/>
          </w:tcPr>
          <w:p w14:paraId="47F8501A" w14:textId="77777777" w:rsidR="009F01D8" w:rsidRPr="00D76748" w:rsidRDefault="009F01D8" w:rsidP="009F01D8">
            <w:pPr>
              <w:rPr>
                <w:rFonts w:asciiTheme="majorBidi" w:hAnsiTheme="majorBidi" w:cstheme="majorBidi"/>
              </w:rPr>
            </w:pPr>
            <w:r w:rsidRPr="00D76748">
              <w:rPr>
                <w:rFonts w:asciiTheme="majorBidi" w:hAnsiTheme="majorBidi" w:cstheme="majorBidi"/>
              </w:rPr>
              <w:t>792</w:t>
            </w:r>
          </w:p>
        </w:tc>
      </w:tr>
      <w:tr w:rsidR="009F01D8" w:rsidRPr="00D76748" w14:paraId="7A65C8A8" w14:textId="77777777" w:rsidTr="009F01D8">
        <w:trPr>
          <w:trHeight w:val="279"/>
        </w:trPr>
        <w:tc>
          <w:tcPr>
            <w:tcW w:w="1129" w:type="dxa"/>
            <w:hideMark/>
          </w:tcPr>
          <w:p w14:paraId="72F824E5"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c>
          <w:tcPr>
            <w:tcW w:w="6379" w:type="dxa"/>
            <w:hideMark/>
          </w:tcPr>
          <w:p w14:paraId="34AC506A"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"Costs and Cost Analysis"/</w:t>
            </w:r>
          </w:p>
        </w:tc>
        <w:tc>
          <w:tcPr>
            <w:tcW w:w="1508" w:type="dxa"/>
            <w:hideMark/>
          </w:tcPr>
          <w:p w14:paraId="5195C9A6" w14:textId="77777777" w:rsidR="009F01D8" w:rsidRPr="00D76748" w:rsidRDefault="009F01D8" w:rsidP="009F01D8">
            <w:pPr>
              <w:rPr>
                <w:rFonts w:asciiTheme="majorBidi" w:hAnsiTheme="majorBidi" w:cstheme="majorBidi"/>
              </w:rPr>
            </w:pPr>
            <w:r w:rsidRPr="00D76748">
              <w:rPr>
                <w:rFonts w:asciiTheme="majorBidi" w:hAnsiTheme="majorBidi" w:cstheme="majorBidi"/>
              </w:rPr>
              <w:t>242835</w:t>
            </w:r>
          </w:p>
        </w:tc>
      </w:tr>
      <w:tr w:rsidR="009F01D8" w:rsidRPr="00D76748" w14:paraId="247E80A9" w14:textId="77777777" w:rsidTr="009F01D8">
        <w:trPr>
          <w:trHeight w:val="279"/>
        </w:trPr>
        <w:tc>
          <w:tcPr>
            <w:tcW w:w="1129" w:type="dxa"/>
            <w:hideMark/>
          </w:tcPr>
          <w:p w14:paraId="2DCFCFB1" w14:textId="77777777" w:rsidR="009F01D8" w:rsidRPr="00D76748" w:rsidRDefault="009F01D8" w:rsidP="009F01D8">
            <w:pPr>
              <w:rPr>
                <w:rFonts w:asciiTheme="majorBidi" w:hAnsiTheme="majorBidi" w:cstheme="majorBidi"/>
              </w:rPr>
            </w:pPr>
            <w:r w:rsidRPr="00D76748">
              <w:rPr>
                <w:rFonts w:asciiTheme="majorBidi" w:hAnsiTheme="majorBidi" w:cstheme="majorBidi"/>
              </w:rPr>
              <w:t>12</w:t>
            </w:r>
          </w:p>
        </w:tc>
        <w:tc>
          <w:tcPr>
            <w:tcW w:w="6379" w:type="dxa"/>
            <w:hideMark/>
          </w:tcPr>
          <w:p w14:paraId="185F7A1E"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Economics/</w:t>
            </w:r>
          </w:p>
        </w:tc>
        <w:tc>
          <w:tcPr>
            <w:tcW w:w="1508" w:type="dxa"/>
            <w:hideMark/>
          </w:tcPr>
          <w:p w14:paraId="21DC88F2" w14:textId="77777777" w:rsidR="009F01D8" w:rsidRPr="00D76748" w:rsidRDefault="009F01D8" w:rsidP="009F01D8">
            <w:pPr>
              <w:rPr>
                <w:rFonts w:asciiTheme="majorBidi" w:hAnsiTheme="majorBidi" w:cstheme="majorBidi"/>
              </w:rPr>
            </w:pPr>
            <w:r w:rsidRPr="00D76748">
              <w:rPr>
                <w:rFonts w:asciiTheme="majorBidi" w:hAnsiTheme="majorBidi" w:cstheme="majorBidi"/>
              </w:rPr>
              <w:t>27294</w:t>
            </w:r>
          </w:p>
        </w:tc>
      </w:tr>
      <w:tr w:rsidR="009F01D8" w:rsidRPr="00D76748" w14:paraId="4156F32C" w14:textId="77777777" w:rsidTr="009F01D8">
        <w:trPr>
          <w:trHeight w:val="279"/>
        </w:trPr>
        <w:tc>
          <w:tcPr>
            <w:tcW w:w="1129" w:type="dxa"/>
            <w:hideMark/>
          </w:tcPr>
          <w:p w14:paraId="241A9795"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c>
          <w:tcPr>
            <w:tcW w:w="6379" w:type="dxa"/>
            <w:hideMark/>
          </w:tcPr>
          <w:p w14:paraId="2B35EDD8"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Economics, Hospital/</w:t>
            </w:r>
          </w:p>
        </w:tc>
        <w:tc>
          <w:tcPr>
            <w:tcW w:w="1508" w:type="dxa"/>
            <w:hideMark/>
          </w:tcPr>
          <w:p w14:paraId="4EF25295" w14:textId="77777777" w:rsidR="009F01D8" w:rsidRPr="00D76748" w:rsidRDefault="009F01D8" w:rsidP="009F01D8">
            <w:pPr>
              <w:rPr>
                <w:rFonts w:asciiTheme="majorBidi" w:hAnsiTheme="majorBidi" w:cstheme="majorBidi"/>
              </w:rPr>
            </w:pPr>
            <w:r w:rsidRPr="00D76748">
              <w:rPr>
                <w:rFonts w:asciiTheme="majorBidi" w:hAnsiTheme="majorBidi" w:cstheme="majorBidi"/>
              </w:rPr>
              <w:t>24969</w:t>
            </w:r>
          </w:p>
        </w:tc>
      </w:tr>
      <w:tr w:rsidR="009F01D8" w:rsidRPr="00D76748" w14:paraId="08E3B08E" w14:textId="77777777" w:rsidTr="009F01D8">
        <w:trPr>
          <w:trHeight w:val="279"/>
        </w:trPr>
        <w:tc>
          <w:tcPr>
            <w:tcW w:w="1129" w:type="dxa"/>
            <w:hideMark/>
          </w:tcPr>
          <w:p w14:paraId="3FBBBF0B" w14:textId="77777777" w:rsidR="009F01D8" w:rsidRPr="00D76748" w:rsidRDefault="009F01D8" w:rsidP="009F01D8">
            <w:pPr>
              <w:rPr>
                <w:rFonts w:asciiTheme="majorBidi" w:hAnsiTheme="majorBidi" w:cstheme="majorBidi"/>
              </w:rPr>
            </w:pPr>
            <w:r w:rsidRPr="00D76748">
              <w:rPr>
                <w:rFonts w:asciiTheme="majorBidi" w:hAnsiTheme="majorBidi" w:cstheme="majorBidi"/>
              </w:rPr>
              <w:t>14</w:t>
            </w:r>
          </w:p>
        </w:tc>
        <w:tc>
          <w:tcPr>
            <w:tcW w:w="6379" w:type="dxa"/>
            <w:hideMark/>
          </w:tcPr>
          <w:p w14:paraId="209CDD98"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Economics, Medical/</w:t>
            </w:r>
          </w:p>
        </w:tc>
        <w:tc>
          <w:tcPr>
            <w:tcW w:w="1508" w:type="dxa"/>
            <w:hideMark/>
          </w:tcPr>
          <w:p w14:paraId="3CEDC678" w14:textId="77777777" w:rsidR="009F01D8" w:rsidRPr="00D76748" w:rsidRDefault="009F01D8" w:rsidP="009F01D8">
            <w:pPr>
              <w:rPr>
                <w:rFonts w:asciiTheme="majorBidi" w:hAnsiTheme="majorBidi" w:cstheme="majorBidi"/>
              </w:rPr>
            </w:pPr>
            <w:r w:rsidRPr="00D76748">
              <w:rPr>
                <w:rFonts w:asciiTheme="majorBidi" w:hAnsiTheme="majorBidi" w:cstheme="majorBidi"/>
              </w:rPr>
              <w:t>14242</w:t>
            </w:r>
          </w:p>
        </w:tc>
      </w:tr>
      <w:tr w:rsidR="009F01D8" w:rsidRPr="00D76748" w14:paraId="0CF48456" w14:textId="77777777" w:rsidTr="009F01D8">
        <w:trPr>
          <w:trHeight w:val="279"/>
        </w:trPr>
        <w:tc>
          <w:tcPr>
            <w:tcW w:w="1129" w:type="dxa"/>
            <w:hideMark/>
          </w:tcPr>
          <w:p w14:paraId="21F8EB97" w14:textId="77777777" w:rsidR="009F01D8" w:rsidRPr="00D76748" w:rsidRDefault="009F01D8" w:rsidP="009F01D8">
            <w:pPr>
              <w:rPr>
                <w:rFonts w:asciiTheme="majorBidi" w:hAnsiTheme="majorBidi" w:cstheme="majorBidi"/>
              </w:rPr>
            </w:pPr>
            <w:r w:rsidRPr="00D76748">
              <w:rPr>
                <w:rFonts w:asciiTheme="majorBidi" w:hAnsiTheme="majorBidi" w:cstheme="majorBidi"/>
              </w:rPr>
              <w:t>15</w:t>
            </w:r>
          </w:p>
        </w:tc>
        <w:tc>
          <w:tcPr>
            <w:tcW w:w="6379" w:type="dxa"/>
            <w:hideMark/>
          </w:tcPr>
          <w:p w14:paraId="6572B594"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Economics, Nursing/</w:t>
            </w:r>
          </w:p>
        </w:tc>
        <w:tc>
          <w:tcPr>
            <w:tcW w:w="1508" w:type="dxa"/>
            <w:hideMark/>
          </w:tcPr>
          <w:p w14:paraId="7CACD1AB" w14:textId="77777777" w:rsidR="009F01D8" w:rsidRPr="00D76748" w:rsidRDefault="009F01D8" w:rsidP="009F01D8">
            <w:pPr>
              <w:rPr>
                <w:rFonts w:asciiTheme="majorBidi" w:hAnsiTheme="majorBidi" w:cstheme="majorBidi"/>
              </w:rPr>
            </w:pPr>
            <w:r w:rsidRPr="00D76748">
              <w:rPr>
                <w:rFonts w:asciiTheme="majorBidi" w:hAnsiTheme="majorBidi" w:cstheme="majorBidi"/>
              </w:rPr>
              <w:t>4002</w:t>
            </w:r>
          </w:p>
        </w:tc>
      </w:tr>
      <w:tr w:rsidR="009F01D8" w:rsidRPr="00D76748" w14:paraId="1C9F7076" w14:textId="77777777" w:rsidTr="009F01D8">
        <w:trPr>
          <w:trHeight w:val="279"/>
        </w:trPr>
        <w:tc>
          <w:tcPr>
            <w:tcW w:w="1129" w:type="dxa"/>
            <w:hideMark/>
          </w:tcPr>
          <w:p w14:paraId="1B858A6C"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c>
          <w:tcPr>
            <w:tcW w:w="6379" w:type="dxa"/>
            <w:hideMark/>
          </w:tcPr>
          <w:p w14:paraId="6D1C0708"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models, economic/</w:t>
            </w:r>
          </w:p>
        </w:tc>
        <w:tc>
          <w:tcPr>
            <w:tcW w:w="1508" w:type="dxa"/>
            <w:hideMark/>
          </w:tcPr>
          <w:p w14:paraId="6746A7C7" w14:textId="77777777" w:rsidR="009F01D8" w:rsidRPr="00D76748" w:rsidRDefault="009F01D8" w:rsidP="009F01D8">
            <w:pPr>
              <w:rPr>
                <w:rFonts w:asciiTheme="majorBidi" w:hAnsiTheme="majorBidi" w:cstheme="majorBidi"/>
              </w:rPr>
            </w:pPr>
            <w:r w:rsidRPr="00D76748">
              <w:rPr>
                <w:rFonts w:asciiTheme="majorBidi" w:hAnsiTheme="majorBidi" w:cstheme="majorBidi"/>
              </w:rPr>
              <w:t>15443</w:t>
            </w:r>
          </w:p>
        </w:tc>
      </w:tr>
      <w:tr w:rsidR="009F01D8" w:rsidRPr="00D76748" w14:paraId="00157A2E" w14:textId="77777777" w:rsidTr="009F01D8">
        <w:trPr>
          <w:trHeight w:val="279"/>
        </w:trPr>
        <w:tc>
          <w:tcPr>
            <w:tcW w:w="1129" w:type="dxa"/>
            <w:hideMark/>
          </w:tcPr>
          <w:p w14:paraId="2BAA1950" w14:textId="77777777" w:rsidR="009F01D8" w:rsidRPr="00D76748" w:rsidRDefault="009F01D8" w:rsidP="009F01D8">
            <w:pPr>
              <w:rPr>
                <w:rFonts w:asciiTheme="majorBidi" w:hAnsiTheme="majorBidi" w:cstheme="majorBidi"/>
              </w:rPr>
            </w:pPr>
            <w:r w:rsidRPr="00D76748">
              <w:rPr>
                <w:rFonts w:asciiTheme="majorBidi" w:hAnsiTheme="majorBidi" w:cstheme="majorBidi"/>
              </w:rPr>
              <w:t>17</w:t>
            </w:r>
          </w:p>
        </w:tc>
        <w:tc>
          <w:tcPr>
            <w:tcW w:w="6379" w:type="dxa"/>
            <w:hideMark/>
          </w:tcPr>
          <w:p w14:paraId="3799DF9D"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Economics, Pharmaceutical/</w:t>
            </w:r>
          </w:p>
        </w:tc>
        <w:tc>
          <w:tcPr>
            <w:tcW w:w="1508" w:type="dxa"/>
            <w:hideMark/>
          </w:tcPr>
          <w:p w14:paraId="252463CD" w14:textId="77777777" w:rsidR="009F01D8" w:rsidRPr="00D76748" w:rsidRDefault="009F01D8" w:rsidP="009F01D8">
            <w:pPr>
              <w:rPr>
                <w:rFonts w:asciiTheme="majorBidi" w:hAnsiTheme="majorBidi" w:cstheme="majorBidi"/>
              </w:rPr>
            </w:pPr>
            <w:r w:rsidRPr="00D76748">
              <w:rPr>
                <w:rFonts w:asciiTheme="majorBidi" w:hAnsiTheme="majorBidi" w:cstheme="majorBidi"/>
              </w:rPr>
              <w:t>2971</w:t>
            </w:r>
          </w:p>
        </w:tc>
      </w:tr>
      <w:tr w:rsidR="009F01D8" w:rsidRPr="00D76748" w14:paraId="7549D0EF" w14:textId="77777777" w:rsidTr="009F01D8">
        <w:trPr>
          <w:trHeight w:val="279"/>
        </w:trPr>
        <w:tc>
          <w:tcPr>
            <w:tcW w:w="1129" w:type="dxa"/>
            <w:hideMark/>
          </w:tcPr>
          <w:p w14:paraId="52FCEDDB" w14:textId="77777777" w:rsidR="009F01D8" w:rsidRPr="00D76748" w:rsidRDefault="009F01D8" w:rsidP="009F01D8">
            <w:pPr>
              <w:rPr>
                <w:rFonts w:asciiTheme="majorBidi" w:hAnsiTheme="majorBidi" w:cstheme="majorBidi"/>
              </w:rPr>
            </w:pPr>
            <w:r w:rsidRPr="00D76748">
              <w:rPr>
                <w:rFonts w:asciiTheme="majorBidi" w:hAnsiTheme="majorBidi" w:cstheme="majorBidi"/>
              </w:rPr>
              <w:t>18</w:t>
            </w:r>
          </w:p>
        </w:tc>
        <w:tc>
          <w:tcPr>
            <w:tcW w:w="6379" w:type="dxa"/>
            <w:hideMark/>
          </w:tcPr>
          <w:p w14:paraId="4C3DDEC6"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"Fees and Charges"/</w:t>
            </w:r>
          </w:p>
        </w:tc>
        <w:tc>
          <w:tcPr>
            <w:tcW w:w="1508" w:type="dxa"/>
            <w:hideMark/>
          </w:tcPr>
          <w:p w14:paraId="7C982ED6" w14:textId="77777777" w:rsidR="009F01D8" w:rsidRPr="00D76748" w:rsidRDefault="009F01D8" w:rsidP="009F01D8">
            <w:pPr>
              <w:rPr>
                <w:rFonts w:asciiTheme="majorBidi" w:hAnsiTheme="majorBidi" w:cstheme="majorBidi"/>
              </w:rPr>
            </w:pPr>
            <w:r w:rsidRPr="00D76748">
              <w:rPr>
                <w:rFonts w:asciiTheme="majorBidi" w:hAnsiTheme="majorBidi" w:cstheme="majorBidi"/>
              </w:rPr>
              <w:t>30592</w:t>
            </w:r>
          </w:p>
        </w:tc>
      </w:tr>
      <w:tr w:rsidR="009F01D8" w:rsidRPr="00D76748" w14:paraId="453A97CA" w14:textId="77777777" w:rsidTr="009F01D8">
        <w:trPr>
          <w:trHeight w:val="279"/>
        </w:trPr>
        <w:tc>
          <w:tcPr>
            <w:tcW w:w="1129" w:type="dxa"/>
            <w:hideMark/>
          </w:tcPr>
          <w:p w14:paraId="2BE15125" w14:textId="77777777" w:rsidR="009F01D8" w:rsidRPr="00D76748" w:rsidRDefault="009F01D8" w:rsidP="009F01D8">
            <w:pPr>
              <w:rPr>
                <w:rFonts w:asciiTheme="majorBidi" w:hAnsiTheme="majorBidi" w:cstheme="majorBidi"/>
              </w:rPr>
            </w:pPr>
            <w:r w:rsidRPr="00D76748">
              <w:rPr>
                <w:rFonts w:asciiTheme="majorBidi" w:hAnsiTheme="majorBidi" w:cstheme="majorBidi"/>
              </w:rPr>
              <w:t>19</w:t>
            </w:r>
          </w:p>
        </w:tc>
        <w:tc>
          <w:tcPr>
            <w:tcW w:w="6379" w:type="dxa"/>
            <w:hideMark/>
          </w:tcPr>
          <w:p w14:paraId="7DF2B6B4"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Budgets/</w:t>
            </w:r>
          </w:p>
        </w:tc>
        <w:tc>
          <w:tcPr>
            <w:tcW w:w="1508" w:type="dxa"/>
            <w:hideMark/>
          </w:tcPr>
          <w:p w14:paraId="6358156B" w14:textId="77777777" w:rsidR="009F01D8" w:rsidRPr="00D76748" w:rsidRDefault="009F01D8" w:rsidP="009F01D8">
            <w:pPr>
              <w:rPr>
                <w:rFonts w:asciiTheme="majorBidi" w:hAnsiTheme="majorBidi" w:cstheme="majorBidi"/>
              </w:rPr>
            </w:pPr>
            <w:r w:rsidRPr="00D76748">
              <w:rPr>
                <w:rFonts w:asciiTheme="majorBidi" w:hAnsiTheme="majorBidi" w:cstheme="majorBidi"/>
              </w:rPr>
              <w:t>13800</w:t>
            </w:r>
          </w:p>
        </w:tc>
      </w:tr>
      <w:tr w:rsidR="009F01D8" w:rsidRPr="00D76748" w14:paraId="023C670D" w14:textId="77777777" w:rsidTr="009F01D8">
        <w:trPr>
          <w:trHeight w:val="279"/>
        </w:trPr>
        <w:tc>
          <w:tcPr>
            <w:tcW w:w="1129" w:type="dxa"/>
            <w:hideMark/>
          </w:tcPr>
          <w:p w14:paraId="73DE0C20" w14:textId="77777777" w:rsidR="009F01D8" w:rsidRPr="00D76748" w:rsidRDefault="009F01D8" w:rsidP="009F01D8">
            <w:pPr>
              <w:rPr>
                <w:rFonts w:asciiTheme="majorBidi" w:hAnsiTheme="majorBidi" w:cstheme="majorBidi"/>
              </w:rPr>
            </w:pPr>
            <w:r w:rsidRPr="00D76748">
              <w:rPr>
                <w:rFonts w:asciiTheme="majorBidi" w:hAnsiTheme="majorBidi" w:cstheme="majorBidi"/>
              </w:rPr>
              <w:t>20</w:t>
            </w:r>
          </w:p>
        </w:tc>
        <w:tc>
          <w:tcPr>
            <w:tcW w:w="6379" w:type="dxa"/>
            <w:hideMark/>
          </w:tcPr>
          <w:p w14:paraId="28842F79" w14:textId="77777777" w:rsidR="009F01D8" w:rsidRPr="00D76748" w:rsidRDefault="009F01D8" w:rsidP="009F01D8">
            <w:pPr>
              <w:rPr>
                <w:rFonts w:asciiTheme="majorBidi" w:hAnsiTheme="majorBidi" w:cstheme="majorBidi"/>
              </w:rPr>
            </w:pPr>
            <w:r w:rsidRPr="00D76748">
              <w:rPr>
                <w:rFonts w:asciiTheme="majorBidi" w:hAnsiTheme="majorBidi" w:cstheme="majorBidi"/>
              </w:rPr>
              <w:t>budget*.</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508" w:type="dxa"/>
            <w:hideMark/>
          </w:tcPr>
          <w:p w14:paraId="721DF492" w14:textId="77777777" w:rsidR="009F01D8" w:rsidRPr="00D76748" w:rsidRDefault="009F01D8" w:rsidP="009F01D8">
            <w:pPr>
              <w:rPr>
                <w:rFonts w:asciiTheme="majorBidi" w:hAnsiTheme="majorBidi" w:cstheme="majorBidi"/>
              </w:rPr>
            </w:pPr>
            <w:r w:rsidRPr="00D76748">
              <w:rPr>
                <w:rFonts w:asciiTheme="majorBidi" w:hAnsiTheme="majorBidi" w:cstheme="majorBidi"/>
              </w:rPr>
              <w:t>30546</w:t>
            </w:r>
          </w:p>
        </w:tc>
      </w:tr>
      <w:tr w:rsidR="009F01D8" w:rsidRPr="00D76748" w14:paraId="785876E7" w14:textId="77777777" w:rsidTr="009F01D8">
        <w:trPr>
          <w:trHeight w:val="279"/>
        </w:trPr>
        <w:tc>
          <w:tcPr>
            <w:tcW w:w="1129" w:type="dxa"/>
            <w:hideMark/>
          </w:tcPr>
          <w:p w14:paraId="624A0150" w14:textId="77777777" w:rsidR="009F01D8" w:rsidRPr="00D76748" w:rsidRDefault="009F01D8" w:rsidP="009F01D8">
            <w:pPr>
              <w:rPr>
                <w:rFonts w:asciiTheme="majorBidi" w:hAnsiTheme="majorBidi" w:cstheme="majorBidi"/>
              </w:rPr>
            </w:pPr>
            <w:r w:rsidRPr="00D76748">
              <w:rPr>
                <w:rFonts w:asciiTheme="majorBidi" w:hAnsiTheme="majorBidi" w:cstheme="majorBidi"/>
              </w:rPr>
              <w:t>21</w:t>
            </w:r>
          </w:p>
        </w:tc>
        <w:tc>
          <w:tcPr>
            <w:tcW w:w="6379" w:type="dxa"/>
            <w:hideMark/>
          </w:tcPr>
          <w:p w14:paraId="4C213E9E" w14:textId="77777777" w:rsidR="009F01D8" w:rsidRPr="00D76748" w:rsidRDefault="009F01D8" w:rsidP="009F01D8">
            <w:pPr>
              <w:rPr>
                <w:rFonts w:asciiTheme="majorBidi" w:hAnsiTheme="majorBidi" w:cstheme="majorBidi"/>
              </w:rPr>
            </w:pPr>
            <w:proofErr w:type="spellStart"/>
            <w:r w:rsidRPr="00D76748">
              <w:rPr>
                <w:rFonts w:asciiTheme="majorBidi" w:hAnsiTheme="majorBidi" w:cstheme="majorBidi"/>
              </w:rPr>
              <w:t>ec.fs</w:t>
            </w:r>
            <w:proofErr w:type="spellEnd"/>
            <w:r w:rsidRPr="00D76748">
              <w:rPr>
                <w:rFonts w:asciiTheme="majorBidi" w:hAnsiTheme="majorBidi" w:cstheme="majorBidi"/>
              </w:rPr>
              <w:t>.</w:t>
            </w:r>
          </w:p>
        </w:tc>
        <w:tc>
          <w:tcPr>
            <w:tcW w:w="1508" w:type="dxa"/>
            <w:hideMark/>
          </w:tcPr>
          <w:p w14:paraId="326C1B1A" w14:textId="77777777" w:rsidR="009F01D8" w:rsidRPr="00D76748" w:rsidRDefault="009F01D8" w:rsidP="009F01D8">
            <w:pPr>
              <w:rPr>
                <w:rFonts w:asciiTheme="majorBidi" w:hAnsiTheme="majorBidi" w:cstheme="majorBidi"/>
              </w:rPr>
            </w:pPr>
            <w:r w:rsidRPr="00D76748">
              <w:rPr>
                <w:rFonts w:asciiTheme="majorBidi" w:hAnsiTheme="majorBidi" w:cstheme="majorBidi"/>
              </w:rPr>
              <w:t>431631</w:t>
            </w:r>
          </w:p>
        </w:tc>
      </w:tr>
      <w:tr w:rsidR="009F01D8" w:rsidRPr="00D76748" w14:paraId="10090FD3" w14:textId="77777777" w:rsidTr="009F01D8">
        <w:trPr>
          <w:trHeight w:val="279"/>
        </w:trPr>
        <w:tc>
          <w:tcPr>
            <w:tcW w:w="1129" w:type="dxa"/>
            <w:hideMark/>
          </w:tcPr>
          <w:p w14:paraId="74D6808A" w14:textId="77777777" w:rsidR="009F01D8" w:rsidRPr="00D76748" w:rsidRDefault="009F01D8" w:rsidP="009F01D8">
            <w:pPr>
              <w:rPr>
                <w:rFonts w:asciiTheme="majorBidi" w:hAnsiTheme="majorBidi" w:cstheme="majorBidi"/>
              </w:rPr>
            </w:pPr>
            <w:r w:rsidRPr="00D76748">
              <w:rPr>
                <w:rFonts w:asciiTheme="majorBidi" w:hAnsiTheme="majorBidi" w:cstheme="majorBidi"/>
              </w:rPr>
              <w:t>22</w:t>
            </w:r>
          </w:p>
        </w:tc>
        <w:tc>
          <w:tcPr>
            <w:tcW w:w="6379" w:type="dxa"/>
            <w:hideMark/>
          </w:tcPr>
          <w:p w14:paraId="640E1B74"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w:t>
            </w:r>
            <w:proofErr w:type="spellStart"/>
            <w:r w:rsidRPr="00D76748">
              <w:rPr>
                <w:rFonts w:asciiTheme="majorBidi" w:hAnsiTheme="majorBidi" w:cstheme="majorBidi"/>
              </w:rPr>
              <w:t>ti</w:t>
            </w:r>
            <w:proofErr w:type="spellEnd"/>
            <w:r w:rsidRPr="00D76748">
              <w:rPr>
                <w:rFonts w:asciiTheme="majorBidi" w:hAnsiTheme="majorBidi" w:cstheme="majorBidi"/>
              </w:rPr>
              <w:t>.</w:t>
            </w:r>
          </w:p>
        </w:tc>
        <w:tc>
          <w:tcPr>
            <w:tcW w:w="1508" w:type="dxa"/>
            <w:hideMark/>
          </w:tcPr>
          <w:p w14:paraId="0C400B95" w14:textId="77777777" w:rsidR="009F01D8" w:rsidRPr="00D76748" w:rsidRDefault="009F01D8" w:rsidP="009F01D8">
            <w:pPr>
              <w:rPr>
                <w:rFonts w:asciiTheme="majorBidi" w:hAnsiTheme="majorBidi" w:cstheme="majorBidi"/>
              </w:rPr>
            </w:pPr>
            <w:r w:rsidRPr="00D76748">
              <w:rPr>
                <w:rFonts w:asciiTheme="majorBidi" w:hAnsiTheme="majorBidi" w:cstheme="majorBidi"/>
              </w:rPr>
              <w:t>125579</w:t>
            </w:r>
          </w:p>
        </w:tc>
      </w:tr>
      <w:tr w:rsidR="009F01D8" w:rsidRPr="00D76748" w14:paraId="31828AA1" w14:textId="77777777" w:rsidTr="009F01D8">
        <w:trPr>
          <w:trHeight w:val="279"/>
        </w:trPr>
        <w:tc>
          <w:tcPr>
            <w:tcW w:w="1129" w:type="dxa"/>
            <w:hideMark/>
          </w:tcPr>
          <w:p w14:paraId="46B0CA13" w14:textId="77777777" w:rsidR="009F01D8" w:rsidRPr="00D76748" w:rsidRDefault="009F01D8" w:rsidP="009F01D8">
            <w:pPr>
              <w:rPr>
                <w:rFonts w:asciiTheme="majorBidi" w:hAnsiTheme="majorBidi" w:cstheme="majorBidi"/>
              </w:rPr>
            </w:pPr>
            <w:r w:rsidRPr="00D76748">
              <w:rPr>
                <w:rFonts w:asciiTheme="majorBidi" w:hAnsiTheme="majorBidi" w:cstheme="majorBidi"/>
              </w:rPr>
              <w:t>23</w:t>
            </w:r>
          </w:p>
        </w:tc>
        <w:tc>
          <w:tcPr>
            <w:tcW w:w="6379" w:type="dxa"/>
            <w:hideMark/>
          </w:tcPr>
          <w:p w14:paraId="07450C21"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(cost* adj2 (effective* or </w:t>
            </w:r>
            <w:proofErr w:type="spellStart"/>
            <w:r w:rsidRPr="00D76748">
              <w:rPr>
                <w:rFonts w:asciiTheme="majorBidi" w:hAnsiTheme="majorBidi" w:cstheme="majorBidi"/>
              </w:rPr>
              <w:t>utilit</w:t>
            </w:r>
            <w:proofErr w:type="spellEnd"/>
            <w:r w:rsidRPr="00D76748">
              <w:rPr>
                <w:rFonts w:asciiTheme="majorBidi" w:hAnsiTheme="majorBidi" w:cstheme="majorBidi"/>
              </w:rPr>
              <w:t xml:space="preserve">* or benefit* or </w:t>
            </w:r>
            <w:proofErr w:type="spellStart"/>
            <w:r w:rsidRPr="00D76748">
              <w:rPr>
                <w:rFonts w:asciiTheme="majorBidi" w:hAnsiTheme="majorBidi" w:cstheme="majorBidi"/>
              </w:rPr>
              <w:t>minimi</w:t>
            </w:r>
            <w:proofErr w:type="spellEnd"/>
            <w:r w:rsidRPr="00D76748">
              <w:rPr>
                <w:rFonts w:asciiTheme="majorBidi" w:hAnsiTheme="majorBidi" w:cstheme="majorBidi"/>
              </w:rPr>
              <w:t>*)</w:t>
            </w:r>
            <w:proofErr w:type="gramStart"/>
            <w:r w:rsidRPr="00D76748">
              <w:rPr>
                <w:rFonts w:asciiTheme="majorBidi" w:hAnsiTheme="majorBidi" w:cstheme="majorBidi"/>
              </w:rPr>
              <w:t>).ab.</w:t>
            </w:r>
            <w:proofErr w:type="gramEnd"/>
          </w:p>
        </w:tc>
        <w:tc>
          <w:tcPr>
            <w:tcW w:w="1508" w:type="dxa"/>
            <w:hideMark/>
          </w:tcPr>
          <w:p w14:paraId="7EEEFD90" w14:textId="77777777" w:rsidR="009F01D8" w:rsidRPr="00D76748" w:rsidRDefault="009F01D8" w:rsidP="009F01D8">
            <w:pPr>
              <w:rPr>
                <w:rFonts w:asciiTheme="majorBidi" w:hAnsiTheme="majorBidi" w:cstheme="majorBidi"/>
              </w:rPr>
            </w:pPr>
            <w:r w:rsidRPr="00D76748">
              <w:rPr>
                <w:rFonts w:asciiTheme="majorBidi" w:hAnsiTheme="majorBidi" w:cstheme="majorBidi"/>
              </w:rPr>
              <w:t>157179</w:t>
            </w:r>
          </w:p>
        </w:tc>
      </w:tr>
      <w:tr w:rsidR="009F01D8" w:rsidRPr="00D76748" w14:paraId="6D6E7D2F" w14:textId="77777777" w:rsidTr="009F01D8">
        <w:trPr>
          <w:trHeight w:val="279"/>
        </w:trPr>
        <w:tc>
          <w:tcPr>
            <w:tcW w:w="1129" w:type="dxa"/>
            <w:hideMark/>
          </w:tcPr>
          <w:p w14:paraId="780D0C24" w14:textId="77777777" w:rsidR="009F01D8" w:rsidRPr="00D76748" w:rsidRDefault="009F01D8" w:rsidP="009F01D8">
            <w:pPr>
              <w:rPr>
                <w:rFonts w:asciiTheme="majorBidi" w:hAnsiTheme="majorBidi" w:cstheme="majorBidi"/>
              </w:rPr>
            </w:pPr>
            <w:r w:rsidRPr="00D76748">
              <w:rPr>
                <w:rFonts w:asciiTheme="majorBidi" w:hAnsiTheme="majorBidi" w:cstheme="majorBidi"/>
              </w:rPr>
              <w:t>24</w:t>
            </w:r>
          </w:p>
        </w:tc>
        <w:tc>
          <w:tcPr>
            <w:tcW w:w="6379" w:type="dxa"/>
            <w:hideMark/>
          </w:tcPr>
          <w:p w14:paraId="2797B020"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 or pharmacoeconomic* or pharmaco-economic*).</w:t>
            </w:r>
            <w:proofErr w:type="spellStart"/>
            <w:r w:rsidRPr="00D76748">
              <w:rPr>
                <w:rFonts w:asciiTheme="majorBidi" w:hAnsiTheme="majorBidi" w:cstheme="majorBidi"/>
              </w:rPr>
              <w:t>ti</w:t>
            </w:r>
            <w:proofErr w:type="spellEnd"/>
            <w:r w:rsidRPr="00D76748">
              <w:rPr>
                <w:rFonts w:asciiTheme="majorBidi" w:hAnsiTheme="majorBidi" w:cstheme="majorBidi"/>
              </w:rPr>
              <w:t>.</w:t>
            </w:r>
          </w:p>
        </w:tc>
        <w:tc>
          <w:tcPr>
            <w:tcW w:w="1508" w:type="dxa"/>
            <w:hideMark/>
          </w:tcPr>
          <w:p w14:paraId="014C7699" w14:textId="77777777" w:rsidR="009F01D8" w:rsidRPr="00D76748" w:rsidRDefault="009F01D8" w:rsidP="009F01D8">
            <w:pPr>
              <w:rPr>
                <w:rFonts w:asciiTheme="majorBidi" w:hAnsiTheme="majorBidi" w:cstheme="majorBidi"/>
              </w:rPr>
            </w:pPr>
            <w:r w:rsidRPr="00D76748">
              <w:rPr>
                <w:rFonts w:asciiTheme="majorBidi" w:hAnsiTheme="majorBidi" w:cstheme="majorBidi"/>
              </w:rPr>
              <w:t>50939</w:t>
            </w:r>
          </w:p>
        </w:tc>
      </w:tr>
      <w:tr w:rsidR="009F01D8" w:rsidRPr="00D76748" w14:paraId="5CF627C5" w14:textId="77777777" w:rsidTr="009F01D8">
        <w:trPr>
          <w:trHeight w:val="279"/>
        </w:trPr>
        <w:tc>
          <w:tcPr>
            <w:tcW w:w="1129" w:type="dxa"/>
            <w:hideMark/>
          </w:tcPr>
          <w:p w14:paraId="42C5575B" w14:textId="77777777" w:rsidR="009F01D8" w:rsidRPr="00D76748" w:rsidRDefault="009F01D8" w:rsidP="009F01D8">
            <w:pPr>
              <w:rPr>
                <w:rFonts w:asciiTheme="majorBidi" w:hAnsiTheme="majorBidi" w:cstheme="majorBidi"/>
              </w:rPr>
            </w:pPr>
            <w:r w:rsidRPr="00D76748">
              <w:rPr>
                <w:rFonts w:asciiTheme="majorBidi" w:hAnsiTheme="majorBidi" w:cstheme="majorBidi"/>
              </w:rPr>
              <w:t>25</w:t>
            </w:r>
          </w:p>
        </w:tc>
        <w:tc>
          <w:tcPr>
            <w:tcW w:w="6379" w:type="dxa"/>
            <w:hideMark/>
          </w:tcPr>
          <w:p w14:paraId="27B51700" w14:textId="77777777" w:rsidR="009F01D8" w:rsidRPr="00D76748" w:rsidRDefault="009F01D8" w:rsidP="009F01D8">
            <w:pPr>
              <w:rPr>
                <w:rFonts w:asciiTheme="majorBidi" w:hAnsiTheme="majorBidi" w:cstheme="majorBidi"/>
              </w:rPr>
            </w:pPr>
            <w:r w:rsidRPr="00D76748">
              <w:rPr>
                <w:rFonts w:asciiTheme="majorBidi" w:hAnsiTheme="majorBidi" w:cstheme="majorBidi"/>
              </w:rPr>
              <w:t>(price* or pricing*).</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508" w:type="dxa"/>
            <w:hideMark/>
          </w:tcPr>
          <w:p w14:paraId="694025C7" w14:textId="77777777" w:rsidR="009F01D8" w:rsidRPr="00D76748" w:rsidRDefault="009F01D8" w:rsidP="009F01D8">
            <w:pPr>
              <w:rPr>
                <w:rFonts w:asciiTheme="majorBidi" w:hAnsiTheme="majorBidi" w:cstheme="majorBidi"/>
              </w:rPr>
            </w:pPr>
            <w:r w:rsidRPr="00D76748">
              <w:rPr>
                <w:rFonts w:asciiTheme="majorBidi" w:hAnsiTheme="majorBidi" w:cstheme="majorBidi"/>
              </w:rPr>
              <w:t>42703</w:t>
            </w:r>
          </w:p>
        </w:tc>
      </w:tr>
      <w:tr w:rsidR="009F01D8" w:rsidRPr="00D76748" w14:paraId="1D723BDB" w14:textId="77777777" w:rsidTr="009F01D8">
        <w:trPr>
          <w:trHeight w:val="279"/>
        </w:trPr>
        <w:tc>
          <w:tcPr>
            <w:tcW w:w="1129" w:type="dxa"/>
            <w:noWrap/>
            <w:hideMark/>
          </w:tcPr>
          <w:p w14:paraId="6A60A0A8" w14:textId="77777777" w:rsidR="009F01D8" w:rsidRPr="00D76748" w:rsidRDefault="009F01D8" w:rsidP="009F01D8">
            <w:pPr>
              <w:rPr>
                <w:rFonts w:asciiTheme="majorBidi" w:hAnsiTheme="majorBidi" w:cstheme="majorBidi"/>
              </w:rPr>
            </w:pPr>
            <w:r w:rsidRPr="00D76748">
              <w:rPr>
                <w:rFonts w:asciiTheme="majorBidi" w:hAnsiTheme="majorBidi" w:cstheme="majorBidi"/>
              </w:rPr>
              <w:t>26</w:t>
            </w:r>
          </w:p>
        </w:tc>
        <w:tc>
          <w:tcPr>
            <w:tcW w:w="6379" w:type="dxa"/>
            <w:hideMark/>
          </w:tcPr>
          <w:p w14:paraId="1800430C"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financial</w:t>
            </w:r>
            <w:proofErr w:type="gramEnd"/>
            <w:r w:rsidRPr="00D76748">
              <w:rPr>
                <w:rFonts w:asciiTheme="majorBidi" w:hAnsiTheme="majorBidi" w:cstheme="majorBidi"/>
              </w:rPr>
              <w:t xml:space="preserve"> or finance or finances or financed).</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508" w:type="dxa"/>
            <w:noWrap/>
            <w:hideMark/>
          </w:tcPr>
          <w:p w14:paraId="5D18DA0E" w14:textId="77777777" w:rsidR="009F01D8" w:rsidRPr="00D76748" w:rsidRDefault="009F01D8" w:rsidP="009F01D8">
            <w:pPr>
              <w:rPr>
                <w:rFonts w:asciiTheme="majorBidi" w:hAnsiTheme="majorBidi" w:cstheme="majorBidi"/>
              </w:rPr>
            </w:pPr>
            <w:r w:rsidRPr="00D76748">
              <w:rPr>
                <w:rFonts w:asciiTheme="majorBidi" w:hAnsiTheme="majorBidi" w:cstheme="majorBidi"/>
              </w:rPr>
              <w:t>97358</w:t>
            </w:r>
          </w:p>
        </w:tc>
      </w:tr>
      <w:tr w:rsidR="009F01D8" w:rsidRPr="00D76748" w14:paraId="4FC13E19" w14:textId="77777777" w:rsidTr="009F01D8">
        <w:trPr>
          <w:trHeight w:val="279"/>
        </w:trPr>
        <w:tc>
          <w:tcPr>
            <w:tcW w:w="1129" w:type="dxa"/>
            <w:noWrap/>
            <w:hideMark/>
          </w:tcPr>
          <w:p w14:paraId="426F0232" w14:textId="77777777" w:rsidR="009F01D8" w:rsidRPr="00D76748" w:rsidRDefault="009F01D8" w:rsidP="009F01D8">
            <w:pPr>
              <w:rPr>
                <w:rFonts w:asciiTheme="majorBidi" w:hAnsiTheme="majorBidi" w:cstheme="majorBidi"/>
              </w:rPr>
            </w:pPr>
            <w:r w:rsidRPr="00D76748">
              <w:rPr>
                <w:rFonts w:asciiTheme="majorBidi" w:hAnsiTheme="majorBidi" w:cstheme="majorBidi"/>
              </w:rPr>
              <w:t>27</w:t>
            </w:r>
          </w:p>
        </w:tc>
        <w:tc>
          <w:tcPr>
            <w:tcW w:w="6379" w:type="dxa"/>
            <w:hideMark/>
          </w:tcPr>
          <w:p w14:paraId="37B41680"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fee</w:t>
            </w:r>
            <w:proofErr w:type="gramEnd"/>
            <w:r w:rsidRPr="00D76748">
              <w:rPr>
                <w:rFonts w:asciiTheme="majorBidi" w:hAnsiTheme="majorBidi" w:cstheme="majorBidi"/>
              </w:rPr>
              <w:t xml:space="preserve"> or fees).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508" w:type="dxa"/>
            <w:noWrap/>
            <w:hideMark/>
          </w:tcPr>
          <w:p w14:paraId="12CFFA47" w14:textId="77777777" w:rsidR="009F01D8" w:rsidRPr="00D76748" w:rsidRDefault="009F01D8" w:rsidP="009F01D8">
            <w:pPr>
              <w:rPr>
                <w:rFonts w:asciiTheme="majorBidi" w:hAnsiTheme="majorBidi" w:cstheme="majorBidi"/>
              </w:rPr>
            </w:pPr>
            <w:r w:rsidRPr="00D76748">
              <w:rPr>
                <w:rFonts w:asciiTheme="majorBidi" w:hAnsiTheme="majorBidi" w:cstheme="majorBidi"/>
              </w:rPr>
              <w:t>18704</w:t>
            </w:r>
          </w:p>
        </w:tc>
      </w:tr>
      <w:tr w:rsidR="009F01D8" w:rsidRPr="00D76748" w14:paraId="6A6BA3C2" w14:textId="77777777" w:rsidTr="009F01D8">
        <w:trPr>
          <w:trHeight w:val="279"/>
        </w:trPr>
        <w:tc>
          <w:tcPr>
            <w:tcW w:w="1129" w:type="dxa"/>
            <w:noWrap/>
            <w:hideMark/>
          </w:tcPr>
          <w:p w14:paraId="437829C9" w14:textId="77777777" w:rsidR="009F01D8" w:rsidRPr="00D76748" w:rsidRDefault="009F01D8" w:rsidP="009F01D8">
            <w:pPr>
              <w:rPr>
                <w:rFonts w:asciiTheme="majorBidi" w:hAnsiTheme="majorBidi" w:cstheme="majorBidi"/>
              </w:rPr>
            </w:pPr>
            <w:r w:rsidRPr="00D76748">
              <w:rPr>
                <w:rFonts w:asciiTheme="majorBidi" w:hAnsiTheme="majorBidi" w:cstheme="majorBidi"/>
              </w:rPr>
              <w:t>28</w:t>
            </w:r>
          </w:p>
        </w:tc>
        <w:tc>
          <w:tcPr>
            <w:tcW w:w="6379" w:type="dxa"/>
            <w:hideMark/>
          </w:tcPr>
          <w:p w14:paraId="73E7E2A7"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value</w:t>
            </w:r>
            <w:proofErr w:type="gramEnd"/>
            <w:r w:rsidRPr="00D76748">
              <w:rPr>
                <w:rFonts w:asciiTheme="majorBidi" w:hAnsiTheme="majorBidi" w:cstheme="majorBidi"/>
              </w:rPr>
              <w:t xml:space="preserve"> adj2 (money or monetary)).</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508" w:type="dxa"/>
            <w:noWrap/>
            <w:hideMark/>
          </w:tcPr>
          <w:p w14:paraId="21EF0A52" w14:textId="77777777" w:rsidR="009F01D8" w:rsidRPr="00D76748" w:rsidRDefault="009F01D8" w:rsidP="009F01D8">
            <w:pPr>
              <w:rPr>
                <w:rFonts w:asciiTheme="majorBidi" w:hAnsiTheme="majorBidi" w:cstheme="majorBidi"/>
              </w:rPr>
            </w:pPr>
            <w:r w:rsidRPr="00D76748">
              <w:rPr>
                <w:rFonts w:asciiTheme="majorBidi" w:hAnsiTheme="majorBidi" w:cstheme="majorBidi"/>
              </w:rPr>
              <w:t>2515</w:t>
            </w:r>
          </w:p>
        </w:tc>
      </w:tr>
      <w:tr w:rsidR="009F01D8" w:rsidRPr="00D76748" w14:paraId="47782B5A" w14:textId="77777777" w:rsidTr="009F01D8">
        <w:trPr>
          <w:trHeight w:val="279"/>
        </w:trPr>
        <w:tc>
          <w:tcPr>
            <w:tcW w:w="1129" w:type="dxa"/>
            <w:noWrap/>
            <w:hideMark/>
          </w:tcPr>
          <w:p w14:paraId="3E763D9E" w14:textId="77777777" w:rsidR="009F01D8" w:rsidRPr="00D76748" w:rsidRDefault="009F01D8" w:rsidP="009F01D8">
            <w:pPr>
              <w:rPr>
                <w:rFonts w:asciiTheme="majorBidi" w:hAnsiTheme="majorBidi" w:cstheme="majorBidi"/>
              </w:rPr>
            </w:pPr>
            <w:r w:rsidRPr="00D76748">
              <w:rPr>
                <w:rFonts w:asciiTheme="majorBidi" w:hAnsiTheme="majorBidi" w:cstheme="majorBidi"/>
              </w:rPr>
              <w:t>29</w:t>
            </w:r>
          </w:p>
        </w:tc>
        <w:tc>
          <w:tcPr>
            <w:tcW w:w="6379" w:type="dxa"/>
            <w:hideMark/>
          </w:tcPr>
          <w:p w14:paraId="59269EB4" w14:textId="77777777" w:rsidR="009F01D8" w:rsidRPr="00D76748" w:rsidRDefault="009F01D8" w:rsidP="009F01D8">
            <w:pPr>
              <w:rPr>
                <w:rFonts w:asciiTheme="majorBidi" w:hAnsiTheme="majorBidi" w:cstheme="majorBidi"/>
              </w:rPr>
            </w:pPr>
            <w:r w:rsidRPr="00D76748">
              <w:rPr>
                <w:rFonts w:asciiTheme="majorBidi" w:hAnsiTheme="majorBidi" w:cstheme="majorBidi"/>
              </w:rPr>
              <w:t>quality-adjusted life years/</w:t>
            </w:r>
          </w:p>
        </w:tc>
        <w:tc>
          <w:tcPr>
            <w:tcW w:w="1508" w:type="dxa"/>
            <w:noWrap/>
            <w:hideMark/>
          </w:tcPr>
          <w:p w14:paraId="39A34418" w14:textId="77777777" w:rsidR="009F01D8" w:rsidRPr="00D76748" w:rsidRDefault="009F01D8" w:rsidP="009F01D8">
            <w:pPr>
              <w:rPr>
                <w:rFonts w:asciiTheme="majorBidi" w:hAnsiTheme="majorBidi" w:cstheme="majorBidi"/>
              </w:rPr>
            </w:pPr>
            <w:r w:rsidRPr="00D76748">
              <w:rPr>
                <w:rFonts w:asciiTheme="majorBidi" w:hAnsiTheme="majorBidi" w:cstheme="majorBidi"/>
              </w:rPr>
              <w:t>12949</w:t>
            </w:r>
          </w:p>
        </w:tc>
      </w:tr>
      <w:tr w:rsidR="009F01D8" w:rsidRPr="00D76748" w14:paraId="7A852A0E" w14:textId="77777777" w:rsidTr="009F01D8">
        <w:trPr>
          <w:trHeight w:val="279"/>
        </w:trPr>
        <w:tc>
          <w:tcPr>
            <w:tcW w:w="1129" w:type="dxa"/>
            <w:noWrap/>
            <w:hideMark/>
          </w:tcPr>
          <w:p w14:paraId="68240558" w14:textId="77777777" w:rsidR="009F01D8" w:rsidRPr="00D76748" w:rsidRDefault="009F01D8" w:rsidP="009F01D8">
            <w:pPr>
              <w:rPr>
                <w:rFonts w:asciiTheme="majorBidi" w:hAnsiTheme="majorBidi" w:cstheme="majorBidi"/>
              </w:rPr>
            </w:pPr>
            <w:r w:rsidRPr="00D76748">
              <w:rPr>
                <w:rFonts w:asciiTheme="majorBidi" w:hAnsiTheme="majorBidi" w:cstheme="majorBidi"/>
              </w:rPr>
              <w:t>30</w:t>
            </w:r>
          </w:p>
        </w:tc>
        <w:tc>
          <w:tcPr>
            <w:tcW w:w="6379" w:type="dxa"/>
            <w:hideMark/>
          </w:tcPr>
          <w:p w14:paraId="48EDDF27"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spellStart"/>
            <w:proofErr w:type="gramStart"/>
            <w:r w:rsidRPr="00D76748">
              <w:rPr>
                <w:rFonts w:asciiTheme="majorBidi" w:hAnsiTheme="majorBidi" w:cstheme="majorBidi"/>
              </w:rPr>
              <w:t>qaly</w:t>
            </w:r>
            <w:proofErr w:type="spellEnd"/>
            <w:proofErr w:type="gramEnd"/>
            <w:r w:rsidRPr="00D76748">
              <w:rPr>
                <w:rFonts w:asciiTheme="majorBidi" w:hAnsiTheme="majorBidi" w:cstheme="majorBidi"/>
              </w:rPr>
              <w:t xml:space="preserve"> or </w:t>
            </w:r>
            <w:proofErr w:type="spellStart"/>
            <w:r w:rsidRPr="00D76748">
              <w:rPr>
                <w:rFonts w:asciiTheme="majorBidi" w:hAnsiTheme="majorBidi" w:cstheme="majorBidi"/>
              </w:rPr>
              <w:t>qalys</w:t>
            </w:r>
            <w:proofErr w:type="spellEnd"/>
            <w:r w:rsidRPr="00D76748">
              <w:rPr>
                <w:rFonts w:asciiTheme="majorBidi" w:hAnsiTheme="majorBidi" w:cstheme="majorBidi"/>
              </w:rPr>
              <w:t>).</w:t>
            </w:r>
            <w:proofErr w:type="spellStart"/>
            <w:r w:rsidRPr="00D76748">
              <w:rPr>
                <w:rFonts w:asciiTheme="majorBidi" w:hAnsiTheme="majorBidi" w:cstheme="majorBidi"/>
              </w:rPr>
              <w:t>af</w:t>
            </w:r>
            <w:proofErr w:type="spellEnd"/>
            <w:r w:rsidRPr="00D76748">
              <w:rPr>
                <w:rFonts w:asciiTheme="majorBidi" w:hAnsiTheme="majorBidi" w:cstheme="majorBidi"/>
              </w:rPr>
              <w:t>.</w:t>
            </w:r>
          </w:p>
        </w:tc>
        <w:tc>
          <w:tcPr>
            <w:tcW w:w="1508" w:type="dxa"/>
            <w:noWrap/>
            <w:hideMark/>
          </w:tcPr>
          <w:p w14:paraId="6896C15E" w14:textId="77777777" w:rsidR="009F01D8" w:rsidRPr="00D76748" w:rsidRDefault="009F01D8" w:rsidP="009F01D8">
            <w:pPr>
              <w:rPr>
                <w:rFonts w:asciiTheme="majorBidi" w:hAnsiTheme="majorBidi" w:cstheme="majorBidi"/>
              </w:rPr>
            </w:pPr>
            <w:r w:rsidRPr="00D76748">
              <w:rPr>
                <w:rFonts w:asciiTheme="majorBidi" w:hAnsiTheme="majorBidi" w:cstheme="majorBidi"/>
              </w:rPr>
              <w:t>11325</w:t>
            </w:r>
          </w:p>
        </w:tc>
      </w:tr>
      <w:tr w:rsidR="009F01D8" w:rsidRPr="00D76748" w14:paraId="6DA0F333" w14:textId="77777777" w:rsidTr="009F01D8">
        <w:trPr>
          <w:trHeight w:val="279"/>
        </w:trPr>
        <w:tc>
          <w:tcPr>
            <w:tcW w:w="1129" w:type="dxa"/>
            <w:noWrap/>
            <w:hideMark/>
          </w:tcPr>
          <w:p w14:paraId="61AB6567" w14:textId="77777777" w:rsidR="009F01D8" w:rsidRPr="00D76748" w:rsidRDefault="009F01D8" w:rsidP="009F01D8">
            <w:pPr>
              <w:rPr>
                <w:rFonts w:asciiTheme="majorBidi" w:hAnsiTheme="majorBidi" w:cstheme="majorBidi"/>
              </w:rPr>
            </w:pPr>
            <w:r w:rsidRPr="00D76748">
              <w:rPr>
                <w:rFonts w:asciiTheme="majorBidi" w:hAnsiTheme="majorBidi" w:cstheme="majorBidi"/>
              </w:rPr>
              <w:t>31</w:t>
            </w:r>
          </w:p>
        </w:tc>
        <w:tc>
          <w:tcPr>
            <w:tcW w:w="6379" w:type="dxa"/>
            <w:hideMark/>
          </w:tcPr>
          <w:p w14:paraId="075E0640"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quality</w:t>
            </w:r>
            <w:proofErr w:type="gramEnd"/>
            <w:r w:rsidRPr="00D76748">
              <w:rPr>
                <w:rFonts w:asciiTheme="majorBidi" w:hAnsiTheme="majorBidi" w:cstheme="majorBidi"/>
              </w:rPr>
              <w:t xml:space="preserve"> adjusted life year or quality adjusted life years).</w:t>
            </w:r>
            <w:proofErr w:type="spellStart"/>
            <w:r w:rsidRPr="00D76748">
              <w:rPr>
                <w:rFonts w:asciiTheme="majorBidi" w:hAnsiTheme="majorBidi" w:cstheme="majorBidi"/>
              </w:rPr>
              <w:t>af</w:t>
            </w:r>
            <w:proofErr w:type="spellEnd"/>
            <w:r w:rsidRPr="00D76748">
              <w:rPr>
                <w:rFonts w:asciiTheme="majorBidi" w:hAnsiTheme="majorBidi" w:cstheme="majorBidi"/>
              </w:rPr>
              <w:t>.</w:t>
            </w:r>
          </w:p>
        </w:tc>
        <w:tc>
          <w:tcPr>
            <w:tcW w:w="1508" w:type="dxa"/>
            <w:noWrap/>
            <w:hideMark/>
          </w:tcPr>
          <w:p w14:paraId="3D2272F5" w14:textId="77777777" w:rsidR="009F01D8" w:rsidRPr="00D76748" w:rsidRDefault="009F01D8" w:rsidP="009F01D8">
            <w:pPr>
              <w:rPr>
                <w:rFonts w:asciiTheme="majorBidi" w:hAnsiTheme="majorBidi" w:cstheme="majorBidi"/>
              </w:rPr>
            </w:pPr>
            <w:r w:rsidRPr="00D76748">
              <w:rPr>
                <w:rFonts w:asciiTheme="majorBidi" w:hAnsiTheme="majorBidi" w:cstheme="majorBidi"/>
              </w:rPr>
              <w:t>19387</w:t>
            </w:r>
          </w:p>
        </w:tc>
      </w:tr>
      <w:tr w:rsidR="009F01D8" w:rsidRPr="00D76748" w14:paraId="48983167" w14:textId="77777777" w:rsidTr="009F01D8">
        <w:trPr>
          <w:trHeight w:val="279"/>
        </w:trPr>
        <w:tc>
          <w:tcPr>
            <w:tcW w:w="1129" w:type="dxa"/>
            <w:noWrap/>
            <w:hideMark/>
          </w:tcPr>
          <w:p w14:paraId="529ECF55" w14:textId="77777777" w:rsidR="009F01D8" w:rsidRPr="00D76748" w:rsidRDefault="009F01D8" w:rsidP="009F01D8">
            <w:pPr>
              <w:rPr>
                <w:rFonts w:asciiTheme="majorBidi" w:hAnsiTheme="majorBidi" w:cstheme="majorBidi"/>
              </w:rPr>
            </w:pPr>
            <w:r w:rsidRPr="00D76748">
              <w:rPr>
                <w:rFonts w:asciiTheme="majorBidi" w:hAnsiTheme="majorBidi" w:cstheme="majorBidi"/>
              </w:rPr>
              <w:lastRenderedPageBreak/>
              <w:t>32</w:t>
            </w:r>
          </w:p>
        </w:tc>
        <w:tc>
          <w:tcPr>
            <w:tcW w:w="6379" w:type="dxa"/>
            <w:hideMark/>
          </w:tcPr>
          <w:p w14:paraId="3184C79F" w14:textId="77777777" w:rsidR="009F01D8" w:rsidRPr="00D76748" w:rsidRDefault="009F01D8" w:rsidP="009F01D8">
            <w:pPr>
              <w:rPr>
                <w:rFonts w:asciiTheme="majorBidi" w:hAnsiTheme="majorBidi" w:cstheme="majorBidi"/>
              </w:rPr>
            </w:pPr>
            <w:r w:rsidRPr="00D76748">
              <w:rPr>
                <w:rFonts w:asciiTheme="majorBidi" w:hAnsiTheme="majorBidi" w:cstheme="majorBidi"/>
              </w:rPr>
              <w:t>or/11-31</w:t>
            </w:r>
          </w:p>
        </w:tc>
        <w:tc>
          <w:tcPr>
            <w:tcW w:w="1508" w:type="dxa"/>
            <w:noWrap/>
            <w:hideMark/>
          </w:tcPr>
          <w:p w14:paraId="4DEAED23" w14:textId="77777777" w:rsidR="009F01D8" w:rsidRPr="00D76748" w:rsidRDefault="009F01D8" w:rsidP="009F01D8">
            <w:pPr>
              <w:rPr>
                <w:rFonts w:asciiTheme="majorBidi" w:hAnsiTheme="majorBidi" w:cstheme="majorBidi"/>
              </w:rPr>
            </w:pPr>
            <w:r w:rsidRPr="00D76748">
              <w:rPr>
                <w:rFonts w:asciiTheme="majorBidi" w:hAnsiTheme="majorBidi" w:cstheme="majorBidi"/>
              </w:rPr>
              <w:t>801858</w:t>
            </w:r>
          </w:p>
        </w:tc>
      </w:tr>
      <w:tr w:rsidR="009F01D8" w:rsidRPr="00D76748" w14:paraId="5C0336E3" w14:textId="77777777" w:rsidTr="009F01D8">
        <w:trPr>
          <w:trHeight w:val="279"/>
        </w:trPr>
        <w:tc>
          <w:tcPr>
            <w:tcW w:w="1129" w:type="dxa"/>
            <w:noWrap/>
            <w:hideMark/>
          </w:tcPr>
          <w:p w14:paraId="11AC2685" w14:textId="77777777" w:rsidR="009F01D8" w:rsidRPr="00D76748" w:rsidRDefault="009F01D8" w:rsidP="009F01D8">
            <w:pPr>
              <w:rPr>
                <w:rFonts w:asciiTheme="majorBidi" w:hAnsiTheme="majorBidi" w:cstheme="majorBidi"/>
              </w:rPr>
            </w:pPr>
            <w:r w:rsidRPr="00D76748">
              <w:rPr>
                <w:rFonts w:asciiTheme="majorBidi" w:hAnsiTheme="majorBidi" w:cstheme="majorBidi"/>
              </w:rPr>
              <w:t>33</w:t>
            </w:r>
          </w:p>
        </w:tc>
        <w:tc>
          <w:tcPr>
            <w:tcW w:w="6379" w:type="dxa"/>
            <w:hideMark/>
          </w:tcPr>
          <w:p w14:paraId="144E7796"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32</w:t>
            </w:r>
          </w:p>
        </w:tc>
        <w:tc>
          <w:tcPr>
            <w:tcW w:w="1508" w:type="dxa"/>
            <w:noWrap/>
            <w:hideMark/>
          </w:tcPr>
          <w:p w14:paraId="214E82F8"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r>
    </w:tbl>
    <w:p w14:paraId="025D97A8" w14:textId="77777777" w:rsidR="009F01D8" w:rsidRPr="00F63CD5" w:rsidRDefault="009F01D8" w:rsidP="009F01D8">
      <w:pPr>
        <w:spacing w:after="0"/>
      </w:pPr>
    </w:p>
    <w:p w14:paraId="5B8FBECD" w14:textId="77777777" w:rsidR="009F01D8" w:rsidRPr="00F63CD5" w:rsidRDefault="009F01D8" w:rsidP="009F01D8">
      <w:pPr>
        <w:spacing w:after="0"/>
        <w:rPr>
          <w:b/>
        </w:rPr>
      </w:pPr>
      <w:r w:rsidRPr="00F63CD5">
        <w:rPr>
          <w:b/>
        </w:rPr>
        <w:t>Embase 1974 to 2021 February 26 (searched via the Ovid SP platform)</w:t>
      </w:r>
    </w:p>
    <w:p w14:paraId="3497B636" w14:textId="77777777" w:rsidR="009F01D8" w:rsidRPr="00F63CD5" w:rsidRDefault="009F01D8" w:rsidP="009F01D8">
      <w:pPr>
        <w:spacing w:after="0"/>
      </w:pPr>
      <w:r w:rsidRPr="00F63CD5">
        <w:t>1st March 2021</w:t>
      </w:r>
    </w:p>
    <w:p w14:paraId="3B360A23" w14:textId="77777777" w:rsidR="009F01D8" w:rsidRPr="00F63CD5" w:rsidRDefault="009F01D8" w:rsidP="009F01D8">
      <w:pPr>
        <w:spacing w:after="0"/>
      </w:pPr>
    </w:p>
    <w:tbl>
      <w:tblPr>
        <w:tblStyle w:val="TableGrid"/>
        <w:tblW w:w="0" w:type="auto"/>
        <w:tblLook w:val="04A0" w:firstRow="1" w:lastRow="0" w:firstColumn="1" w:lastColumn="0" w:noHBand="0" w:noVBand="1"/>
      </w:tblPr>
      <w:tblGrid>
        <w:gridCol w:w="1129"/>
        <w:gridCol w:w="6379"/>
        <w:gridCol w:w="1508"/>
      </w:tblGrid>
      <w:tr w:rsidR="009F01D8" w:rsidRPr="002B28C3" w14:paraId="02334519" w14:textId="77777777" w:rsidTr="009F01D8">
        <w:trPr>
          <w:trHeight w:val="279"/>
        </w:trPr>
        <w:tc>
          <w:tcPr>
            <w:tcW w:w="1129" w:type="dxa"/>
            <w:hideMark/>
          </w:tcPr>
          <w:p w14:paraId="232FB65C"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379" w:type="dxa"/>
            <w:hideMark/>
          </w:tcPr>
          <w:p w14:paraId="7873B27F"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508" w:type="dxa"/>
            <w:hideMark/>
          </w:tcPr>
          <w:p w14:paraId="0993B27E"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1B116D18" w14:textId="77777777" w:rsidTr="009F01D8">
        <w:trPr>
          <w:trHeight w:val="279"/>
        </w:trPr>
        <w:tc>
          <w:tcPr>
            <w:tcW w:w="1129" w:type="dxa"/>
            <w:noWrap/>
            <w:hideMark/>
          </w:tcPr>
          <w:p w14:paraId="03EE81D7"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379" w:type="dxa"/>
            <w:noWrap/>
            <w:hideMark/>
          </w:tcPr>
          <w:p w14:paraId="6FF7B998" w14:textId="77777777" w:rsidR="009F01D8" w:rsidRPr="002B28C3" w:rsidRDefault="009F01D8" w:rsidP="009F01D8">
            <w:pPr>
              <w:rPr>
                <w:rFonts w:asciiTheme="majorBidi" w:hAnsiTheme="majorBidi" w:cstheme="majorBidi"/>
              </w:rPr>
            </w:pPr>
            <w:r w:rsidRPr="002B28C3">
              <w:rPr>
                <w:rFonts w:asciiTheme="majorBidi" w:hAnsiTheme="majorBidi" w:cstheme="majorBidi"/>
              </w:rPr>
              <w:t>ceftazidime.mp.</w:t>
            </w:r>
          </w:p>
        </w:tc>
        <w:tc>
          <w:tcPr>
            <w:tcW w:w="1508" w:type="dxa"/>
            <w:noWrap/>
            <w:hideMark/>
          </w:tcPr>
          <w:p w14:paraId="0D97FEAA" w14:textId="77777777" w:rsidR="009F01D8" w:rsidRPr="002B28C3" w:rsidRDefault="009F01D8" w:rsidP="009F01D8">
            <w:pPr>
              <w:rPr>
                <w:rFonts w:asciiTheme="majorBidi" w:hAnsiTheme="majorBidi" w:cstheme="majorBidi"/>
              </w:rPr>
            </w:pPr>
            <w:r w:rsidRPr="002B28C3">
              <w:rPr>
                <w:rFonts w:asciiTheme="majorBidi" w:hAnsiTheme="majorBidi" w:cstheme="majorBidi"/>
              </w:rPr>
              <w:t>45327</w:t>
            </w:r>
          </w:p>
        </w:tc>
      </w:tr>
      <w:tr w:rsidR="009F01D8" w:rsidRPr="002B28C3" w14:paraId="44EB8A6D" w14:textId="77777777" w:rsidTr="009F01D8">
        <w:trPr>
          <w:trHeight w:val="279"/>
        </w:trPr>
        <w:tc>
          <w:tcPr>
            <w:tcW w:w="1129" w:type="dxa"/>
            <w:noWrap/>
            <w:hideMark/>
          </w:tcPr>
          <w:p w14:paraId="0692E114"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379" w:type="dxa"/>
            <w:noWrap/>
            <w:hideMark/>
          </w:tcPr>
          <w:p w14:paraId="4BD167F3" w14:textId="77777777" w:rsidR="009F01D8" w:rsidRPr="002B28C3" w:rsidRDefault="009F01D8" w:rsidP="009F01D8">
            <w:pPr>
              <w:rPr>
                <w:rFonts w:asciiTheme="majorBidi" w:hAnsiTheme="majorBidi" w:cstheme="majorBidi"/>
              </w:rPr>
            </w:pPr>
            <w:r w:rsidRPr="002B28C3">
              <w:rPr>
                <w:rFonts w:asciiTheme="majorBidi" w:hAnsiTheme="majorBidi" w:cstheme="majorBidi"/>
              </w:rPr>
              <w:t>ceftazidime/</w:t>
            </w:r>
          </w:p>
        </w:tc>
        <w:tc>
          <w:tcPr>
            <w:tcW w:w="1508" w:type="dxa"/>
            <w:noWrap/>
            <w:hideMark/>
          </w:tcPr>
          <w:p w14:paraId="3B8DAB25" w14:textId="77777777" w:rsidR="009F01D8" w:rsidRPr="002B28C3" w:rsidRDefault="009F01D8" w:rsidP="009F01D8">
            <w:pPr>
              <w:rPr>
                <w:rFonts w:asciiTheme="majorBidi" w:hAnsiTheme="majorBidi" w:cstheme="majorBidi"/>
              </w:rPr>
            </w:pPr>
            <w:r w:rsidRPr="002B28C3">
              <w:rPr>
                <w:rFonts w:asciiTheme="majorBidi" w:hAnsiTheme="majorBidi" w:cstheme="majorBidi"/>
              </w:rPr>
              <w:t>43189</w:t>
            </w:r>
          </w:p>
        </w:tc>
      </w:tr>
      <w:tr w:rsidR="009F01D8" w:rsidRPr="002B28C3" w14:paraId="335941BD" w14:textId="77777777" w:rsidTr="009F01D8">
        <w:trPr>
          <w:trHeight w:val="279"/>
        </w:trPr>
        <w:tc>
          <w:tcPr>
            <w:tcW w:w="1129" w:type="dxa"/>
            <w:noWrap/>
            <w:hideMark/>
          </w:tcPr>
          <w:p w14:paraId="1B2A453A"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379" w:type="dxa"/>
            <w:noWrap/>
            <w:hideMark/>
          </w:tcPr>
          <w:p w14:paraId="3FAE7C71" w14:textId="77777777" w:rsidR="009F01D8" w:rsidRPr="002B28C3" w:rsidRDefault="009F01D8" w:rsidP="009F01D8">
            <w:pPr>
              <w:rPr>
                <w:rFonts w:asciiTheme="majorBidi" w:hAnsiTheme="majorBidi" w:cstheme="majorBidi"/>
              </w:rPr>
            </w:pPr>
            <w:r w:rsidRPr="002B28C3">
              <w:rPr>
                <w:rFonts w:asciiTheme="majorBidi" w:hAnsiTheme="majorBidi" w:cstheme="majorBidi"/>
              </w:rPr>
              <w:t>1 or 2</w:t>
            </w:r>
          </w:p>
        </w:tc>
        <w:tc>
          <w:tcPr>
            <w:tcW w:w="1508" w:type="dxa"/>
            <w:noWrap/>
            <w:hideMark/>
          </w:tcPr>
          <w:p w14:paraId="23E8C1A3" w14:textId="77777777" w:rsidR="009F01D8" w:rsidRPr="002B28C3" w:rsidRDefault="009F01D8" w:rsidP="009F01D8">
            <w:pPr>
              <w:rPr>
                <w:rFonts w:asciiTheme="majorBidi" w:hAnsiTheme="majorBidi" w:cstheme="majorBidi"/>
              </w:rPr>
            </w:pPr>
            <w:r w:rsidRPr="002B28C3">
              <w:rPr>
                <w:rFonts w:asciiTheme="majorBidi" w:hAnsiTheme="majorBidi" w:cstheme="majorBidi"/>
              </w:rPr>
              <w:t>45327</w:t>
            </w:r>
          </w:p>
        </w:tc>
      </w:tr>
      <w:tr w:rsidR="009F01D8" w:rsidRPr="002B28C3" w14:paraId="008F6822" w14:textId="77777777" w:rsidTr="009F01D8">
        <w:trPr>
          <w:trHeight w:val="279"/>
        </w:trPr>
        <w:tc>
          <w:tcPr>
            <w:tcW w:w="1129" w:type="dxa"/>
            <w:noWrap/>
            <w:hideMark/>
          </w:tcPr>
          <w:p w14:paraId="023BB9FE"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379" w:type="dxa"/>
            <w:noWrap/>
            <w:hideMark/>
          </w:tcPr>
          <w:p w14:paraId="485AFFF1" w14:textId="77777777" w:rsidR="009F01D8" w:rsidRPr="002B28C3" w:rsidRDefault="009F01D8" w:rsidP="009F01D8">
            <w:pPr>
              <w:rPr>
                <w:rFonts w:asciiTheme="majorBidi" w:hAnsiTheme="majorBidi" w:cstheme="majorBidi"/>
              </w:rPr>
            </w:pPr>
            <w:r w:rsidRPr="002B28C3">
              <w:rPr>
                <w:rFonts w:asciiTheme="majorBidi" w:hAnsiTheme="majorBidi" w:cstheme="majorBidi"/>
              </w:rPr>
              <w:t>avibactam.mp.</w:t>
            </w:r>
          </w:p>
        </w:tc>
        <w:tc>
          <w:tcPr>
            <w:tcW w:w="1508" w:type="dxa"/>
            <w:noWrap/>
            <w:hideMark/>
          </w:tcPr>
          <w:p w14:paraId="6619A302" w14:textId="77777777" w:rsidR="009F01D8" w:rsidRPr="002B28C3" w:rsidRDefault="009F01D8" w:rsidP="009F01D8">
            <w:pPr>
              <w:rPr>
                <w:rFonts w:asciiTheme="majorBidi" w:hAnsiTheme="majorBidi" w:cstheme="majorBidi"/>
              </w:rPr>
            </w:pPr>
            <w:r w:rsidRPr="002B28C3">
              <w:rPr>
                <w:rFonts w:asciiTheme="majorBidi" w:hAnsiTheme="majorBidi" w:cstheme="majorBidi"/>
              </w:rPr>
              <w:t>1893</w:t>
            </w:r>
          </w:p>
        </w:tc>
      </w:tr>
      <w:tr w:rsidR="009F01D8" w:rsidRPr="002B28C3" w14:paraId="7EF4E45D" w14:textId="77777777" w:rsidTr="009F01D8">
        <w:trPr>
          <w:trHeight w:val="279"/>
        </w:trPr>
        <w:tc>
          <w:tcPr>
            <w:tcW w:w="1129" w:type="dxa"/>
            <w:noWrap/>
            <w:hideMark/>
          </w:tcPr>
          <w:p w14:paraId="189AA31E"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379" w:type="dxa"/>
            <w:noWrap/>
            <w:hideMark/>
          </w:tcPr>
          <w:p w14:paraId="7F70634D" w14:textId="77777777" w:rsidR="009F01D8" w:rsidRPr="002B28C3" w:rsidRDefault="009F01D8" w:rsidP="009F01D8">
            <w:pPr>
              <w:rPr>
                <w:rFonts w:asciiTheme="majorBidi" w:hAnsiTheme="majorBidi" w:cstheme="majorBidi"/>
              </w:rPr>
            </w:pPr>
            <w:r w:rsidRPr="002B28C3">
              <w:rPr>
                <w:rFonts w:asciiTheme="majorBidi" w:hAnsiTheme="majorBidi" w:cstheme="majorBidi"/>
              </w:rPr>
              <w:t>3 and 4</w:t>
            </w:r>
          </w:p>
        </w:tc>
        <w:tc>
          <w:tcPr>
            <w:tcW w:w="1508" w:type="dxa"/>
            <w:noWrap/>
            <w:hideMark/>
          </w:tcPr>
          <w:p w14:paraId="159E8F87" w14:textId="77777777" w:rsidR="009F01D8" w:rsidRPr="002B28C3" w:rsidRDefault="009F01D8" w:rsidP="009F01D8">
            <w:pPr>
              <w:rPr>
                <w:rFonts w:asciiTheme="majorBidi" w:hAnsiTheme="majorBidi" w:cstheme="majorBidi"/>
              </w:rPr>
            </w:pPr>
            <w:r w:rsidRPr="002B28C3">
              <w:rPr>
                <w:rFonts w:asciiTheme="majorBidi" w:hAnsiTheme="majorBidi" w:cstheme="majorBidi"/>
              </w:rPr>
              <w:t>1609</w:t>
            </w:r>
          </w:p>
        </w:tc>
      </w:tr>
      <w:tr w:rsidR="009F01D8" w:rsidRPr="002B28C3" w14:paraId="33FCE74E" w14:textId="77777777" w:rsidTr="009F01D8">
        <w:trPr>
          <w:trHeight w:val="279"/>
        </w:trPr>
        <w:tc>
          <w:tcPr>
            <w:tcW w:w="1129" w:type="dxa"/>
            <w:noWrap/>
            <w:hideMark/>
          </w:tcPr>
          <w:p w14:paraId="13E9B814"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379" w:type="dxa"/>
            <w:noWrap/>
            <w:hideMark/>
          </w:tcPr>
          <w:p w14:paraId="08478726" w14:textId="77777777" w:rsidR="009F01D8" w:rsidRPr="002B28C3" w:rsidRDefault="009F01D8" w:rsidP="009F01D8">
            <w:pPr>
              <w:rPr>
                <w:rFonts w:asciiTheme="majorBidi" w:hAnsiTheme="majorBidi" w:cstheme="majorBidi"/>
              </w:rPr>
            </w:pPr>
            <w:r w:rsidRPr="002B28C3">
              <w:rPr>
                <w:rFonts w:asciiTheme="majorBidi" w:hAnsiTheme="majorBidi" w:cstheme="majorBidi"/>
              </w:rPr>
              <w:t>ceftazidime-avibactam.mp.</w:t>
            </w:r>
          </w:p>
        </w:tc>
        <w:tc>
          <w:tcPr>
            <w:tcW w:w="1508" w:type="dxa"/>
            <w:noWrap/>
            <w:hideMark/>
          </w:tcPr>
          <w:p w14:paraId="3B1872E7" w14:textId="77777777" w:rsidR="009F01D8" w:rsidRPr="002B28C3" w:rsidRDefault="009F01D8" w:rsidP="009F01D8">
            <w:pPr>
              <w:rPr>
                <w:rFonts w:asciiTheme="majorBidi" w:hAnsiTheme="majorBidi" w:cstheme="majorBidi"/>
              </w:rPr>
            </w:pPr>
            <w:r w:rsidRPr="002B28C3">
              <w:rPr>
                <w:rFonts w:asciiTheme="majorBidi" w:hAnsiTheme="majorBidi" w:cstheme="majorBidi"/>
              </w:rPr>
              <w:t>955</w:t>
            </w:r>
          </w:p>
        </w:tc>
      </w:tr>
      <w:tr w:rsidR="009F01D8" w:rsidRPr="002B28C3" w14:paraId="045BED8A" w14:textId="77777777" w:rsidTr="009F01D8">
        <w:trPr>
          <w:trHeight w:val="279"/>
        </w:trPr>
        <w:tc>
          <w:tcPr>
            <w:tcW w:w="1129" w:type="dxa"/>
            <w:noWrap/>
            <w:hideMark/>
          </w:tcPr>
          <w:p w14:paraId="08425795" w14:textId="77777777" w:rsidR="009F01D8" w:rsidRPr="002B28C3" w:rsidRDefault="009F01D8" w:rsidP="009F01D8">
            <w:pPr>
              <w:rPr>
                <w:rFonts w:asciiTheme="majorBidi" w:hAnsiTheme="majorBidi" w:cstheme="majorBidi"/>
              </w:rPr>
            </w:pPr>
            <w:r w:rsidRPr="002B28C3">
              <w:rPr>
                <w:rFonts w:asciiTheme="majorBidi" w:hAnsiTheme="majorBidi" w:cstheme="majorBidi"/>
              </w:rPr>
              <w:t>7</w:t>
            </w:r>
          </w:p>
        </w:tc>
        <w:tc>
          <w:tcPr>
            <w:tcW w:w="6379" w:type="dxa"/>
            <w:noWrap/>
            <w:hideMark/>
          </w:tcPr>
          <w:p w14:paraId="7426A41A" w14:textId="77777777" w:rsidR="009F01D8" w:rsidRPr="002B28C3" w:rsidRDefault="009F01D8" w:rsidP="009F01D8">
            <w:pPr>
              <w:rPr>
                <w:rFonts w:asciiTheme="majorBidi" w:hAnsiTheme="majorBidi" w:cstheme="majorBidi"/>
              </w:rPr>
            </w:pPr>
            <w:r w:rsidRPr="002B28C3">
              <w:rPr>
                <w:rFonts w:asciiTheme="majorBidi" w:hAnsiTheme="majorBidi" w:cstheme="majorBidi"/>
              </w:rPr>
              <w:t>zavicefta.mp.</w:t>
            </w:r>
          </w:p>
        </w:tc>
        <w:tc>
          <w:tcPr>
            <w:tcW w:w="1508" w:type="dxa"/>
            <w:noWrap/>
            <w:hideMark/>
          </w:tcPr>
          <w:p w14:paraId="09726366"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r>
      <w:tr w:rsidR="009F01D8" w:rsidRPr="002B28C3" w14:paraId="111E8B36" w14:textId="77777777" w:rsidTr="009F01D8">
        <w:trPr>
          <w:trHeight w:val="279"/>
        </w:trPr>
        <w:tc>
          <w:tcPr>
            <w:tcW w:w="1129" w:type="dxa"/>
            <w:noWrap/>
            <w:hideMark/>
          </w:tcPr>
          <w:p w14:paraId="55B4846C"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c>
          <w:tcPr>
            <w:tcW w:w="6379" w:type="dxa"/>
            <w:noWrap/>
            <w:hideMark/>
          </w:tcPr>
          <w:p w14:paraId="09491368" w14:textId="77777777" w:rsidR="009F01D8" w:rsidRPr="002B28C3" w:rsidRDefault="009F01D8" w:rsidP="009F01D8">
            <w:pPr>
              <w:rPr>
                <w:rFonts w:asciiTheme="majorBidi" w:hAnsiTheme="majorBidi" w:cstheme="majorBidi"/>
              </w:rPr>
            </w:pPr>
            <w:r w:rsidRPr="002B28C3">
              <w:rPr>
                <w:rFonts w:asciiTheme="majorBidi" w:hAnsiTheme="majorBidi" w:cstheme="majorBidi"/>
              </w:rPr>
              <w:t>avycaz.mp.</w:t>
            </w:r>
          </w:p>
        </w:tc>
        <w:tc>
          <w:tcPr>
            <w:tcW w:w="1508" w:type="dxa"/>
            <w:noWrap/>
            <w:hideMark/>
          </w:tcPr>
          <w:p w14:paraId="537A2D09" w14:textId="77777777" w:rsidR="009F01D8" w:rsidRPr="002B28C3" w:rsidRDefault="009F01D8" w:rsidP="009F01D8">
            <w:pPr>
              <w:rPr>
                <w:rFonts w:asciiTheme="majorBidi" w:hAnsiTheme="majorBidi" w:cstheme="majorBidi"/>
              </w:rPr>
            </w:pPr>
            <w:r w:rsidRPr="002B28C3">
              <w:rPr>
                <w:rFonts w:asciiTheme="majorBidi" w:hAnsiTheme="majorBidi" w:cstheme="majorBidi"/>
              </w:rPr>
              <w:t>62</w:t>
            </w:r>
          </w:p>
        </w:tc>
      </w:tr>
      <w:tr w:rsidR="009F01D8" w:rsidRPr="002B28C3" w14:paraId="4699DD21" w14:textId="77777777" w:rsidTr="009F01D8">
        <w:trPr>
          <w:trHeight w:val="279"/>
        </w:trPr>
        <w:tc>
          <w:tcPr>
            <w:tcW w:w="1129" w:type="dxa"/>
            <w:noWrap/>
            <w:hideMark/>
          </w:tcPr>
          <w:p w14:paraId="5BCF6165" w14:textId="77777777" w:rsidR="009F01D8" w:rsidRPr="002B28C3" w:rsidRDefault="009F01D8" w:rsidP="009F01D8">
            <w:pPr>
              <w:rPr>
                <w:rFonts w:asciiTheme="majorBidi" w:hAnsiTheme="majorBidi" w:cstheme="majorBidi"/>
              </w:rPr>
            </w:pPr>
            <w:r w:rsidRPr="002B28C3">
              <w:rPr>
                <w:rFonts w:asciiTheme="majorBidi" w:hAnsiTheme="majorBidi" w:cstheme="majorBidi"/>
              </w:rPr>
              <w:t>9</w:t>
            </w:r>
          </w:p>
        </w:tc>
        <w:tc>
          <w:tcPr>
            <w:tcW w:w="6379" w:type="dxa"/>
            <w:noWrap/>
            <w:hideMark/>
          </w:tcPr>
          <w:p w14:paraId="3DD8442C" w14:textId="77777777" w:rsidR="009F01D8" w:rsidRPr="00454CF5" w:rsidRDefault="009F01D8" w:rsidP="009F01D8">
            <w:pPr>
              <w:rPr>
                <w:rFonts w:asciiTheme="majorBidi" w:hAnsiTheme="majorBidi" w:cstheme="majorBidi"/>
                <w:lang w:val="fr-FR"/>
              </w:rPr>
            </w:pPr>
            <w:r w:rsidRPr="00454CF5">
              <w:rPr>
                <w:rFonts w:asciiTheme="majorBidi" w:hAnsiTheme="majorBidi" w:cstheme="majorBidi"/>
                <w:lang w:val="fr-FR"/>
              </w:rPr>
              <w:t>(</w:t>
            </w:r>
            <w:proofErr w:type="spellStart"/>
            <w:proofErr w:type="gramStart"/>
            <w:r w:rsidRPr="00454CF5">
              <w:rPr>
                <w:rFonts w:asciiTheme="majorBidi" w:hAnsiTheme="majorBidi" w:cstheme="majorBidi"/>
                <w:lang w:val="fr-FR"/>
              </w:rPr>
              <w:t>ctz</w:t>
            </w:r>
            <w:proofErr w:type="gramEnd"/>
            <w:r w:rsidRPr="00454CF5">
              <w:rPr>
                <w:rFonts w:asciiTheme="majorBidi" w:hAnsiTheme="majorBidi" w:cstheme="majorBidi"/>
                <w:lang w:val="fr-FR"/>
              </w:rPr>
              <w:t>-avi</w:t>
            </w:r>
            <w:proofErr w:type="spellEnd"/>
            <w:r w:rsidRPr="00454CF5">
              <w:rPr>
                <w:rFonts w:asciiTheme="majorBidi" w:hAnsiTheme="majorBidi" w:cstheme="majorBidi"/>
                <w:lang w:val="fr-FR"/>
              </w:rPr>
              <w:t xml:space="preserve"> or </w:t>
            </w:r>
            <w:proofErr w:type="spellStart"/>
            <w:r w:rsidRPr="00454CF5">
              <w:rPr>
                <w:rFonts w:asciiTheme="majorBidi" w:hAnsiTheme="majorBidi" w:cstheme="majorBidi"/>
                <w:lang w:val="fr-FR"/>
              </w:rPr>
              <w:t>caz-avi</w:t>
            </w:r>
            <w:proofErr w:type="spellEnd"/>
            <w:r w:rsidRPr="00454CF5">
              <w:rPr>
                <w:rFonts w:asciiTheme="majorBidi" w:hAnsiTheme="majorBidi" w:cstheme="majorBidi"/>
                <w:lang w:val="fr-FR"/>
              </w:rPr>
              <w:t>).</w:t>
            </w:r>
            <w:proofErr w:type="spellStart"/>
            <w:r w:rsidRPr="00454CF5">
              <w:rPr>
                <w:rFonts w:asciiTheme="majorBidi" w:hAnsiTheme="majorBidi" w:cstheme="majorBidi"/>
                <w:lang w:val="fr-FR"/>
              </w:rPr>
              <w:t>mp</w:t>
            </w:r>
            <w:proofErr w:type="spellEnd"/>
            <w:r w:rsidRPr="00454CF5">
              <w:rPr>
                <w:rFonts w:asciiTheme="majorBidi" w:hAnsiTheme="majorBidi" w:cstheme="majorBidi"/>
                <w:lang w:val="fr-FR"/>
              </w:rPr>
              <w:t>.</w:t>
            </w:r>
          </w:p>
        </w:tc>
        <w:tc>
          <w:tcPr>
            <w:tcW w:w="1508" w:type="dxa"/>
            <w:noWrap/>
            <w:hideMark/>
          </w:tcPr>
          <w:p w14:paraId="2CBC15B7" w14:textId="77777777" w:rsidR="009F01D8" w:rsidRPr="002B28C3" w:rsidRDefault="009F01D8" w:rsidP="009F01D8">
            <w:pPr>
              <w:rPr>
                <w:rFonts w:asciiTheme="majorBidi" w:hAnsiTheme="majorBidi" w:cstheme="majorBidi"/>
              </w:rPr>
            </w:pPr>
            <w:r w:rsidRPr="002B28C3">
              <w:rPr>
                <w:rFonts w:asciiTheme="majorBidi" w:hAnsiTheme="majorBidi" w:cstheme="majorBidi"/>
              </w:rPr>
              <w:t>156</w:t>
            </w:r>
          </w:p>
        </w:tc>
      </w:tr>
      <w:tr w:rsidR="009F01D8" w:rsidRPr="002B28C3" w14:paraId="6DD9BC75" w14:textId="77777777" w:rsidTr="009F01D8">
        <w:trPr>
          <w:trHeight w:val="279"/>
        </w:trPr>
        <w:tc>
          <w:tcPr>
            <w:tcW w:w="1129" w:type="dxa"/>
            <w:noWrap/>
            <w:hideMark/>
          </w:tcPr>
          <w:p w14:paraId="17C5180D" w14:textId="77777777" w:rsidR="009F01D8" w:rsidRPr="002B28C3" w:rsidRDefault="009F01D8" w:rsidP="009F01D8">
            <w:pPr>
              <w:rPr>
                <w:rFonts w:asciiTheme="majorBidi" w:hAnsiTheme="majorBidi" w:cstheme="majorBidi"/>
              </w:rPr>
            </w:pPr>
            <w:r w:rsidRPr="002B28C3">
              <w:rPr>
                <w:rFonts w:asciiTheme="majorBidi" w:hAnsiTheme="majorBidi" w:cstheme="majorBidi"/>
              </w:rPr>
              <w:t>10</w:t>
            </w:r>
          </w:p>
        </w:tc>
        <w:tc>
          <w:tcPr>
            <w:tcW w:w="6379" w:type="dxa"/>
            <w:noWrap/>
            <w:hideMark/>
          </w:tcPr>
          <w:p w14:paraId="7F38751F" w14:textId="77777777" w:rsidR="009F01D8" w:rsidRPr="002B28C3" w:rsidRDefault="009F01D8" w:rsidP="009F01D8">
            <w:pPr>
              <w:rPr>
                <w:rFonts w:asciiTheme="majorBidi" w:hAnsiTheme="majorBidi" w:cstheme="majorBidi"/>
              </w:rPr>
            </w:pPr>
            <w:r w:rsidRPr="002B28C3">
              <w:rPr>
                <w:rFonts w:asciiTheme="majorBidi" w:hAnsiTheme="majorBidi" w:cstheme="majorBidi"/>
              </w:rPr>
              <w:t>or/5-9</w:t>
            </w:r>
          </w:p>
        </w:tc>
        <w:tc>
          <w:tcPr>
            <w:tcW w:w="1508" w:type="dxa"/>
            <w:noWrap/>
            <w:hideMark/>
          </w:tcPr>
          <w:p w14:paraId="33F234A0" w14:textId="77777777" w:rsidR="009F01D8" w:rsidRPr="002B28C3" w:rsidRDefault="009F01D8" w:rsidP="009F01D8">
            <w:pPr>
              <w:rPr>
                <w:rFonts w:asciiTheme="majorBidi" w:hAnsiTheme="majorBidi" w:cstheme="majorBidi"/>
              </w:rPr>
            </w:pPr>
            <w:r w:rsidRPr="002B28C3">
              <w:rPr>
                <w:rFonts w:asciiTheme="majorBidi" w:hAnsiTheme="majorBidi" w:cstheme="majorBidi"/>
              </w:rPr>
              <w:t>1618</w:t>
            </w:r>
          </w:p>
        </w:tc>
      </w:tr>
      <w:tr w:rsidR="009F01D8" w:rsidRPr="002B28C3" w14:paraId="74B72E45" w14:textId="77777777" w:rsidTr="009F01D8">
        <w:trPr>
          <w:trHeight w:val="279"/>
        </w:trPr>
        <w:tc>
          <w:tcPr>
            <w:tcW w:w="1129" w:type="dxa"/>
            <w:noWrap/>
            <w:hideMark/>
          </w:tcPr>
          <w:p w14:paraId="551FC8A4" w14:textId="77777777" w:rsidR="009F01D8" w:rsidRPr="002B28C3" w:rsidRDefault="009F01D8" w:rsidP="009F01D8">
            <w:pPr>
              <w:rPr>
                <w:rFonts w:asciiTheme="majorBidi" w:hAnsiTheme="majorBidi" w:cstheme="majorBidi"/>
              </w:rPr>
            </w:pPr>
            <w:r w:rsidRPr="002B28C3">
              <w:rPr>
                <w:rFonts w:asciiTheme="majorBidi" w:hAnsiTheme="majorBidi" w:cstheme="majorBidi"/>
              </w:rPr>
              <w:t>11</w:t>
            </w:r>
          </w:p>
        </w:tc>
        <w:tc>
          <w:tcPr>
            <w:tcW w:w="6379" w:type="dxa"/>
            <w:noWrap/>
            <w:hideMark/>
          </w:tcPr>
          <w:p w14:paraId="3F612A6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cost</w:t>
            </w:r>
            <w:proofErr w:type="gramEnd"/>
            <w:r w:rsidRPr="002B28C3">
              <w:rPr>
                <w:rFonts w:asciiTheme="majorBidi" w:hAnsiTheme="majorBidi" w:cstheme="majorBidi"/>
              </w:rPr>
              <w:t xml:space="preserve"> benefit analysis"/</w:t>
            </w:r>
          </w:p>
        </w:tc>
        <w:tc>
          <w:tcPr>
            <w:tcW w:w="1508" w:type="dxa"/>
            <w:noWrap/>
            <w:hideMark/>
          </w:tcPr>
          <w:p w14:paraId="0DA45756" w14:textId="77777777" w:rsidR="009F01D8" w:rsidRPr="002B28C3" w:rsidRDefault="009F01D8" w:rsidP="009F01D8">
            <w:pPr>
              <w:rPr>
                <w:rFonts w:asciiTheme="majorBidi" w:hAnsiTheme="majorBidi" w:cstheme="majorBidi"/>
              </w:rPr>
            </w:pPr>
            <w:r w:rsidRPr="002B28C3">
              <w:rPr>
                <w:rFonts w:asciiTheme="majorBidi" w:hAnsiTheme="majorBidi" w:cstheme="majorBidi"/>
              </w:rPr>
              <w:t>87111</w:t>
            </w:r>
          </w:p>
        </w:tc>
      </w:tr>
      <w:tr w:rsidR="009F01D8" w:rsidRPr="002B28C3" w14:paraId="40FE3AF1" w14:textId="77777777" w:rsidTr="009F01D8">
        <w:trPr>
          <w:trHeight w:val="279"/>
        </w:trPr>
        <w:tc>
          <w:tcPr>
            <w:tcW w:w="1129" w:type="dxa"/>
            <w:noWrap/>
            <w:hideMark/>
          </w:tcPr>
          <w:p w14:paraId="3276F777" w14:textId="77777777" w:rsidR="009F01D8" w:rsidRPr="002B28C3" w:rsidRDefault="009F01D8" w:rsidP="009F01D8">
            <w:pPr>
              <w:rPr>
                <w:rFonts w:asciiTheme="majorBidi" w:hAnsiTheme="majorBidi" w:cstheme="majorBidi"/>
              </w:rPr>
            </w:pPr>
            <w:r w:rsidRPr="002B28C3">
              <w:rPr>
                <w:rFonts w:asciiTheme="majorBidi" w:hAnsiTheme="majorBidi" w:cstheme="majorBidi"/>
              </w:rPr>
              <w:t>12</w:t>
            </w:r>
          </w:p>
        </w:tc>
        <w:tc>
          <w:tcPr>
            <w:tcW w:w="6379" w:type="dxa"/>
            <w:noWrap/>
            <w:hideMark/>
          </w:tcPr>
          <w:p w14:paraId="19006760"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cost</w:t>
            </w:r>
            <w:proofErr w:type="gramEnd"/>
            <w:r w:rsidRPr="002B28C3">
              <w:rPr>
                <w:rFonts w:asciiTheme="majorBidi" w:hAnsiTheme="majorBidi" w:cstheme="majorBidi"/>
              </w:rPr>
              <w:t xml:space="preserve"> effectiveness analysis"/</w:t>
            </w:r>
          </w:p>
        </w:tc>
        <w:tc>
          <w:tcPr>
            <w:tcW w:w="1508" w:type="dxa"/>
            <w:noWrap/>
            <w:hideMark/>
          </w:tcPr>
          <w:p w14:paraId="3F8A8ADE" w14:textId="77777777" w:rsidR="009F01D8" w:rsidRPr="002B28C3" w:rsidRDefault="009F01D8" w:rsidP="009F01D8">
            <w:pPr>
              <w:rPr>
                <w:rFonts w:asciiTheme="majorBidi" w:hAnsiTheme="majorBidi" w:cstheme="majorBidi"/>
              </w:rPr>
            </w:pPr>
            <w:r w:rsidRPr="002B28C3">
              <w:rPr>
                <w:rFonts w:asciiTheme="majorBidi" w:hAnsiTheme="majorBidi" w:cstheme="majorBidi"/>
              </w:rPr>
              <w:t>158540</w:t>
            </w:r>
          </w:p>
        </w:tc>
      </w:tr>
      <w:tr w:rsidR="009F01D8" w:rsidRPr="002B28C3" w14:paraId="177DDE51" w14:textId="77777777" w:rsidTr="009F01D8">
        <w:trPr>
          <w:trHeight w:val="279"/>
        </w:trPr>
        <w:tc>
          <w:tcPr>
            <w:tcW w:w="1129" w:type="dxa"/>
            <w:noWrap/>
            <w:hideMark/>
          </w:tcPr>
          <w:p w14:paraId="742816A6" w14:textId="77777777" w:rsidR="009F01D8" w:rsidRPr="002B28C3" w:rsidRDefault="009F01D8" w:rsidP="009F01D8">
            <w:pPr>
              <w:rPr>
                <w:rFonts w:asciiTheme="majorBidi" w:hAnsiTheme="majorBidi" w:cstheme="majorBidi"/>
              </w:rPr>
            </w:pPr>
            <w:r w:rsidRPr="002B28C3">
              <w:rPr>
                <w:rFonts w:asciiTheme="majorBidi" w:hAnsiTheme="majorBidi" w:cstheme="majorBidi"/>
              </w:rPr>
              <w:t>13</w:t>
            </w:r>
          </w:p>
        </w:tc>
        <w:tc>
          <w:tcPr>
            <w:tcW w:w="6379" w:type="dxa"/>
            <w:noWrap/>
            <w:hideMark/>
          </w:tcPr>
          <w:p w14:paraId="40F9DC1C" w14:textId="77777777" w:rsidR="009F01D8" w:rsidRPr="002B28C3" w:rsidRDefault="009F01D8" w:rsidP="009F01D8">
            <w:pPr>
              <w:rPr>
                <w:rFonts w:asciiTheme="majorBidi" w:hAnsiTheme="majorBidi" w:cstheme="majorBidi"/>
              </w:rPr>
            </w:pPr>
            <w:r w:rsidRPr="002B28C3">
              <w:rPr>
                <w:rFonts w:asciiTheme="majorBidi" w:hAnsiTheme="majorBidi" w:cstheme="majorBidi"/>
              </w:rPr>
              <w:t>economics/</w:t>
            </w:r>
          </w:p>
        </w:tc>
        <w:tc>
          <w:tcPr>
            <w:tcW w:w="1508" w:type="dxa"/>
            <w:noWrap/>
            <w:hideMark/>
          </w:tcPr>
          <w:p w14:paraId="4C7DF71C" w14:textId="77777777" w:rsidR="009F01D8" w:rsidRPr="002B28C3" w:rsidRDefault="009F01D8" w:rsidP="009F01D8">
            <w:pPr>
              <w:rPr>
                <w:rFonts w:asciiTheme="majorBidi" w:hAnsiTheme="majorBidi" w:cstheme="majorBidi"/>
              </w:rPr>
            </w:pPr>
            <w:r w:rsidRPr="002B28C3">
              <w:rPr>
                <w:rFonts w:asciiTheme="majorBidi" w:hAnsiTheme="majorBidi" w:cstheme="majorBidi"/>
              </w:rPr>
              <w:t>241957</w:t>
            </w:r>
          </w:p>
        </w:tc>
      </w:tr>
      <w:tr w:rsidR="009F01D8" w:rsidRPr="002B28C3" w14:paraId="205BA0E8" w14:textId="77777777" w:rsidTr="009F01D8">
        <w:trPr>
          <w:trHeight w:val="279"/>
        </w:trPr>
        <w:tc>
          <w:tcPr>
            <w:tcW w:w="1129" w:type="dxa"/>
            <w:noWrap/>
            <w:hideMark/>
          </w:tcPr>
          <w:p w14:paraId="52C6878A" w14:textId="77777777" w:rsidR="009F01D8" w:rsidRPr="002B28C3" w:rsidRDefault="009F01D8" w:rsidP="009F01D8">
            <w:pPr>
              <w:rPr>
                <w:rFonts w:asciiTheme="majorBidi" w:hAnsiTheme="majorBidi" w:cstheme="majorBidi"/>
              </w:rPr>
            </w:pPr>
            <w:r w:rsidRPr="002B28C3">
              <w:rPr>
                <w:rFonts w:asciiTheme="majorBidi" w:hAnsiTheme="majorBidi" w:cstheme="majorBidi"/>
              </w:rPr>
              <w:t>14</w:t>
            </w:r>
          </w:p>
        </w:tc>
        <w:tc>
          <w:tcPr>
            <w:tcW w:w="6379" w:type="dxa"/>
            <w:noWrap/>
            <w:hideMark/>
          </w:tcPr>
          <w:p w14:paraId="254AA93A" w14:textId="77777777" w:rsidR="009F01D8" w:rsidRPr="002B28C3" w:rsidRDefault="009F01D8" w:rsidP="009F01D8">
            <w:pPr>
              <w:rPr>
                <w:rFonts w:asciiTheme="majorBidi" w:hAnsiTheme="majorBidi" w:cstheme="majorBidi"/>
              </w:rPr>
            </w:pPr>
            <w:r w:rsidRPr="002B28C3">
              <w:rPr>
                <w:rFonts w:asciiTheme="majorBidi" w:hAnsiTheme="majorBidi" w:cstheme="majorBidi"/>
              </w:rPr>
              <w:t>health economics/</w:t>
            </w:r>
          </w:p>
        </w:tc>
        <w:tc>
          <w:tcPr>
            <w:tcW w:w="1508" w:type="dxa"/>
            <w:noWrap/>
            <w:hideMark/>
          </w:tcPr>
          <w:p w14:paraId="3C4AE5B8" w14:textId="77777777" w:rsidR="009F01D8" w:rsidRPr="002B28C3" w:rsidRDefault="009F01D8" w:rsidP="009F01D8">
            <w:pPr>
              <w:rPr>
                <w:rFonts w:asciiTheme="majorBidi" w:hAnsiTheme="majorBidi" w:cstheme="majorBidi"/>
              </w:rPr>
            </w:pPr>
            <w:r w:rsidRPr="002B28C3">
              <w:rPr>
                <w:rFonts w:asciiTheme="majorBidi" w:hAnsiTheme="majorBidi" w:cstheme="majorBidi"/>
              </w:rPr>
              <w:t>33700</w:t>
            </w:r>
          </w:p>
        </w:tc>
      </w:tr>
      <w:tr w:rsidR="009F01D8" w:rsidRPr="002B28C3" w14:paraId="79F5A082" w14:textId="77777777" w:rsidTr="009F01D8">
        <w:trPr>
          <w:trHeight w:val="279"/>
        </w:trPr>
        <w:tc>
          <w:tcPr>
            <w:tcW w:w="1129" w:type="dxa"/>
            <w:noWrap/>
            <w:hideMark/>
          </w:tcPr>
          <w:p w14:paraId="7638AEAF" w14:textId="77777777" w:rsidR="009F01D8" w:rsidRPr="002B28C3" w:rsidRDefault="009F01D8" w:rsidP="009F01D8">
            <w:pPr>
              <w:rPr>
                <w:rFonts w:asciiTheme="majorBidi" w:hAnsiTheme="majorBidi" w:cstheme="majorBidi"/>
              </w:rPr>
            </w:pPr>
            <w:r w:rsidRPr="002B28C3">
              <w:rPr>
                <w:rFonts w:asciiTheme="majorBidi" w:hAnsiTheme="majorBidi" w:cstheme="majorBidi"/>
              </w:rPr>
              <w:t>15</w:t>
            </w:r>
          </w:p>
        </w:tc>
        <w:tc>
          <w:tcPr>
            <w:tcW w:w="6379" w:type="dxa"/>
            <w:noWrap/>
            <w:hideMark/>
          </w:tcPr>
          <w:p w14:paraId="77925792"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pharmacoeconomics</w:t>
            </w:r>
            <w:proofErr w:type="spellEnd"/>
            <w:r w:rsidRPr="002B28C3">
              <w:rPr>
                <w:rFonts w:asciiTheme="majorBidi" w:hAnsiTheme="majorBidi" w:cstheme="majorBidi"/>
              </w:rPr>
              <w:t>/</w:t>
            </w:r>
          </w:p>
        </w:tc>
        <w:tc>
          <w:tcPr>
            <w:tcW w:w="1508" w:type="dxa"/>
            <w:noWrap/>
            <w:hideMark/>
          </w:tcPr>
          <w:p w14:paraId="443680BD" w14:textId="77777777" w:rsidR="009F01D8" w:rsidRPr="002B28C3" w:rsidRDefault="009F01D8" w:rsidP="009F01D8">
            <w:pPr>
              <w:rPr>
                <w:rFonts w:asciiTheme="majorBidi" w:hAnsiTheme="majorBidi" w:cstheme="majorBidi"/>
              </w:rPr>
            </w:pPr>
            <w:r w:rsidRPr="002B28C3">
              <w:rPr>
                <w:rFonts w:asciiTheme="majorBidi" w:hAnsiTheme="majorBidi" w:cstheme="majorBidi"/>
              </w:rPr>
              <w:t>7505</w:t>
            </w:r>
          </w:p>
        </w:tc>
      </w:tr>
      <w:tr w:rsidR="009F01D8" w:rsidRPr="002B28C3" w14:paraId="1253DBF1" w14:textId="77777777" w:rsidTr="009F01D8">
        <w:trPr>
          <w:trHeight w:val="279"/>
        </w:trPr>
        <w:tc>
          <w:tcPr>
            <w:tcW w:w="1129" w:type="dxa"/>
            <w:noWrap/>
            <w:hideMark/>
          </w:tcPr>
          <w:p w14:paraId="5F1B90DD" w14:textId="77777777" w:rsidR="009F01D8" w:rsidRPr="002B28C3" w:rsidRDefault="009F01D8" w:rsidP="009F01D8">
            <w:pPr>
              <w:rPr>
                <w:rFonts w:asciiTheme="majorBidi" w:hAnsiTheme="majorBidi" w:cstheme="majorBidi"/>
              </w:rPr>
            </w:pPr>
            <w:r w:rsidRPr="002B28C3">
              <w:rPr>
                <w:rFonts w:asciiTheme="majorBidi" w:hAnsiTheme="majorBidi" w:cstheme="majorBidi"/>
              </w:rPr>
              <w:t>16</w:t>
            </w:r>
          </w:p>
        </w:tc>
        <w:tc>
          <w:tcPr>
            <w:tcW w:w="6379" w:type="dxa"/>
            <w:noWrap/>
            <w:hideMark/>
          </w:tcPr>
          <w:p w14:paraId="3F914F05" w14:textId="77777777" w:rsidR="009F01D8" w:rsidRPr="002B28C3" w:rsidRDefault="009F01D8" w:rsidP="009F01D8">
            <w:pPr>
              <w:rPr>
                <w:rFonts w:asciiTheme="majorBidi" w:hAnsiTheme="majorBidi" w:cstheme="majorBidi"/>
              </w:rPr>
            </w:pPr>
            <w:r w:rsidRPr="002B28C3">
              <w:rPr>
                <w:rFonts w:asciiTheme="majorBidi" w:hAnsiTheme="majorBidi" w:cstheme="majorBidi"/>
              </w:rPr>
              <w:t>fee/</w:t>
            </w:r>
          </w:p>
        </w:tc>
        <w:tc>
          <w:tcPr>
            <w:tcW w:w="1508" w:type="dxa"/>
            <w:noWrap/>
            <w:hideMark/>
          </w:tcPr>
          <w:p w14:paraId="44913966" w14:textId="77777777" w:rsidR="009F01D8" w:rsidRPr="002B28C3" w:rsidRDefault="009F01D8" w:rsidP="009F01D8">
            <w:pPr>
              <w:rPr>
                <w:rFonts w:asciiTheme="majorBidi" w:hAnsiTheme="majorBidi" w:cstheme="majorBidi"/>
              </w:rPr>
            </w:pPr>
            <w:r w:rsidRPr="002B28C3">
              <w:rPr>
                <w:rFonts w:asciiTheme="majorBidi" w:hAnsiTheme="majorBidi" w:cstheme="majorBidi"/>
              </w:rPr>
              <w:t>14329</w:t>
            </w:r>
          </w:p>
        </w:tc>
      </w:tr>
      <w:tr w:rsidR="009F01D8" w:rsidRPr="002B28C3" w14:paraId="1FB221BC" w14:textId="77777777" w:rsidTr="009F01D8">
        <w:trPr>
          <w:trHeight w:val="279"/>
        </w:trPr>
        <w:tc>
          <w:tcPr>
            <w:tcW w:w="1129" w:type="dxa"/>
            <w:noWrap/>
            <w:hideMark/>
          </w:tcPr>
          <w:p w14:paraId="362976E1"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c>
          <w:tcPr>
            <w:tcW w:w="6379" w:type="dxa"/>
            <w:noWrap/>
            <w:hideMark/>
          </w:tcPr>
          <w:p w14:paraId="6FC276C5" w14:textId="77777777" w:rsidR="009F01D8" w:rsidRPr="002B28C3" w:rsidRDefault="009F01D8" w:rsidP="009F01D8">
            <w:pPr>
              <w:rPr>
                <w:rFonts w:asciiTheme="majorBidi" w:hAnsiTheme="majorBidi" w:cstheme="majorBidi"/>
              </w:rPr>
            </w:pPr>
            <w:r w:rsidRPr="002B28C3">
              <w:rPr>
                <w:rFonts w:asciiTheme="majorBidi" w:hAnsiTheme="majorBidi" w:cstheme="majorBidi"/>
              </w:rPr>
              <w:t>budget/</w:t>
            </w:r>
          </w:p>
        </w:tc>
        <w:tc>
          <w:tcPr>
            <w:tcW w:w="1508" w:type="dxa"/>
            <w:noWrap/>
            <w:hideMark/>
          </w:tcPr>
          <w:p w14:paraId="12534606" w14:textId="77777777" w:rsidR="009F01D8" w:rsidRPr="002B28C3" w:rsidRDefault="009F01D8" w:rsidP="009F01D8">
            <w:pPr>
              <w:rPr>
                <w:rFonts w:asciiTheme="majorBidi" w:hAnsiTheme="majorBidi" w:cstheme="majorBidi"/>
              </w:rPr>
            </w:pPr>
            <w:r w:rsidRPr="002B28C3">
              <w:rPr>
                <w:rFonts w:asciiTheme="majorBidi" w:hAnsiTheme="majorBidi" w:cstheme="majorBidi"/>
              </w:rPr>
              <w:t>30564</w:t>
            </w:r>
          </w:p>
        </w:tc>
      </w:tr>
      <w:tr w:rsidR="009F01D8" w:rsidRPr="002B28C3" w14:paraId="2D65EB44" w14:textId="77777777" w:rsidTr="009F01D8">
        <w:trPr>
          <w:trHeight w:val="279"/>
        </w:trPr>
        <w:tc>
          <w:tcPr>
            <w:tcW w:w="1129" w:type="dxa"/>
            <w:noWrap/>
            <w:hideMark/>
          </w:tcPr>
          <w:p w14:paraId="0FC4DCB3"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c>
          <w:tcPr>
            <w:tcW w:w="6379" w:type="dxa"/>
            <w:noWrap/>
            <w:hideMark/>
          </w:tcPr>
          <w:p w14:paraId="0E5389BC" w14:textId="77777777" w:rsidR="009F01D8" w:rsidRPr="002B28C3" w:rsidRDefault="009F01D8" w:rsidP="009F01D8">
            <w:pPr>
              <w:rPr>
                <w:rFonts w:asciiTheme="majorBidi" w:hAnsiTheme="majorBidi" w:cstheme="majorBidi"/>
              </w:rPr>
            </w:pPr>
            <w:r w:rsidRPr="002B28C3">
              <w:rPr>
                <w:rFonts w:asciiTheme="majorBidi" w:hAnsiTheme="majorBidi" w:cstheme="majorBidi"/>
              </w:rPr>
              <w:t>budget$.tw.</w:t>
            </w:r>
          </w:p>
        </w:tc>
        <w:tc>
          <w:tcPr>
            <w:tcW w:w="1508" w:type="dxa"/>
            <w:noWrap/>
            <w:hideMark/>
          </w:tcPr>
          <w:p w14:paraId="35D7A872" w14:textId="77777777" w:rsidR="009F01D8" w:rsidRPr="002B28C3" w:rsidRDefault="009F01D8" w:rsidP="009F01D8">
            <w:pPr>
              <w:rPr>
                <w:rFonts w:asciiTheme="majorBidi" w:hAnsiTheme="majorBidi" w:cstheme="majorBidi"/>
              </w:rPr>
            </w:pPr>
            <w:r w:rsidRPr="002B28C3">
              <w:rPr>
                <w:rFonts w:asciiTheme="majorBidi" w:hAnsiTheme="majorBidi" w:cstheme="majorBidi"/>
              </w:rPr>
              <w:t>40639</w:t>
            </w:r>
          </w:p>
        </w:tc>
      </w:tr>
      <w:tr w:rsidR="009F01D8" w:rsidRPr="002B28C3" w14:paraId="3327B6BA" w14:textId="77777777" w:rsidTr="009F01D8">
        <w:trPr>
          <w:trHeight w:val="279"/>
        </w:trPr>
        <w:tc>
          <w:tcPr>
            <w:tcW w:w="1129" w:type="dxa"/>
            <w:noWrap/>
            <w:hideMark/>
          </w:tcPr>
          <w:p w14:paraId="39FF5EFA" w14:textId="77777777" w:rsidR="009F01D8" w:rsidRPr="002B28C3" w:rsidRDefault="009F01D8" w:rsidP="009F01D8">
            <w:pPr>
              <w:rPr>
                <w:rFonts w:asciiTheme="majorBidi" w:hAnsiTheme="majorBidi" w:cstheme="majorBidi"/>
              </w:rPr>
            </w:pPr>
            <w:r w:rsidRPr="002B28C3">
              <w:rPr>
                <w:rFonts w:asciiTheme="majorBidi" w:hAnsiTheme="majorBidi" w:cstheme="majorBidi"/>
              </w:rPr>
              <w:t>19</w:t>
            </w:r>
          </w:p>
        </w:tc>
        <w:tc>
          <w:tcPr>
            <w:tcW w:w="6379" w:type="dxa"/>
            <w:noWrap/>
            <w:hideMark/>
          </w:tcPr>
          <w:p w14:paraId="14EB7D68" w14:textId="77777777" w:rsidR="009F01D8" w:rsidRPr="002B28C3" w:rsidRDefault="009F01D8" w:rsidP="009F01D8">
            <w:pPr>
              <w:rPr>
                <w:rFonts w:asciiTheme="majorBidi" w:hAnsiTheme="majorBidi" w:cstheme="majorBidi"/>
              </w:rPr>
            </w:pPr>
            <w:r w:rsidRPr="002B28C3">
              <w:rPr>
                <w:rFonts w:asciiTheme="majorBidi" w:hAnsiTheme="majorBidi" w:cstheme="majorBidi"/>
              </w:rPr>
              <w:t>cost$.</w:t>
            </w:r>
            <w:proofErr w:type="spellStart"/>
            <w:r w:rsidRPr="002B28C3">
              <w:rPr>
                <w:rFonts w:asciiTheme="majorBidi" w:hAnsiTheme="majorBidi" w:cstheme="majorBidi"/>
              </w:rPr>
              <w:t>ti</w:t>
            </w:r>
            <w:proofErr w:type="spellEnd"/>
            <w:r w:rsidRPr="002B28C3">
              <w:rPr>
                <w:rFonts w:asciiTheme="majorBidi" w:hAnsiTheme="majorBidi" w:cstheme="majorBidi"/>
              </w:rPr>
              <w:t>.</w:t>
            </w:r>
          </w:p>
        </w:tc>
        <w:tc>
          <w:tcPr>
            <w:tcW w:w="1508" w:type="dxa"/>
            <w:noWrap/>
            <w:hideMark/>
          </w:tcPr>
          <w:p w14:paraId="2936B76E" w14:textId="77777777" w:rsidR="009F01D8" w:rsidRPr="002B28C3" w:rsidRDefault="009F01D8" w:rsidP="009F01D8">
            <w:pPr>
              <w:rPr>
                <w:rFonts w:asciiTheme="majorBidi" w:hAnsiTheme="majorBidi" w:cstheme="majorBidi"/>
              </w:rPr>
            </w:pPr>
            <w:r w:rsidRPr="002B28C3">
              <w:rPr>
                <w:rFonts w:asciiTheme="majorBidi" w:hAnsiTheme="majorBidi" w:cstheme="majorBidi"/>
              </w:rPr>
              <w:t>168111</w:t>
            </w:r>
          </w:p>
        </w:tc>
      </w:tr>
      <w:tr w:rsidR="009F01D8" w:rsidRPr="002B28C3" w14:paraId="1E537CA7" w14:textId="77777777" w:rsidTr="009F01D8">
        <w:trPr>
          <w:trHeight w:val="279"/>
        </w:trPr>
        <w:tc>
          <w:tcPr>
            <w:tcW w:w="1129" w:type="dxa"/>
            <w:noWrap/>
            <w:hideMark/>
          </w:tcPr>
          <w:p w14:paraId="1599C727" w14:textId="77777777" w:rsidR="009F01D8" w:rsidRPr="002B28C3" w:rsidRDefault="009F01D8" w:rsidP="009F01D8">
            <w:pPr>
              <w:rPr>
                <w:rFonts w:asciiTheme="majorBidi" w:hAnsiTheme="majorBidi" w:cstheme="majorBidi"/>
              </w:rPr>
            </w:pPr>
            <w:r w:rsidRPr="002B28C3">
              <w:rPr>
                <w:rFonts w:asciiTheme="majorBidi" w:hAnsiTheme="majorBidi" w:cstheme="majorBidi"/>
              </w:rPr>
              <w:t>20</w:t>
            </w:r>
          </w:p>
        </w:tc>
        <w:tc>
          <w:tcPr>
            <w:tcW w:w="6379" w:type="dxa"/>
            <w:noWrap/>
            <w:hideMark/>
          </w:tcPr>
          <w:p w14:paraId="4779E4E1"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(cost$ adj2 (effective$ or </w:t>
            </w:r>
            <w:proofErr w:type="spellStart"/>
            <w:r w:rsidRPr="002B28C3">
              <w:rPr>
                <w:rFonts w:asciiTheme="majorBidi" w:hAnsiTheme="majorBidi" w:cstheme="majorBidi"/>
              </w:rPr>
              <w:t>utilit</w:t>
            </w:r>
            <w:proofErr w:type="spellEnd"/>
            <w:r w:rsidRPr="002B28C3">
              <w:rPr>
                <w:rFonts w:asciiTheme="majorBidi" w:hAnsiTheme="majorBidi" w:cstheme="majorBidi"/>
              </w:rPr>
              <w:t xml:space="preserve">$ or benefit$ or </w:t>
            </w:r>
            <w:proofErr w:type="spellStart"/>
            <w:r w:rsidRPr="002B28C3">
              <w:rPr>
                <w:rFonts w:asciiTheme="majorBidi" w:hAnsiTheme="majorBidi" w:cstheme="majorBidi"/>
              </w:rPr>
              <w:t>minimi</w:t>
            </w:r>
            <w:proofErr w:type="spellEnd"/>
            <w:r w:rsidRPr="002B28C3">
              <w:rPr>
                <w:rFonts w:asciiTheme="majorBidi" w:hAnsiTheme="majorBidi" w:cstheme="majorBidi"/>
              </w:rPr>
              <w:t>$)</w:t>
            </w:r>
            <w:proofErr w:type="gramStart"/>
            <w:r w:rsidRPr="002B28C3">
              <w:rPr>
                <w:rFonts w:asciiTheme="majorBidi" w:hAnsiTheme="majorBidi" w:cstheme="majorBidi"/>
              </w:rPr>
              <w:t>).ab.</w:t>
            </w:r>
            <w:proofErr w:type="gramEnd"/>
          </w:p>
        </w:tc>
        <w:tc>
          <w:tcPr>
            <w:tcW w:w="1508" w:type="dxa"/>
            <w:noWrap/>
            <w:hideMark/>
          </w:tcPr>
          <w:p w14:paraId="2A4E710B" w14:textId="77777777" w:rsidR="009F01D8" w:rsidRPr="002B28C3" w:rsidRDefault="009F01D8" w:rsidP="009F01D8">
            <w:pPr>
              <w:rPr>
                <w:rFonts w:asciiTheme="majorBidi" w:hAnsiTheme="majorBidi" w:cstheme="majorBidi"/>
              </w:rPr>
            </w:pPr>
            <w:r w:rsidRPr="002B28C3">
              <w:rPr>
                <w:rFonts w:asciiTheme="majorBidi" w:hAnsiTheme="majorBidi" w:cstheme="majorBidi"/>
              </w:rPr>
              <w:t>218259</w:t>
            </w:r>
          </w:p>
        </w:tc>
      </w:tr>
      <w:tr w:rsidR="009F01D8" w:rsidRPr="002B28C3" w14:paraId="7E3EABB4" w14:textId="77777777" w:rsidTr="009F01D8">
        <w:trPr>
          <w:trHeight w:val="279"/>
        </w:trPr>
        <w:tc>
          <w:tcPr>
            <w:tcW w:w="1129" w:type="dxa"/>
            <w:noWrap/>
            <w:hideMark/>
          </w:tcPr>
          <w:p w14:paraId="03E1DB5A" w14:textId="77777777" w:rsidR="009F01D8" w:rsidRPr="002B28C3" w:rsidRDefault="009F01D8" w:rsidP="009F01D8">
            <w:pPr>
              <w:rPr>
                <w:rFonts w:asciiTheme="majorBidi" w:hAnsiTheme="majorBidi" w:cstheme="majorBidi"/>
              </w:rPr>
            </w:pPr>
            <w:r w:rsidRPr="002B28C3">
              <w:rPr>
                <w:rFonts w:asciiTheme="majorBidi" w:hAnsiTheme="majorBidi" w:cstheme="majorBidi"/>
              </w:rPr>
              <w:t>21</w:t>
            </w:r>
          </w:p>
        </w:tc>
        <w:tc>
          <w:tcPr>
            <w:tcW w:w="6379" w:type="dxa"/>
            <w:noWrap/>
            <w:hideMark/>
          </w:tcPr>
          <w:p w14:paraId="0AA8C685" w14:textId="77777777" w:rsidR="009F01D8" w:rsidRPr="002B28C3" w:rsidRDefault="009F01D8" w:rsidP="009F01D8">
            <w:pPr>
              <w:rPr>
                <w:rFonts w:asciiTheme="majorBidi" w:hAnsiTheme="majorBidi" w:cstheme="majorBidi"/>
              </w:rPr>
            </w:pPr>
            <w:r w:rsidRPr="002B28C3">
              <w:rPr>
                <w:rFonts w:asciiTheme="majorBidi" w:hAnsiTheme="majorBidi" w:cstheme="majorBidi"/>
              </w:rPr>
              <w:t>(economic$ or pharmacoeconomic$ or pharmaco-economic$).</w:t>
            </w:r>
            <w:proofErr w:type="spellStart"/>
            <w:r w:rsidRPr="002B28C3">
              <w:rPr>
                <w:rFonts w:asciiTheme="majorBidi" w:hAnsiTheme="majorBidi" w:cstheme="majorBidi"/>
              </w:rPr>
              <w:t>ti</w:t>
            </w:r>
            <w:proofErr w:type="spellEnd"/>
            <w:r w:rsidRPr="002B28C3">
              <w:rPr>
                <w:rFonts w:asciiTheme="majorBidi" w:hAnsiTheme="majorBidi" w:cstheme="majorBidi"/>
              </w:rPr>
              <w:t>.</w:t>
            </w:r>
          </w:p>
        </w:tc>
        <w:tc>
          <w:tcPr>
            <w:tcW w:w="1508" w:type="dxa"/>
            <w:noWrap/>
            <w:hideMark/>
          </w:tcPr>
          <w:p w14:paraId="07D47FFC" w14:textId="77777777" w:rsidR="009F01D8" w:rsidRPr="002B28C3" w:rsidRDefault="009F01D8" w:rsidP="009F01D8">
            <w:pPr>
              <w:rPr>
                <w:rFonts w:asciiTheme="majorBidi" w:hAnsiTheme="majorBidi" w:cstheme="majorBidi"/>
              </w:rPr>
            </w:pPr>
            <w:r w:rsidRPr="002B28C3">
              <w:rPr>
                <w:rFonts w:asciiTheme="majorBidi" w:hAnsiTheme="majorBidi" w:cstheme="majorBidi"/>
              </w:rPr>
              <w:t>64563</w:t>
            </w:r>
          </w:p>
        </w:tc>
      </w:tr>
      <w:tr w:rsidR="009F01D8" w:rsidRPr="002B28C3" w14:paraId="2DFBD676" w14:textId="77777777" w:rsidTr="009F01D8">
        <w:trPr>
          <w:trHeight w:val="279"/>
        </w:trPr>
        <w:tc>
          <w:tcPr>
            <w:tcW w:w="1129" w:type="dxa"/>
            <w:noWrap/>
            <w:hideMark/>
          </w:tcPr>
          <w:p w14:paraId="454E0B55" w14:textId="77777777" w:rsidR="009F01D8" w:rsidRPr="002B28C3" w:rsidRDefault="009F01D8" w:rsidP="009F01D8">
            <w:pPr>
              <w:rPr>
                <w:rFonts w:asciiTheme="majorBidi" w:hAnsiTheme="majorBidi" w:cstheme="majorBidi"/>
              </w:rPr>
            </w:pPr>
            <w:r w:rsidRPr="002B28C3">
              <w:rPr>
                <w:rFonts w:asciiTheme="majorBidi" w:hAnsiTheme="majorBidi" w:cstheme="majorBidi"/>
              </w:rPr>
              <w:t>22</w:t>
            </w:r>
          </w:p>
        </w:tc>
        <w:tc>
          <w:tcPr>
            <w:tcW w:w="6379" w:type="dxa"/>
            <w:noWrap/>
            <w:hideMark/>
          </w:tcPr>
          <w:p w14:paraId="5E1587EE" w14:textId="77777777" w:rsidR="009F01D8" w:rsidRPr="002B28C3" w:rsidRDefault="009F01D8" w:rsidP="009F01D8">
            <w:pPr>
              <w:rPr>
                <w:rFonts w:asciiTheme="majorBidi" w:hAnsiTheme="majorBidi" w:cstheme="majorBidi"/>
              </w:rPr>
            </w:pPr>
            <w:r w:rsidRPr="002B28C3">
              <w:rPr>
                <w:rFonts w:asciiTheme="majorBidi" w:hAnsiTheme="majorBidi" w:cstheme="majorBidi"/>
              </w:rPr>
              <w:t>(price$ or pricing$).</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7B0C9D4F" w14:textId="77777777" w:rsidR="009F01D8" w:rsidRPr="002B28C3" w:rsidRDefault="009F01D8" w:rsidP="009F01D8">
            <w:pPr>
              <w:rPr>
                <w:rFonts w:asciiTheme="majorBidi" w:hAnsiTheme="majorBidi" w:cstheme="majorBidi"/>
              </w:rPr>
            </w:pPr>
            <w:r w:rsidRPr="002B28C3">
              <w:rPr>
                <w:rFonts w:asciiTheme="majorBidi" w:hAnsiTheme="majorBidi" w:cstheme="majorBidi"/>
              </w:rPr>
              <w:t>60859</w:t>
            </w:r>
          </w:p>
        </w:tc>
      </w:tr>
      <w:tr w:rsidR="009F01D8" w:rsidRPr="002B28C3" w14:paraId="5A8E5AFF" w14:textId="77777777" w:rsidTr="009F01D8">
        <w:trPr>
          <w:trHeight w:val="279"/>
        </w:trPr>
        <w:tc>
          <w:tcPr>
            <w:tcW w:w="1129" w:type="dxa"/>
            <w:noWrap/>
            <w:hideMark/>
          </w:tcPr>
          <w:p w14:paraId="315F42F6"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c>
          <w:tcPr>
            <w:tcW w:w="6379" w:type="dxa"/>
            <w:noWrap/>
            <w:hideMark/>
          </w:tcPr>
          <w:p w14:paraId="2E98A5E5"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financial</w:t>
            </w:r>
            <w:proofErr w:type="gramEnd"/>
            <w:r w:rsidRPr="002B28C3">
              <w:rPr>
                <w:rFonts w:asciiTheme="majorBidi" w:hAnsiTheme="majorBidi" w:cstheme="majorBidi"/>
              </w:rPr>
              <w:t xml:space="preserve"> or finance or finances or financed).</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31210375" w14:textId="77777777" w:rsidR="009F01D8" w:rsidRPr="002B28C3" w:rsidRDefault="009F01D8" w:rsidP="009F01D8">
            <w:pPr>
              <w:rPr>
                <w:rFonts w:asciiTheme="majorBidi" w:hAnsiTheme="majorBidi" w:cstheme="majorBidi"/>
              </w:rPr>
            </w:pPr>
            <w:r w:rsidRPr="002B28C3">
              <w:rPr>
                <w:rFonts w:asciiTheme="majorBidi" w:hAnsiTheme="majorBidi" w:cstheme="majorBidi"/>
              </w:rPr>
              <w:t>135326</w:t>
            </w:r>
          </w:p>
        </w:tc>
      </w:tr>
      <w:tr w:rsidR="009F01D8" w:rsidRPr="002B28C3" w14:paraId="7C030F18" w14:textId="77777777" w:rsidTr="009F01D8">
        <w:trPr>
          <w:trHeight w:val="279"/>
        </w:trPr>
        <w:tc>
          <w:tcPr>
            <w:tcW w:w="1129" w:type="dxa"/>
            <w:noWrap/>
            <w:hideMark/>
          </w:tcPr>
          <w:p w14:paraId="2245CB05" w14:textId="77777777" w:rsidR="009F01D8" w:rsidRPr="002B28C3" w:rsidRDefault="009F01D8" w:rsidP="009F01D8">
            <w:pPr>
              <w:rPr>
                <w:rFonts w:asciiTheme="majorBidi" w:hAnsiTheme="majorBidi" w:cstheme="majorBidi"/>
              </w:rPr>
            </w:pPr>
            <w:r w:rsidRPr="002B28C3">
              <w:rPr>
                <w:rFonts w:asciiTheme="majorBidi" w:hAnsiTheme="majorBidi" w:cstheme="majorBidi"/>
              </w:rPr>
              <w:t>24</w:t>
            </w:r>
          </w:p>
        </w:tc>
        <w:tc>
          <w:tcPr>
            <w:tcW w:w="6379" w:type="dxa"/>
            <w:noWrap/>
            <w:hideMark/>
          </w:tcPr>
          <w:p w14:paraId="6A8A453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fee</w:t>
            </w:r>
            <w:proofErr w:type="gramEnd"/>
            <w:r w:rsidRPr="002B28C3">
              <w:rPr>
                <w:rFonts w:asciiTheme="majorBidi" w:hAnsiTheme="majorBidi" w:cstheme="majorBidi"/>
              </w:rPr>
              <w:t xml:space="preserve"> or fees).</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558F7833" w14:textId="77777777" w:rsidR="009F01D8" w:rsidRPr="002B28C3" w:rsidRDefault="009F01D8" w:rsidP="009F01D8">
            <w:pPr>
              <w:rPr>
                <w:rFonts w:asciiTheme="majorBidi" w:hAnsiTheme="majorBidi" w:cstheme="majorBidi"/>
              </w:rPr>
            </w:pPr>
            <w:r w:rsidRPr="002B28C3">
              <w:rPr>
                <w:rFonts w:asciiTheme="majorBidi" w:hAnsiTheme="majorBidi" w:cstheme="majorBidi"/>
              </w:rPr>
              <w:t>25728</w:t>
            </w:r>
          </w:p>
        </w:tc>
      </w:tr>
      <w:tr w:rsidR="009F01D8" w:rsidRPr="002B28C3" w14:paraId="52EE328A" w14:textId="77777777" w:rsidTr="009F01D8">
        <w:trPr>
          <w:trHeight w:val="279"/>
        </w:trPr>
        <w:tc>
          <w:tcPr>
            <w:tcW w:w="1129" w:type="dxa"/>
            <w:noWrap/>
            <w:hideMark/>
          </w:tcPr>
          <w:p w14:paraId="1C67125E"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c>
          <w:tcPr>
            <w:tcW w:w="6379" w:type="dxa"/>
            <w:noWrap/>
            <w:hideMark/>
          </w:tcPr>
          <w:p w14:paraId="3938635C"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value</w:t>
            </w:r>
            <w:proofErr w:type="gramEnd"/>
            <w:r w:rsidRPr="002B28C3">
              <w:rPr>
                <w:rFonts w:asciiTheme="majorBidi" w:hAnsiTheme="majorBidi" w:cstheme="majorBidi"/>
              </w:rPr>
              <w:t xml:space="preserve"> adj2 (money or monetary)).</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434897A3" w14:textId="77777777" w:rsidR="009F01D8" w:rsidRPr="002B28C3" w:rsidRDefault="009F01D8" w:rsidP="009F01D8">
            <w:pPr>
              <w:rPr>
                <w:rFonts w:asciiTheme="majorBidi" w:hAnsiTheme="majorBidi" w:cstheme="majorBidi"/>
              </w:rPr>
            </w:pPr>
            <w:r w:rsidRPr="002B28C3">
              <w:rPr>
                <w:rFonts w:asciiTheme="majorBidi" w:hAnsiTheme="majorBidi" w:cstheme="majorBidi"/>
              </w:rPr>
              <w:t>3455</w:t>
            </w:r>
          </w:p>
        </w:tc>
      </w:tr>
      <w:tr w:rsidR="009F01D8" w:rsidRPr="002B28C3" w14:paraId="6F6AD34E" w14:textId="77777777" w:rsidTr="009F01D8">
        <w:trPr>
          <w:trHeight w:val="279"/>
        </w:trPr>
        <w:tc>
          <w:tcPr>
            <w:tcW w:w="1129" w:type="dxa"/>
            <w:noWrap/>
            <w:hideMark/>
          </w:tcPr>
          <w:p w14:paraId="1715A84F" w14:textId="77777777" w:rsidR="009F01D8" w:rsidRPr="002B28C3" w:rsidRDefault="009F01D8" w:rsidP="009F01D8">
            <w:pPr>
              <w:rPr>
                <w:rFonts w:asciiTheme="majorBidi" w:hAnsiTheme="majorBidi" w:cstheme="majorBidi"/>
              </w:rPr>
            </w:pPr>
            <w:r w:rsidRPr="002B28C3">
              <w:rPr>
                <w:rFonts w:asciiTheme="majorBidi" w:hAnsiTheme="majorBidi" w:cstheme="majorBidi"/>
              </w:rPr>
              <w:t>26</w:t>
            </w:r>
          </w:p>
        </w:tc>
        <w:tc>
          <w:tcPr>
            <w:tcW w:w="6379" w:type="dxa"/>
            <w:noWrap/>
            <w:hideMark/>
          </w:tcPr>
          <w:p w14:paraId="34E69FD0" w14:textId="77777777" w:rsidR="009F01D8" w:rsidRPr="002B28C3" w:rsidRDefault="009F01D8" w:rsidP="009F01D8">
            <w:pPr>
              <w:rPr>
                <w:rFonts w:asciiTheme="majorBidi" w:hAnsiTheme="majorBidi" w:cstheme="majorBidi"/>
              </w:rPr>
            </w:pPr>
            <w:r w:rsidRPr="002B28C3">
              <w:rPr>
                <w:rFonts w:asciiTheme="majorBidi" w:hAnsiTheme="majorBidi" w:cstheme="majorBidi"/>
              </w:rPr>
              <w:t>health care quality/</w:t>
            </w:r>
          </w:p>
        </w:tc>
        <w:tc>
          <w:tcPr>
            <w:tcW w:w="1508" w:type="dxa"/>
            <w:noWrap/>
            <w:hideMark/>
          </w:tcPr>
          <w:p w14:paraId="0E8DC27C" w14:textId="77777777" w:rsidR="009F01D8" w:rsidRPr="002B28C3" w:rsidRDefault="009F01D8" w:rsidP="009F01D8">
            <w:pPr>
              <w:rPr>
                <w:rFonts w:asciiTheme="majorBidi" w:hAnsiTheme="majorBidi" w:cstheme="majorBidi"/>
              </w:rPr>
            </w:pPr>
            <w:r w:rsidRPr="002B28C3">
              <w:rPr>
                <w:rFonts w:asciiTheme="majorBidi" w:hAnsiTheme="majorBidi" w:cstheme="majorBidi"/>
              </w:rPr>
              <w:t>247699</w:t>
            </w:r>
          </w:p>
        </w:tc>
      </w:tr>
      <w:tr w:rsidR="009F01D8" w:rsidRPr="002B28C3" w14:paraId="57CD2E67" w14:textId="77777777" w:rsidTr="009F01D8">
        <w:trPr>
          <w:trHeight w:val="279"/>
        </w:trPr>
        <w:tc>
          <w:tcPr>
            <w:tcW w:w="1129" w:type="dxa"/>
            <w:noWrap/>
            <w:hideMark/>
          </w:tcPr>
          <w:p w14:paraId="70394361" w14:textId="77777777" w:rsidR="009F01D8" w:rsidRPr="002B28C3" w:rsidRDefault="009F01D8" w:rsidP="009F01D8">
            <w:pPr>
              <w:rPr>
                <w:rFonts w:asciiTheme="majorBidi" w:hAnsiTheme="majorBidi" w:cstheme="majorBidi"/>
              </w:rPr>
            </w:pPr>
            <w:r w:rsidRPr="002B28C3">
              <w:rPr>
                <w:rFonts w:asciiTheme="majorBidi" w:hAnsiTheme="majorBidi" w:cstheme="majorBidi"/>
              </w:rPr>
              <w:t>27</w:t>
            </w:r>
          </w:p>
        </w:tc>
        <w:tc>
          <w:tcPr>
            <w:tcW w:w="6379" w:type="dxa"/>
            <w:noWrap/>
            <w:hideMark/>
          </w:tcPr>
          <w:p w14:paraId="5FDADDBE" w14:textId="77777777" w:rsidR="009F01D8" w:rsidRPr="002B28C3" w:rsidRDefault="009F01D8" w:rsidP="009F01D8">
            <w:pPr>
              <w:rPr>
                <w:rFonts w:asciiTheme="majorBidi" w:hAnsiTheme="majorBidi" w:cstheme="majorBidi"/>
              </w:rPr>
            </w:pPr>
            <w:r w:rsidRPr="002B28C3">
              <w:rPr>
                <w:rFonts w:asciiTheme="majorBidi" w:hAnsiTheme="majorBidi" w:cstheme="majorBidi"/>
              </w:rPr>
              <w:t>quality adjusted life year/</w:t>
            </w:r>
          </w:p>
        </w:tc>
        <w:tc>
          <w:tcPr>
            <w:tcW w:w="1508" w:type="dxa"/>
            <w:noWrap/>
            <w:hideMark/>
          </w:tcPr>
          <w:p w14:paraId="6A79A573" w14:textId="77777777" w:rsidR="009F01D8" w:rsidRPr="002B28C3" w:rsidRDefault="009F01D8" w:rsidP="009F01D8">
            <w:pPr>
              <w:rPr>
                <w:rFonts w:asciiTheme="majorBidi" w:hAnsiTheme="majorBidi" w:cstheme="majorBidi"/>
              </w:rPr>
            </w:pPr>
            <w:r w:rsidRPr="002B28C3">
              <w:rPr>
                <w:rFonts w:asciiTheme="majorBidi" w:hAnsiTheme="majorBidi" w:cstheme="majorBidi"/>
              </w:rPr>
              <w:t>28517</w:t>
            </w:r>
          </w:p>
        </w:tc>
      </w:tr>
      <w:tr w:rsidR="009F01D8" w:rsidRPr="002B28C3" w14:paraId="7EBF00A0" w14:textId="77777777" w:rsidTr="009F01D8">
        <w:trPr>
          <w:trHeight w:val="279"/>
        </w:trPr>
        <w:tc>
          <w:tcPr>
            <w:tcW w:w="1129" w:type="dxa"/>
            <w:noWrap/>
            <w:hideMark/>
          </w:tcPr>
          <w:p w14:paraId="757A0865" w14:textId="77777777" w:rsidR="009F01D8" w:rsidRPr="002B28C3" w:rsidRDefault="009F01D8" w:rsidP="009F01D8">
            <w:pPr>
              <w:rPr>
                <w:rFonts w:asciiTheme="majorBidi" w:hAnsiTheme="majorBidi" w:cstheme="majorBidi"/>
              </w:rPr>
            </w:pPr>
            <w:r w:rsidRPr="002B28C3">
              <w:rPr>
                <w:rFonts w:asciiTheme="majorBidi" w:hAnsiTheme="majorBidi" w:cstheme="majorBidi"/>
              </w:rPr>
              <w:t>28</w:t>
            </w:r>
          </w:p>
        </w:tc>
        <w:tc>
          <w:tcPr>
            <w:tcW w:w="6379" w:type="dxa"/>
            <w:noWrap/>
            <w:hideMark/>
          </w:tcPr>
          <w:p w14:paraId="65A108DE"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proofErr w:type="gramStart"/>
            <w:r w:rsidRPr="002B28C3">
              <w:rPr>
                <w:rFonts w:asciiTheme="majorBidi" w:hAnsiTheme="majorBidi" w:cstheme="majorBidi"/>
              </w:rPr>
              <w:t>qaly</w:t>
            </w:r>
            <w:proofErr w:type="spellEnd"/>
            <w:proofErr w:type="gramEnd"/>
            <w:r w:rsidRPr="002B28C3">
              <w:rPr>
                <w:rFonts w:asciiTheme="majorBidi" w:hAnsiTheme="majorBidi" w:cstheme="majorBidi"/>
              </w:rPr>
              <w:t xml:space="preserve"> or </w:t>
            </w:r>
            <w:proofErr w:type="spellStart"/>
            <w:r w:rsidRPr="002B28C3">
              <w:rPr>
                <w:rFonts w:asciiTheme="majorBidi" w:hAnsiTheme="majorBidi" w:cstheme="majorBidi"/>
              </w:rPr>
              <w:t>qalys</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6DDE285A" w14:textId="77777777" w:rsidR="009F01D8" w:rsidRPr="002B28C3" w:rsidRDefault="009F01D8" w:rsidP="009F01D8">
            <w:pPr>
              <w:rPr>
                <w:rFonts w:asciiTheme="majorBidi" w:hAnsiTheme="majorBidi" w:cstheme="majorBidi"/>
              </w:rPr>
            </w:pPr>
            <w:r w:rsidRPr="002B28C3">
              <w:rPr>
                <w:rFonts w:asciiTheme="majorBidi" w:hAnsiTheme="majorBidi" w:cstheme="majorBidi"/>
              </w:rPr>
              <w:t>21188</w:t>
            </w:r>
          </w:p>
        </w:tc>
      </w:tr>
      <w:tr w:rsidR="009F01D8" w:rsidRPr="002B28C3" w14:paraId="100EFA47" w14:textId="77777777" w:rsidTr="009F01D8">
        <w:trPr>
          <w:trHeight w:val="279"/>
        </w:trPr>
        <w:tc>
          <w:tcPr>
            <w:tcW w:w="1129" w:type="dxa"/>
            <w:noWrap/>
            <w:hideMark/>
          </w:tcPr>
          <w:p w14:paraId="0087E4C1" w14:textId="77777777" w:rsidR="009F01D8" w:rsidRPr="002B28C3" w:rsidRDefault="009F01D8" w:rsidP="009F01D8">
            <w:pPr>
              <w:rPr>
                <w:rFonts w:asciiTheme="majorBidi" w:hAnsiTheme="majorBidi" w:cstheme="majorBidi"/>
              </w:rPr>
            </w:pPr>
            <w:r w:rsidRPr="002B28C3">
              <w:rPr>
                <w:rFonts w:asciiTheme="majorBidi" w:hAnsiTheme="majorBidi" w:cstheme="majorBidi"/>
              </w:rPr>
              <w:t>29</w:t>
            </w:r>
          </w:p>
        </w:tc>
        <w:tc>
          <w:tcPr>
            <w:tcW w:w="6379" w:type="dxa"/>
            <w:noWrap/>
            <w:hideMark/>
          </w:tcPr>
          <w:p w14:paraId="785F5F81"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quality</w:t>
            </w:r>
            <w:proofErr w:type="gramEnd"/>
            <w:r w:rsidRPr="002B28C3">
              <w:rPr>
                <w:rFonts w:asciiTheme="majorBidi" w:hAnsiTheme="majorBidi" w:cstheme="majorBidi"/>
              </w:rPr>
              <w:t xml:space="preserve"> adjusted life year or quality adjusted life years).</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508" w:type="dxa"/>
            <w:noWrap/>
            <w:hideMark/>
          </w:tcPr>
          <w:p w14:paraId="7DDFDC2F" w14:textId="77777777" w:rsidR="009F01D8" w:rsidRPr="002B28C3" w:rsidRDefault="009F01D8" w:rsidP="009F01D8">
            <w:pPr>
              <w:rPr>
                <w:rFonts w:asciiTheme="majorBidi" w:hAnsiTheme="majorBidi" w:cstheme="majorBidi"/>
              </w:rPr>
            </w:pPr>
            <w:r w:rsidRPr="002B28C3">
              <w:rPr>
                <w:rFonts w:asciiTheme="majorBidi" w:hAnsiTheme="majorBidi" w:cstheme="majorBidi"/>
              </w:rPr>
              <w:t>20472</w:t>
            </w:r>
          </w:p>
        </w:tc>
      </w:tr>
      <w:tr w:rsidR="009F01D8" w:rsidRPr="002B28C3" w14:paraId="02D7B7A1" w14:textId="77777777" w:rsidTr="009F01D8">
        <w:trPr>
          <w:trHeight w:val="279"/>
        </w:trPr>
        <w:tc>
          <w:tcPr>
            <w:tcW w:w="1129" w:type="dxa"/>
            <w:noWrap/>
            <w:hideMark/>
          </w:tcPr>
          <w:p w14:paraId="29A42B5E"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c>
          <w:tcPr>
            <w:tcW w:w="6379" w:type="dxa"/>
            <w:noWrap/>
            <w:hideMark/>
          </w:tcPr>
          <w:p w14:paraId="1A208A1F" w14:textId="77777777" w:rsidR="009F01D8" w:rsidRPr="002B28C3" w:rsidRDefault="009F01D8" w:rsidP="009F01D8">
            <w:pPr>
              <w:rPr>
                <w:rFonts w:asciiTheme="majorBidi" w:hAnsiTheme="majorBidi" w:cstheme="majorBidi"/>
              </w:rPr>
            </w:pPr>
            <w:r w:rsidRPr="002B28C3">
              <w:rPr>
                <w:rFonts w:asciiTheme="majorBidi" w:hAnsiTheme="majorBidi" w:cstheme="majorBidi"/>
              </w:rPr>
              <w:t>or/11-29</w:t>
            </w:r>
          </w:p>
        </w:tc>
        <w:tc>
          <w:tcPr>
            <w:tcW w:w="1508" w:type="dxa"/>
            <w:noWrap/>
            <w:hideMark/>
          </w:tcPr>
          <w:p w14:paraId="6D5F79FC" w14:textId="77777777" w:rsidR="009F01D8" w:rsidRPr="002B28C3" w:rsidRDefault="009F01D8" w:rsidP="009F01D8">
            <w:pPr>
              <w:rPr>
                <w:rFonts w:asciiTheme="majorBidi" w:hAnsiTheme="majorBidi" w:cstheme="majorBidi"/>
              </w:rPr>
            </w:pPr>
            <w:r w:rsidRPr="002B28C3">
              <w:rPr>
                <w:rFonts w:asciiTheme="majorBidi" w:hAnsiTheme="majorBidi" w:cstheme="majorBidi"/>
              </w:rPr>
              <w:t>1102354</w:t>
            </w:r>
          </w:p>
        </w:tc>
      </w:tr>
      <w:tr w:rsidR="009F01D8" w:rsidRPr="002B28C3" w14:paraId="55CD3D35" w14:textId="77777777" w:rsidTr="009F01D8">
        <w:trPr>
          <w:trHeight w:val="279"/>
        </w:trPr>
        <w:tc>
          <w:tcPr>
            <w:tcW w:w="1129" w:type="dxa"/>
            <w:noWrap/>
            <w:hideMark/>
          </w:tcPr>
          <w:p w14:paraId="28AC515D" w14:textId="77777777" w:rsidR="009F01D8" w:rsidRPr="002B28C3" w:rsidRDefault="009F01D8" w:rsidP="009F01D8">
            <w:pPr>
              <w:rPr>
                <w:rFonts w:asciiTheme="majorBidi" w:hAnsiTheme="majorBidi" w:cstheme="majorBidi"/>
              </w:rPr>
            </w:pPr>
            <w:r w:rsidRPr="002B28C3">
              <w:rPr>
                <w:rFonts w:asciiTheme="majorBidi" w:hAnsiTheme="majorBidi" w:cstheme="majorBidi"/>
              </w:rPr>
              <w:t>31</w:t>
            </w:r>
          </w:p>
        </w:tc>
        <w:tc>
          <w:tcPr>
            <w:tcW w:w="6379" w:type="dxa"/>
            <w:noWrap/>
            <w:hideMark/>
          </w:tcPr>
          <w:p w14:paraId="75BA2743" w14:textId="77777777" w:rsidR="009F01D8" w:rsidRPr="002B28C3" w:rsidRDefault="009F01D8" w:rsidP="009F01D8">
            <w:pPr>
              <w:rPr>
                <w:rFonts w:asciiTheme="majorBidi" w:hAnsiTheme="majorBidi" w:cstheme="majorBidi"/>
              </w:rPr>
            </w:pPr>
            <w:r w:rsidRPr="002B28C3">
              <w:rPr>
                <w:rFonts w:asciiTheme="majorBidi" w:hAnsiTheme="majorBidi" w:cstheme="majorBidi"/>
              </w:rPr>
              <w:t>letter.pt.</w:t>
            </w:r>
          </w:p>
        </w:tc>
        <w:tc>
          <w:tcPr>
            <w:tcW w:w="1508" w:type="dxa"/>
            <w:noWrap/>
            <w:hideMark/>
          </w:tcPr>
          <w:p w14:paraId="01813B51" w14:textId="77777777" w:rsidR="009F01D8" w:rsidRPr="002B28C3" w:rsidRDefault="009F01D8" w:rsidP="009F01D8">
            <w:pPr>
              <w:rPr>
                <w:rFonts w:asciiTheme="majorBidi" w:hAnsiTheme="majorBidi" w:cstheme="majorBidi"/>
              </w:rPr>
            </w:pPr>
            <w:r w:rsidRPr="002B28C3">
              <w:rPr>
                <w:rFonts w:asciiTheme="majorBidi" w:hAnsiTheme="majorBidi" w:cstheme="majorBidi"/>
              </w:rPr>
              <w:t>1185036</w:t>
            </w:r>
          </w:p>
        </w:tc>
      </w:tr>
      <w:tr w:rsidR="009F01D8" w:rsidRPr="002B28C3" w14:paraId="039E03D6" w14:textId="77777777" w:rsidTr="009F01D8">
        <w:trPr>
          <w:trHeight w:val="279"/>
        </w:trPr>
        <w:tc>
          <w:tcPr>
            <w:tcW w:w="1129" w:type="dxa"/>
            <w:noWrap/>
            <w:hideMark/>
          </w:tcPr>
          <w:p w14:paraId="3DB20F98" w14:textId="77777777" w:rsidR="009F01D8" w:rsidRPr="002B28C3" w:rsidRDefault="009F01D8" w:rsidP="009F01D8">
            <w:pPr>
              <w:rPr>
                <w:rFonts w:asciiTheme="majorBidi" w:hAnsiTheme="majorBidi" w:cstheme="majorBidi"/>
              </w:rPr>
            </w:pPr>
            <w:r w:rsidRPr="002B28C3">
              <w:rPr>
                <w:rFonts w:asciiTheme="majorBidi" w:hAnsiTheme="majorBidi" w:cstheme="majorBidi"/>
              </w:rPr>
              <w:t>32</w:t>
            </w:r>
          </w:p>
        </w:tc>
        <w:tc>
          <w:tcPr>
            <w:tcW w:w="6379" w:type="dxa"/>
            <w:noWrap/>
            <w:hideMark/>
          </w:tcPr>
          <w:p w14:paraId="730D0A64" w14:textId="77777777" w:rsidR="009F01D8" w:rsidRPr="002B28C3" w:rsidRDefault="009F01D8" w:rsidP="009F01D8">
            <w:pPr>
              <w:rPr>
                <w:rFonts w:asciiTheme="majorBidi" w:hAnsiTheme="majorBidi" w:cstheme="majorBidi"/>
              </w:rPr>
            </w:pPr>
            <w:r w:rsidRPr="002B28C3">
              <w:rPr>
                <w:rFonts w:asciiTheme="majorBidi" w:hAnsiTheme="majorBidi" w:cstheme="majorBidi"/>
              </w:rPr>
              <w:t>editorial.pt.</w:t>
            </w:r>
          </w:p>
        </w:tc>
        <w:tc>
          <w:tcPr>
            <w:tcW w:w="1508" w:type="dxa"/>
            <w:noWrap/>
            <w:hideMark/>
          </w:tcPr>
          <w:p w14:paraId="565485CE" w14:textId="77777777" w:rsidR="009F01D8" w:rsidRPr="002B28C3" w:rsidRDefault="009F01D8" w:rsidP="009F01D8">
            <w:pPr>
              <w:rPr>
                <w:rFonts w:asciiTheme="majorBidi" w:hAnsiTheme="majorBidi" w:cstheme="majorBidi"/>
              </w:rPr>
            </w:pPr>
            <w:r w:rsidRPr="002B28C3">
              <w:rPr>
                <w:rFonts w:asciiTheme="majorBidi" w:hAnsiTheme="majorBidi" w:cstheme="majorBidi"/>
              </w:rPr>
              <w:t>691062</w:t>
            </w:r>
          </w:p>
        </w:tc>
      </w:tr>
      <w:tr w:rsidR="009F01D8" w:rsidRPr="002B28C3" w14:paraId="695D3127" w14:textId="77777777" w:rsidTr="009F01D8">
        <w:trPr>
          <w:trHeight w:val="279"/>
        </w:trPr>
        <w:tc>
          <w:tcPr>
            <w:tcW w:w="1129" w:type="dxa"/>
            <w:noWrap/>
            <w:hideMark/>
          </w:tcPr>
          <w:p w14:paraId="6005CD9B" w14:textId="77777777" w:rsidR="009F01D8" w:rsidRPr="002B28C3" w:rsidRDefault="009F01D8" w:rsidP="009F01D8">
            <w:pPr>
              <w:rPr>
                <w:rFonts w:asciiTheme="majorBidi" w:hAnsiTheme="majorBidi" w:cstheme="majorBidi"/>
              </w:rPr>
            </w:pPr>
            <w:r w:rsidRPr="002B28C3">
              <w:rPr>
                <w:rFonts w:asciiTheme="majorBidi" w:hAnsiTheme="majorBidi" w:cstheme="majorBidi"/>
              </w:rPr>
              <w:t>33</w:t>
            </w:r>
          </w:p>
        </w:tc>
        <w:tc>
          <w:tcPr>
            <w:tcW w:w="6379" w:type="dxa"/>
            <w:noWrap/>
            <w:hideMark/>
          </w:tcPr>
          <w:p w14:paraId="59AD9B3C" w14:textId="77777777" w:rsidR="009F01D8" w:rsidRPr="002B28C3" w:rsidRDefault="009F01D8" w:rsidP="009F01D8">
            <w:pPr>
              <w:rPr>
                <w:rFonts w:asciiTheme="majorBidi" w:hAnsiTheme="majorBidi" w:cstheme="majorBidi"/>
              </w:rPr>
            </w:pPr>
            <w:r w:rsidRPr="002B28C3">
              <w:rPr>
                <w:rFonts w:asciiTheme="majorBidi" w:hAnsiTheme="majorBidi" w:cstheme="majorBidi"/>
              </w:rPr>
              <w:t>historical article.pt.</w:t>
            </w:r>
          </w:p>
        </w:tc>
        <w:tc>
          <w:tcPr>
            <w:tcW w:w="1508" w:type="dxa"/>
            <w:noWrap/>
            <w:hideMark/>
          </w:tcPr>
          <w:p w14:paraId="74292429"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73BC1E32" w14:textId="77777777" w:rsidTr="009F01D8">
        <w:trPr>
          <w:trHeight w:val="279"/>
        </w:trPr>
        <w:tc>
          <w:tcPr>
            <w:tcW w:w="1129" w:type="dxa"/>
            <w:noWrap/>
            <w:hideMark/>
          </w:tcPr>
          <w:p w14:paraId="3733938A" w14:textId="77777777" w:rsidR="009F01D8" w:rsidRPr="002B28C3" w:rsidRDefault="009F01D8" w:rsidP="009F01D8">
            <w:pPr>
              <w:rPr>
                <w:rFonts w:asciiTheme="majorBidi" w:hAnsiTheme="majorBidi" w:cstheme="majorBidi"/>
              </w:rPr>
            </w:pPr>
            <w:r w:rsidRPr="002B28C3">
              <w:rPr>
                <w:rFonts w:asciiTheme="majorBidi" w:hAnsiTheme="majorBidi" w:cstheme="majorBidi"/>
              </w:rPr>
              <w:t>34</w:t>
            </w:r>
          </w:p>
        </w:tc>
        <w:tc>
          <w:tcPr>
            <w:tcW w:w="6379" w:type="dxa"/>
            <w:noWrap/>
            <w:hideMark/>
          </w:tcPr>
          <w:p w14:paraId="50AFDDF6" w14:textId="77777777" w:rsidR="009F01D8" w:rsidRPr="002B28C3" w:rsidRDefault="009F01D8" w:rsidP="009F01D8">
            <w:pPr>
              <w:rPr>
                <w:rFonts w:asciiTheme="majorBidi" w:hAnsiTheme="majorBidi" w:cstheme="majorBidi"/>
              </w:rPr>
            </w:pPr>
            <w:r w:rsidRPr="002B28C3">
              <w:rPr>
                <w:rFonts w:asciiTheme="majorBidi" w:hAnsiTheme="majorBidi" w:cstheme="majorBidi"/>
              </w:rPr>
              <w:t>or/31-33</w:t>
            </w:r>
          </w:p>
        </w:tc>
        <w:tc>
          <w:tcPr>
            <w:tcW w:w="1508" w:type="dxa"/>
            <w:noWrap/>
            <w:hideMark/>
          </w:tcPr>
          <w:p w14:paraId="05E3157D" w14:textId="77777777" w:rsidR="009F01D8" w:rsidRPr="002B28C3" w:rsidRDefault="009F01D8" w:rsidP="009F01D8">
            <w:pPr>
              <w:rPr>
                <w:rFonts w:asciiTheme="majorBidi" w:hAnsiTheme="majorBidi" w:cstheme="majorBidi"/>
              </w:rPr>
            </w:pPr>
            <w:r w:rsidRPr="002B28C3">
              <w:rPr>
                <w:rFonts w:asciiTheme="majorBidi" w:hAnsiTheme="majorBidi" w:cstheme="majorBidi"/>
              </w:rPr>
              <w:t>1876098</w:t>
            </w:r>
          </w:p>
        </w:tc>
      </w:tr>
      <w:tr w:rsidR="009F01D8" w:rsidRPr="002B28C3" w14:paraId="5D68B564" w14:textId="77777777" w:rsidTr="009F01D8">
        <w:trPr>
          <w:trHeight w:val="279"/>
        </w:trPr>
        <w:tc>
          <w:tcPr>
            <w:tcW w:w="1129" w:type="dxa"/>
            <w:noWrap/>
            <w:hideMark/>
          </w:tcPr>
          <w:p w14:paraId="12DF5070" w14:textId="77777777" w:rsidR="009F01D8" w:rsidRPr="002B28C3" w:rsidRDefault="009F01D8" w:rsidP="009F01D8">
            <w:pPr>
              <w:rPr>
                <w:rFonts w:asciiTheme="majorBidi" w:hAnsiTheme="majorBidi" w:cstheme="majorBidi"/>
              </w:rPr>
            </w:pPr>
            <w:r w:rsidRPr="002B28C3">
              <w:rPr>
                <w:rFonts w:asciiTheme="majorBidi" w:hAnsiTheme="majorBidi" w:cstheme="majorBidi"/>
              </w:rPr>
              <w:t>35</w:t>
            </w:r>
          </w:p>
        </w:tc>
        <w:tc>
          <w:tcPr>
            <w:tcW w:w="6379" w:type="dxa"/>
            <w:noWrap/>
            <w:hideMark/>
          </w:tcPr>
          <w:p w14:paraId="1C1D9E4C" w14:textId="77777777" w:rsidR="009F01D8" w:rsidRPr="002B28C3" w:rsidRDefault="009F01D8" w:rsidP="009F01D8">
            <w:pPr>
              <w:rPr>
                <w:rFonts w:asciiTheme="majorBidi" w:hAnsiTheme="majorBidi" w:cstheme="majorBidi"/>
              </w:rPr>
            </w:pPr>
            <w:r w:rsidRPr="002B28C3">
              <w:rPr>
                <w:rFonts w:asciiTheme="majorBidi" w:hAnsiTheme="majorBidi" w:cstheme="majorBidi"/>
              </w:rPr>
              <w:t>30 not 34</w:t>
            </w:r>
          </w:p>
        </w:tc>
        <w:tc>
          <w:tcPr>
            <w:tcW w:w="1508" w:type="dxa"/>
            <w:noWrap/>
            <w:hideMark/>
          </w:tcPr>
          <w:p w14:paraId="374E99A2" w14:textId="77777777" w:rsidR="009F01D8" w:rsidRPr="002B28C3" w:rsidRDefault="009F01D8" w:rsidP="009F01D8">
            <w:pPr>
              <w:rPr>
                <w:rFonts w:asciiTheme="majorBidi" w:hAnsiTheme="majorBidi" w:cstheme="majorBidi"/>
              </w:rPr>
            </w:pPr>
            <w:r w:rsidRPr="002B28C3">
              <w:rPr>
                <w:rFonts w:asciiTheme="majorBidi" w:hAnsiTheme="majorBidi" w:cstheme="majorBidi"/>
              </w:rPr>
              <w:t>1021484</w:t>
            </w:r>
          </w:p>
        </w:tc>
      </w:tr>
      <w:tr w:rsidR="009F01D8" w:rsidRPr="002B28C3" w14:paraId="10077DBB" w14:textId="77777777" w:rsidTr="009F01D8">
        <w:trPr>
          <w:trHeight w:val="279"/>
        </w:trPr>
        <w:tc>
          <w:tcPr>
            <w:tcW w:w="1129" w:type="dxa"/>
            <w:noWrap/>
            <w:hideMark/>
          </w:tcPr>
          <w:p w14:paraId="1503997E" w14:textId="77777777" w:rsidR="009F01D8" w:rsidRPr="002B28C3" w:rsidRDefault="009F01D8" w:rsidP="009F01D8">
            <w:pPr>
              <w:rPr>
                <w:rFonts w:asciiTheme="majorBidi" w:hAnsiTheme="majorBidi" w:cstheme="majorBidi"/>
              </w:rPr>
            </w:pPr>
            <w:r w:rsidRPr="002B28C3">
              <w:rPr>
                <w:rFonts w:asciiTheme="majorBidi" w:hAnsiTheme="majorBidi" w:cstheme="majorBidi"/>
              </w:rPr>
              <w:t>36</w:t>
            </w:r>
          </w:p>
        </w:tc>
        <w:tc>
          <w:tcPr>
            <w:tcW w:w="6379" w:type="dxa"/>
            <w:noWrap/>
            <w:hideMark/>
          </w:tcPr>
          <w:p w14:paraId="46243A49" w14:textId="77777777" w:rsidR="009F01D8" w:rsidRPr="002B28C3" w:rsidRDefault="009F01D8" w:rsidP="009F01D8">
            <w:pPr>
              <w:rPr>
                <w:rFonts w:asciiTheme="majorBidi" w:hAnsiTheme="majorBidi" w:cstheme="majorBidi"/>
              </w:rPr>
            </w:pPr>
            <w:r w:rsidRPr="002B28C3">
              <w:rPr>
                <w:rFonts w:asciiTheme="majorBidi" w:hAnsiTheme="majorBidi" w:cstheme="majorBidi"/>
              </w:rPr>
              <w:t>animals/</w:t>
            </w:r>
          </w:p>
        </w:tc>
        <w:tc>
          <w:tcPr>
            <w:tcW w:w="1508" w:type="dxa"/>
            <w:noWrap/>
            <w:hideMark/>
          </w:tcPr>
          <w:p w14:paraId="76DCCF3E" w14:textId="77777777" w:rsidR="009F01D8" w:rsidRPr="002B28C3" w:rsidRDefault="009F01D8" w:rsidP="009F01D8">
            <w:pPr>
              <w:rPr>
                <w:rFonts w:asciiTheme="majorBidi" w:hAnsiTheme="majorBidi" w:cstheme="majorBidi"/>
              </w:rPr>
            </w:pPr>
            <w:r w:rsidRPr="002B28C3">
              <w:rPr>
                <w:rFonts w:asciiTheme="majorBidi" w:hAnsiTheme="majorBidi" w:cstheme="majorBidi"/>
              </w:rPr>
              <w:t>1253461</w:t>
            </w:r>
          </w:p>
        </w:tc>
      </w:tr>
      <w:tr w:rsidR="009F01D8" w:rsidRPr="002B28C3" w14:paraId="419419C1" w14:textId="77777777" w:rsidTr="009F01D8">
        <w:trPr>
          <w:trHeight w:val="279"/>
        </w:trPr>
        <w:tc>
          <w:tcPr>
            <w:tcW w:w="1129" w:type="dxa"/>
            <w:noWrap/>
            <w:hideMark/>
          </w:tcPr>
          <w:p w14:paraId="0A6F1A52" w14:textId="77777777" w:rsidR="009F01D8" w:rsidRPr="002B28C3" w:rsidRDefault="009F01D8" w:rsidP="009F01D8">
            <w:pPr>
              <w:rPr>
                <w:rFonts w:asciiTheme="majorBidi" w:hAnsiTheme="majorBidi" w:cstheme="majorBidi"/>
              </w:rPr>
            </w:pPr>
            <w:r w:rsidRPr="002B28C3">
              <w:rPr>
                <w:rFonts w:asciiTheme="majorBidi" w:hAnsiTheme="majorBidi" w:cstheme="majorBidi"/>
              </w:rPr>
              <w:t>37</w:t>
            </w:r>
          </w:p>
        </w:tc>
        <w:tc>
          <w:tcPr>
            <w:tcW w:w="6379" w:type="dxa"/>
            <w:hideMark/>
          </w:tcPr>
          <w:p w14:paraId="635175C8" w14:textId="77777777" w:rsidR="009F01D8" w:rsidRPr="002B28C3" w:rsidRDefault="009F01D8" w:rsidP="009F01D8">
            <w:pPr>
              <w:rPr>
                <w:rFonts w:asciiTheme="majorBidi" w:hAnsiTheme="majorBidi" w:cstheme="majorBidi"/>
              </w:rPr>
            </w:pPr>
            <w:r w:rsidRPr="002B28C3">
              <w:rPr>
                <w:rFonts w:asciiTheme="majorBidi" w:hAnsiTheme="majorBidi" w:cstheme="majorBidi"/>
              </w:rPr>
              <w:t>humans/</w:t>
            </w:r>
          </w:p>
        </w:tc>
        <w:tc>
          <w:tcPr>
            <w:tcW w:w="1508" w:type="dxa"/>
            <w:noWrap/>
            <w:hideMark/>
          </w:tcPr>
          <w:p w14:paraId="47206A20" w14:textId="77777777" w:rsidR="009F01D8" w:rsidRPr="002B28C3" w:rsidRDefault="009F01D8" w:rsidP="009F01D8">
            <w:pPr>
              <w:rPr>
                <w:rFonts w:asciiTheme="majorBidi" w:hAnsiTheme="majorBidi" w:cstheme="majorBidi"/>
              </w:rPr>
            </w:pPr>
            <w:r w:rsidRPr="002B28C3">
              <w:rPr>
                <w:rFonts w:asciiTheme="majorBidi" w:hAnsiTheme="majorBidi" w:cstheme="majorBidi"/>
              </w:rPr>
              <w:t>13458185</w:t>
            </w:r>
          </w:p>
        </w:tc>
      </w:tr>
      <w:tr w:rsidR="009F01D8" w:rsidRPr="002B28C3" w14:paraId="5B8F7353" w14:textId="77777777" w:rsidTr="009F01D8">
        <w:trPr>
          <w:trHeight w:val="279"/>
        </w:trPr>
        <w:tc>
          <w:tcPr>
            <w:tcW w:w="1129" w:type="dxa"/>
            <w:noWrap/>
            <w:hideMark/>
          </w:tcPr>
          <w:p w14:paraId="69ACC991" w14:textId="77777777" w:rsidR="009F01D8" w:rsidRPr="002B28C3" w:rsidRDefault="009F01D8" w:rsidP="009F01D8">
            <w:pPr>
              <w:rPr>
                <w:rFonts w:asciiTheme="majorBidi" w:hAnsiTheme="majorBidi" w:cstheme="majorBidi"/>
              </w:rPr>
            </w:pPr>
            <w:r w:rsidRPr="002B28C3">
              <w:rPr>
                <w:rFonts w:asciiTheme="majorBidi" w:hAnsiTheme="majorBidi" w:cstheme="majorBidi"/>
              </w:rPr>
              <w:t>38</w:t>
            </w:r>
          </w:p>
        </w:tc>
        <w:tc>
          <w:tcPr>
            <w:tcW w:w="6379" w:type="dxa"/>
            <w:hideMark/>
          </w:tcPr>
          <w:p w14:paraId="24BDB251" w14:textId="77777777" w:rsidR="009F01D8" w:rsidRPr="002B28C3" w:rsidRDefault="009F01D8" w:rsidP="009F01D8">
            <w:pPr>
              <w:rPr>
                <w:rFonts w:asciiTheme="majorBidi" w:hAnsiTheme="majorBidi" w:cstheme="majorBidi"/>
              </w:rPr>
            </w:pPr>
            <w:r w:rsidRPr="002B28C3">
              <w:rPr>
                <w:rFonts w:asciiTheme="majorBidi" w:hAnsiTheme="majorBidi" w:cstheme="majorBidi"/>
              </w:rPr>
              <w:t>36 not (36 and 37)</w:t>
            </w:r>
          </w:p>
        </w:tc>
        <w:tc>
          <w:tcPr>
            <w:tcW w:w="1508" w:type="dxa"/>
            <w:noWrap/>
            <w:hideMark/>
          </w:tcPr>
          <w:p w14:paraId="1C6EA3D2" w14:textId="77777777" w:rsidR="009F01D8" w:rsidRPr="002B28C3" w:rsidRDefault="009F01D8" w:rsidP="009F01D8">
            <w:pPr>
              <w:rPr>
                <w:rFonts w:asciiTheme="majorBidi" w:hAnsiTheme="majorBidi" w:cstheme="majorBidi"/>
              </w:rPr>
            </w:pPr>
            <w:r w:rsidRPr="002B28C3">
              <w:rPr>
                <w:rFonts w:asciiTheme="majorBidi" w:hAnsiTheme="majorBidi" w:cstheme="majorBidi"/>
              </w:rPr>
              <w:t>965742</w:t>
            </w:r>
          </w:p>
        </w:tc>
      </w:tr>
      <w:tr w:rsidR="009F01D8" w:rsidRPr="002B28C3" w14:paraId="647AB942" w14:textId="77777777" w:rsidTr="009F01D8">
        <w:trPr>
          <w:trHeight w:val="279"/>
        </w:trPr>
        <w:tc>
          <w:tcPr>
            <w:tcW w:w="1129" w:type="dxa"/>
            <w:noWrap/>
            <w:hideMark/>
          </w:tcPr>
          <w:p w14:paraId="29480E4C" w14:textId="77777777" w:rsidR="009F01D8" w:rsidRPr="002B28C3" w:rsidRDefault="009F01D8" w:rsidP="009F01D8">
            <w:pPr>
              <w:rPr>
                <w:rFonts w:asciiTheme="majorBidi" w:hAnsiTheme="majorBidi" w:cstheme="majorBidi"/>
              </w:rPr>
            </w:pPr>
            <w:r w:rsidRPr="002B28C3">
              <w:rPr>
                <w:rFonts w:asciiTheme="majorBidi" w:hAnsiTheme="majorBidi" w:cstheme="majorBidi"/>
              </w:rPr>
              <w:t>39</w:t>
            </w:r>
          </w:p>
        </w:tc>
        <w:tc>
          <w:tcPr>
            <w:tcW w:w="6379" w:type="dxa"/>
            <w:hideMark/>
          </w:tcPr>
          <w:p w14:paraId="4C59369A" w14:textId="77777777" w:rsidR="009F01D8" w:rsidRPr="002B28C3" w:rsidRDefault="009F01D8" w:rsidP="009F01D8">
            <w:pPr>
              <w:rPr>
                <w:rFonts w:asciiTheme="majorBidi" w:hAnsiTheme="majorBidi" w:cstheme="majorBidi"/>
              </w:rPr>
            </w:pPr>
            <w:r w:rsidRPr="002B28C3">
              <w:rPr>
                <w:rFonts w:asciiTheme="majorBidi" w:hAnsiTheme="majorBidi" w:cstheme="majorBidi"/>
              </w:rPr>
              <w:t>35 not 38</w:t>
            </w:r>
          </w:p>
        </w:tc>
        <w:tc>
          <w:tcPr>
            <w:tcW w:w="1508" w:type="dxa"/>
            <w:noWrap/>
            <w:hideMark/>
          </w:tcPr>
          <w:p w14:paraId="1590863E" w14:textId="77777777" w:rsidR="009F01D8" w:rsidRPr="002B28C3" w:rsidRDefault="009F01D8" w:rsidP="009F01D8">
            <w:pPr>
              <w:rPr>
                <w:rFonts w:asciiTheme="majorBidi" w:hAnsiTheme="majorBidi" w:cstheme="majorBidi"/>
              </w:rPr>
            </w:pPr>
            <w:r w:rsidRPr="002B28C3">
              <w:rPr>
                <w:rFonts w:asciiTheme="majorBidi" w:hAnsiTheme="majorBidi" w:cstheme="majorBidi"/>
              </w:rPr>
              <w:t>1010813</w:t>
            </w:r>
          </w:p>
        </w:tc>
      </w:tr>
      <w:tr w:rsidR="009F01D8" w:rsidRPr="002B28C3" w14:paraId="18E3A303" w14:textId="77777777" w:rsidTr="009F01D8">
        <w:trPr>
          <w:trHeight w:val="279"/>
        </w:trPr>
        <w:tc>
          <w:tcPr>
            <w:tcW w:w="1129" w:type="dxa"/>
            <w:noWrap/>
            <w:hideMark/>
          </w:tcPr>
          <w:p w14:paraId="532216C8" w14:textId="77777777" w:rsidR="009F01D8" w:rsidRPr="002B28C3" w:rsidRDefault="009F01D8" w:rsidP="009F01D8">
            <w:pPr>
              <w:rPr>
                <w:rFonts w:asciiTheme="majorBidi" w:hAnsiTheme="majorBidi" w:cstheme="majorBidi"/>
              </w:rPr>
            </w:pPr>
            <w:r w:rsidRPr="002B28C3">
              <w:rPr>
                <w:rFonts w:asciiTheme="majorBidi" w:hAnsiTheme="majorBidi" w:cstheme="majorBidi"/>
              </w:rPr>
              <w:t>40</w:t>
            </w:r>
          </w:p>
        </w:tc>
        <w:tc>
          <w:tcPr>
            <w:tcW w:w="6379" w:type="dxa"/>
            <w:hideMark/>
          </w:tcPr>
          <w:p w14:paraId="5DD0CF85" w14:textId="77777777" w:rsidR="009F01D8" w:rsidRPr="002B28C3" w:rsidRDefault="009F01D8" w:rsidP="009F01D8">
            <w:pPr>
              <w:rPr>
                <w:rFonts w:asciiTheme="majorBidi" w:hAnsiTheme="majorBidi" w:cstheme="majorBidi"/>
              </w:rPr>
            </w:pPr>
            <w:r w:rsidRPr="002B28C3">
              <w:rPr>
                <w:rFonts w:asciiTheme="majorBidi" w:hAnsiTheme="majorBidi" w:cstheme="majorBidi"/>
              </w:rPr>
              <w:t>10 and 39</w:t>
            </w:r>
          </w:p>
        </w:tc>
        <w:tc>
          <w:tcPr>
            <w:tcW w:w="1508" w:type="dxa"/>
            <w:noWrap/>
            <w:hideMark/>
          </w:tcPr>
          <w:p w14:paraId="2EB60B7E" w14:textId="77777777" w:rsidR="009F01D8" w:rsidRPr="002B28C3" w:rsidRDefault="009F01D8" w:rsidP="009F01D8">
            <w:pPr>
              <w:rPr>
                <w:rFonts w:asciiTheme="majorBidi" w:hAnsiTheme="majorBidi" w:cstheme="majorBidi"/>
              </w:rPr>
            </w:pPr>
            <w:r w:rsidRPr="002B28C3">
              <w:rPr>
                <w:rFonts w:asciiTheme="majorBidi" w:hAnsiTheme="majorBidi" w:cstheme="majorBidi"/>
              </w:rPr>
              <w:t>56</w:t>
            </w:r>
          </w:p>
        </w:tc>
      </w:tr>
    </w:tbl>
    <w:p w14:paraId="6FF17371" w14:textId="77777777" w:rsidR="009F01D8" w:rsidRPr="00F63CD5" w:rsidRDefault="009F01D8" w:rsidP="009F01D8">
      <w:pPr>
        <w:spacing w:after="0"/>
      </w:pPr>
    </w:p>
    <w:p w14:paraId="1CE6AF96" w14:textId="77777777" w:rsidR="009F01D8" w:rsidRPr="00F63CD5" w:rsidRDefault="009F01D8" w:rsidP="009F01D8">
      <w:pPr>
        <w:spacing w:after="0"/>
        <w:rPr>
          <w:b/>
          <w:bCs/>
        </w:rPr>
      </w:pPr>
      <w:r w:rsidRPr="00F63CD5">
        <w:rPr>
          <w:b/>
          <w:bCs/>
        </w:rPr>
        <w:t>CRD database (searched via the University of York CRD platform)</w:t>
      </w:r>
    </w:p>
    <w:p w14:paraId="58EAD8F2" w14:textId="77777777" w:rsidR="009F01D8" w:rsidRPr="00F63CD5" w:rsidRDefault="009F01D8" w:rsidP="009F01D8">
      <w:pPr>
        <w:spacing w:after="0"/>
      </w:pPr>
      <w:r w:rsidRPr="00F63CD5">
        <w:t>1st March 2021</w:t>
      </w:r>
    </w:p>
    <w:p w14:paraId="44919262" w14:textId="77777777" w:rsidR="009F01D8" w:rsidRPr="00F63CD5" w:rsidRDefault="009F01D8" w:rsidP="009F01D8">
      <w:pPr>
        <w:spacing w:after="0"/>
      </w:pPr>
    </w:p>
    <w:tbl>
      <w:tblPr>
        <w:tblStyle w:val="TableGrid"/>
        <w:tblW w:w="0" w:type="auto"/>
        <w:tblLook w:val="04A0" w:firstRow="1" w:lastRow="0" w:firstColumn="1" w:lastColumn="0" w:noHBand="0" w:noVBand="1"/>
      </w:tblPr>
      <w:tblGrid>
        <w:gridCol w:w="1129"/>
        <w:gridCol w:w="6237"/>
        <w:gridCol w:w="1650"/>
      </w:tblGrid>
      <w:tr w:rsidR="009F01D8" w:rsidRPr="002B28C3" w14:paraId="34CA5CA9" w14:textId="77777777" w:rsidTr="009F01D8">
        <w:trPr>
          <w:trHeight w:val="279"/>
        </w:trPr>
        <w:tc>
          <w:tcPr>
            <w:tcW w:w="1129" w:type="dxa"/>
            <w:hideMark/>
          </w:tcPr>
          <w:p w14:paraId="1FA9849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37" w:type="dxa"/>
            <w:hideMark/>
          </w:tcPr>
          <w:p w14:paraId="45510154"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4FACD73F"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0AB965E8" w14:textId="77777777" w:rsidTr="009F01D8">
        <w:trPr>
          <w:trHeight w:val="279"/>
        </w:trPr>
        <w:tc>
          <w:tcPr>
            <w:tcW w:w="1129" w:type="dxa"/>
            <w:noWrap/>
            <w:hideMark/>
          </w:tcPr>
          <w:p w14:paraId="525191E4"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37" w:type="dxa"/>
            <w:hideMark/>
          </w:tcPr>
          <w:p w14:paraId="1E56B125" w14:textId="77777777" w:rsidR="009F01D8" w:rsidRPr="002B28C3" w:rsidRDefault="009F01D8" w:rsidP="009F01D8">
            <w:pPr>
              <w:rPr>
                <w:rFonts w:asciiTheme="majorBidi" w:hAnsiTheme="majorBidi" w:cstheme="majorBidi"/>
              </w:rPr>
            </w:pPr>
            <w:r w:rsidRPr="002B28C3">
              <w:rPr>
                <w:rFonts w:asciiTheme="majorBidi" w:hAnsiTheme="majorBidi" w:cstheme="majorBidi"/>
              </w:rPr>
              <w:t>(ceftazidime)</w:t>
            </w:r>
          </w:p>
        </w:tc>
        <w:tc>
          <w:tcPr>
            <w:tcW w:w="1650" w:type="dxa"/>
            <w:noWrap/>
            <w:hideMark/>
          </w:tcPr>
          <w:p w14:paraId="7ED69FB2" w14:textId="77777777" w:rsidR="009F01D8" w:rsidRPr="002B28C3" w:rsidRDefault="009F01D8" w:rsidP="009F01D8">
            <w:pPr>
              <w:rPr>
                <w:rFonts w:asciiTheme="majorBidi" w:hAnsiTheme="majorBidi" w:cstheme="majorBidi"/>
              </w:rPr>
            </w:pPr>
            <w:r w:rsidRPr="002B28C3">
              <w:rPr>
                <w:rFonts w:asciiTheme="majorBidi" w:hAnsiTheme="majorBidi" w:cstheme="majorBidi"/>
              </w:rPr>
              <w:t>49</w:t>
            </w:r>
          </w:p>
        </w:tc>
      </w:tr>
      <w:tr w:rsidR="009F01D8" w:rsidRPr="002B28C3" w14:paraId="4D83B145" w14:textId="77777777" w:rsidTr="009F01D8">
        <w:trPr>
          <w:trHeight w:val="279"/>
        </w:trPr>
        <w:tc>
          <w:tcPr>
            <w:tcW w:w="1129" w:type="dxa"/>
            <w:hideMark/>
          </w:tcPr>
          <w:p w14:paraId="05871AAD"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37" w:type="dxa"/>
            <w:noWrap/>
            <w:hideMark/>
          </w:tcPr>
          <w:p w14:paraId="2B170477" w14:textId="77777777" w:rsidR="009F01D8" w:rsidRPr="002B28C3" w:rsidRDefault="009F01D8" w:rsidP="009F01D8">
            <w:pPr>
              <w:rPr>
                <w:rFonts w:asciiTheme="majorBidi" w:hAnsiTheme="majorBidi" w:cstheme="majorBidi"/>
              </w:rPr>
            </w:pPr>
            <w:r w:rsidRPr="002B28C3">
              <w:rPr>
                <w:rFonts w:asciiTheme="majorBidi" w:hAnsiTheme="majorBidi" w:cstheme="majorBidi"/>
              </w:rPr>
              <w:t>(avibactam)</w:t>
            </w:r>
          </w:p>
        </w:tc>
        <w:tc>
          <w:tcPr>
            <w:tcW w:w="1650" w:type="dxa"/>
            <w:noWrap/>
            <w:hideMark/>
          </w:tcPr>
          <w:p w14:paraId="2D1303C0"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571765C6" w14:textId="77777777" w:rsidTr="009F01D8">
        <w:trPr>
          <w:trHeight w:val="279"/>
        </w:trPr>
        <w:tc>
          <w:tcPr>
            <w:tcW w:w="1129" w:type="dxa"/>
            <w:hideMark/>
          </w:tcPr>
          <w:p w14:paraId="503479B5"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237" w:type="dxa"/>
            <w:noWrap/>
            <w:hideMark/>
          </w:tcPr>
          <w:p w14:paraId="082E0633"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ceftazidime</w:t>
            </w:r>
            <w:proofErr w:type="gramEnd"/>
            <w:r w:rsidRPr="002B28C3">
              <w:rPr>
                <w:rFonts w:asciiTheme="majorBidi" w:hAnsiTheme="majorBidi" w:cstheme="majorBidi"/>
              </w:rPr>
              <w:t>-avibactam)</w:t>
            </w:r>
          </w:p>
        </w:tc>
        <w:tc>
          <w:tcPr>
            <w:tcW w:w="1650" w:type="dxa"/>
            <w:noWrap/>
            <w:hideMark/>
          </w:tcPr>
          <w:p w14:paraId="68B08627"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51AB45BE" w14:textId="77777777" w:rsidTr="009F01D8">
        <w:trPr>
          <w:trHeight w:val="279"/>
        </w:trPr>
        <w:tc>
          <w:tcPr>
            <w:tcW w:w="1129" w:type="dxa"/>
            <w:hideMark/>
          </w:tcPr>
          <w:p w14:paraId="37A85471"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237" w:type="dxa"/>
            <w:noWrap/>
            <w:hideMark/>
          </w:tcPr>
          <w:p w14:paraId="4FBC420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zavicefta</w:t>
            </w:r>
            <w:proofErr w:type="spellEnd"/>
            <w:r w:rsidRPr="002B28C3">
              <w:rPr>
                <w:rFonts w:asciiTheme="majorBidi" w:hAnsiTheme="majorBidi" w:cstheme="majorBidi"/>
              </w:rPr>
              <w:t>)</w:t>
            </w:r>
          </w:p>
        </w:tc>
        <w:tc>
          <w:tcPr>
            <w:tcW w:w="1650" w:type="dxa"/>
            <w:noWrap/>
            <w:hideMark/>
          </w:tcPr>
          <w:p w14:paraId="043DCB42"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5F62F41D" w14:textId="77777777" w:rsidTr="009F01D8">
        <w:trPr>
          <w:trHeight w:val="279"/>
        </w:trPr>
        <w:tc>
          <w:tcPr>
            <w:tcW w:w="1129" w:type="dxa"/>
            <w:hideMark/>
          </w:tcPr>
          <w:p w14:paraId="329F6EA7"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237" w:type="dxa"/>
            <w:noWrap/>
            <w:hideMark/>
          </w:tcPr>
          <w:p w14:paraId="2964D45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avycaz</w:t>
            </w:r>
            <w:proofErr w:type="spellEnd"/>
            <w:r w:rsidRPr="002B28C3">
              <w:rPr>
                <w:rFonts w:asciiTheme="majorBidi" w:hAnsiTheme="majorBidi" w:cstheme="majorBidi"/>
              </w:rPr>
              <w:t>)</w:t>
            </w:r>
          </w:p>
        </w:tc>
        <w:tc>
          <w:tcPr>
            <w:tcW w:w="1650" w:type="dxa"/>
            <w:noWrap/>
            <w:hideMark/>
          </w:tcPr>
          <w:p w14:paraId="1C32AEA7"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3D2B9647" w14:textId="77777777" w:rsidTr="009F01D8">
        <w:trPr>
          <w:trHeight w:val="279"/>
        </w:trPr>
        <w:tc>
          <w:tcPr>
            <w:tcW w:w="1129" w:type="dxa"/>
            <w:hideMark/>
          </w:tcPr>
          <w:p w14:paraId="723BE642"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237" w:type="dxa"/>
            <w:noWrap/>
            <w:hideMark/>
          </w:tcPr>
          <w:p w14:paraId="7EFD5720" w14:textId="77777777" w:rsidR="009F01D8" w:rsidRPr="002B28C3" w:rsidRDefault="009F01D8" w:rsidP="009F01D8">
            <w:pPr>
              <w:rPr>
                <w:rFonts w:asciiTheme="majorBidi" w:hAnsiTheme="majorBidi" w:cstheme="majorBidi"/>
                <w:lang w:val="pt-PT"/>
              </w:rPr>
            </w:pPr>
            <w:r w:rsidRPr="002B28C3">
              <w:rPr>
                <w:rFonts w:asciiTheme="majorBidi" w:hAnsiTheme="majorBidi" w:cstheme="majorBidi"/>
                <w:lang w:val="pt-PT"/>
              </w:rPr>
              <w:t>((ctz-avi or caz-avi))</w:t>
            </w:r>
          </w:p>
        </w:tc>
        <w:tc>
          <w:tcPr>
            <w:tcW w:w="1650" w:type="dxa"/>
            <w:noWrap/>
            <w:hideMark/>
          </w:tcPr>
          <w:p w14:paraId="58046F38"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bl>
    <w:p w14:paraId="4C3100F4" w14:textId="77777777" w:rsidR="009F01D8" w:rsidRPr="00F63CD5" w:rsidRDefault="009F01D8" w:rsidP="009F01D8">
      <w:pPr>
        <w:spacing w:after="0"/>
      </w:pPr>
    </w:p>
    <w:p w14:paraId="0EFE5E58" w14:textId="77777777" w:rsidR="009F01D8" w:rsidRPr="00F63CD5" w:rsidRDefault="009F01D8" w:rsidP="009F01D8">
      <w:pPr>
        <w:spacing w:after="0"/>
        <w:rPr>
          <w:rFonts w:eastAsia="Times New Roman"/>
          <w:b/>
          <w:bCs/>
          <w:color w:val="000000"/>
          <w:lang w:eastAsia="en-GB"/>
        </w:rPr>
      </w:pPr>
      <w:r w:rsidRPr="00F63CD5">
        <w:rPr>
          <w:rFonts w:eastAsia="Times New Roman"/>
          <w:b/>
          <w:bCs/>
          <w:color w:val="000000"/>
          <w:lang w:eastAsia="en-GB"/>
        </w:rPr>
        <w:t xml:space="preserve">Web of Science - Conference proceedings index </w:t>
      </w:r>
      <w:r w:rsidRPr="00F63CD5">
        <w:rPr>
          <w:b/>
        </w:rPr>
        <w:t>(searched via the Clarivate Analytics platform)</w:t>
      </w:r>
    </w:p>
    <w:p w14:paraId="4F76174E" w14:textId="77777777" w:rsidR="009F01D8" w:rsidRPr="00F63CD5" w:rsidRDefault="009F01D8" w:rsidP="009F01D8">
      <w:pPr>
        <w:spacing w:after="0"/>
      </w:pPr>
      <w:r w:rsidRPr="00F63CD5">
        <w:t>1st March 2021</w:t>
      </w:r>
    </w:p>
    <w:p w14:paraId="0068F42A" w14:textId="77777777" w:rsidR="009F01D8" w:rsidRPr="00F63CD5" w:rsidRDefault="009F01D8" w:rsidP="009F01D8">
      <w:pPr>
        <w:spacing w:after="0"/>
      </w:pPr>
    </w:p>
    <w:tbl>
      <w:tblPr>
        <w:tblStyle w:val="TableGrid"/>
        <w:tblW w:w="0" w:type="auto"/>
        <w:tblLook w:val="04A0" w:firstRow="1" w:lastRow="0" w:firstColumn="1" w:lastColumn="0" w:noHBand="0" w:noVBand="1"/>
      </w:tblPr>
      <w:tblGrid>
        <w:gridCol w:w="1129"/>
        <w:gridCol w:w="6237"/>
        <w:gridCol w:w="1650"/>
      </w:tblGrid>
      <w:tr w:rsidR="009F01D8" w:rsidRPr="002B28C3" w14:paraId="4E1CAC67" w14:textId="77777777" w:rsidTr="009F01D8">
        <w:trPr>
          <w:trHeight w:val="279"/>
        </w:trPr>
        <w:tc>
          <w:tcPr>
            <w:tcW w:w="1129" w:type="dxa"/>
            <w:hideMark/>
          </w:tcPr>
          <w:p w14:paraId="556BA727"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37" w:type="dxa"/>
            <w:hideMark/>
          </w:tcPr>
          <w:p w14:paraId="1DF87058"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5EFA946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264B9354" w14:textId="77777777" w:rsidTr="009F01D8">
        <w:trPr>
          <w:trHeight w:val="279"/>
        </w:trPr>
        <w:tc>
          <w:tcPr>
            <w:tcW w:w="1129" w:type="dxa"/>
            <w:noWrap/>
            <w:hideMark/>
          </w:tcPr>
          <w:p w14:paraId="3D0EDBF6" w14:textId="77777777" w:rsidR="009F01D8" w:rsidRPr="002B28C3" w:rsidRDefault="009F01D8" w:rsidP="009F01D8">
            <w:pPr>
              <w:rPr>
                <w:rFonts w:asciiTheme="majorBidi" w:hAnsiTheme="majorBidi" w:cstheme="majorBidi"/>
              </w:rPr>
            </w:pPr>
            <w:r w:rsidRPr="002B28C3">
              <w:rPr>
                <w:rFonts w:asciiTheme="majorBidi" w:hAnsiTheme="majorBidi" w:cstheme="majorBidi"/>
              </w:rPr>
              <w:t># 1</w:t>
            </w:r>
          </w:p>
        </w:tc>
        <w:tc>
          <w:tcPr>
            <w:tcW w:w="6237" w:type="dxa"/>
            <w:noWrap/>
            <w:hideMark/>
          </w:tcPr>
          <w:p w14:paraId="7E193F76"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gramEnd"/>
            <w:r w:rsidRPr="002B28C3">
              <w:rPr>
                <w:rFonts w:asciiTheme="majorBidi" w:hAnsiTheme="majorBidi" w:cstheme="majorBidi"/>
              </w:rPr>
              <w:t xml:space="preserve">ceftazidime)  </w:t>
            </w:r>
          </w:p>
        </w:tc>
        <w:tc>
          <w:tcPr>
            <w:tcW w:w="1650" w:type="dxa"/>
            <w:noWrap/>
            <w:hideMark/>
          </w:tcPr>
          <w:p w14:paraId="29A47C91" w14:textId="77777777" w:rsidR="009F01D8" w:rsidRPr="002B28C3" w:rsidRDefault="009F01D8" w:rsidP="009F01D8">
            <w:pPr>
              <w:rPr>
                <w:rFonts w:asciiTheme="majorBidi" w:hAnsiTheme="majorBidi" w:cstheme="majorBidi"/>
              </w:rPr>
            </w:pPr>
            <w:r w:rsidRPr="002B28C3">
              <w:rPr>
                <w:rFonts w:asciiTheme="majorBidi" w:hAnsiTheme="majorBidi" w:cstheme="majorBidi"/>
              </w:rPr>
              <w:t>9,711</w:t>
            </w:r>
          </w:p>
        </w:tc>
      </w:tr>
      <w:tr w:rsidR="009F01D8" w:rsidRPr="002B28C3" w14:paraId="75936584" w14:textId="77777777" w:rsidTr="009F01D8">
        <w:trPr>
          <w:trHeight w:val="279"/>
        </w:trPr>
        <w:tc>
          <w:tcPr>
            <w:tcW w:w="1129" w:type="dxa"/>
            <w:noWrap/>
            <w:hideMark/>
          </w:tcPr>
          <w:p w14:paraId="3C5FD063" w14:textId="77777777" w:rsidR="009F01D8" w:rsidRPr="002B28C3" w:rsidRDefault="009F01D8" w:rsidP="009F01D8">
            <w:pPr>
              <w:rPr>
                <w:rFonts w:asciiTheme="majorBidi" w:hAnsiTheme="majorBidi" w:cstheme="majorBidi"/>
              </w:rPr>
            </w:pPr>
            <w:r w:rsidRPr="002B28C3">
              <w:rPr>
                <w:rFonts w:asciiTheme="majorBidi" w:hAnsiTheme="majorBidi" w:cstheme="majorBidi"/>
              </w:rPr>
              <w:t># 2</w:t>
            </w:r>
          </w:p>
        </w:tc>
        <w:tc>
          <w:tcPr>
            <w:tcW w:w="6237" w:type="dxa"/>
            <w:noWrap/>
            <w:hideMark/>
          </w:tcPr>
          <w:p w14:paraId="42CA3BC2"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gramEnd"/>
            <w:r w:rsidRPr="002B28C3">
              <w:rPr>
                <w:rFonts w:asciiTheme="majorBidi" w:hAnsiTheme="majorBidi" w:cstheme="majorBidi"/>
              </w:rPr>
              <w:t xml:space="preserve">avibactam)  </w:t>
            </w:r>
          </w:p>
        </w:tc>
        <w:tc>
          <w:tcPr>
            <w:tcW w:w="1650" w:type="dxa"/>
            <w:noWrap/>
            <w:hideMark/>
          </w:tcPr>
          <w:p w14:paraId="63635A7D" w14:textId="77777777" w:rsidR="009F01D8" w:rsidRPr="002B28C3" w:rsidRDefault="009F01D8" w:rsidP="009F01D8">
            <w:pPr>
              <w:rPr>
                <w:rFonts w:asciiTheme="majorBidi" w:hAnsiTheme="majorBidi" w:cstheme="majorBidi"/>
              </w:rPr>
            </w:pPr>
            <w:r w:rsidRPr="002B28C3">
              <w:rPr>
                <w:rFonts w:asciiTheme="majorBidi" w:hAnsiTheme="majorBidi" w:cstheme="majorBidi"/>
              </w:rPr>
              <w:t>1,167</w:t>
            </w:r>
          </w:p>
        </w:tc>
      </w:tr>
      <w:tr w:rsidR="009F01D8" w:rsidRPr="002B28C3" w14:paraId="399CEECE" w14:textId="77777777" w:rsidTr="009F01D8">
        <w:trPr>
          <w:trHeight w:val="279"/>
        </w:trPr>
        <w:tc>
          <w:tcPr>
            <w:tcW w:w="1129" w:type="dxa"/>
            <w:noWrap/>
            <w:hideMark/>
          </w:tcPr>
          <w:p w14:paraId="32AA7FAD" w14:textId="77777777" w:rsidR="009F01D8" w:rsidRPr="002B28C3" w:rsidRDefault="009F01D8" w:rsidP="009F01D8">
            <w:pPr>
              <w:rPr>
                <w:rFonts w:asciiTheme="majorBidi" w:hAnsiTheme="majorBidi" w:cstheme="majorBidi"/>
              </w:rPr>
            </w:pPr>
            <w:r w:rsidRPr="002B28C3">
              <w:rPr>
                <w:rFonts w:asciiTheme="majorBidi" w:hAnsiTheme="majorBidi" w:cstheme="majorBidi"/>
              </w:rPr>
              <w:t># 3</w:t>
            </w:r>
          </w:p>
        </w:tc>
        <w:tc>
          <w:tcPr>
            <w:tcW w:w="6237" w:type="dxa"/>
            <w:noWrap/>
            <w:hideMark/>
          </w:tcPr>
          <w:p w14:paraId="51F0DA1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2  AND</w:t>
            </w:r>
            <w:proofErr w:type="gramEnd"/>
            <w:r w:rsidRPr="002B28C3">
              <w:rPr>
                <w:rFonts w:asciiTheme="majorBidi" w:hAnsiTheme="majorBidi" w:cstheme="majorBidi"/>
              </w:rPr>
              <w:t xml:space="preserve">  #1  </w:t>
            </w:r>
          </w:p>
        </w:tc>
        <w:tc>
          <w:tcPr>
            <w:tcW w:w="1650" w:type="dxa"/>
            <w:noWrap/>
            <w:hideMark/>
          </w:tcPr>
          <w:p w14:paraId="1FEBF183" w14:textId="77777777" w:rsidR="009F01D8" w:rsidRPr="002B28C3" w:rsidRDefault="009F01D8" w:rsidP="009F01D8">
            <w:pPr>
              <w:rPr>
                <w:rFonts w:asciiTheme="majorBidi" w:hAnsiTheme="majorBidi" w:cstheme="majorBidi"/>
              </w:rPr>
            </w:pPr>
            <w:r w:rsidRPr="002B28C3">
              <w:rPr>
                <w:rFonts w:asciiTheme="majorBidi" w:hAnsiTheme="majorBidi" w:cstheme="majorBidi"/>
              </w:rPr>
              <w:t>984</w:t>
            </w:r>
          </w:p>
        </w:tc>
      </w:tr>
      <w:tr w:rsidR="009F01D8" w:rsidRPr="002B28C3" w14:paraId="11CCBA4F" w14:textId="77777777" w:rsidTr="009F01D8">
        <w:trPr>
          <w:trHeight w:val="279"/>
        </w:trPr>
        <w:tc>
          <w:tcPr>
            <w:tcW w:w="1129" w:type="dxa"/>
            <w:noWrap/>
            <w:hideMark/>
          </w:tcPr>
          <w:p w14:paraId="548221DC" w14:textId="77777777" w:rsidR="009F01D8" w:rsidRPr="002B28C3" w:rsidRDefault="009F01D8" w:rsidP="009F01D8">
            <w:pPr>
              <w:rPr>
                <w:rFonts w:asciiTheme="majorBidi" w:hAnsiTheme="majorBidi" w:cstheme="majorBidi"/>
              </w:rPr>
            </w:pPr>
            <w:r w:rsidRPr="002B28C3">
              <w:rPr>
                <w:rFonts w:asciiTheme="majorBidi" w:hAnsiTheme="majorBidi" w:cstheme="majorBidi"/>
              </w:rPr>
              <w:t># 4</w:t>
            </w:r>
          </w:p>
        </w:tc>
        <w:tc>
          <w:tcPr>
            <w:tcW w:w="6237" w:type="dxa"/>
            <w:noWrap/>
            <w:hideMark/>
          </w:tcPr>
          <w:p w14:paraId="1F59EAA3"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gramEnd"/>
            <w:r w:rsidRPr="002B28C3">
              <w:rPr>
                <w:rFonts w:asciiTheme="majorBidi" w:hAnsiTheme="majorBidi" w:cstheme="majorBidi"/>
              </w:rPr>
              <w:t xml:space="preserve">ceftazidime-avibactam)  </w:t>
            </w:r>
          </w:p>
        </w:tc>
        <w:tc>
          <w:tcPr>
            <w:tcW w:w="1650" w:type="dxa"/>
            <w:noWrap/>
            <w:hideMark/>
          </w:tcPr>
          <w:p w14:paraId="578B3067" w14:textId="77777777" w:rsidR="009F01D8" w:rsidRPr="002B28C3" w:rsidRDefault="009F01D8" w:rsidP="009F01D8">
            <w:pPr>
              <w:rPr>
                <w:rFonts w:asciiTheme="majorBidi" w:hAnsiTheme="majorBidi" w:cstheme="majorBidi"/>
              </w:rPr>
            </w:pPr>
            <w:r w:rsidRPr="002B28C3">
              <w:rPr>
                <w:rFonts w:asciiTheme="majorBidi" w:hAnsiTheme="majorBidi" w:cstheme="majorBidi"/>
              </w:rPr>
              <w:t>919</w:t>
            </w:r>
          </w:p>
        </w:tc>
      </w:tr>
      <w:tr w:rsidR="009F01D8" w:rsidRPr="002B28C3" w14:paraId="5D0FC2B1" w14:textId="77777777" w:rsidTr="009F01D8">
        <w:trPr>
          <w:trHeight w:val="279"/>
        </w:trPr>
        <w:tc>
          <w:tcPr>
            <w:tcW w:w="1129" w:type="dxa"/>
            <w:noWrap/>
            <w:hideMark/>
          </w:tcPr>
          <w:p w14:paraId="761428D6" w14:textId="77777777" w:rsidR="009F01D8" w:rsidRPr="002B28C3" w:rsidRDefault="009F01D8" w:rsidP="009F01D8">
            <w:pPr>
              <w:rPr>
                <w:rFonts w:asciiTheme="majorBidi" w:hAnsiTheme="majorBidi" w:cstheme="majorBidi"/>
              </w:rPr>
            </w:pPr>
            <w:r w:rsidRPr="002B28C3">
              <w:rPr>
                <w:rFonts w:asciiTheme="majorBidi" w:hAnsiTheme="majorBidi" w:cstheme="majorBidi"/>
              </w:rPr>
              <w:t># 5</w:t>
            </w:r>
          </w:p>
        </w:tc>
        <w:tc>
          <w:tcPr>
            <w:tcW w:w="6237" w:type="dxa"/>
            <w:noWrap/>
            <w:hideMark/>
          </w:tcPr>
          <w:p w14:paraId="7E6F8629"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spellStart"/>
            <w:proofErr w:type="gramEnd"/>
            <w:r w:rsidRPr="002B28C3">
              <w:rPr>
                <w:rFonts w:asciiTheme="majorBidi" w:hAnsiTheme="majorBidi" w:cstheme="majorBidi"/>
              </w:rPr>
              <w:t>zavicefta</w:t>
            </w:r>
            <w:proofErr w:type="spellEnd"/>
            <w:r w:rsidRPr="002B28C3">
              <w:rPr>
                <w:rFonts w:asciiTheme="majorBidi" w:hAnsiTheme="majorBidi" w:cstheme="majorBidi"/>
              </w:rPr>
              <w:t xml:space="preserve">)  </w:t>
            </w:r>
          </w:p>
        </w:tc>
        <w:tc>
          <w:tcPr>
            <w:tcW w:w="1650" w:type="dxa"/>
            <w:noWrap/>
            <w:hideMark/>
          </w:tcPr>
          <w:p w14:paraId="177ACCCE"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r>
      <w:tr w:rsidR="009F01D8" w:rsidRPr="002B28C3" w14:paraId="6628A260" w14:textId="77777777" w:rsidTr="009F01D8">
        <w:trPr>
          <w:trHeight w:val="279"/>
        </w:trPr>
        <w:tc>
          <w:tcPr>
            <w:tcW w:w="1129" w:type="dxa"/>
            <w:noWrap/>
            <w:hideMark/>
          </w:tcPr>
          <w:p w14:paraId="40ACE18F" w14:textId="77777777" w:rsidR="009F01D8" w:rsidRPr="002B28C3" w:rsidRDefault="009F01D8" w:rsidP="009F01D8">
            <w:pPr>
              <w:rPr>
                <w:rFonts w:asciiTheme="majorBidi" w:hAnsiTheme="majorBidi" w:cstheme="majorBidi"/>
              </w:rPr>
            </w:pPr>
            <w:r w:rsidRPr="002B28C3">
              <w:rPr>
                <w:rFonts w:asciiTheme="majorBidi" w:hAnsiTheme="majorBidi" w:cstheme="majorBidi"/>
              </w:rPr>
              <w:t># 6</w:t>
            </w:r>
          </w:p>
        </w:tc>
        <w:tc>
          <w:tcPr>
            <w:tcW w:w="6237" w:type="dxa"/>
            <w:noWrap/>
            <w:hideMark/>
          </w:tcPr>
          <w:p w14:paraId="4355FBF2"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spellStart"/>
            <w:proofErr w:type="gramEnd"/>
            <w:r w:rsidRPr="002B28C3">
              <w:rPr>
                <w:rFonts w:asciiTheme="majorBidi" w:hAnsiTheme="majorBidi" w:cstheme="majorBidi"/>
              </w:rPr>
              <w:t>avycaz</w:t>
            </w:r>
            <w:proofErr w:type="spellEnd"/>
            <w:r w:rsidRPr="002B28C3">
              <w:rPr>
                <w:rFonts w:asciiTheme="majorBidi" w:hAnsiTheme="majorBidi" w:cstheme="majorBidi"/>
              </w:rPr>
              <w:t xml:space="preserve">)  </w:t>
            </w:r>
          </w:p>
        </w:tc>
        <w:tc>
          <w:tcPr>
            <w:tcW w:w="1650" w:type="dxa"/>
            <w:noWrap/>
            <w:hideMark/>
          </w:tcPr>
          <w:p w14:paraId="54AF5A50"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r>
      <w:tr w:rsidR="009F01D8" w:rsidRPr="002B28C3" w14:paraId="5C7F0DBF" w14:textId="77777777" w:rsidTr="009F01D8">
        <w:trPr>
          <w:trHeight w:val="279"/>
        </w:trPr>
        <w:tc>
          <w:tcPr>
            <w:tcW w:w="1129" w:type="dxa"/>
            <w:noWrap/>
            <w:hideMark/>
          </w:tcPr>
          <w:p w14:paraId="3FEA2B9F" w14:textId="77777777" w:rsidR="009F01D8" w:rsidRPr="002B28C3" w:rsidRDefault="009F01D8" w:rsidP="009F01D8">
            <w:pPr>
              <w:rPr>
                <w:rFonts w:asciiTheme="majorBidi" w:hAnsiTheme="majorBidi" w:cstheme="majorBidi"/>
              </w:rPr>
            </w:pPr>
            <w:r w:rsidRPr="002B28C3">
              <w:rPr>
                <w:rFonts w:asciiTheme="majorBidi" w:hAnsiTheme="majorBidi" w:cstheme="majorBidi"/>
              </w:rPr>
              <w:t># 7</w:t>
            </w:r>
          </w:p>
        </w:tc>
        <w:tc>
          <w:tcPr>
            <w:tcW w:w="6237" w:type="dxa"/>
            <w:noWrap/>
            <w:hideMark/>
          </w:tcPr>
          <w:p w14:paraId="15983813" w14:textId="77777777" w:rsidR="009F01D8" w:rsidRPr="002B28C3" w:rsidRDefault="009F01D8" w:rsidP="009F01D8">
            <w:pPr>
              <w:rPr>
                <w:rFonts w:asciiTheme="majorBidi" w:hAnsiTheme="majorBidi" w:cstheme="majorBidi"/>
              </w:rPr>
            </w:pPr>
            <w:r w:rsidRPr="002B28C3">
              <w:rPr>
                <w:rFonts w:asciiTheme="majorBidi" w:hAnsiTheme="majorBidi" w:cstheme="majorBidi"/>
              </w:rPr>
              <w:t>TOPIC</w:t>
            </w:r>
            <w:proofErr w:type="gramStart"/>
            <w:r w:rsidRPr="002B28C3">
              <w:rPr>
                <w:rFonts w:asciiTheme="majorBidi" w:hAnsiTheme="majorBidi" w:cstheme="majorBidi"/>
              </w:rPr>
              <w:t>:  (</w:t>
            </w:r>
            <w:proofErr w:type="gramEnd"/>
            <w:r w:rsidRPr="002B28C3">
              <w:rPr>
                <w:rFonts w:asciiTheme="majorBidi" w:hAnsiTheme="majorBidi" w:cstheme="majorBidi"/>
              </w:rPr>
              <w:t>(</w:t>
            </w:r>
            <w:proofErr w:type="spellStart"/>
            <w:r w:rsidRPr="002B28C3">
              <w:rPr>
                <w:rFonts w:asciiTheme="majorBidi" w:hAnsiTheme="majorBidi" w:cstheme="majorBidi"/>
              </w:rPr>
              <w:t>ctz-avi</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caz-avi</w:t>
            </w:r>
            <w:proofErr w:type="spellEnd"/>
            <w:r w:rsidRPr="002B28C3">
              <w:rPr>
                <w:rFonts w:asciiTheme="majorBidi" w:hAnsiTheme="majorBidi" w:cstheme="majorBidi"/>
              </w:rPr>
              <w:t xml:space="preserve">) )  </w:t>
            </w:r>
          </w:p>
        </w:tc>
        <w:tc>
          <w:tcPr>
            <w:tcW w:w="1650" w:type="dxa"/>
            <w:noWrap/>
            <w:hideMark/>
          </w:tcPr>
          <w:p w14:paraId="0BABE50E" w14:textId="77777777" w:rsidR="009F01D8" w:rsidRPr="002B28C3" w:rsidRDefault="009F01D8" w:rsidP="009F01D8">
            <w:pPr>
              <w:rPr>
                <w:rFonts w:asciiTheme="majorBidi" w:hAnsiTheme="majorBidi" w:cstheme="majorBidi"/>
              </w:rPr>
            </w:pPr>
            <w:r w:rsidRPr="002B28C3">
              <w:rPr>
                <w:rFonts w:asciiTheme="majorBidi" w:hAnsiTheme="majorBidi" w:cstheme="majorBidi"/>
              </w:rPr>
              <w:t>59</w:t>
            </w:r>
          </w:p>
        </w:tc>
      </w:tr>
      <w:tr w:rsidR="009F01D8" w:rsidRPr="002B28C3" w14:paraId="4DBBF8F6" w14:textId="77777777" w:rsidTr="009F01D8">
        <w:trPr>
          <w:trHeight w:val="279"/>
        </w:trPr>
        <w:tc>
          <w:tcPr>
            <w:tcW w:w="1129" w:type="dxa"/>
            <w:noWrap/>
            <w:hideMark/>
          </w:tcPr>
          <w:p w14:paraId="113F330E" w14:textId="77777777" w:rsidR="009F01D8" w:rsidRPr="002B28C3" w:rsidRDefault="009F01D8" w:rsidP="009F01D8">
            <w:pPr>
              <w:rPr>
                <w:rFonts w:asciiTheme="majorBidi" w:hAnsiTheme="majorBidi" w:cstheme="majorBidi"/>
              </w:rPr>
            </w:pPr>
            <w:r w:rsidRPr="002B28C3">
              <w:rPr>
                <w:rFonts w:asciiTheme="majorBidi" w:hAnsiTheme="majorBidi" w:cstheme="majorBidi"/>
              </w:rPr>
              <w:t># 8</w:t>
            </w:r>
          </w:p>
        </w:tc>
        <w:tc>
          <w:tcPr>
            <w:tcW w:w="6237" w:type="dxa"/>
            <w:noWrap/>
            <w:hideMark/>
          </w:tcPr>
          <w:p w14:paraId="40964B52"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7  OR</w:t>
            </w:r>
            <w:proofErr w:type="gramEnd"/>
            <w:r w:rsidRPr="002B28C3">
              <w:rPr>
                <w:rFonts w:asciiTheme="majorBidi" w:hAnsiTheme="majorBidi" w:cstheme="majorBidi"/>
              </w:rPr>
              <w:t xml:space="preserve">  #6  OR  #5  OR  #4  OR  #3  </w:t>
            </w:r>
          </w:p>
        </w:tc>
        <w:tc>
          <w:tcPr>
            <w:tcW w:w="1650" w:type="dxa"/>
            <w:noWrap/>
            <w:hideMark/>
          </w:tcPr>
          <w:p w14:paraId="60D45B35" w14:textId="77777777" w:rsidR="009F01D8" w:rsidRPr="002B28C3" w:rsidRDefault="009F01D8" w:rsidP="009F01D8">
            <w:pPr>
              <w:rPr>
                <w:rFonts w:asciiTheme="majorBidi" w:hAnsiTheme="majorBidi" w:cstheme="majorBidi"/>
              </w:rPr>
            </w:pPr>
            <w:r w:rsidRPr="002B28C3">
              <w:rPr>
                <w:rFonts w:asciiTheme="majorBidi" w:hAnsiTheme="majorBidi" w:cstheme="majorBidi"/>
              </w:rPr>
              <w:t>14</w:t>
            </w:r>
          </w:p>
        </w:tc>
      </w:tr>
    </w:tbl>
    <w:p w14:paraId="3F4AE71C" w14:textId="77777777" w:rsidR="009F01D8" w:rsidRPr="00C33621" w:rsidRDefault="009F01D8" w:rsidP="009F01D8">
      <w:pPr>
        <w:spacing w:after="0"/>
        <w:rPr>
          <w:rFonts w:asciiTheme="majorBidi" w:hAnsiTheme="majorBidi" w:cstheme="majorBidi"/>
          <w:sz w:val="24"/>
          <w:szCs w:val="24"/>
        </w:rPr>
      </w:pPr>
    </w:p>
    <w:p w14:paraId="3790ECAC" w14:textId="51F7731F" w:rsidR="009F01D8" w:rsidRPr="002E4F02" w:rsidRDefault="00C33621" w:rsidP="00D76748">
      <w:pPr>
        <w:pStyle w:val="Heading3"/>
        <w:tabs>
          <w:tab w:val="left" w:pos="709"/>
        </w:tabs>
        <w:ind w:left="360"/>
        <w:rPr>
          <w:rFonts w:asciiTheme="majorBidi" w:hAnsiTheme="majorBidi"/>
          <w:b w:val="0"/>
          <w:sz w:val="26"/>
          <w:szCs w:val="26"/>
        </w:rPr>
      </w:pPr>
      <w:bookmarkStart w:id="597" w:name="_Hlk85398110"/>
      <w:r>
        <w:rPr>
          <w:rFonts w:asciiTheme="majorBidi" w:hAnsiTheme="majorBidi"/>
        </w:rPr>
        <w:tab/>
      </w:r>
      <w:bookmarkStart w:id="598" w:name="_Toc87463076"/>
      <w:r w:rsidRPr="002E4F02">
        <w:rPr>
          <w:rFonts w:asciiTheme="majorBidi" w:hAnsiTheme="majorBidi"/>
          <w:sz w:val="26"/>
          <w:szCs w:val="26"/>
        </w:rPr>
        <w:t xml:space="preserve">A1.3 </w:t>
      </w:r>
      <w:bookmarkStart w:id="599" w:name="_Toc77254195"/>
      <w:r w:rsidRPr="002E4F02">
        <w:rPr>
          <w:rFonts w:asciiTheme="majorBidi" w:hAnsiTheme="majorBidi"/>
          <w:sz w:val="26"/>
          <w:szCs w:val="26"/>
        </w:rPr>
        <w:t>Non-Clinical Evidence</w:t>
      </w:r>
      <w:bookmarkEnd w:id="598"/>
      <w:r w:rsidRPr="002E4F02">
        <w:rPr>
          <w:rFonts w:asciiTheme="majorBidi" w:hAnsiTheme="majorBidi"/>
          <w:sz w:val="26"/>
          <w:szCs w:val="26"/>
        </w:rPr>
        <w:t xml:space="preserve"> </w:t>
      </w:r>
      <w:bookmarkEnd w:id="599"/>
    </w:p>
    <w:p w14:paraId="4DD4519C" w14:textId="77777777" w:rsidR="009F01D8" w:rsidRPr="00F63CD5" w:rsidRDefault="009F01D8" w:rsidP="009F01D8">
      <w:r w:rsidRPr="00F63CD5">
        <w:t xml:space="preserve">Systematic searches were conducted from March until July 2021 to identify non-clinical evidence </w:t>
      </w:r>
      <w:r w:rsidRPr="007130AE">
        <w:t xml:space="preserve">for </w:t>
      </w:r>
      <w:r>
        <w:t>relating to the evaluation.</w:t>
      </w:r>
    </w:p>
    <w:p w14:paraId="654BA051" w14:textId="77777777" w:rsidR="009F01D8" w:rsidRPr="002B28C3" w:rsidRDefault="009F01D8" w:rsidP="009F01D8">
      <w:pPr>
        <w:rPr>
          <w:rFonts w:asciiTheme="majorBidi" w:hAnsiTheme="majorBidi" w:cstheme="majorBidi"/>
        </w:rPr>
      </w:pPr>
      <w:r w:rsidRPr="002B28C3">
        <w:rPr>
          <w:rFonts w:asciiTheme="majorBidi" w:hAnsiTheme="majorBidi" w:cstheme="majorBidi"/>
        </w:rPr>
        <w:t>The following electronic databases were searched from database inception:</w:t>
      </w:r>
    </w:p>
    <w:p w14:paraId="21522AAE" w14:textId="77777777" w:rsidR="009F01D8" w:rsidRPr="002B28C3" w:rsidRDefault="009F01D8" w:rsidP="005A3BE6">
      <w:pPr>
        <w:pStyle w:val="ListParagraph"/>
        <w:numPr>
          <w:ilvl w:val="0"/>
          <w:numId w:val="79"/>
        </w:numPr>
        <w:spacing w:after="0" w:line="276" w:lineRule="auto"/>
        <w:rPr>
          <w:rFonts w:asciiTheme="majorBidi" w:hAnsiTheme="majorBidi" w:cstheme="majorBidi"/>
        </w:rPr>
      </w:pPr>
      <w:r w:rsidRPr="002B28C3">
        <w:rPr>
          <w:rFonts w:asciiTheme="majorBidi" w:hAnsiTheme="majorBidi" w:cstheme="majorBidi"/>
        </w:rPr>
        <w:t xml:space="preserve">MEDLINE and </w:t>
      </w:r>
      <w:proofErr w:type="spellStart"/>
      <w:r w:rsidRPr="002B28C3">
        <w:rPr>
          <w:rFonts w:asciiTheme="majorBidi" w:hAnsiTheme="majorBidi" w:cstheme="majorBidi"/>
        </w:rPr>
        <w:t>Epub</w:t>
      </w:r>
      <w:proofErr w:type="spellEnd"/>
      <w:r w:rsidRPr="002B28C3">
        <w:rPr>
          <w:rFonts w:asciiTheme="majorBidi" w:hAnsiTheme="majorBidi" w:cstheme="majorBidi"/>
        </w:rPr>
        <w:t xml:space="preserve"> Ahead of Print, In-Process, In-Data-Review &amp; Other Non-Indexed Citations, Daily and Versions: Ovid, 1946 to Present</w:t>
      </w:r>
    </w:p>
    <w:p w14:paraId="683C1439" w14:textId="77777777" w:rsidR="009F01D8" w:rsidRPr="002B28C3" w:rsidRDefault="009F01D8" w:rsidP="005A3BE6">
      <w:pPr>
        <w:pStyle w:val="ListParagraph"/>
        <w:numPr>
          <w:ilvl w:val="0"/>
          <w:numId w:val="79"/>
        </w:numPr>
        <w:spacing w:after="0" w:line="276" w:lineRule="auto"/>
        <w:rPr>
          <w:rFonts w:asciiTheme="majorBidi" w:hAnsiTheme="majorBidi" w:cstheme="majorBidi"/>
        </w:rPr>
      </w:pPr>
      <w:r w:rsidRPr="002B28C3">
        <w:rPr>
          <w:rFonts w:asciiTheme="majorBidi" w:hAnsiTheme="majorBidi" w:cstheme="majorBidi"/>
        </w:rPr>
        <w:t>EMBASE: Ovid, 1980 to present</w:t>
      </w:r>
    </w:p>
    <w:p w14:paraId="63E0C5B1" w14:textId="77777777" w:rsidR="009F01D8" w:rsidRPr="002B28C3" w:rsidRDefault="009F01D8" w:rsidP="005A3BE6">
      <w:pPr>
        <w:pStyle w:val="ListParagraph"/>
        <w:numPr>
          <w:ilvl w:val="0"/>
          <w:numId w:val="79"/>
        </w:numPr>
        <w:spacing w:after="0" w:line="276" w:lineRule="auto"/>
        <w:rPr>
          <w:rFonts w:asciiTheme="majorBidi" w:hAnsiTheme="majorBidi" w:cstheme="majorBidi"/>
        </w:rPr>
      </w:pPr>
      <w:r w:rsidRPr="002B28C3">
        <w:rPr>
          <w:rFonts w:asciiTheme="majorBidi" w:hAnsiTheme="majorBidi" w:cstheme="majorBidi"/>
        </w:rPr>
        <w:t>The University of York Centre for Reviews and Dissemination (CRD) platform</w:t>
      </w:r>
    </w:p>
    <w:p w14:paraId="410D0239" w14:textId="77777777" w:rsidR="009F01D8" w:rsidRPr="002B28C3" w:rsidRDefault="009F01D8" w:rsidP="005A3BE6">
      <w:pPr>
        <w:pStyle w:val="ListParagraph"/>
        <w:numPr>
          <w:ilvl w:val="1"/>
          <w:numId w:val="79"/>
        </w:numPr>
        <w:spacing w:after="0" w:line="276" w:lineRule="auto"/>
        <w:rPr>
          <w:rFonts w:asciiTheme="majorBidi" w:hAnsiTheme="majorBidi" w:cstheme="majorBidi"/>
        </w:rPr>
      </w:pPr>
      <w:r w:rsidRPr="002B28C3">
        <w:rPr>
          <w:rFonts w:asciiTheme="majorBidi" w:hAnsiTheme="majorBidi" w:cstheme="majorBidi"/>
        </w:rPr>
        <w:t>Database of Abstracts of Reviews of Effects (DARE): CRD, 1994 to 2015</w:t>
      </w:r>
    </w:p>
    <w:p w14:paraId="2B1B2644" w14:textId="77777777" w:rsidR="009F01D8" w:rsidRPr="002B28C3" w:rsidRDefault="009F01D8" w:rsidP="005A3BE6">
      <w:pPr>
        <w:pStyle w:val="ListParagraph"/>
        <w:numPr>
          <w:ilvl w:val="1"/>
          <w:numId w:val="79"/>
        </w:numPr>
        <w:spacing w:after="0" w:line="276" w:lineRule="auto"/>
        <w:rPr>
          <w:rFonts w:asciiTheme="majorBidi" w:hAnsiTheme="majorBidi" w:cstheme="majorBidi"/>
        </w:rPr>
      </w:pPr>
      <w:r w:rsidRPr="002B28C3">
        <w:rPr>
          <w:rFonts w:asciiTheme="majorBidi" w:hAnsiTheme="majorBidi" w:cstheme="majorBidi"/>
        </w:rPr>
        <w:t>Health Technology Assessment Database (HTA): CRD, 1989 to 2018</w:t>
      </w:r>
    </w:p>
    <w:p w14:paraId="4B97C536" w14:textId="77777777" w:rsidR="009F01D8" w:rsidRPr="002B28C3" w:rsidRDefault="009F01D8" w:rsidP="005A3BE6">
      <w:pPr>
        <w:pStyle w:val="ListParagraph"/>
        <w:numPr>
          <w:ilvl w:val="1"/>
          <w:numId w:val="79"/>
        </w:numPr>
        <w:spacing w:after="0" w:line="276" w:lineRule="auto"/>
        <w:rPr>
          <w:rFonts w:asciiTheme="majorBidi" w:hAnsiTheme="majorBidi" w:cstheme="majorBidi"/>
        </w:rPr>
      </w:pPr>
      <w:r w:rsidRPr="002B28C3">
        <w:rPr>
          <w:rFonts w:asciiTheme="majorBidi" w:hAnsiTheme="majorBidi" w:cstheme="majorBidi"/>
        </w:rPr>
        <w:t>NHS Economic Evaluation Database (NHS EED): CRD, 1972 to 2015</w:t>
      </w:r>
    </w:p>
    <w:p w14:paraId="18757F89" w14:textId="77777777" w:rsidR="009F01D8" w:rsidRPr="00F63CD5" w:rsidRDefault="009F01D8" w:rsidP="009F01D8"/>
    <w:p w14:paraId="6EAA7938" w14:textId="138781D5" w:rsidR="009F01D8" w:rsidRPr="00C33621" w:rsidRDefault="00EE4C38" w:rsidP="00EE4C38">
      <w:pPr>
        <w:pStyle w:val="Caption"/>
        <w:rPr>
          <w:rFonts w:asciiTheme="majorBidi" w:hAnsiTheme="majorBidi" w:cstheme="majorBidi"/>
          <w:b/>
          <w:bCs/>
          <w:i w:val="0"/>
          <w:iCs w:val="0"/>
          <w:color w:val="auto"/>
          <w:sz w:val="20"/>
          <w:szCs w:val="20"/>
        </w:rPr>
      </w:pPr>
      <w:bookmarkStart w:id="600" w:name="_Toc86419025"/>
      <w:r w:rsidRPr="00C33621">
        <w:rPr>
          <w:rFonts w:asciiTheme="majorBidi" w:hAnsiTheme="majorBidi" w:cstheme="majorBidi"/>
          <w:b/>
          <w:bCs/>
          <w:i w:val="0"/>
          <w:iCs w:val="0"/>
          <w:color w:val="auto"/>
          <w:sz w:val="20"/>
          <w:szCs w:val="20"/>
        </w:rPr>
        <w:t xml:space="preserve">Table </w:t>
      </w:r>
      <w:proofErr w:type="gramStart"/>
      <w:r w:rsidR="00F10F0A" w:rsidRPr="00C33621">
        <w:rPr>
          <w:rFonts w:asciiTheme="majorBidi" w:hAnsiTheme="majorBidi" w:cstheme="majorBidi"/>
          <w:b/>
          <w:bCs/>
          <w:i w:val="0"/>
          <w:iCs w:val="0"/>
          <w:noProof/>
          <w:color w:val="auto"/>
          <w:sz w:val="20"/>
          <w:szCs w:val="20"/>
        </w:rPr>
        <w:t>48</w:t>
      </w:r>
      <w:r w:rsidRPr="00C33621">
        <w:rPr>
          <w:rFonts w:asciiTheme="majorBidi" w:hAnsiTheme="majorBidi" w:cstheme="majorBidi"/>
          <w:b/>
          <w:bCs/>
          <w:i w:val="0"/>
          <w:iCs w:val="0"/>
          <w:color w:val="auto"/>
          <w:sz w:val="20"/>
          <w:szCs w:val="20"/>
        </w:rPr>
        <w:t xml:space="preserve">  </w:t>
      </w:r>
      <w:r w:rsidR="009F01D8" w:rsidRPr="00C33621">
        <w:rPr>
          <w:rFonts w:asciiTheme="majorBidi" w:hAnsiTheme="majorBidi" w:cstheme="majorBidi"/>
          <w:b/>
          <w:bCs/>
          <w:i w:val="0"/>
          <w:iCs w:val="0"/>
          <w:color w:val="auto"/>
          <w:sz w:val="20"/>
          <w:szCs w:val="20"/>
        </w:rPr>
        <w:t>Number</w:t>
      </w:r>
      <w:proofErr w:type="gramEnd"/>
      <w:r w:rsidR="009F01D8" w:rsidRPr="00C33621">
        <w:rPr>
          <w:rFonts w:asciiTheme="majorBidi" w:hAnsiTheme="majorBidi" w:cstheme="majorBidi"/>
          <w:b/>
          <w:bCs/>
          <w:i w:val="0"/>
          <w:iCs w:val="0"/>
          <w:color w:val="auto"/>
          <w:sz w:val="20"/>
          <w:szCs w:val="20"/>
        </w:rPr>
        <w:t xml:space="preserve"> of records retrieved</w:t>
      </w:r>
      <w:bookmarkEnd w:id="600"/>
      <w:r w:rsidR="0004391D">
        <w:rPr>
          <w:rFonts w:asciiTheme="majorBidi" w:hAnsiTheme="majorBidi" w:cstheme="majorBidi"/>
          <w:b/>
          <w:bCs/>
          <w:i w:val="0"/>
          <w:iCs w:val="0"/>
          <w:color w:val="auto"/>
          <w:sz w:val="20"/>
          <w:szCs w:val="20"/>
        </w:rPr>
        <w:t xml:space="preserve"> </w:t>
      </w:r>
    </w:p>
    <w:tbl>
      <w:tblPr>
        <w:tblStyle w:val="TableGrid"/>
        <w:tblW w:w="5000" w:type="pct"/>
        <w:tblLook w:val="04A0" w:firstRow="1" w:lastRow="0" w:firstColumn="1" w:lastColumn="0" w:noHBand="0" w:noVBand="1"/>
      </w:tblPr>
      <w:tblGrid>
        <w:gridCol w:w="572"/>
        <w:gridCol w:w="4337"/>
        <w:gridCol w:w="1311"/>
        <w:gridCol w:w="1399"/>
        <w:gridCol w:w="1397"/>
      </w:tblGrid>
      <w:tr w:rsidR="009F01D8" w:rsidRPr="002B28C3" w14:paraId="4750B57C" w14:textId="77777777" w:rsidTr="009F01D8">
        <w:tc>
          <w:tcPr>
            <w:tcW w:w="317" w:type="pct"/>
          </w:tcPr>
          <w:p w14:paraId="5284300D" w14:textId="071D7259" w:rsidR="009F01D8" w:rsidRPr="002B28C3" w:rsidRDefault="0004391D" w:rsidP="009F01D8">
            <w:pPr>
              <w:jc w:val="center"/>
              <w:rPr>
                <w:rFonts w:asciiTheme="majorBidi" w:hAnsiTheme="majorBidi" w:cstheme="majorBidi"/>
                <w:b/>
              </w:rPr>
            </w:pPr>
            <w:r w:rsidRPr="002B28C3">
              <w:rPr>
                <w:rFonts w:asciiTheme="majorBidi" w:hAnsiTheme="majorBidi" w:cstheme="majorBidi"/>
                <w:b/>
              </w:rPr>
              <w:t>#</w:t>
            </w:r>
          </w:p>
        </w:tc>
        <w:tc>
          <w:tcPr>
            <w:tcW w:w="2405" w:type="pct"/>
          </w:tcPr>
          <w:p w14:paraId="343452BE" w14:textId="7D03D27A" w:rsidR="009F01D8" w:rsidRPr="002B28C3" w:rsidRDefault="0004391D" w:rsidP="009F01D8">
            <w:pPr>
              <w:jc w:val="center"/>
              <w:rPr>
                <w:rFonts w:asciiTheme="majorBidi" w:hAnsiTheme="majorBidi" w:cstheme="majorBidi"/>
                <w:b/>
              </w:rPr>
            </w:pPr>
            <w:r w:rsidRPr="002B28C3">
              <w:rPr>
                <w:rFonts w:asciiTheme="majorBidi" w:hAnsiTheme="majorBidi" w:cstheme="majorBidi"/>
                <w:b/>
              </w:rPr>
              <w:t>Search</w:t>
            </w:r>
          </w:p>
        </w:tc>
        <w:tc>
          <w:tcPr>
            <w:tcW w:w="727" w:type="pct"/>
          </w:tcPr>
          <w:p w14:paraId="56570BB4" w14:textId="1CFC262E" w:rsidR="009F01D8" w:rsidRPr="002B28C3" w:rsidRDefault="009F01D8" w:rsidP="009F01D8">
            <w:pPr>
              <w:jc w:val="center"/>
              <w:rPr>
                <w:rFonts w:asciiTheme="majorBidi" w:hAnsiTheme="majorBidi" w:cstheme="majorBidi"/>
                <w:b/>
              </w:rPr>
            </w:pPr>
            <w:r w:rsidRPr="002B28C3">
              <w:rPr>
                <w:rFonts w:asciiTheme="majorBidi" w:hAnsiTheme="majorBidi" w:cstheme="majorBidi"/>
                <w:b/>
              </w:rPr>
              <w:t>MEDLINE</w:t>
            </w:r>
            <w:r w:rsidR="0004391D">
              <w:rPr>
                <w:rFonts w:asciiTheme="majorBidi" w:hAnsiTheme="majorBidi" w:cstheme="majorBidi"/>
                <w:b/>
              </w:rPr>
              <w:t xml:space="preserve"> Results</w:t>
            </w:r>
          </w:p>
        </w:tc>
        <w:tc>
          <w:tcPr>
            <w:tcW w:w="776" w:type="pct"/>
          </w:tcPr>
          <w:p w14:paraId="6468D992" w14:textId="67A42BA8" w:rsidR="009F01D8" w:rsidRPr="002B28C3" w:rsidRDefault="009F01D8" w:rsidP="009F01D8">
            <w:pPr>
              <w:jc w:val="center"/>
              <w:rPr>
                <w:rFonts w:asciiTheme="majorBidi" w:hAnsiTheme="majorBidi" w:cstheme="majorBidi"/>
                <w:b/>
              </w:rPr>
            </w:pPr>
            <w:r w:rsidRPr="002B28C3">
              <w:rPr>
                <w:rFonts w:asciiTheme="majorBidi" w:hAnsiTheme="majorBidi" w:cstheme="majorBidi"/>
                <w:b/>
              </w:rPr>
              <w:t>Embase</w:t>
            </w:r>
            <w:r w:rsidR="0004391D">
              <w:rPr>
                <w:rFonts w:asciiTheme="majorBidi" w:hAnsiTheme="majorBidi" w:cstheme="majorBidi"/>
                <w:b/>
              </w:rPr>
              <w:t xml:space="preserve"> Results</w:t>
            </w:r>
          </w:p>
        </w:tc>
        <w:tc>
          <w:tcPr>
            <w:tcW w:w="775" w:type="pct"/>
          </w:tcPr>
          <w:p w14:paraId="256FA66F" w14:textId="67B4860D" w:rsidR="009F01D8" w:rsidRPr="002B28C3" w:rsidRDefault="009F01D8" w:rsidP="009F01D8">
            <w:pPr>
              <w:jc w:val="center"/>
              <w:rPr>
                <w:rFonts w:asciiTheme="majorBidi" w:hAnsiTheme="majorBidi" w:cstheme="majorBidi"/>
                <w:b/>
              </w:rPr>
            </w:pPr>
            <w:r w:rsidRPr="002B28C3">
              <w:rPr>
                <w:rFonts w:asciiTheme="majorBidi" w:hAnsiTheme="majorBidi" w:cstheme="majorBidi"/>
                <w:b/>
              </w:rPr>
              <w:t>CRD</w:t>
            </w:r>
            <w:r w:rsidR="0004391D">
              <w:rPr>
                <w:rFonts w:asciiTheme="majorBidi" w:hAnsiTheme="majorBidi" w:cstheme="majorBidi"/>
                <w:b/>
              </w:rPr>
              <w:t xml:space="preserve"> Results</w:t>
            </w:r>
          </w:p>
        </w:tc>
      </w:tr>
      <w:tr w:rsidR="009F01D8" w:rsidRPr="002B28C3" w14:paraId="17B80BFF" w14:textId="77777777" w:rsidTr="009F01D8">
        <w:tc>
          <w:tcPr>
            <w:tcW w:w="317" w:type="pct"/>
          </w:tcPr>
          <w:p w14:paraId="7E4F229F" w14:textId="77777777" w:rsidR="009F01D8" w:rsidRPr="002B28C3" w:rsidRDefault="009F01D8" w:rsidP="005A3BE6">
            <w:pPr>
              <w:pStyle w:val="ListParagraph"/>
              <w:numPr>
                <w:ilvl w:val="0"/>
                <w:numId w:val="80"/>
              </w:numPr>
              <w:rPr>
                <w:rFonts w:asciiTheme="majorBidi" w:hAnsiTheme="majorBidi" w:cstheme="majorBidi"/>
              </w:rPr>
            </w:pPr>
          </w:p>
        </w:tc>
        <w:tc>
          <w:tcPr>
            <w:tcW w:w="2405" w:type="pct"/>
          </w:tcPr>
          <w:p w14:paraId="3CF02007" w14:textId="77777777" w:rsidR="009F01D8" w:rsidRPr="002B28C3" w:rsidRDefault="009F01D8" w:rsidP="009F01D8">
            <w:pPr>
              <w:rPr>
                <w:rFonts w:asciiTheme="majorBidi" w:hAnsiTheme="majorBidi" w:cstheme="majorBidi"/>
              </w:rPr>
            </w:pPr>
            <w:r w:rsidRPr="002B28C3">
              <w:rPr>
                <w:rFonts w:asciiTheme="majorBidi" w:hAnsiTheme="majorBidi" w:cstheme="majorBidi"/>
              </w:rPr>
              <w:t>AMR models search</w:t>
            </w:r>
          </w:p>
        </w:tc>
        <w:tc>
          <w:tcPr>
            <w:tcW w:w="727" w:type="pct"/>
            <w:shd w:val="clear" w:color="auto" w:fill="D9D9D9" w:themeFill="background1" w:themeFillShade="D9"/>
          </w:tcPr>
          <w:p w14:paraId="63098688"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26</w:t>
            </w:r>
          </w:p>
        </w:tc>
        <w:tc>
          <w:tcPr>
            <w:tcW w:w="776" w:type="pct"/>
            <w:shd w:val="clear" w:color="auto" w:fill="D9D9D9" w:themeFill="background1" w:themeFillShade="D9"/>
          </w:tcPr>
          <w:p w14:paraId="7F7AEF03"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67</w:t>
            </w:r>
          </w:p>
        </w:tc>
        <w:tc>
          <w:tcPr>
            <w:tcW w:w="775" w:type="pct"/>
            <w:shd w:val="clear" w:color="auto" w:fill="D9D9D9" w:themeFill="background1" w:themeFillShade="D9"/>
          </w:tcPr>
          <w:p w14:paraId="2A303D9A"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2</w:t>
            </w:r>
          </w:p>
        </w:tc>
      </w:tr>
      <w:tr w:rsidR="009F01D8" w:rsidRPr="002B28C3" w14:paraId="56145B81" w14:textId="77777777" w:rsidTr="009F01D8">
        <w:tc>
          <w:tcPr>
            <w:tcW w:w="317" w:type="pct"/>
          </w:tcPr>
          <w:p w14:paraId="0AB10151" w14:textId="77777777" w:rsidR="009F01D8" w:rsidRPr="002B28C3" w:rsidRDefault="009F01D8" w:rsidP="005A3BE6">
            <w:pPr>
              <w:pStyle w:val="ListParagraph"/>
              <w:numPr>
                <w:ilvl w:val="0"/>
                <w:numId w:val="80"/>
              </w:numPr>
              <w:rPr>
                <w:rFonts w:asciiTheme="majorBidi" w:hAnsiTheme="majorBidi" w:cstheme="majorBidi"/>
              </w:rPr>
            </w:pPr>
          </w:p>
        </w:tc>
        <w:tc>
          <w:tcPr>
            <w:tcW w:w="2405" w:type="pct"/>
          </w:tcPr>
          <w:p w14:paraId="438C456F" w14:textId="77777777" w:rsidR="009F01D8" w:rsidRPr="002B28C3" w:rsidRDefault="009F01D8" w:rsidP="009F01D8">
            <w:pPr>
              <w:rPr>
                <w:rFonts w:asciiTheme="majorBidi" w:hAnsiTheme="majorBidi" w:cstheme="majorBidi"/>
              </w:rPr>
            </w:pPr>
            <w:r w:rsidRPr="002B28C3">
              <w:rPr>
                <w:rFonts w:asciiTheme="majorBidi" w:hAnsiTheme="majorBidi" w:cstheme="majorBidi"/>
              </w:rPr>
              <w:t>OXA-48 MBL search for dredging</w:t>
            </w:r>
          </w:p>
        </w:tc>
        <w:tc>
          <w:tcPr>
            <w:tcW w:w="727" w:type="pct"/>
            <w:shd w:val="clear" w:color="auto" w:fill="D9D9D9" w:themeFill="background1" w:themeFillShade="D9"/>
          </w:tcPr>
          <w:p w14:paraId="77509853"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2507</w:t>
            </w:r>
          </w:p>
        </w:tc>
        <w:tc>
          <w:tcPr>
            <w:tcW w:w="776" w:type="pct"/>
            <w:shd w:val="clear" w:color="auto" w:fill="D9D9D9" w:themeFill="background1" w:themeFillShade="D9"/>
          </w:tcPr>
          <w:p w14:paraId="69F0A2A8"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3047</w:t>
            </w:r>
          </w:p>
        </w:tc>
        <w:tc>
          <w:tcPr>
            <w:tcW w:w="775" w:type="pct"/>
            <w:shd w:val="clear" w:color="auto" w:fill="D9D9D9" w:themeFill="background1" w:themeFillShade="D9"/>
          </w:tcPr>
          <w:p w14:paraId="4F9D06A2"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0</w:t>
            </w:r>
          </w:p>
        </w:tc>
      </w:tr>
      <w:tr w:rsidR="009F01D8" w:rsidRPr="002B28C3" w14:paraId="388FE1F2" w14:textId="77777777" w:rsidTr="009F01D8">
        <w:tc>
          <w:tcPr>
            <w:tcW w:w="317" w:type="pct"/>
          </w:tcPr>
          <w:p w14:paraId="660737DB" w14:textId="77777777" w:rsidR="009F01D8" w:rsidRPr="002B28C3" w:rsidRDefault="009F01D8" w:rsidP="005A3BE6">
            <w:pPr>
              <w:pStyle w:val="ListParagraph"/>
              <w:numPr>
                <w:ilvl w:val="0"/>
                <w:numId w:val="80"/>
              </w:numPr>
              <w:rPr>
                <w:rFonts w:asciiTheme="majorBidi" w:hAnsiTheme="majorBidi" w:cstheme="majorBidi"/>
              </w:rPr>
            </w:pPr>
          </w:p>
        </w:tc>
        <w:tc>
          <w:tcPr>
            <w:tcW w:w="2405" w:type="pct"/>
          </w:tcPr>
          <w:p w14:paraId="3DF6BE26" w14:textId="77777777" w:rsidR="009F01D8" w:rsidRPr="002B28C3" w:rsidRDefault="009F01D8" w:rsidP="009F01D8">
            <w:pPr>
              <w:rPr>
                <w:rFonts w:asciiTheme="majorBidi" w:hAnsiTheme="majorBidi" w:cstheme="majorBidi"/>
              </w:rPr>
            </w:pPr>
            <w:r w:rsidRPr="002B28C3">
              <w:rPr>
                <w:rFonts w:asciiTheme="majorBidi" w:hAnsiTheme="majorBidi" w:cstheme="majorBidi"/>
              </w:rPr>
              <w:t>Outcomes search: Long-term outcomes</w:t>
            </w:r>
          </w:p>
        </w:tc>
        <w:tc>
          <w:tcPr>
            <w:tcW w:w="727" w:type="pct"/>
            <w:shd w:val="clear" w:color="auto" w:fill="D9D9D9" w:themeFill="background1" w:themeFillShade="D9"/>
          </w:tcPr>
          <w:p w14:paraId="3DE99FBB"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23</w:t>
            </w:r>
          </w:p>
        </w:tc>
        <w:tc>
          <w:tcPr>
            <w:tcW w:w="776" w:type="pct"/>
            <w:shd w:val="clear" w:color="auto" w:fill="D9D9D9" w:themeFill="background1" w:themeFillShade="D9"/>
          </w:tcPr>
          <w:p w14:paraId="46A1A04D"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72</w:t>
            </w:r>
          </w:p>
        </w:tc>
        <w:tc>
          <w:tcPr>
            <w:tcW w:w="775" w:type="pct"/>
            <w:shd w:val="clear" w:color="auto" w:fill="D9D9D9" w:themeFill="background1" w:themeFillShade="D9"/>
          </w:tcPr>
          <w:p w14:paraId="418F7BDF"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0</w:t>
            </w:r>
          </w:p>
        </w:tc>
      </w:tr>
      <w:tr w:rsidR="009F01D8" w:rsidRPr="002B28C3" w14:paraId="6656900D" w14:textId="77777777" w:rsidTr="009F01D8">
        <w:tc>
          <w:tcPr>
            <w:tcW w:w="317" w:type="pct"/>
          </w:tcPr>
          <w:p w14:paraId="02DBC2C8" w14:textId="77777777" w:rsidR="009F01D8" w:rsidRPr="002B28C3" w:rsidRDefault="009F01D8" w:rsidP="005A3BE6">
            <w:pPr>
              <w:pStyle w:val="ListParagraph"/>
              <w:numPr>
                <w:ilvl w:val="0"/>
                <w:numId w:val="80"/>
              </w:numPr>
              <w:rPr>
                <w:rFonts w:asciiTheme="majorBidi" w:hAnsiTheme="majorBidi" w:cstheme="majorBidi"/>
              </w:rPr>
            </w:pPr>
          </w:p>
        </w:tc>
        <w:tc>
          <w:tcPr>
            <w:tcW w:w="2405" w:type="pct"/>
          </w:tcPr>
          <w:p w14:paraId="43CC192B"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Outcomes search: </w:t>
            </w:r>
            <w:proofErr w:type="gramStart"/>
            <w:r w:rsidRPr="002B28C3">
              <w:rPr>
                <w:rFonts w:asciiTheme="majorBidi" w:hAnsiTheme="majorBidi" w:cstheme="majorBidi"/>
              </w:rPr>
              <w:t>Medium</w:t>
            </w:r>
            <w:proofErr w:type="gramEnd"/>
            <w:r w:rsidRPr="002B28C3">
              <w:rPr>
                <w:rFonts w:asciiTheme="majorBidi" w:hAnsiTheme="majorBidi" w:cstheme="majorBidi"/>
              </w:rPr>
              <w:t xml:space="preserve"> outcomes</w:t>
            </w:r>
          </w:p>
        </w:tc>
        <w:tc>
          <w:tcPr>
            <w:tcW w:w="727" w:type="pct"/>
            <w:shd w:val="clear" w:color="auto" w:fill="D9D9D9" w:themeFill="background1" w:themeFillShade="D9"/>
          </w:tcPr>
          <w:p w14:paraId="07EE6E67"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562</w:t>
            </w:r>
          </w:p>
        </w:tc>
        <w:tc>
          <w:tcPr>
            <w:tcW w:w="776" w:type="pct"/>
          </w:tcPr>
          <w:p w14:paraId="610E1F7C"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NS</w:t>
            </w:r>
          </w:p>
        </w:tc>
        <w:tc>
          <w:tcPr>
            <w:tcW w:w="775" w:type="pct"/>
          </w:tcPr>
          <w:p w14:paraId="75DACF7B"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NS</w:t>
            </w:r>
          </w:p>
        </w:tc>
      </w:tr>
      <w:tr w:rsidR="009F01D8" w:rsidRPr="002B28C3" w14:paraId="67E1A54C" w14:textId="77777777" w:rsidTr="009F01D8">
        <w:tc>
          <w:tcPr>
            <w:tcW w:w="317" w:type="pct"/>
          </w:tcPr>
          <w:p w14:paraId="21E131FE" w14:textId="77777777" w:rsidR="009F01D8" w:rsidRPr="002B28C3" w:rsidRDefault="009F01D8" w:rsidP="005A3BE6">
            <w:pPr>
              <w:pStyle w:val="ListParagraph"/>
              <w:numPr>
                <w:ilvl w:val="0"/>
                <w:numId w:val="80"/>
              </w:numPr>
              <w:rPr>
                <w:rFonts w:asciiTheme="majorBidi" w:hAnsiTheme="majorBidi" w:cstheme="majorBidi"/>
              </w:rPr>
            </w:pPr>
          </w:p>
        </w:tc>
        <w:tc>
          <w:tcPr>
            <w:tcW w:w="2405" w:type="pct"/>
          </w:tcPr>
          <w:p w14:paraId="5747ACFF" w14:textId="77777777" w:rsidR="009F01D8" w:rsidRPr="002B28C3" w:rsidRDefault="009F01D8" w:rsidP="009F01D8">
            <w:pPr>
              <w:rPr>
                <w:rFonts w:asciiTheme="majorBidi" w:hAnsiTheme="majorBidi" w:cstheme="majorBidi"/>
              </w:rPr>
            </w:pPr>
            <w:r w:rsidRPr="002B28C3">
              <w:rPr>
                <w:rFonts w:asciiTheme="majorBidi" w:hAnsiTheme="majorBidi" w:cstheme="majorBidi"/>
              </w:rPr>
              <w:t>Utilities search</w:t>
            </w:r>
          </w:p>
        </w:tc>
        <w:tc>
          <w:tcPr>
            <w:tcW w:w="727" w:type="pct"/>
            <w:shd w:val="clear" w:color="auto" w:fill="D9D9D9" w:themeFill="background1" w:themeFillShade="D9"/>
          </w:tcPr>
          <w:p w14:paraId="73C496AA"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367</w:t>
            </w:r>
          </w:p>
        </w:tc>
        <w:tc>
          <w:tcPr>
            <w:tcW w:w="776" w:type="pct"/>
          </w:tcPr>
          <w:p w14:paraId="57D4E467"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NS</w:t>
            </w:r>
          </w:p>
        </w:tc>
        <w:tc>
          <w:tcPr>
            <w:tcW w:w="775" w:type="pct"/>
          </w:tcPr>
          <w:p w14:paraId="1D4B2BF2" w14:textId="77777777" w:rsidR="009F01D8" w:rsidRPr="002B28C3" w:rsidRDefault="009F01D8" w:rsidP="009F01D8">
            <w:pPr>
              <w:jc w:val="center"/>
              <w:rPr>
                <w:rFonts w:asciiTheme="majorBidi" w:hAnsiTheme="majorBidi" w:cstheme="majorBidi"/>
              </w:rPr>
            </w:pPr>
            <w:r w:rsidRPr="002B28C3">
              <w:rPr>
                <w:rFonts w:asciiTheme="majorBidi" w:hAnsiTheme="majorBidi" w:cstheme="majorBidi"/>
              </w:rPr>
              <w:t>NS</w:t>
            </w:r>
          </w:p>
        </w:tc>
      </w:tr>
    </w:tbl>
    <w:p w14:paraId="568F5243" w14:textId="77777777" w:rsidR="009F01D8" w:rsidRPr="00F63CD5" w:rsidRDefault="009F01D8" w:rsidP="009F01D8">
      <w:r w:rsidRPr="00F63CD5">
        <w:lastRenderedPageBreak/>
        <w:t>NS is not searched; *numbers retrieved before removal of duplicate titles.</w:t>
      </w:r>
    </w:p>
    <w:p w14:paraId="5353C5A1" w14:textId="77777777" w:rsidR="009F01D8" w:rsidRPr="00F63CD5" w:rsidRDefault="009F01D8" w:rsidP="009F01D8">
      <w:pPr>
        <w:spacing w:after="0"/>
      </w:pPr>
    </w:p>
    <w:p w14:paraId="4FD1A3E7" w14:textId="46AC0AF4" w:rsidR="009F01D8" w:rsidRPr="002E4F02" w:rsidRDefault="00D76748" w:rsidP="00D76748">
      <w:pPr>
        <w:pStyle w:val="Heading4"/>
        <w:tabs>
          <w:tab w:val="left" w:pos="1418"/>
        </w:tabs>
        <w:ind w:left="1418"/>
        <w:rPr>
          <w:rFonts w:asciiTheme="majorBidi" w:hAnsiTheme="majorBidi"/>
          <w:b/>
          <w:bCs/>
          <w:i w:val="0"/>
          <w:iCs w:val="0"/>
          <w:noProof/>
          <w:color w:val="auto"/>
          <w:sz w:val="26"/>
          <w:szCs w:val="26"/>
        </w:rPr>
      </w:pPr>
      <w:bookmarkStart w:id="601" w:name="_Toc77254196"/>
      <w:r>
        <w:rPr>
          <w:rFonts w:asciiTheme="majorBidi" w:hAnsiTheme="majorBidi"/>
          <w:b/>
          <w:bCs/>
          <w:i w:val="0"/>
          <w:iCs w:val="0"/>
          <w:noProof/>
          <w:color w:val="auto"/>
          <w:sz w:val="24"/>
          <w:szCs w:val="24"/>
        </w:rPr>
        <w:tab/>
      </w:r>
      <w:r w:rsidR="009F01D8" w:rsidRPr="002E4F02">
        <w:rPr>
          <w:rFonts w:asciiTheme="majorBidi" w:hAnsiTheme="majorBidi"/>
          <w:b/>
          <w:bCs/>
          <w:i w:val="0"/>
          <w:iCs w:val="0"/>
          <w:noProof/>
          <w:color w:val="auto"/>
          <w:sz w:val="26"/>
          <w:szCs w:val="26"/>
        </w:rPr>
        <w:t>A1.3.1 Focused AMR models search</w:t>
      </w:r>
      <w:bookmarkEnd w:id="601"/>
    </w:p>
    <w:p w14:paraId="3889BCC5" w14:textId="77777777" w:rsidR="009F01D8" w:rsidRPr="002E4F02" w:rsidRDefault="009F01D8" w:rsidP="009F01D8">
      <w:pPr>
        <w:spacing w:after="0"/>
        <w:rPr>
          <w:sz w:val="26"/>
          <w:szCs w:val="26"/>
        </w:rPr>
      </w:pPr>
    </w:p>
    <w:p w14:paraId="171BA1F8"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Term group(s): Focused antimicrobial resistance AND modelling AND filter</w:t>
      </w:r>
    </w:p>
    <w:p w14:paraId="1A2156C0"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Pragmatic economic filter (MEDLINE, Embase)</w:t>
      </w:r>
    </w:p>
    <w:p w14:paraId="0C09CB4F"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2011-present, English language</w:t>
      </w:r>
    </w:p>
    <w:p w14:paraId="6EC95B15" w14:textId="77777777" w:rsidR="009F01D8" w:rsidRPr="00D76748" w:rsidRDefault="009F01D8" w:rsidP="009F01D8">
      <w:pPr>
        <w:spacing w:after="0"/>
        <w:rPr>
          <w:rFonts w:asciiTheme="majorBidi" w:hAnsiTheme="majorBidi" w:cstheme="majorBidi"/>
        </w:rPr>
      </w:pPr>
    </w:p>
    <w:p w14:paraId="3DB8161C" w14:textId="77777777" w:rsidR="009F01D8" w:rsidRPr="00D76748" w:rsidRDefault="009F01D8" w:rsidP="009F01D8">
      <w:pPr>
        <w:spacing w:after="0"/>
        <w:rPr>
          <w:rFonts w:asciiTheme="majorBidi" w:hAnsiTheme="majorBidi" w:cstheme="majorBidi"/>
          <w:b/>
        </w:rPr>
      </w:pPr>
      <w:r w:rsidRPr="00D76748">
        <w:rPr>
          <w:rFonts w:asciiTheme="majorBidi" w:hAnsiTheme="majorBidi" w:cstheme="majorBidi"/>
          <w:b/>
        </w:rPr>
        <w:t xml:space="preserve">Ovid MEDLINE(R) and </w:t>
      </w:r>
      <w:proofErr w:type="spellStart"/>
      <w:r w:rsidRPr="00D76748">
        <w:rPr>
          <w:rFonts w:asciiTheme="majorBidi" w:hAnsiTheme="majorBidi" w:cstheme="majorBidi"/>
          <w:b/>
        </w:rPr>
        <w:t>Epub</w:t>
      </w:r>
      <w:proofErr w:type="spellEnd"/>
      <w:r w:rsidRPr="00D76748">
        <w:rPr>
          <w:rFonts w:asciiTheme="majorBidi" w:hAnsiTheme="majorBidi" w:cstheme="majorBidi"/>
          <w:b/>
        </w:rPr>
        <w:t xml:space="preserve"> Ahead of Print, In-Process, In-Data-Review &amp; Other Non-Indexed Citations, Daily and Versions(R) 1946 to March 31, 2021 (searched via the Ovid SP platform)</w:t>
      </w:r>
    </w:p>
    <w:p w14:paraId="5A351626" w14:textId="717A6169" w:rsidR="009F01D8" w:rsidRPr="00D76748" w:rsidRDefault="009F01D8" w:rsidP="009F01D8">
      <w:pPr>
        <w:spacing w:after="0"/>
        <w:rPr>
          <w:rFonts w:asciiTheme="majorBidi" w:hAnsiTheme="majorBidi" w:cstheme="majorBidi"/>
        </w:rPr>
      </w:pPr>
      <w:r w:rsidRPr="00D76748">
        <w:rPr>
          <w:rFonts w:asciiTheme="majorBidi" w:hAnsiTheme="majorBidi" w:cstheme="majorBidi"/>
        </w:rPr>
        <w:t>1</w:t>
      </w:r>
      <w:r w:rsidRPr="00D76748">
        <w:rPr>
          <w:rFonts w:asciiTheme="majorBidi" w:hAnsiTheme="majorBidi" w:cstheme="majorBidi"/>
          <w:vertAlign w:val="superscript"/>
        </w:rPr>
        <w:t>st</w:t>
      </w:r>
      <w:r w:rsidRPr="00D76748">
        <w:rPr>
          <w:rFonts w:asciiTheme="majorBidi" w:hAnsiTheme="majorBidi" w:cstheme="majorBidi"/>
        </w:rPr>
        <w:t xml:space="preserve"> April 2021</w:t>
      </w:r>
    </w:p>
    <w:p w14:paraId="419F91D0" w14:textId="77777777" w:rsidR="009F01D8" w:rsidRPr="00D76748" w:rsidRDefault="009F01D8" w:rsidP="009F01D8">
      <w:pPr>
        <w:spacing w:after="0"/>
        <w:rPr>
          <w:rFonts w:asciiTheme="majorBidi" w:hAnsiTheme="majorBidi" w:cstheme="majorBidi"/>
        </w:rPr>
      </w:pPr>
    </w:p>
    <w:tbl>
      <w:tblPr>
        <w:tblStyle w:val="TableGrid"/>
        <w:tblW w:w="0" w:type="auto"/>
        <w:tblLook w:val="04A0" w:firstRow="1" w:lastRow="0" w:firstColumn="1" w:lastColumn="0" w:noHBand="0" w:noVBand="1"/>
      </w:tblPr>
      <w:tblGrid>
        <w:gridCol w:w="1129"/>
        <w:gridCol w:w="6237"/>
        <w:gridCol w:w="1650"/>
      </w:tblGrid>
      <w:tr w:rsidR="009F01D8" w:rsidRPr="00D76748" w14:paraId="3590C4A0" w14:textId="77777777" w:rsidTr="009F01D8">
        <w:trPr>
          <w:trHeight w:val="279"/>
        </w:trPr>
        <w:tc>
          <w:tcPr>
            <w:tcW w:w="1129" w:type="dxa"/>
            <w:hideMark/>
          </w:tcPr>
          <w:p w14:paraId="21A9A285"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w:t>
            </w:r>
          </w:p>
        </w:tc>
        <w:tc>
          <w:tcPr>
            <w:tcW w:w="6237" w:type="dxa"/>
            <w:hideMark/>
          </w:tcPr>
          <w:p w14:paraId="03CC8683"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Searches</w:t>
            </w:r>
          </w:p>
        </w:tc>
        <w:tc>
          <w:tcPr>
            <w:tcW w:w="1650" w:type="dxa"/>
            <w:hideMark/>
          </w:tcPr>
          <w:p w14:paraId="5850F9EC"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Results</w:t>
            </w:r>
          </w:p>
        </w:tc>
      </w:tr>
      <w:tr w:rsidR="009F01D8" w:rsidRPr="00D76748" w14:paraId="046E6529" w14:textId="77777777" w:rsidTr="009F01D8">
        <w:trPr>
          <w:trHeight w:val="279"/>
        </w:trPr>
        <w:tc>
          <w:tcPr>
            <w:tcW w:w="1129" w:type="dxa"/>
            <w:hideMark/>
          </w:tcPr>
          <w:p w14:paraId="0DD40B90" w14:textId="77777777" w:rsidR="009F01D8" w:rsidRPr="00D76748" w:rsidRDefault="009F01D8" w:rsidP="009F01D8">
            <w:pPr>
              <w:rPr>
                <w:rFonts w:asciiTheme="majorBidi" w:hAnsiTheme="majorBidi" w:cstheme="majorBidi"/>
              </w:rPr>
            </w:pPr>
            <w:r w:rsidRPr="00D76748">
              <w:rPr>
                <w:rFonts w:asciiTheme="majorBidi" w:hAnsiTheme="majorBidi" w:cstheme="majorBidi"/>
              </w:rPr>
              <w:t>1</w:t>
            </w:r>
          </w:p>
        </w:tc>
        <w:tc>
          <w:tcPr>
            <w:tcW w:w="6237" w:type="dxa"/>
            <w:hideMark/>
          </w:tcPr>
          <w:p w14:paraId="1ACC5A32"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((antimicrobial or antibiotic or antibacterial) and </w:t>
            </w:r>
            <w:proofErr w:type="spellStart"/>
            <w:r w:rsidRPr="00D76748">
              <w:rPr>
                <w:rFonts w:asciiTheme="majorBidi" w:hAnsiTheme="majorBidi" w:cstheme="majorBidi"/>
              </w:rPr>
              <w:t>resistan</w:t>
            </w:r>
            <w:proofErr w:type="spellEnd"/>
            <w:r w:rsidRPr="00D76748">
              <w:rPr>
                <w:rFonts w:asciiTheme="majorBidi" w:hAnsiTheme="majorBidi" w:cstheme="majorBidi"/>
              </w:rPr>
              <w:t>*).</w:t>
            </w:r>
            <w:proofErr w:type="spellStart"/>
            <w:r w:rsidRPr="00D76748">
              <w:rPr>
                <w:rFonts w:asciiTheme="majorBidi" w:hAnsiTheme="majorBidi" w:cstheme="majorBidi"/>
              </w:rPr>
              <w:t>mp</w:t>
            </w:r>
            <w:proofErr w:type="spellEnd"/>
            <w:r w:rsidRPr="00D76748">
              <w:rPr>
                <w:rFonts w:asciiTheme="majorBidi" w:hAnsiTheme="majorBidi" w:cstheme="majorBidi"/>
              </w:rPr>
              <w:t>.</w:t>
            </w:r>
          </w:p>
        </w:tc>
        <w:tc>
          <w:tcPr>
            <w:tcW w:w="1650" w:type="dxa"/>
            <w:hideMark/>
          </w:tcPr>
          <w:p w14:paraId="2CAD0390" w14:textId="77777777" w:rsidR="009F01D8" w:rsidRPr="00D76748" w:rsidRDefault="009F01D8" w:rsidP="009F01D8">
            <w:pPr>
              <w:rPr>
                <w:rFonts w:asciiTheme="majorBidi" w:hAnsiTheme="majorBidi" w:cstheme="majorBidi"/>
              </w:rPr>
            </w:pPr>
            <w:r w:rsidRPr="00D76748">
              <w:rPr>
                <w:rFonts w:asciiTheme="majorBidi" w:hAnsiTheme="majorBidi" w:cstheme="majorBidi"/>
              </w:rPr>
              <w:t>148175</w:t>
            </w:r>
          </w:p>
        </w:tc>
      </w:tr>
      <w:tr w:rsidR="009F01D8" w:rsidRPr="00D76748" w14:paraId="083A79FB" w14:textId="77777777" w:rsidTr="009F01D8">
        <w:trPr>
          <w:trHeight w:val="279"/>
        </w:trPr>
        <w:tc>
          <w:tcPr>
            <w:tcW w:w="1129" w:type="dxa"/>
            <w:hideMark/>
          </w:tcPr>
          <w:p w14:paraId="1A2B9211"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c>
          <w:tcPr>
            <w:tcW w:w="6237" w:type="dxa"/>
            <w:hideMark/>
          </w:tcPr>
          <w:p w14:paraId="148F442F"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(model* or "population dynamic*" or </w:t>
            </w:r>
            <w:proofErr w:type="spellStart"/>
            <w:r w:rsidRPr="00D76748">
              <w:rPr>
                <w:rFonts w:asciiTheme="majorBidi" w:hAnsiTheme="majorBidi" w:cstheme="majorBidi"/>
              </w:rPr>
              <w:t>simulat</w:t>
            </w:r>
            <w:proofErr w:type="spellEnd"/>
            <w:r w:rsidRPr="00D76748">
              <w:rPr>
                <w:rFonts w:asciiTheme="majorBidi" w:hAnsiTheme="majorBidi" w:cstheme="majorBidi"/>
              </w:rPr>
              <w:t>*).</w:t>
            </w:r>
            <w:proofErr w:type="spellStart"/>
            <w:r w:rsidRPr="00D76748">
              <w:rPr>
                <w:rFonts w:asciiTheme="majorBidi" w:hAnsiTheme="majorBidi" w:cstheme="majorBidi"/>
              </w:rPr>
              <w:t>ti</w:t>
            </w:r>
            <w:proofErr w:type="spellEnd"/>
            <w:r w:rsidRPr="00D76748">
              <w:rPr>
                <w:rFonts w:asciiTheme="majorBidi" w:hAnsiTheme="majorBidi" w:cstheme="majorBidi"/>
              </w:rPr>
              <w:t>.</w:t>
            </w:r>
          </w:p>
        </w:tc>
        <w:tc>
          <w:tcPr>
            <w:tcW w:w="1650" w:type="dxa"/>
            <w:hideMark/>
          </w:tcPr>
          <w:p w14:paraId="573786C8" w14:textId="77777777" w:rsidR="009F01D8" w:rsidRPr="00D76748" w:rsidRDefault="009F01D8" w:rsidP="009F01D8">
            <w:pPr>
              <w:rPr>
                <w:rFonts w:asciiTheme="majorBidi" w:hAnsiTheme="majorBidi" w:cstheme="majorBidi"/>
              </w:rPr>
            </w:pPr>
            <w:r w:rsidRPr="00D76748">
              <w:rPr>
                <w:rFonts w:asciiTheme="majorBidi" w:hAnsiTheme="majorBidi" w:cstheme="majorBidi"/>
              </w:rPr>
              <w:t>718508</w:t>
            </w:r>
          </w:p>
        </w:tc>
      </w:tr>
      <w:tr w:rsidR="009F01D8" w:rsidRPr="00D76748" w14:paraId="58811E47" w14:textId="77777777" w:rsidTr="009F01D8">
        <w:trPr>
          <w:trHeight w:val="279"/>
        </w:trPr>
        <w:tc>
          <w:tcPr>
            <w:tcW w:w="1129" w:type="dxa"/>
            <w:hideMark/>
          </w:tcPr>
          <w:p w14:paraId="4666450F" w14:textId="77777777" w:rsidR="009F01D8" w:rsidRPr="00D76748" w:rsidRDefault="009F01D8" w:rsidP="009F01D8">
            <w:pPr>
              <w:rPr>
                <w:rFonts w:asciiTheme="majorBidi" w:hAnsiTheme="majorBidi" w:cstheme="majorBidi"/>
              </w:rPr>
            </w:pPr>
            <w:r w:rsidRPr="00D76748">
              <w:rPr>
                <w:rFonts w:asciiTheme="majorBidi" w:hAnsiTheme="majorBidi" w:cstheme="majorBidi"/>
              </w:rPr>
              <w:t>3</w:t>
            </w:r>
          </w:p>
        </w:tc>
        <w:tc>
          <w:tcPr>
            <w:tcW w:w="6237" w:type="dxa"/>
            <w:hideMark/>
          </w:tcPr>
          <w:p w14:paraId="5C743719" w14:textId="77777777" w:rsidR="009F01D8" w:rsidRPr="00D76748" w:rsidRDefault="009F01D8" w:rsidP="009F01D8">
            <w:pPr>
              <w:rPr>
                <w:rFonts w:asciiTheme="majorBidi" w:hAnsiTheme="majorBidi" w:cstheme="majorBidi"/>
              </w:rPr>
            </w:pPr>
            <w:r w:rsidRPr="00D76748">
              <w:rPr>
                <w:rFonts w:asciiTheme="majorBidi" w:hAnsiTheme="majorBidi" w:cstheme="majorBidi"/>
              </w:rPr>
              <w:t>1 and 2</w:t>
            </w:r>
          </w:p>
        </w:tc>
        <w:tc>
          <w:tcPr>
            <w:tcW w:w="1650" w:type="dxa"/>
            <w:hideMark/>
          </w:tcPr>
          <w:p w14:paraId="7172B470" w14:textId="77777777" w:rsidR="009F01D8" w:rsidRPr="00D76748" w:rsidRDefault="009F01D8" w:rsidP="009F01D8">
            <w:pPr>
              <w:rPr>
                <w:rFonts w:asciiTheme="majorBidi" w:hAnsiTheme="majorBidi" w:cstheme="majorBidi"/>
              </w:rPr>
            </w:pPr>
            <w:r w:rsidRPr="00D76748">
              <w:rPr>
                <w:rFonts w:asciiTheme="majorBidi" w:hAnsiTheme="majorBidi" w:cstheme="majorBidi"/>
              </w:rPr>
              <w:t>2671</w:t>
            </w:r>
          </w:p>
        </w:tc>
      </w:tr>
      <w:tr w:rsidR="009F01D8" w:rsidRPr="00D76748" w14:paraId="3CDB63A0" w14:textId="77777777" w:rsidTr="009F01D8">
        <w:trPr>
          <w:trHeight w:val="279"/>
        </w:trPr>
        <w:tc>
          <w:tcPr>
            <w:tcW w:w="1129" w:type="dxa"/>
            <w:hideMark/>
          </w:tcPr>
          <w:p w14:paraId="6C7371B7" w14:textId="77777777" w:rsidR="009F01D8" w:rsidRPr="00D76748" w:rsidRDefault="009F01D8" w:rsidP="009F01D8">
            <w:pPr>
              <w:rPr>
                <w:rFonts w:asciiTheme="majorBidi" w:hAnsiTheme="majorBidi" w:cstheme="majorBidi"/>
              </w:rPr>
            </w:pPr>
            <w:r w:rsidRPr="00D76748">
              <w:rPr>
                <w:rFonts w:asciiTheme="majorBidi" w:hAnsiTheme="majorBidi" w:cstheme="majorBidi"/>
              </w:rPr>
              <w:t>4</w:t>
            </w:r>
          </w:p>
        </w:tc>
        <w:tc>
          <w:tcPr>
            <w:tcW w:w="6237" w:type="dxa"/>
            <w:hideMark/>
          </w:tcPr>
          <w:p w14:paraId="23DE7736"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limit 3 to </w:t>
            </w:r>
            <w:proofErr w:type="spellStart"/>
            <w:r w:rsidRPr="00D76748">
              <w:rPr>
                <w:rFonts w:asciiTheme="majorBidi" w:hAnsiTheme="majorBidi" w:cstheme="majorBidi"/>
              </w:rPr>
              <w:t>yr</w:t>
            </w:r>
            <w:proofErr w:type="spellEnd"/>
            <w:r w:rsidRPr="00D76748">
              <w:rPr>
                <w:rFonts w:asciiTheme="majorBidi" w:hAnsiTheme="majorBidi" w:cstheme="majorBidi"/>
              </w:rPr>
              <w:t>="2011 -Current"</w:t>
            </w:r>
          </w:p>
        </w:tc>
        <w:tc>
          <w:tcPr>
            <w:tcW w:w="1650" w:type="dxa"/>
            <w:hideMark/>
          </w:tcPr>
          <w:p w14:paraId="289024AA" w14:textId="77777777" w:rsidR="009F01D8" w:rsidRPr="00D76748" w:rsidRDefault="009F01D8" w:rsidP="009F01D8">
            <w:pPr>
              <w:rPr>
                <w:rFonts w:asciiTheme="majorBidi" w:hAnsiTheme="majorBidi" w:cstheme="majorBidi"/>
              </w:rPr>
            </w:pPr>
            <w:r w:rsidRPr="00D76748">
              <w:rPr>
                <w:rFonts w:asciiTheme="majorBidi" w:hAnsiTheme="majorBidi" w:cstheme="majorBidi"/>
              </w:rPr>
              <w:t>1901</w:t>
            </w:r>
          </w:p>
        </w:tc>
      </w:tr>
      <w:tr w:rsidR="009F01D8" w:rsidRPr="00D76748" w14:paraId="4E75DB0D" w14:textId="77777777" w:rsidTr="009F01D8">
        <w:trPr>
          <w:trHeight w:val="279"/>
        </w:trPr>
        <w:tc>
          <w:tcPr>
            <w:tcW w:w="1129" w:type="dxa"/>
            <w:hideMark/>
          </w:tcPr>
          <w:p w14:paraId="4789D11C" w14:textId="77777777" w:rsidR="009F01D8" w:rsidRPr="00D76748" w:rsidRDefault="009F01D8" w:rsidP="009F01D8">
            <w:pPr>
              <w:rPr>
                <w:rFonts w:asciiTheme="majorBidi" w:hAnsiTheme="majorBidi" w:cstheme="majorBidi"/>
              </w:rPr>
            </w:pPr>
            <w:r w:rsidRPr="00D76748">
              <w:rPr>
                <w:rFonts w:asciiTheme="majorBidi" w:hAnsiTheme="majorBidi" w:cstheme="majorBidi"/>
              </w:rPr>
              <w:t>5</w:t>
            </w:r>
          </w:p>
        </w:tc>
        <w:tc>
          <w:tcPr>
            <w:tcW w:w="6237" w:type="dxa"/>
            <w:hideMark/>
          </w:tcPr>
          <w:p w14:paraId="0D27ECCD"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limit 4 to </w:t>
            </w:r>
            <w:proofErr w:type="spellStart"/>
            <w:r w:rsidRPr="00D76748">
              <w:rPr>
                <w:rFonts w:asciiTheme="majorBidi" w:hAnsiTheme="majorBidi" w:cstheme="majorBidi"/>
              </w:rPr>
              <w:t>english</w:t>
            </w:r>
            <w:proofErr w:type="spellEnd"/>
            <w:r w:rsidRPr="00D76748">
              <w:rPr>
                <w:rFonts w:asciiTheme="majorBidi" w:hAnsiTheme="majorBidi" w:cstheme="majorBidi"/>
              </w:rPr>
              <w:t xml:space="preserve"> language</w:t>
            </w:r>
          </w:p>
        </w:tc>
        <w:tc>
          <w:tcPr>
            <w:tcW w:w="1650" w:type="dxa"/>
            <w:hideMark/>
          </w:tcPr>
          <w:p w14:paraId="4FB42ED7" w14:textId="77777777" w:rsidR="009F01D8" w:rsidRPr="00D76748" w:rsidRDefault="009F01D8" w:rsidP="009F01D8">
            <w:pPr>
              <w:rPr>
                <w:rFonts w:asciiTheme="majorBidi" w:hAnsiTheme="majorBidi" w:cstheme="majorBidi"/>
              </w:rPr>
            </w:pPr>
            <w:r w:rsidRPr="00D76748">
              <w:rPr>
                <w:rFonts w:asciiTheme="majorBidi" w:hAnsiTheme="majorBidi" w:cstheme="majorBidi"/>
              </w:rPr>
              <w:t>1884</w:t>
            </w:r>
          </w:p>
        </w:tc>
      </w:tr>
      <w:tr w:rsidR="009F01D8" w:rsidRPr="00D76748" w14:paraId="5365705C" w14:textId="77777777" w:rsidTr="009F01D8">
        <w:trPr>
          <w:trHeight w:val="279"/>
        </w:trPr>
        <w:tc>
          <w:tcPr>
            <w:tcW w:w="1129" w:type="dxa"/>
            <w:hideMark/>
          </w:tcPr>
          <w:p w14:paraId="1A615F9C" w14:textId="77777777" w:rsidR="009F01D8" w:rsidRPr="00D76748" w:rsidRDefault="009F01D8" w:rsidP="009F01D8">
            <w:pPr>
              <w:rPr>
                <w:rFonts w:asciiTheme="majorBidi" w:hAnsiTheme="majorBidi" w:cstheme="majorBidi"/>
              </w:rPr>
            </w:pPr>
            <w:r w:rsidRPr="00D76748">
              <w:rPr>
                <w:rFonts w:asciiTheme="majorBidi" w:hAnsiTheme="majorBidi" w:cstheme="majorBidi"/>
              </w:rPr>
              <w:t>6</w:t>
            </w:r>
          </w:p>
        </w:tc>
        <w:tc>
          <w:tcPr>
            <w:tcW w:w="6237" w:type="dxa"/>
            <w:hideMark/>
          </w:tcPr>
          <w:p w14:paraId="249DAE01"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Cost-benefit analysis/</w:t>
            </w:r>
          </w:p>
        </w:tc>
        <w:tc>
          <w:tcPr>
            <w:tcW w:w="1650" w:type="dxa"/>
            <w:hideMark/>
          </w:tcPr>
          <w:p w14:paraId="50291708" w14:textId="77777777" w:rsidR="009F01D8" w:rsidRPr="00D76748" w:rsidRDefault="009F01D8" w:rsidP="009F01D8">
            <w:pPr>
              <w:rPr>
                <w:rFonts w:asciiTheme="majorBidi" w:hAnsiTheme="majorBidi" w:cstheme="majorBidi"/>
              </w:rPr>
            </w:pPr>
            <w:r w:rsidRPr="00D76748">
              <w:rPr>
                <w:rFonts w:asciiTheme="majorBidi" w:hAnsiTheme="majorBidi" w:cstheme="majorBidi"/>
              </w:rPr>
              <w:t>83842</w:t>
            </w:r>
          </w:p>
        </w:tc>
      </w:tr>
      <w:tr w:rsidR="009F01D8" w:rsidRPr="00D76748" w14:paraId="3C7C9A11" w14:textId="77777777" w:rsidTr="009F01D8">
        <w:trPr>
          <w:trHeight w:val="279"/>
        </w:trPr>
        <w:tc>
          <w:tcPr>
            <w:tcW w:w="1129" w:type="dxa"/>
            <w:hideMark/>
          </w:tcPr>
          <w:p w14:paraId="75946D2F" w14:textId="77777777" w:rsidR="009F01D8" w:rsidRPr="00D76748" w:rsidRDefault="009F01D8" w:rsidP="009F01D8">
            <w:pPr>
              <w:rPr>
                <w:rFonts w:asciiTheme="majorBidi" w:hAnsiTheme="majorBidi" w:cstheme="majorBidi"/>
              </w:rPr>
            </w:pPr>
            <w:r w:rsidRPr="00D76748">
              <w:rPr>
                <w:rFonts w:asciiTheme="majorBidi" w:hAnsiTheme="majorBidi" w:cstheme="majorBidi"/>
              </w:rPr>
              <w:t>7</w:t>
            </w:r>
          </w:p>
        </w:tc>
        <w:tc>
          <w:tcPr>
            <w:tcW w:w="6237" w:type="dxa"/>
            <w:hideMark/>
          </w:tcPr>
          <w:p w14:paraId="5A2D9643"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 value of life/</w:t>
            </w:r>
          </w:p>
        </w:tc>
        <w:tc>
          <w:tcPr>
            <w:tcW w:w="1650" w:type="dxa"/>
            <w:hideMark/>
          </w:tcPr>
          <w:p w14:paraId="21EA81A7" w14:textId="77777777" w:rsidR="009F01D8" w:rsidRPr="00D76748" w:rsidRDefault="009F01D8" w:rsidP="009F01D8">
            <w:pPr>
              <w:rPr>
                <w:rFonts w:asciiTheme="majorBidi" w:hAnsiTheme="majorBidi" w:cstheme="majorBidi"/>
              </w:rPr>
            </w:pPr>
            <w:r w:rsidRPr="00D76748">
              <w:rPr>
                <w:rFonts w:asciiTheme="majorBidi" w:hAnsiTheme="majorBidi" w:cstheme="majorBidi"/>
              </w:rPr>
              <w:t>5741</w:t>
            </w:r>
          </w:p>
        </w:tc>
      </w:tr>
      <w:tr w:rsidR="009F01D8" w:rsidRPr="00D76748" w14:paraId="147C664C" w14:textId="77777777" w:rsidTr="009F01D8">
        <w:trPr>
          <w:trHeight w:val="279"/>
        </w:trPr>
        <w:tc>
          <w:tcPr>
            <w:tcW w:w="1129" w:type="dxa"/>
            <w:hideMark/>
          </w:tcPr>
          <w:p w14:paraId="132F5313"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c>
          <w:tcPr>
            <w:tcW w:w="6237" w:type="dxa"/>
            <w:hideMark/>
          </w:tcPr>
          <w:p w14:paraId="1992ABAA" w14:textId="77777777" w:rsidR="009F01D8" w:rsidRPr="00D76748" w:rsidRDefault="009F01D8" w:rsidP="009F01D8">
            <w:pPr>
              <w:rPr>
                <w:rFonts w:asciiTheme="majorBidi" w:hAnsiTheme="majorBidi" w:cstheme="majorBidi"/>
              </w:rPr>
            </w:pPr>
            <w:r w:rsidRPr="00D76748">
              <w:rPr>
                <w:rFonts w:asciiTheme="majorBidi" w:hAnsiTheme="majorBidi" w:cstheme="majorBidi"/>
              </w:rPr>
              <w:t>Quality-adjusted life years/</w:t>
            </w:r>
          </w:p>
        </w:tc>
        <w:tc>
          <w:tcPr>
            <w:tcW w:w="1650" w:type="dxa"/>
            <w:hideMark/>
          </w:tcPr>
          <w:p w14:paraId="2AD04F3B" w14:textId="77777777" w:rsidR="009F01D8" w:rsidRPr="00D76748" w:rsidRDefault="009F01D8" w:rsidP="009F01D8">
            <w:pPr>
              <w:rPr>
                <w:rFonts w:asciiTheme="majorBidi" w:hAnsiTheme="majorBidi" w:cstheme="majorBidi"/>
              </w:rPr>
            </w:pPr>
            <w:r w:rsidRPr="00D76748">
              <w:rPr>
                <w:rFonts w:asciiTheme="majorBidi" w:hAnsiTheme="majorBidi" w:cstheme="majorBidi"/>
              </w:rPr>
              <w:t>13042</w:t>
            </w:r>
          </w:p>
        </w:tc>
      </w:tr>
      <w:tr w:rsidR="009F01D8" w:rsidRPr="00D76748" w14:paraId="54F10CCF" w14:textId="77777777" w:rsidTr="009F01D8">
        <w:trPr>
          <w:trHeight w:val="279"/>
        </w:trPr>
        <w:tc>
          <w:tcPr>
            <w:tcW w:w="1129" w:type="dxa"/>
            <w:hideMark/>
          </w:tcPr>
          <w:p w14:paraId="036D3F9D" w14:textId="77777777" w:rsidR="009F01D8" w:rsidRPr="00D76748" w:rsidRDefault="009F01D8" w:rsidP="009F01D8">
            <w:pPr>
              <w:rPr>
                <w:rFonts w:asciiTheme="majorBidi" w:hAnsiTheme="majorBidi" w:cstheme="majorBidi"/>
              </w:rPr>
            </w:pPr>
            <w:r w:rsidRPr="00D76748">
              <w:rPr>
                <w:rFonts w:asciiTheme="majorBidi" w:hAnsiTheme="majorBidi" w:cstheme="majorBidi"/>
              </w:rPr>
              <w:t>9</w:t>
            </w:r>
          </w:p>
        </w:tc>
        <w:tc>
          <w:tcPr>
            <w:tcW w:w="6237" w:type="dxa"/>
            <w:hideMark/>
          </w:tcPr>
          <w:p w14:paraId="112E20E3"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models, economic/</w:t>
            </w:r>
          </w:p>
        </w:tc>
        <w:tc>
          <w:tcPr>
            <w:tcW w:w="1650" w:type="dxa"/>
            <w:hideMark/>
          </w:tcPr>
          <w:p w14:paraId="31B05671" w14:textId="77777777" w:rsidR="009F01D8" w:rsidRPr="00D76748" w:rsidRDefault="009F01D8" w:rsidP="009F01D8">
            <w:pPr>
              <w:rPr>
                <w:rFonts w:asciiTheme="majorBidi" w:hAnsiTheme="majorBidi" w:cstheme="majorBidi"/>
              </w:rPr>
            </w:pPr>
            <w:r w:rsidRPr="00D76748">
              <w:rPr>
                <w:rFonts w:asciiTheme="majorBidi" w:hAnsiTheme="majorBidi" w:cstheme="majorBidi"/>
              </w:rPr>
              <w:t>15508</w:t>
            </w:r>
          </w:p>
        </w:tc>
      </w:tr>
      <w:tr w:rsidR="009F01D8" w:rsidRPr="00D76748" w14:paraId="2D0320FE" w14:textId="77777777" w:rsidTr="009F01D8">
        <w:trPr>
          <w:trHeight w:val="279"/>
        </w:trPr>
        <w:tc>
          <w:tcPr>
            <w:tcW w:w="1129" w:type="dxa"/>
            <w:hideMark/>
          </w:tcPr>
          <w:p w14:paraId="3E854049" w14:textId="77777777" w:rsidR="009F01D8" w:rsidRPr="00D76748" w:rsidRDefault="009F01D8" w:rsidP="009F01D8">
            <w:pPr>
              <w:rPr>
                <w:rFonts w:asciiTheme="majorBidi" w:hAnsiTheme="majorBidi" w:cstheme="majorBidi"/>
              </w:rPr>
            </w:pPr>
            <w:r w:rsidRPr="00D76748">
              <w:rPr>
                <w:rFonts w:asciiTheme="majorBidi" w:hAnsiTheme="majorBidi" w:cstheme="majorBidi"/>
              </w:rPr>
              <w:t>10</w:t>
            </w:r>
          </w:p>
        </w:tc>
        <w:tc>
          <w:tcPr>
            <w:tcW w:w="6237" w:type="dxa"/>
            <w:hideMark/>
          </w:tcPr>
          <w:p w14:paraId="18FFF741"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utilit$.tw.</w:t>
            </w:r>
          </w:p>
        </w:tc>
        <w:tc>
          <w:tcPr>
            <w:tcW w:w="1650" w:type="dxa"/>
            <w:hideMark/>
          </w:tcPr>
          <w:p w14:paraId="2EBD3E13" w14:textId="77777777" w:rsidR="009F01D8" w:rsidRPr="00D76748" w:rsidRDefault="009F01D8" w:rsidP="009F01D8">
            <w:pPr>
              <w:rPr>
                <w:rFonts w:asciiTheme="majorBidi" w:hAnsiTheme="majorBidi" w:cstheme="majorBidi"/>
              </w:rPr>
            </w:pPr>
            <w:r w:rsidRPr="00D76748">
              <w:rPr>
                <w:rFonts w:asciiTheme="majorBidi" w:hAnsiTheme="majorBidi" w:cstheme="majorBidi"/>
              </w:rPr>
              <w:t>4939</w:t>
            </w:r>
          </w:p>
        </w:tc>
      </w:tr>
      <w:tr w:rsidR="009F01D8" w:rsidRPr="00D76748" w14:paraId="3D5F63D8" w14:textId="77777777" w:rsidTr="009F01D8">
        <w:trPr>
          <w:trHeight w:val="279"/>
        </w:trPr>
        <w:tc>
          <w:tcPr>
            <w:tcW w:w="1129" w:type="dxa"/>
            <w:hideMark/>
          </w:tcPr>
          <w:p w14:paraId="6C156BB0"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c>
          <w:tcPr>
            <w:tcW w:w="6237" w:type="dxa"/>
            <w:hideMark/>
          </w:tcPr>
          <w:p w14:paraId="0CD140B7"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benefit$.tw.</w:t>
            </w:r>
          </w:p>
        </w:tc>
        <w:tc>
          <w:tcPr>
            <w:tcW w:w="1650" w:type="dxa"/>
            <w:hideMark/>
          </w:tcPr>
          <w:p w14:paraId="52AC7709" w14:textId="77777777" w:rsidR="009F01D8" w:rsidRPr="00D76748" w:rsidRDefault="009F01D8" w:rsidP="009F01D8">
            <w:pPr>
              <w:rPr>
                <w:rFonts w:asciiTheme="majorBidi" w:hAnsiTheme="majorBidi" w:cstheme="majorBidi"/>
              </w:rPr>
            </w:pPr>
            <w:r w:rsidRPr="00D76748">
              <w:rPr>
                <w:rFonts w:asciiTheme="majorBidi" w:hAnsiTheme="majorBidi" w:cstheme="majorBidi"/>
              </w:rPr>
              <w:t>11329</w:t>
            </w:r>
          </w:p>
        </w:tc>
      </w:tr>
      <w:tr w:rsidR="009F01D8" w:rsidRPr="00D76748" w14:paraId="05F73602" w14:textId="77777777" w:rsidTr="009F01D8">
        <w:trPr>
          <w:trHeight w:val="279"/>
        </w:trPr>
        <w:tc>
          <w:tcPr>
            <w:tcW w:w="1129" w:type="dxa"/>
            <w:hideMark/>
          </w:tcPr>
          <w:p w14:paraId="0F862B91" w14:textId="77777777" w:rsidR="009F01D8" w:rsidRPr="00D76748" w:rsidRDefault="009F01D8" w:rsidP="009F01D8">
            <w:pPr>
              <w:rPr>
                <w:rFonts w:asciiTheme="majorBidi" w:hAnsiTheme="majorBidi" w:cstheme="majorBidi"/>
              </w:rPr>
            </w:pPr>
            <w:r w:rsidRPr="00D76748">
              <w:rPr>
                <w:rFonts w:asciiTheme="majorBidi" w:hAnsiTheme="majorBidi" w:cstheme="majorBidi"/>
              </w:rPr>
              <w:t>12</w:t>
            </w:r>
          </w:p>
        </w:tc>
        <w:tc>
          <w:tcPr>
            <w:tcW w:w="6237" w:type="dxa"/>
            <w:hideMark/>
          </w:tcPr>
          <w:p w14:paraId="294201D7"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minim$.tw.</w:t>
            </w:r>
          </w:p>
        </w:tc>
        <w:tc>
          <w:tcPr>
            <w:tcW w:w="1650" w:type="dxa"/>
            <w:hideMark/>
          </w:tcPr>
          <w:p w14:paraId="644D565E" w14:textId="77777777" w:rsidR="009F01D8" w:rsidRPr="00D76748" w:rsidRDefault="009F01D8" w:rsidP="009F01D8">
            <w:pPr>
              <w:rPr>
                <w:rFonts w:asciiTheme="majorBidi" w:hAnsiTheme="majorBidi" w:cstheme="majorBidi"/>
              </w:rPr>
            </w:pPr>
            <w:r w:rsidRPr="00D76748">
              <w:rPr>
                <w:rFonts w:asciiTheme="majorBidi" w:hAnsiTheme="majorBidi" w:cstheme="majorBidi"/>
              </w:rPr>
              <w:t>1563</w:t>
            </w:r>
          </w:p>
        </w:tc>
      </w:tr>
      <w:tr w:rsidR="009F01D8" w:rsidRPr="00D76748" w14:paraId="2DFBA9BC" w14:textId="77777777" w:rsidTr="009F01D8">
        <w:trPr>
          <w:trHeight w:val="279"/>
        </w:trPr>
        <w:tc>
          <w:tcPr>
            <w:tcW w:w="1129" w:type="dxa"/>
            <w:hideMark/>
          </w:tcPr>
          <w:p w14:paraId="77DFA6BE"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c>
          <w:tcPr>
            <w:tcW w:w="6237" w:type="dxa"/>
            <w:hideMark/>
          </w:tcPr>
          <w:p w14:paraId="5A0CB3D1"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effect$.tw.</w:t>
            </w:r>
          </w:p>
        </w:tc>
        <w:tc>
          <w:tcPr>
            <w:tcW w:w="1650" w:type="dxa"/>
            <w:hideMark/>
          </w:tcPr>
          <w:p w14:paraId="345B4F3D" w14:textId="77777777" w:rsidR="009F01D8" w:rsidRPr="00D76748" w:rsidRDefault="009F01D8" w:rsidP="009F01D8">
            <w:pPr>
              <w:rPr>
                <w:rFonts w:asciiTheme="majorBidi" w:hAnsiTheme="majorBidi" w:cstheme="majorBidi"/>
              </w:rPr>
            </w:pPr>
            <w:r w:rsidRPr="00D76748">
              <w:rPr>
                <w:rFonts w:asciiTheme="majorBidi" w:hAnsiTheme="majorBidi" w:cstheme="majorBidi"/>
              </w:rPr>
              <w:t>143618</w:t>
            </w:r>
          </w:p>
        </w:tc>
      </w:tr>
      <w:tr w:rsidR="009F01D8" w:rsidRPr="00D76748" w14:paraId="0C1534E9" w14:textId="77777777" w:rsidTr="009F01D8">
        <w:trPr>
          <w:trHeight w:val="279"/>
        </w:trPr>
        <w:tc>
          <w:tcPr>
            <w:tcW w:w="1129" w:type="dxa"/>
            <w:hideMark/>
          </w:tcPr>
          <w:p w14:paraId="2AAB4B38" w14:textId="77777777" w:rsidR="009F01D8" w:rsidRPr="00D76748" w:rsidRDefault="009F01D8" w:rsidP="009F01D8">
            <w:pPr>
              <w:rPr>
                <w:rFonts w:asciiTheme="majorBidi" w:hAnsiTheme="majorBidi" w:cstheme="majorBidi"/>
              </w:rPr>
            </w:pPr>
            <w:r w:rsidRPr="00D76748">
              <w:rPr>
                <w:rFonts w:asciiTheme="majorBidi" w:hAnsiTheme="majorBidi" w:cstheme="majorBidi"/>
              </w:rPr>
              <w:t>14</w:t>
            </w:r>
          </w:p>
        </w:tc>
        <w:tc>
          <w:tcPr>
            <w:tcW w:w="6237" w:type="dxa"/>
            <w:hideMark/>
          </w:tcPr>
          <w:p w14:paraId="0871667C"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 evaluation$.tw.</w:t>
            </w:r>
          </w:p>
        </w:tc>
        <w:tc>
          <w:tcPr>
            <w:tcW w:w="1650" w:type="dxa"/>
            <w:hideMark/>
          </w:tcPr>
          <w:p w14:paraId="01754CF0" w14:textId="77777777" w:rsidR="009F01D8" w:rsidRPr="00D76748" w:rsidRDefault="009F01D8" w:rsidP="009F01D8">
            <w:pPr>
              <w:rPr>
                <w:rFonts w:asciiTheme="majorBidi" w:hAnsiTheme="majorBidi" w:cstheme="majorBidi"/>
              </w:rPr>
            </w:pPr>
            <w:r w:rsidRPr="00D76748">
              <w:rPr>
                <w:rFonts w:asciiTheme="majorBidi" w:hAnsiTheme="majorBidi" w:cstheme="majorBidi"/>
              </w:rPr>
              <w:t>12455</w:t>
            </w:r>
          </w:p>
        </w:tc>
      </w:tr>
      <w:tr w:rsidR="009F01D8" w:rsidRPr="00D76748" w14:paraId="23B2815E" w14:textId="77777777" w:rsidTr="009F01D8">
        <w:trPr>
          <w:trHeight w:val="279"/>
        </w:trPr>
        <w:tc>
          <w:tcPr>
            <w:tcW w:w="1129" w:type="dxa"/>
            <w:hideMark/>
          </w:tcPr>
          <w:p w14:paraId="249B7815" w14:textId="77777777" w:rsidR="009F01D8" w:rsidRPr="00D76748" w:rsidRDefault="009F01D8" w:rsidP="009F01D8">
            <w:pPr>
              <w:rPr>
                <w:rFonts w:asciiTheme="majorBidi" w:hAnsiTheme="majorBidi" w:cstheme="majorBidi"/>
              </w:rPr>
            </w:pPr>
            <w:r w:rsidRPr="00D76748">
              <w:rPr>
                <w:rFonts w:asciiTheme="majorBidi" w:hAnsiTheme="majorBidi" w:cstheme="majorBidi"/>
              </w:rPr>
              <w:t>15</w:t>
            </w:r>
          </w:p>
        </w:tc>
        <w:tc>
          <w:tcPr>
            <w:tcW w:w="6237" w:type="dxa"/>
            <w:hideMark/>
          </w:tcPr>
          <w:p w14:paraId="7B5A8DC3" w14:textId="77777777" w:rsidR="009F01D8" w:rsidRPr="00D76748" w:rsidRDefault="009F01D8" w:rsidP="009F01D8">
            <w:pPr>
              <w:rPr>
                <w:rFonts w:asciiTheme="majorBidi" w:hAnsiTheme="majorBidi" w:cstheme="majorBidi"/>
              </w:rPr>
            </w:pPr>
            <w:r w:rsidRPr="00D76748">
              <w:rPr>
                <w:rFonts w:asciiTheme="majorBidi" w:hAnsiTheme="majorBidi" w:cstheme="majorBidi"/>
              </w:rPr>
              <w:t>or/6-14</w:t>
            </w:r>
          </w:p>
        </w:tc>
        <w:tc>
          <w:tcPr>
            <w:tcW w:w="1650" w:type="dxa"/>
            <w:hideMark/>
          </w:tcPr>
          <w:p w14:paraId="5BFD6903" w14:textId="77777777" w:rsidR="009F01D8" w:rsidRPr="00D76748" w:rsidRDefault="009F01D8" w:rsidP="009F01D8">
            <w:pPr>
              <w:rPr>
                <w:rFonts w:asciiTheme="majorBidi" w:hAnsiTheme="majorBidi" w:cstheme="majorBidi"/>
              </w:rPr>
            </w:pPr>
            <w:r w:rsidRPr="00D76748">
              <w:rPr>
                <w:rFonts w:asciiTheme="majorBidi" w:hAnsiTheme="majorBidi" w:cstheme="majorBidi"/>
              </w:rPr>
              <w:t>213673</w:t>
            </w:r>
          </w:p>
        </w:tc>
      </w:tr>
      <w:tr w:rsidR="009F01D8" w:rsidRPr="00D76748" w14:paraId="6B07622A" w14:textId="77777777" w:rsidTr="009F01D8">
        <w:trPr>
          <w:trHeight w:val="279"/>
        </w:trPr>
        <w:tc>
          <w:tcPr>
            <w:tcW w:w="1129" w:type="dxa"/>
            <w:noWrap/>
            <w:hideMark/>
          </w:tcPr>
          <w:p w14:paraId="1219AE7F"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c>
          <w:tcPr>
            <w:tcW w:w="6237" w:type="dxa"/>
            <w:hideMark/>
          </w:tcPr>
          <w:p w14:paraId="7E47EC37" w14:textId="77777777" w:rsidR="009F01D8" w:rsidRPr="00D76748" w:rsidRDefault="009F01D8" w:rsidP="009F01D8">
            <w:pPr>
              <w:rPr>
                <w:rFonts w:asciiTheme="majorBidi" w:hAnsiTheme="majorBidi" w:cstheme="majorBidi"/>
              </w:rPr>
            </w:pPr>
            <w:r w:rsidRPr="00D76748">
              <w:rPr>
                <w:rFonts w:asciiTheme="majorBidi" w:hAnsiTheme="majorBidi" w:cstheme="majorBidi"/>
              </w:rPr>
              <w:t>5 and 15</w:t>
            </w:r>
          </w:p>
        </w:tc>
        <w:tc>
          <w:tcPr>
            <w:tcW w:w="1650" w:type="dxa"/>
            <w:noWrap/>
            <w:hideMark/>
          </w:tcPr>
          <w:p w14:paraId="283DEF05" w14:textId="77777777" w:rsidR="009F01D8" w:rsidRPr="00D76748" w:rsidRDefault="009F01D8" w:rsidP="009F01D8">
            <w:pPr>
              <w:rPr>
                <w:rFonts w:asciiTheme="majorBidi" w:hAnsiTheme="majorBidi" w:cstheme="majorBidi"/>
              </w:rPr>
            </w:pPr>
            <w:r w:rsidRPr="00D76748">
              <w:rPr>
                <w:rFonts w:asciiTheme="majorBidi" w:hAnsiTheme="majorBidi" w:cstheme="majorBidi"/>
              </w:rPr>
              <w:t>26</w:t>
            </w:r>
          </w:p>
        </w:tc>
      </w:tr>
    </w:tbl>
    <w:p w14:paraId="154DCCD0" w14:textId="77777777" w:rsidR="009F01D8" w:rsidRPr="00F63CD5" w:rsidRDefault="009F01D8" w:rsidP="009F01D8">
      <w:pPr>
        <w:spacing w:after="0"/>
        <w:rPr>
          <w:b/>
        </w:rPr>
      </w:pPr>
    </w:p>
    <w:p w14:paraId="64B6FC3C" w14:textId="77777777" w:rsidR="009F01D8" w:rsidRPr="00D76748" w:rsidRDefault="009F01D8" w:rsidP="009F01D8">
      <w:pPr>
        <w:spacing w:after="0"/>
        <w:rPr>
          <w:rFonts w:asciiTheme="majorBidi" w:hAnsiTheme="majorBidi" w:cstheme="majorBidi"/>
          <w:b/>
        </w:rPr>
      </w:pPr>
      <w:r w:rsidRPr="00D76748">
        <w:rPr>
          <w:rFonts w:asciiTheme="majorBidi" w:hAnsiTheme="majorBidi" w:cstheme="majorBidi"/>
          <w:b/>
        </w:rPr>
        <w:t>Embase 1974 to 2021 March 31 (searched via the Ovid SP platform)</w:t>
      </w:r>
    </w:p>
    <w:p w14:paraId="5AF77E3C"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1st April 2021</w:t>
      </w:r>
    </w:p>
    <w:p w14:paraId="63B2A7F9" w14:textId="77777777" w:rsidR="009F01D8" w:rsidRPr="00F63CD5" w:rsidRDefault="009F01D8" w:rsidP="009F01D8">
      <w:pPr>
        <w:spacing w:after="0"/>
      </w:pPr>
    </w:p>
    <w:tbl>
      <w:tblPr>
        <w:tblStyle w:val="TableGrid"/>
        <w:tblW w:w="0" w:type="auto"/>
        <w:tblLook w:val="04A0" w:firstRow="1" w:lastRow="0" w:firstColumn="1" w:lastColumn="0" w:noHBand="0" w:noVBand="1"/>
      </w:tblPr>
      <w:tblGrid>
        <w:gridCol w:w="1129"/>
        <w:gridCol w:w="6096"/>
        <w:gridCol w:w="1791"/>
      </w:tblGrid>
      <w:tr w:rsidR="009F01D8" w:rsidRPr="00D76748" w14:paraId="4327AEB2" w14:textId="77777777" w:rsidTr="009F01D8">
        <w:trPr>
          <w:trHeight w:val="279"/>
        </w:trPr>
        <w:tc>
          <w:tcPr>
            <w:tcW w:w="1129" w:type="dxa"/>
            <w:hideMark/>
          </w:tcPr>
          <w:p w14:paraId="57E2F60A"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w:t>
            </w:r>
          </w:p>
        </w:tc>
        <w:tc>
          <w:tcPr>
            <w:tcW w:w="6096" w:type="dxa"/>
            <w:hideMark/>
          </w:tcPr>
          <w:p w14:paraId="3905BDC4"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Searches</w:t>
            </w:r>
          </w:p>
        </w:tc>
        <w:tc>
          <w:tcPr>
            <w:tcW w:w="1791" w:type="dxa"/>
            <w:hideMark/>
          </w:tcPr>
          <w:p w14:paraId="2C4DE3C4"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Results</w:t>
            </w:r>
          </w:p>
        </w:tc>
      </w:tr>
      <w:tr w:rsidR="009F01D8" w:rsidRPr="00D76748" w14:paraId="0320500A" w14:textId="77777777" w:rsidTr="009F01D8">
        <w:trPr>
          <w:trHeight w:val="279"/>
        </w:trPr>
        <w:tc>
          <w:tcPr>
            <w:tcW w:w="1129" w:type="dxa"/>
            <w:noWrap/>
            <w:hideMark/>
          </w:tcPr>
          <w:p w14:paraId="6465A9FE" w14:textId="77777777" w:rsidR="009F01D8" w:rsidRPr="00D76748" w:rsidRDefault="009F01D8" w:rsidP="009F01D8">
            <w:pPr>
              <w:rPr>
                <w:rFonts w:asciiTheme="majorBidi" w:hAnsiTheme="majorBidi" w:cstheme="majorBidi"/>
              </w:rPr>
            </w:pPr>
            <w:r w:rsidRPr="00D76748">
              <w:rPr>
                <w:rFonts w:asciiTheme="majorBidi" w:hAnsiTheme="majorBidi" w:cstheme="majorBidi"/>
              </w:rPr>
              <w:t>1</w:t>
            </w:r>
          </w:p>
        </w:tc>
        <w:tc>
          <w:tcPr>
            <w:tcW w:w="6096" w:type="dxa"/>
            <w:noWrap/>
            <w:hideMark/>
          </w:tcPr>
          <w:p w14:paraId="2B37727B"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((antimicrobial or antibiotic or antibacterial) and </w:t>
            </w:r>
            <w:proofErr w:type="spellStart"/>
            <w:r w:rsidRPr="00D76748">
              <w:rPr>
                <w:rFonts w:asciiTheme="majorBidi" w:hAnsiTheme="majorBidi" w:cstheme="majorBidi"/>
              </w:rPr>
              <w:t>resistan</w:t>
            </w:r>
            <w:proofErr w:type="spellEnd"/>
            <w:r w:rsidRPr="00D76748">
              <w:rPr>
                <w:rFonts w:asciiTheme="majorBidi" w:hAnsiTheme="majorBidi" w:cstheme="majorBidi"/>
              </w:rPr>
              <w:t>*).</w:t>
            </w:r>
            <w:proofErr w:type="spellStart"/>
            <w:r w:rsidRPr="00D76748">
              <w:rPr>
                <w:rFonts w:asciiTheme="majorBidi" w:hAnsiTheme="majorBidi" w:cstheme="majorBidi"/>
              </w:rPr>
              <w:t>mp</w:t>
            </w:r>
            <w:proofErr w:type="spellEnd"/>
            <w:r w:rsidRPr="00D76748">
              <w:rPr>
                <w:rFonts w:asciiTheme="majorBidi" w:hAnsiTheme="majorBidi" w:cstheme="majorBidi"/>
              </w:rPr>
              <w:t>.</w:t>
            </w:r>
          </w:p>
        </w:tc>
        <w:tc>
          <w:tcPr>
            <w:tcW w:w="1791" w:type="dxa"/>
            <w:noWrap/>
            <w:hideMark/>
          </w:tcPr>
          <w:p w14:paraId="092FA02B" w14:textId="77777777" w:rsidR="009F01D8" w:rsidRPr="00D76748" w:rsidRDefault="009F01D8" w:rsidP="009F01D8">
            <w:pPr>
              <w:rPr>
                <w:rFonts w:asciiTheme="majorBidi" w:hAnsiTheme="majorBidi" w:cstheme="majorBidi"/>
              </w:rPr>
            </w:pPr>
            <w:r w:rsidRPr="00D76748">
              <w:rPr>
                <w:rFonts w:asciiTheme="majorBidi" w:hAnsiTheme="majorBidi" w:cstheme="majorBidi"/>
              </w:rPr>
              <w:t>298764</w:t>
            </w:r>
          </w:p>
        </w:tc>
      </w:tr>
      <w:tr w:rsidR="009F01D8" w:rsidRPr="00D76748" w14:paraId="7C46B74B" w14:textId="77777777" w:rsidTr="009F01D8">
        <w:trPr>
          <w:trHeight w:val="279"/>
        </w:trPr>
        <w:tc>
          <w:tcPr>
            <w:tcW w:w="1129" w:type="dxa"/>
            <w:noWrap/>
            <w:hideMark/>
          </w:tcPr>
          <w:p w14:paraId="09AB4EE0"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c>
          <w:tcPr>
            <w:tcW w:w="6096" w:type="dxa"/>
            <w:noWrap/>
            <w:hideMark/>
          </w:tcPr>
          <w:p w14:paraId="0BFDA68C"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(model* or "population dynamic*" or </w:t>
            </w:r>
            <w:proofErr w:type="spellStart"/>
            <w:r w:rsidRPr="00D76748">
              <w:rPr>
                <w:rFonts w:asciiTheme="majorBidi" w:hAnsiTheme="majorBidi" w:cstheme="majorBidi"/>
              </w:rPr>
              <w:t>simulat</w:t>
            </w:r>
            <w:proofErr w:type="spellEnd"/>
            <w:r w:rsidRPr="00D76748">
              <w:rPr>
                <w:rFonts w:asciiTheme="majorBidi" w:hAnsiTheme="majorBidi" w:cstheme="majorBidi"/>
              </w:rPr>
              <w:t>*).</w:t>
            </w:r>
            <w:proofErr w:type="spellStart"/>
            <w:r w:rsidRPr="00D76748">
              <w:rPr>
                <w:rFonts w:asciiTheme="majorBidi" w:hAnsiTheme="majorBidi" w:cstheme="majorBidi"/>
              </w:rPr>
              <w:t>ti</w:t>
            </w:r>
            <w:proofErr w:type="spellEnd"/>
            <w:r w:rsidRPr="00D76748">
              <w:rPr>
                <w:rFonts w:asciiTheme="majorBidi" w:hAnsiTheme="majorBidi" w:cstheme="majorBidi"/>
              </w:rPr>
              <w:t>.</w:t>
            </w:r>
          </w:p>
        </w:tc>
        <w:tc>
          <w:tcPr>
            <w:tcW w:w="1791" w:type="dxa"/>
            <w:noWrap/>
            <w:hideMark/>
          </w:tcPr>
          <w:p w14:paraId="1CEAF1B0" w14:textId="77777777" w:rsidR="009F01D8" w:rsidRPr="00D76748" w:rsidRDefault="009F01D8" w:rsidP="009F01D8">
            <w:pPr>
              <w:rPr>
                <w:rFonts w:asciiTheme="majorBidi" w:hAnsiTheme="majorBidi" w:cstheme="majorBidi"/>
              </w:rPr>
            </w:pPr>
            <w:r w:rsidRPr="00D76748">
              <w:rPr>
                <w:rFonts w:asciiTheme="majorBidi" w:hAnsiTheme="majorBidi" w:cstheme="majorBidi"/>
              </w:rPr>
              <w:t>863662</w:t>
            </w:r>
          </w:p>
        </w:tc>
      </w:tr>
      <w:tr w:rsidR="009F01D8" w:rsidRPr="00D76748" w14:paraId="67DB3159" w14:textId="77777777" w:rsidTr="009F01D8">
        <w:trPr>
          <w:trHeight w:val="279"/>
        </w:trPr>
        <w:tc>
          <w:tcPr>
            <w:tcW w:w="1129" w:type="dxa"/>
            <w:noWrap/>
            <w:hideMark/>
          </w:tcPr>
          <w:p w14:paraId="3FF2A0B2" w14:textId="77777777" w:rsidR="009F01D8" w:rsidRPr="00D76748" w:rsidRDefault="009F01D8" w:rsidP="009F01D8">
            <w:pPr>
              <w:rPr>
                <w:rFonts w:asciiTheme="majorBidi" w:hAnsiTheme="majorBidi" w:cstheme="majorBidi"/>
              </w:rPr>
            </w:pPr>
            <w:r w:rsidRPr="00D76748">
              <w:rPr>
                <w:rFonts w:asciiTheme="majorBidi" w:hAnsiTheme="majorBidi" w:cstheme="majorBidi"/>
              </w:rPr>
              <w:t>3</w:t>
            </w:r>
          </w:p>
        </w:tc>
        <w:tc>
          <w:tcPr>
            <w:tcW w:w="6096" w:type="dxa"/>
            <w:noWrap/>
            <w:hideMark/>
          </w:tcPr>
          <w:p w14:paraId="5A0BAE98" w14:textId="77777777" w:rsidR="009F01D8" w:rsidRPr="00D76748" w:rsidRDefault="009F01D8" w:rsidP="009F01D8">
            <w:pPr>
              <w:rPr>
                <w:rFonts w:asciiTheme="majorBidi" w:hAnsiTheme="majorBidi" w:cstheme="majorBidi"/>
              </w:rPr>
            </w:pPr>
            <w:r w:rsidRPr="00D76748">
              <w:rPr>
                <w:rFonts w:asciiTheme="majorBidi" w:hAnsiTheme="majorBidi" w:cstheme="majorBidi"/>
              </w:rPr>
              <w:t>1 and 2</w:t>
            </w:r>
          </w:p>
        </w:tc>
        <w:tc>
          <w:tcPr>
            <w:tcW w:w="1791" w:type="dxa"/>
            <w:noWrap/>
            <w:hideMark/>
          </w:tcPr>
          <w:p w14:paraId="0D35E692" w14:textId="77777777" w:rsidR="009F01D8" w:rsidRPr="00D76748" w:rsidRDefault="009F01D8" w:rsidP="009F01D8">
            <w:pPr>
              <w:rPr>
                <w:rFonts w:asciiTheme="majorBidi" w:hAnsiTheme="majorBidi" w:cstheme="majorBidi"/>
              </w:rPr>
            </w:pPr>
            <w:r w:rsidRPr="00D76748">
              <w:rPr>
                <w:rFonts w:asciiTheme="majorBidi" w:hAnsiTheme="majorBidi" w:cstheme="majorBidi"/>
              </w:rPr>
              <w:t>4531</w:t>
            </w:r>
          </w:p>
        </w:tc>
      </w:tr>
      <w:tr w:rsidR="009F01D8" w:rsidRPr="00D76748" w14:paraId="28052B87" w14:textId="77777777" w:rsidTr="009F01D8">
        <w:trPr>
          <w:trHeight w:val="279"/>
        </w:trPr>
        <w:tc>
          <w:tcPr>
            <w:tcW w:w="1129" w:type="dxa"/>
            <w:noWrap/>
            <w:hideMark/>
          </w:tcPr>
          <w:p w14:paraId="5F011A04" w14:textId="77777777" w:rsidR="009F01D8" w:rsidRPr="00D76748" w:rsidRDefault="009F01D8" w:rsidP="009F01D8">
            <w:pPr>
              <w:rPr>
                <w:rFonts w:asciiTheme="majorBidi" w:hAnsiTheme="majorBidi" w:cstheme="majorBidi"/>
              </w:rPr>
            </w:pPr>
            <w:r w:rsidRPr="00D76748">
              <w:rPr>
                <w:rFonts w:asciiTheme="majorBidi" w:hAnsiTheme="majorBidi" w:cstheme="majorBidi"/>
              </w:rPr>
              <w:t>4</w:t>
            </w:r>
          </w:p>
        </w:tc>
        <w:tc>
          <w:tcPr>
            <w:tcW w:w="6096" w:type="dxa"/>
            <w:noWrap/>
            <w:hideMark/>
          </w:tcPr>
          <w:p w14:paraId="485000DE"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limit 3 to </w:t>
            </w:r>
            <w:proofErr w:type="spellStart"/>
            <w:r w:rsidRPr="00D76748">
              <w:rPr>
                <w:rFonts w:asciiTheme="majorBidi" w:hAnsiTheme="majorBidi" w:cstheme="majorBidi"/>
              </w:rPr>
              <w:t>yr</w:t>
            </w:r>
            <w:proofErr w:type="spellEnd"/>
            <w:r w:rsidRPr="00D76748">
              <w:rPr>
                <w:rFonts w:asciiTheme="majorBidi" w:hAnsiTheme="majorBidi" w:cstheme="majorBidi"/>
              </w:rPr>
              <w:t>="2011 -Current"</w:t>
            </w:r>
          </w:p>
        </w:tc>
        <w:tc>
          <w:tcPr>
            <w:tcW w:w="1791" w:type="dxa"/>
            <w:noWrap/>
            <w:hideMark/>
          </w:tcPr>
          <w:p w14:paraId="403E1054" w14:textId="77777777" w:rsidR="009F01D8" w:rsidRPr="00D76748" w:rsidRDefault="009F01D8" w:rsidP="009F01D8">
            <w:pPr>
              <w:rPr>
                <w:rFonts w:asciiTheme="majorBidi" w:hAnsiTheme="majorBidi" w:cstheme="majorBidi"/>
              </w:rPr>
            </w:pPr>
            <w:r w:rsidRPr="00D76748">
              <w:rPr>
                <w:rFonts w:asciiTheme="majorBidi" w:hAnsiTheme="majorBidi" w:cstheme="majorBidi"/>
              </w:rPr>
              <w:t>3042</w:t>
            </w:r>
          </w:p>
        </w:tc>
      </w:tr>
      <w:tr w:rsidR="009F01D8" w:rsidRPr="00D76748" w14:paraId="77B89568" w14:textId="77777777" w:rsidTr="009F01D8">
        <w:trPr>
          <w:trHeight w:val="279"/>
        </w:trPr>
        <w:tc>
          <w:tcPr>
            <w:tcW w:w="1129" w:type="dxa"/>
            <w:noWrap/>
            <w:hideMark/>
          </w:tcPr>
          <w:p w14:paraId="696398AE" w14:textId="77777777" w:rsidR="009F01D8" w:rsidRPr="00D76748" w:rsidRDefault="009F01D8" w:rsidP="009F01D8">
            <w:pPr>
              <w:rPr>
                <w:rFonts w:asciiTheme="majorBidi" w:hAnsiTheme="majorBidi" w:cstheme="majorBidi"/>
              </w:rPr>
            </w:pPr>
            <w:r w:rsidRPr="00D76748">
              <w:rPr>
                <w:rFonts w:asciiTheme="majorBidi" w:hAnsiTheme="majorBidi" w:cstheme="majorBidi"/>
              </w:rPr>
              <w:t>5</w:t>
            </w:r>
          </w:p>
        </w:tc>
        <w:tc>
          <w:tcPr>
            <w:tcW w:w="6096" w:type="dxa"/>
            <w:noWrap/>
            <w:hideMark/>
          </w:tcPr>
          <w:p w14:paraId="2CE545B8"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cost</w:t>
            </w:r>
            <w:proofErr w:type="gramEnd"/>
            <w:r w:rsidRPr="00D76748">
              <w:rPr>
                <w:rFonts w:asciiTheme="majorBidi" w:hAnsiTheme="majorBidi" w:cstheme="majorBidi"/>
              </w:rPr>
              <w:t xml:space="preserve"> benefit analysis"/</w:t>
            </w:r>
          </w:p>
        </w:tc>
        <w:tc>
          <w:tcPr>
            <w:tcW w:w="1791" w:type="dxa"/>
            <w:noWrap/>
            <w:hideMark/>
          </w:tcPr>
          <w:p w14:paraId="72B07D01" w14:textId="77777777" w:rsidR="009F01D8" w:rsidRPr="00D76748" w:rsidRDefault="009F01D8" w:rsidP="009F01D8">
            <w:pPr>
              <w:rPr>
                <w:rFonts w:asciiTheme="majorBidi" w:hAnsiTheme="majorBidi" w:cstheme="majorBidi"/>
              </w:rPr>
            </w:pPr>
            <w:r w:rsidRPr="00D76748">
              <w:rPr>
                <w:rFonts w:asciiTheme="majorBidi" w:hAnsiTheme="majorBidi" w:cstheme="majorBidi"/>
              </w:rPr>
              <w:t>86983</w:t>
            </w:r>
          </w:p>
        </w:tc>
      </w:tr>
      <w:tr w:rsidR="009F01D8" w:rsidRPr="00D76748" w14:paraId="68FC13D2" w14:textId="77777777" w:rsidTr="009F01D8">
        <w:trPr>
          <w:trHeight w:val="279"/>
        </w:trPr>
        <w:tc>
          <w:tcPr>
            <w:tcW w:w="1129" w:type="dxa"/>
            <w:noWrap/>
            <w:hideMark/>
          </w:tcPr>
          <w:p w14:paraId="7F48B555" w14:textId="77777777" w:rsidR="009F01D8" w:rsidRPr="00D76748" w:rsidRDefault="009F01D8" w:rsidP="009F01D8">
            <w:pPr>
              <w:rPr>
                <w:rFonts w:asciiTheme="majorBidi" w:hAnsiTheme="majorBidi" w:cstheme="majorBidi"/>
              </w:rPr>
            </w:pPr>
            <w:r w:rsidRPr="00D76748">
              <w:rPr>
                <w:rFonts w:asciiTheme="majorBidi" w:hAnsiTheme="majorBidi" w:cstheme="majorBidi"/>
              </w:rPr>
              <w:t>6</w:t>
            </w:r>
          </w:p>
        </w:tc>
        <w:tc>
          <w:tcPr>
            <w:tcW w:w="6096" w:type="dxa"/>
            <w:noWrap/>
            <w:hideMark/>
          </w:tcPr>
          <w:p w14:paraId="23617624"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 value of life/</w:t>
            </w:r>
          </w:p>
        </w:tc>
        <w:tc>
          <w:tcPr>
            <w:tcW w:w="1791" w:type="dxa"/>
            <w:noWrap/>
            <w:hideMark/>
          </w:tcPr>
          <w:p w14:paraId="6CFE0B15" w14:textId="77777777" w:rsidR="009F01D8" w:rsidRPr="00D76748" w:rsidRDefault="009F01D8" w:rsidP="009F01D8">
            <w:pPr>
              <w:rPr>
                <w:rFonts w:asciiTheme="majorBidi" w:hAnsiTheme="majorBidi" w:cstheme="majorBidi"/>
              </w:rPr>
            </w:pPr>
            <w:r w:rsidRPr="00D76748">
              <w:rPr>
                <w:rFonts w:asciiTheme="majorBidi" w:hAnsiTheme="majorBidi" w:cstheme="majorBidi"/>
              </w:rPr>
              <w:t>145299</w:t>
            </w:r>
          </w:p>
        </w:tc>
      </w:tr>
      <w:tr w:rsidR="009F01D8" w:rsidRPr="00D76748" w14:paraId="65811AD4" w14:textId="77777777" w:rsidTr="009F01D8">
        <w:trPr>
          <w:trHeight w:val="279"/>
        </w:trPr>
        <w:tc>
          <w:tcPr>
            <w:tcW w:w="1129" w:type="dxa"/>
            <w:noWrap/>
            <w:hideMark/>
          </w:tcPr>
          <w:p w14:paraId="29914E69" w14:textId="77777777" w:rsidR="009F01D8" w:rsidRPr="00D76748" w:rsidRDefault="009F01D8" w:rsidP="009F01D8">
            <w:pPr>
              <w:rPr>
                <w:rFonts w:asciiTheme="majorBidi" w:hAnsiTheme="majorBidi" w:cstheme="majorBidi"/>
              </w:rPr>
            </w:pPr>
            <w:r w:rsidRPr="00D76748">
              <w:rPr>
                <w:rFonts w:asciiTheme="majorBidi" w:hAnsiTheme="majorBidi" w:cstheme="majorBidi"/>
              </w:rPr>
              <w:t>7</w:t>
            </w:r>
          </w:p>
        </w:tc>
        <w:tc>
          <w:tcPr>
            <w:tcW w:w="6096" w:type="dxa"/>
            <w:noWrap/>
            <w:hideMark/>
          </w:tcPr>
          <w:p w14:paraId="4679D3EE" w14:textId="77777777" w:rsidR="009F01D8" w:rsidRPr="00D76748" w:rsidRDefault="009F01D8" w:rsidP="009F01D8">
            <w:pPr>
              <w:rPr>
                <w:rFonts w:asciiTheme="majorBidi" w:hAnsiTheme="majorBidi" w:cstheme="majorBidi"/>
              </w:rPr>
            </w:pPr>
            <w:r w:rsidRPr="00D76748">
              <w:rPr>
                <w:rFonts w:asciiTheme="majorBidi" w:hAnsiTheme="majorBidi" w:cstheme="majorBidi"/>
              </w:rPr>
              <w:t>quality adjusted life year/</w:t>
            </w:r>
          </w:p>
        </w:tc>
        <w:tc>
          <w:tcPr>
            <w:tcW w:w="1791" w:type="dxa"/>
            <w:noWrap/>
            <w:hideMark/>
          </w:tcPr>
          <w:p w14:paraId="4AC43DBB" w14:textId="77777777" w:rsidR="009F01D8" w:rsidRPr="00D76748" w:rsidRDefault="009F01D8" w:rsidP="009F01D8">
            <w:pPr>
              <w:rPr>
                <w:rFonts w:asciiTheme="majorBidi" w:hAnsiTheme="majorBidi" w:cstheme="majorBidi"/>
              </w:rPr>
            </w:pPr>
            <w:r w:rsidRPr="00D76748">
              <w:rPr>
                <w:rFonts w:asciiTheme="majorBidi" w:hAnsiTheme="majorBidi" w:cstheme="majorBidi"/>
              </w:rPr>
              <w:t>28664</w:t>
            </w:r>
          </w:p>
        </w:tc>
      </w:tr>
      <w:tr w:rsidR="009F01D8" w:rsidRPr="00D76748" w14:paraId="325EE246" w14:textId="77777777" w:rsidTr="009F01D8">
        <w:trPr>
          <w:trHeight w:val="279"/>
        </w:trPr>
        <w:tc>
          <w:tcPr>
            <w:tcW w:w="1129" w:type="dxa"/>
            <w:noWrap/>
            <w:hideMark/>
          </w:tcPr>
          <w:p w14:paraId="24EF2670"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c>
          <w:tcPr>
            <w:tcW w:w="6096" w:type="dxa"/>
            <w:noWrap/>
            <w:hideMark/>
          </w:tcPr>
          <w:p w14:paraId="05A24DFD"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economic model/</w:t>
            </w:r>
          </w:p>
        </w:tc>
        <w:tc>
          <w:tcPr>
            <w:tcW w:w="1791" w:type="dxa"/>
            <w:noWrap/>
            <w:hideMark/>
          </w:tcPr>
          <w:p w14:paraId="3E969856" w14:textId="77777777" w:rsidR="009F01D8" w:rsidRPr="00D76748" w:rsidRDefault="009F01D8" w:rsidP="009F01D8">
            <w:pPr>
              <w:rPr>
                <w:rFonts w:asciiTheme="majorBidi" w:hAnsiTheme="majorBidi" w:cstheme="majorBidi"/>
              </w:rPr>
            </w:pPr>
            <w:r w:rsidRPr="00D76748">
              <w:rPr>
                <w:rFonts w:asciiTheme="majorBidi" w:hAnsiTheme="majorBidi" w:cstheme="majorBidi"/>
              </w:rPr>
              <w:t>2513</w:t>
            </w:r>
          </w:p>
        </w:tc>
      </w:tr>
      <w:tr w:rsidR="009F01D8" w:rsidRPr="00D76748" w14:paraId="19E86DF8" w14:textId="77777777" w:rsidTr="009F01D8">
        <w:trPr>
          <w:trHeight w:val="279"/>
        </w:trPr>
        <w:tc>
          <w:tcPr>
            <w:tcW w:w="1129" w:type="dxa"/>
            <w:noWrap/>
            <w:hideMark/>
          </w:tcPr>
          <w:p w14:paraId="7D1B78C2" w14:textId="77777777" w:rsidR="009F01D8" w:rsidRPr="00D76748" w:rsidRDefault="009F01D8" w:rsidP="009F01D8">
            <w:pPr>
              <w:rPr>
                <w:rFonts w:asciiTheme="majorBidi" w:hAnsiTheme="majorBidi" w:cstheme="majorBidi"/>
              </w:rPr>
            </w:pPr>
            <w:r w:rsidRPr="00D76748">
              <w:rPr>
                <w:rFonts w:asciiTheme="majorBidi" w:hAnsiTheme="majorBidi" w:cstheme="majorBidi"/>
              </w:rPr>
              <w:t>9</w:t>
            </w:r>
          </w:p>
        </w:tc>
        <w:tc>
          <w:tcPr>
            <w:tcW w:w="6096" w:type="dxa"/>
            <w:noWrap/>
            <w:hideMark/>
          </w:tcPr>
          <w:p w14:paraId="21F4A8CF"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utilit$.tw.</w:t>
            </w:r>
          </w:p>
        </w:tc>
        <w:tc>
          <w:tcPr>
            <w:tcW w:w="1791" w:type="dxa"/>
            <w:noWrap/>
            <w:hideMark/>
          </w:tcPr>
          <w:p w14:paraId="41FCCA44" w14:textId="77777777" w:rsidR="009F01D8" w:rsidRPr="00D76748" w:rsidRDefault="009F01D8" w:rsidP="009F01D8">
            <w:pPr>
              <w:rPr>
                <w:rFonts w:asciiTheme="majorBidi" w:hAnsiTheme="majorBidi" w:cstheme="majorBidi"/>
              </w:rPr>
            </w:pPr>
            <w:r w:rsidRPr="00D76748">
              <w:rPr>
                <w:rFonts w:asciiTheme="majorBidi" w:hAnsiTheme="majorBidi" w:cstheme="majorBidi"/>
              </w:rPr>
              <w:t>7843</w:t>
            </w:r>
          </w:p>
        </w:tc>
      </w:tr>
      <w:tr w:rsidR="009F01D8" w:rsidRPr="00D76748" w14:paraId="2790D531" w14:textId="77777777" w:rsidTr="009F01D8">
        <w:trPr>
          <w:trHeight w:val="279"/>
        </w:trPr>
        <w:tc>
          <w:tcPr>
            <w:tcW w:w="1129" w:type="dxa"/>
            <w:noWrap/>
            <w:hideMark/>
          </w:tcPr>
          <w:p w14:paraId="04CF7FB7" w14:textId="77777777" w:rsidR="009F01D8" w:rsidRPr="00D76748" w:rsidRDefault="009F01D8" w:rsidP="009F01D8">
            <w:pPr>
              <w:rPr>
                <w:rFonts w:asciiTheme="majorBidi" w:hAnsiTheme="majorBidi" w:cstheme="majorBidi"/>
              </w:rPr>
            </w:pPr>
            <w:r w:rsidRPr="00D76748">
              <w:rPr>
                <w:rFonts w:asciiTheme="majorBidi" w:hAnsiTheme="majorBidi" w:cstheme="majorBidi"/>
              </w:rPr>
              <w:t>10</w:t>
            </w:r>
          </w:p>
        </w:tc>
        <w:tc>
          <w:tcPr>
            <w:tcW w:w="6096" w:type="dxa"/>
            <w:noWrap/>
            <w:hideMark/>
          </w:tcPr>
          <w:p w14:paraId="276340EF"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benefit$.tw.</w:t>
            </w:r>
          </w:p>
        </w:tc>
        <w:tc>
          <w:tcPr>
            <w:tcW w:w="1791" w:type="dxa"/>
            <w:noWrap/>
            <w:hideMark/>
          </w:tcPr>
          <w:p w14:paraId="25BEE62B" w14:textId="77777777" w:rsidR="009F01D8" w:rsidRPr="00D76748" w:rsidRDefault="009F01D8" w:rsidP="009F01D8">
            <w:pPr>
              <w:rPr>
                <w:rFonts w:asciiTheme="majorBidi" w:hAnsiTheme="majorBidi" w:cstheme="majorBidi"/>
              </w:rPr>
            </w:pPr>
            <w:r w:rsidRPr="00D76748">
              <w:rPr>
                <w:rFonts w:asciiTheme="majorBidi" w:hAnsiTheme="majorBidi" w:cstheme="majorBidi"/>
              </w:rPr>
              <w:t>15750</w:t>
            </w:r>
          </w:p>
        </w:tc>
      </w:tr>
      <w:tr w:rsidR="009F01D8" w:rsidRPr="00D76748" w14:paraId="35045E01" w14:textId="77777777" w:rsidTr="009F01D8">
        <w:trPr>
          <w:trHeight w:val="279"/>
        </w:trPr>
        <w:tc>
          <w:tcPr>
            <w:tcW w:w="1129" w:type="dxa"/>
            <w:noWrap/>
            <w:hideMark/>
          </w:tcPr>
          <w:p w14:paraId="7A4F7CE8"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c>
          <w:tcPr>
            <w:tcW w:w="6096" w:type="dxa"/>
            <w:noWrap/>
            <w:hideMark/>
          </w:tcPr>
          <w:p w14:paraId="5677D4C1"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minim$.tw.</w:t>
            </w:r>
          </w:p>
        </w:tc>
        <w:tc>
          <w:tcPr>
            <w:tcW w:w="1791" w:type="dxa"/>
            <w:noWrap/>
            <w:hideMark/>
          </w:tcPr>
          <w:p w14:paraId="4E29CF59" w14:textId="77777777" w:rsidR="009F01D8" w:rsidRPr="00D76748" w:rsidRDefault="009F01D8" w:rsidP="009F01D8">
            <w:pPr>
              <w:rPr>
                <w:rFonts w:asciiTheme="majorBidi" w:hAnsiTheme="majorBidi" w:cstheme="majorBidi"/>
              </w:rPr>
            </w:pPr>
            <w:r w:rsidRPr="00D76748">
              <w:rPr>
                <w:rFonts w:asciiTheme="majorBidi" w:hAnsiTheme="majorBidi" w:cstheme="majorBidi"/>
              </w:rPr>
              <w:t>2664</w:t>
            </w:r>
          </w:p>
        </w:tc>
      </w:tr>
      <w:tr w:rsidR="009F01D8" w:rsidRPr="00D76748" w14:paraId="7EF5ED28" w14:textId="77777777" w:rsidTr="009F01D8">
        <w:trPr>
          <w:trHeight w:val="279"/>
        </w:trPr>
        <w:tc>
          <w:tcPr>
            <w:tcW w:w="1129" w:type="dxa"/>
            <w:noWrap/>
            <w:hideMark/>
          </w:tcPr>
          <w:p w14:paraId="03970995" w14:textId="77777777" w:rsidR="009F01D8" w:rsidRPr="00D76748" w:rsidRDefault="009F01D8" w:rsidP="009F01D8">
            <w:pPr>
              <w:rPr>
                <w:rFonts w:asciiTheme="majorBidi" w:hAnsiTheme="majorBidi" w:cstheme="majorBidi"/>
              </w:rPr>
            </w:pPr>
            <w:r w:rsidRPr="00D76748">
              <w:rPr>
                <w:rFonts w:asciiTheme="majorBidi" w:hAnsiTheme="majorBidi" w:cstheme="majorBidi"/>
              </w:rPr>
              <w:lastRenderedPageBreak/>
              <w:t>12</w:t>
            </w:r>
          </w:p>
        </w:tc>
        <w:tc>
          <w:tcPr>
            <w:tcW w:w="6096" w:type="dxa"/>
            <w:noWrap/>
            <w:hideMark/>
          </w:tcPr>
          <w:p w14:paraId="54575BF7" w14:textId="77777777" w:rsidR="009F01D8" w:rsidRPr="00D76748" w:rsidRDefault="009F01D8" w:rsidP="009F01D8">
            <w:pPr>
              <w:rPr>
                <w:rFonts w:asciiTheme="majorBidi" w:hAnsiTheme="majorBidi" w:cstheme="majorBidi"/>
              </w:rPr>
            </w:pPr>
            <w:r w:rsidRPr="00D76748">
              <w:rPr>
                <w:rFonts w:asciiTheme="majorBidi" w:hAnsiTheme="majorBidi" w:cstheme="majorBidi"/>
              </w:rPr>
              <w:t>cost effect$.tw.</w:t>
            </w:r>
          </w:p>
        </w:tc>
        <w:tc>
          <w:tcPr>
            <w:tcW w:w="1791" w:type="dxa"/>
            <w:noWrap/>
            <w:hideMark/>
          </w:tcPr>
          <w:p w14:paraId="366FED78" w14:textId="77777777" w:rsidR="009F01D8" w:rsidRPr="00D76748" w:rsidRDefault="009F01D8" w:rsidP="009F01D8">
            <w:pPr>
              <w:rPr>
                <w:rFonts w:asciiTheme="majorBidi" w:hAnsiTheme="majorBidi" w:cstheme="majorBidi"/>
              </w:rPr>
            </w:pPr>
            <w:r w:rsidRPr="00D76748">
              <w:rPr>
                <w:rFonts w:asciiTheme="majorBidi" w:hAnsiTheme="majorBidi" w:cstheme="majorBidi"/>
              </w:rPr>
              <w:t>198907</w:t>
            </w:r>
          </w:p>
        </w:tc>
      </w:tr>
      <w:tr w:rsidR="009F01D8" w:rsidRPr="00D76748" w14:paraId="2502BCF0" w14:textId="77777777" w:rsidTr="009F01D8">
        <w:trPr>
          <w:trHeight w:val="279"/>
        </w:trPr>
        <w:tc>
          <w:tcPr>
            <w:tcW w:w="1129" w:type="dxa"/>
            <w:noWrap/>
            <w:hideMark/>
          </w:tcPr>
          <w:p w14:paraId="3B980C32"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c>
          <w:tcPr>
            <w:tcW w:w="6096" w:type="dxa"/>
            <w:noWrap/>
            <w:hideMark/>
          </w:tcPr>
          <w:p w14:paraId="5318ACF6" w14:textId="77777777" w:rsidR="009F01D8" w:rsidRPr="00D76748" w:rsidRDefault="009F01D8" w:rsidP="009F01D8">
            <w:pPr>
              <w:rPr>
                <w:rFonts w:asciiTheme="majorBidi" w:hAnsiTheme="majorBidi" w:cstheme="majorBidi"/>
              </w:rPr>
            </w:pPr>
            <w:r w:rsidRPr="00D76748">
              <w:rPr>
                <w:rFonts w:asciiTheme="majorBidi" w:hAnsiTheme="majorBidi" w:cstheme="majorBidi"/>
              </w:rPr>
              <w:t>economic evaluation$.tw.</w:t>
            </w:r>
          </w:p>
        </w:tc>
        <w:tc>
          <w:tcPr>
            <w:tcW w:w="1791" w:type="dxa"/>
            <w:noWrap/>
            <w:hideMark/>
          </w:tcPr>
          <w:p w14:paraId="74B02830" w14:textId="77777777" w:rsidR="009F01D8" w:rsidRPr="00D76748" w:rsidRDefault="009F01D8" w:rsidP="009F01D8">
            <w:pPr>
              <w:rPr>
                <w:rFonts w:asciiTheme="majorBidi" w:hAnsiTheme="majorBidi" w:cstheme="majorBidi"/>
              </w:rPr>
            </w:pPr>
            <w:r w:rsidRPr="00D76748">
              <w:rPr>
                <w:rFonts w:asciiTheme="majorBidi" w:hAnsiTheme="majorBidi" w:cstheme="majorBidi"/>
              </w:rPr>
              <w:t>17713</w:t>
            </w:r>
          </w:p>
        </w:tc>
      </w:tr>
      <w:tr w:rsidR="009F01D8" w:rsidRPr="00D76748" w14:paraId="7DB5EDC4" w14:textId="77777777" w:rsidTr="009F01D8">
        <w:trPr>
          <w:trHeight w:val="279"/>
        </w:trPr>
        <w:tc>
          <w:tcPr>
            <w:tcW w:w="1129" w:type="dxa"/>
            <w:noWrap/>
            <w:hideMark/>
          </w:tcPr>
          <w:p w14:paraId="751714A2" w14:textId="77777777" w:rsidR="009F01D8" w:rsidRPr="00D76748" w:rsidRDefault="009F01D8" w:rsidP="009F01D8">
            <w:pPr>
              <w:rPr>
                <w:rFonts w:asciiTheme="majorBidi" w:hAnsiTheme="majorBidi" w:cstheme="majorBidi"/>
              </w:rPr>
            </w:pPr>
            <w:r w:rsidRPr="00D76748">
              <w:rPr>
                <w:rFonts w:asciiTheme="majorBidi" w:hAnsiTheme="majorBidi" w:cstheme="majorBidi"/>
              </w:rPr>
              <w:t>14</w:t>
            </w:r>
          </w:p>
        </w:tc>
        <w:tc>
          <w:tcPr>
            <w:tcW w:w="6096" w:type="dxa"/>
            <w:noWrap/>
            <w:hideMark/>
          </w:tcPr>
          <w:p w14:paraId="117F75B4"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("quality adjusted life year*" or </w:t>
            </w:r>
            <w:proofErr w:type="spellStart"/>
            <w:r w:rsidRPr="00D76748">
              <w:rPr>
                <w:rFonts w:asciiTheme="majorBidi" w:hAnsiTheme="majorBidi" w:cstheme="majorBidi"/>
              </w:rPr>
              <w:t>qaly</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qalys</w:t>
            </w:r>
            <w:proofErr w:type="spellEnd"/>
            <w:r w:rsidRPr="00D76748">
              <w:rPr>
                <w:rFonts w:asciiTheme="majorBidi" w:hAnsiTheme="majorBidi" w:cstheme="majorBidi"/>
              </w:rPr>
              <w:t>).</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791" w:type="dxa"/>
            <w:noWrap/>
            <w:hideMark/>
          </w:tcPr>
          <w:p w14:paraId="61D32EC4" w14:textId="77777777" w:rsidR="009F01D8" w:rsidRPr="00D76748" w:rsidRDefault="009F01D8" w:rsidP="009F01D8">
            <w:pPr>
              <w:rPr>
                <w:rFonts w:asciiTheme="majorBidi" w:hAnsiTheme="majorBidi" w:cstheme="majorBidi"/>
              </w:rPr>
            </w:pPr>
            <w:r w:rsidRPr="00D76748">
              <w:rPr>
                <w:rFonts w:asciiTheme="majorBidi" w:hAnsiTheme="majorBidi" w:cstheme="majorBidi"/>
              </w:rPr>
              <w:t>26170</w:t>
            </w:r>
          </w:p>
        </w:tc>
      </w:tr>
      <w:tr w:rsidR="009F01D8" w:rsidRPr="00D76748" w14:paraId="6182004B" w14:textId="77777777" w:rsidTr="009F01D8">
        <w:trPr>
          <w:trHeight w:val="279"/>
        </w:trPr>
        <w:tc>
          <w:tcPr>
            <w:tcW w:w="1129" w:type="dxa"/>
            <w:noWrap/>
            <w:hideMark/>
          </w:tcPr>
          <w:p w14:paraId="476F6CDE" w14:textId="77777777" w:rsidR="009F01D8" w:rsidRPr="00D76748" w:rsidRDefault="009F01D8" w:rsidP="009F01D8">
            <w:pPr>
              <w:rPr>
                <w:rFonts w:asciiTheme="majorBidi" w:hAnsiTheme="majorBidi" w:cstheme="majorBidi"/>
              </w:rPr>
            </w:pPr>
            <w:r w:rsidRPr="00D76748">
              <w:rPr>
                <w:rFonts w:asciiTheme="majorBidi" w:hAnsiTheme="majorBidi" w:cstheme="majorBidi"/>
              </w:rPr>
              <w:t>15</w:t>
            </w:r>
          </w:p>
        </w:tc>
        <w:tc>
          <w:tcPr>
            <w:tcW w:w="6096" w:type="dxa"/>
            <w:noWrap/>
            <w:hideMark/>
          </w:tcPr>
          <w:p w14:paraId="18B05372" w14:textId="77777777" w:rsidR="009F01D8" w:rsidRPr="00D76748" w:rsidRDefault="009F01D8" w:rsidP="009F01D8">
            <w:pPr>
              <w:rPr>
                <w:rFonts w:asciiTheme="majorBidi" w:hAnsiTheme="majorBidi" w:cstheme="majorBidi"/>
              </w:rPr>
            </w:pPr>
            <w:r w:rsidRPr="00D76748">
              <w:rPr>
                <w:rFonts w:asciiTheme="majorBidi" w:hAnsiTheme="majorBidi" w:cstheme="majorBidi"/>
              </w:rPr>
              <w:t>or/5-14</w:t>
            </w:r>
          </w:p>
        </w:tc>
        <w:tc>
          <w:tcPr>
            <w:tcW w:w="1791" w:type="dxa"/>
            <w:noWrap/>
            <w:hideMark/>
          </w:tcPr>
          <w:p w14:paraId="3F7E0B3D" w14:textId="77777777" w:rsidR="009F01D8" w:rsidRPr="00D76748" w:rsidRDefault="009F01D8" w:rsidP="009F01D8">
            <w:pPr>
              <w:rPr>
                <w:rFonts w:asciiTheme="majorBidi" w:hAnsiTheme="majorBidi" w:cstheme="majorBidi"/>
              </w:rPr>
            </w:pPr>
            <w:r w:rsidRPr="00D76748">
              <w:rPr>
                <w:rFonts w:asciiTheme="majorBidi" w:hAnsiTheme="majorBidi" w:cstheme="majorBidi"/>
              </w:rPr>
              <w:t>433603</w:t>
            </w:r>
          </w:p>
        </w:tc>
      </w:tr>
      <w:tr w:rsidR="009F01D8" w:rsidRPr="00D76748" w14:paraId="4BE3DFEF" w14:textId="77777777" w:rsidTr="009F01D8">
        <w:trPr>
          <w:trHeight w:val="279"/>
        </w:trPr>
        <w:tc>
          <w:tcPr>
            <w:tcW w:w="1129" w:type="dxa"/>
            <w:noWrap/>
            <w:hideMark/>
          </w:tcPr>
          <w:p w14:paraId="535234FB"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c>
          <w:tcPr>
            <w:tcW w:w="6096" w:type="dxa"/>
            <w:noWrap/>
            <w:hideMark/>
          </w:tcPr>
          <w:p w14:paraId="13C76511" w14:textId="77777777" w:rsidR="009F01D8" w:rsidRPr="00D76748" w:rsidRDefault="009F01D8" w:rsidP="009F01D8">
            <w:pPr>
              <w:rPr>
                <w:rFonts w:asciiTheme="majorBidi" w:hAnsiTheme="majorBidi" w:cstheme="majorBidi"/>
              </w:rPr>
            </w:pPr>
            <w:r w:rsidRPr="00D76748">
              <w:rPr>
                <w:rFonts w:asciiTheme="majorBidi" w:hAnsiTheme="majorBidi" w:cstheme="majorBidi"/>
              </w:rPr>
              <w:t>4 and 15</w:t>
            </w:r>
          </w:p>
        </w:tc>
        <w:tc>
          <w:tcPr>
            <w:tcW w:w="1791" w:type="dxa"/>
            <w:noWrap/>
            <w:hideMark/>
          </w:tcPr>
          <w:p w14:paraId="637CF585" w14:textId="77777777" w:rsidR="009F01D8" w:rsidRPr="00D76748" w:rsidRDefault="009F01D8" w:rsidP="009F01D8">
            <w:pPr>
              <w:rPr>
                <w:rFonts w:asciiTheme="majorBidi" w:hAnsiTheme="majorBidi" w:cstheme="majorBidi"/>
              </w:rPr>
            </w:pPr>
            <w:r w:rsidRPr="00D76748">
              <w:rPr>
                <w:rFonts w:asciiTheme="majorBidi" w:hAnsiTheme="majorBidi" w:cstheme="majorBidi"/>
              </w:rPr>
              <w:t>67</w:t>
            </w:r>
          </w:p>
        </w:tc>
      </w:tr>
    </w:tbl>
    <w:p w14:paraId="0012ADE4" w14:textId="77777777" w:rsidR="009F01D8" w:rsidRPr="00F63CD5" w:rsidRDefault="009F01D8" w:rsidP="009F01D8">
      <w:pPr>
        <w:spacing w:after="0"/>
      </w:pPr>
    </w:p>
    <w:p w14:paraId="67A5C40A" w14:textId="77777777" w:rsidR="009F01D8" w:rsidRPr="00D76748" w:rsidRDefault="009F01D8" w:rsidP="009F01D8">
      <w:pPr>
        <w:spacing w:after="0"/>
        <w:rPr>
          <w:rFonts w:asciiTheme="majorBidi" w:eastAsia="Times New Roman" w:hAnsiTheme="majorBidi" w:cstheme="majorBidi"/>
          <w:b/>
          <w:bCs/>
          <w:color w:val="000000"/>
          <w:lang w:eastAsia="en-GB"/>
        </w:rPr>
      </w:pPr>
      <w:r w:rsidRPr="00D76748">
        <w:rPr>
          <w:rFonts w:asciiTheme="majorBidi" w:eastAsia="Times New Roman" w:hAnsiTheme="majorBidi" w:cstheme="majorBidi"/>
          <w:b/>
          <w:bCs/>
          <w:color w:val="000000"/>
          <w:lang w:eastAsia="en-GB"/>
        </w:rPr>
        <w:t>CRD database (searched via the University of York CRD platform)</w:t>
      </w:r>
    </w:p>
    <w:p w14:paraId="5D5EA706"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1st April 2021</w:t>
      </w:r>
    </w:p>
    <w:p w14:paraId="133A6E2B" w14:textId="77777777" w:rsidR="009F01D8" w:rsidRPr="00F63CD5" w:rsidRDefault="009F01D8" w:rsidP="009F01D8">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129"/>
        <w:gridCol w:w="6096"/>
        <w:gridCol w:w="1791"/>
      </w:tblGrid>
      <w:tr w:rsidR="009F01D8" w:rsidRPr="002B28C3" w14:paraId="45980647" w14:textId="77777777" w:rsidTr="009F01D8">
        <w:trPr>
          <w:trHeight w:val="279"/>
        </w:trPr>
        <w:tc>
          <w:tcPr>
            <w:tcW w:w="1129" w:type="dxa"/>
            <w:hideMark/>
          </w:tcPr>
          <w:p w14:paraId="43A12B0F"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096" w:type="dxa"/>
            <w:hideMark/>
          </w:tcPr>
          <w:p w14:paraId="18FDA436" w14:textId="77777777" w:rsidR="009F01D8" w:rsidRPr="002B28C3" w:rsidRDefault="009F01D8" w:rsidP="009F01D8">
            <w:pPr>
              <w:rPr>
                <w:rFonts w:asciiTheme="majorBidi" w:hAnsiTheme="majorBidi" w:cstheme="majorBidi"/>
                <w:b/>
              </w:rPr>
            </w:pPr>
            <w:r w:rsidRPr="002B28C3">
              <w:rPr>
                <w:rFonts w:asciiTheme="majorBidi" w:hAnsiTheme="majorBidi" w:cstheme="majorBidi"/>
                <w:b/>
              </w:rPr>
              <w:t>Searches</w:t>
            </w:r>
          </w:p>
        </w:tc>
        <w:tc>
          <w:tcPr>
            <w:tcW w:w="1791" w:type="dxa"/>
            <w:hideMark/>
          </w:tcPr>
          <w:p w14:paraId="55916337"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1F11DDF3" w14:textId="77777777" w:rsidTr="009F01D8">
        <w:trPr>
          <w:trHeight w:val="279"/>
        </w:trPr>
        <w:tc>
          <w:tcPr>
            <w:tcW w:w="1129" w:type="dxa"/>
            <w:noWrap/>
            <w:hideMark/>
          </w:tcPr>
          <w:p w14:paraId="7435AEB4"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096" w:type="dxa"/>
            <w:noWrap/>
            <w:hideMark/>
          </w:tcPr>
          <w:p w14:paraId="4A7C1239"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(((antimicrobial or antibiotic or antibacterial) and </w:t>
            </w:r>
            <w:proofErr w:type="spellStart"/>
            <w:r w:rsidRPr="002B28C3">
              <w:rPr>
                <w:rFonts w:asciiTheme="majorBidi" w:hAnsiTheme="majorBidi" w:cstheme="majorBidi"/>
              </w:rPr>
              <w:t>resistan</w:t>
            </w:r>
            <w:proofErr w:type="spellEnd"/>
            <w:r w:rsidRPr="002B28C3">
              <w:rPr>
                <w:rFonts w:asciiTheme="majorBidi" w:hAnsiTheme="majorBidi" w:cstheme="majorBidi"/>
              </w:rPr>
              <w:t>*))</w:t>
            </w:r>
          </w:p>
        </w:tc>
        <w:tc>
          <w:tcPr>
            <w:tcW w:w="1791" w:type="dxa"/>
            <w:noWrap/>
            <w:hideMark/>
          </w:tcPr>
          <w:p w14:paraId="14D3DEAA" w14:textId="77777777" w:rsidR="009F01D8" w:rsidRPr="002B28C3" w:rsidRDefault="009F01D8" w:rsidP="009F01D8">
            <w:pPr>
              <w:rPr>
                <w:rFonts w:asciiTheme="majorBidi" w:hAnsiTheme="majorBidi" w:cstheme="majorBidi"/>
              </w:rPr>
            </w:pPr>
            <w:r w:rsidRPr="002B28C3">
              <w:rPr>
                <w:rFonts w:asciiTheme="majorBidi" w:hAnsiTheme="majorBidi" w:cstheme="majorBidi"/>
              </w:rPr>
              <w:t>459</w:t>
            </w:r>
          </w:p>
        </w:tc>
      </w:tr>
      <w:tr w:rsidR="009F01D8" w:rsidRPr="002B28C3" w14:paraId="03373474" w14:textId="77777777" w:rsidTr="009F01D8">
        <w:trPr>
          <w:trHeight w:val="279"/>
        </w:trPr>
        <w:tc>
          <w:tcPr>
            <w:tcW w:w="1129" w:type="dxa"/>
            <w:noWrap/>
            <w:hideMark/>
          </w:tcPr>
          <w:p w14:paraId="0B7C83FB"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096" w:type="dxa"/>
            <w:noWrap/>
            <w:hideMark/>
          </w:tcPr>
          <w:p w14:paraId="42DFD959"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((model* or "population dynamic*" or </w:t>
            </w:r>
            <w:proofErr w:type="spellStart"/>
            <w:r w:rsidRPr="002B28C3">
              <w:rPr>
                <w:rFonts w:asciiTheme="majorBidi" w:hAnsiTheme="majorBidi" w:cstheme="majorBidi"/>
              </w:rPr>
              <w:t>simulat</w:t>
            </w:r>
            <w:proofErr w:type="spellEnd"/>
            <w:r w:rsidRPr="002B28C3">
              <w:rPr>
                <w:rFonts w:asciiTheme="majorBidi" w:hAnsiTheme="majorBidi" w:cstheme="majorBidi"/>
              </w:rPr>
              <w:t>*)</w:t>
            </w:r>
            <w:proofErr w:type="gramStart"/>
            <w:r w:rsidRPr="002B28C3">
              <w:rPr>
                <w:rFonts w:asciiTheme="majorBidi" w:hAnsiTheme="majorBidi" w:cstheme="majorBidi"/>
              </w:rPr>
              <w:t>):TI</w:t>
            </w:r>
            <w:proofErr w:type="gramEnd"/>
          </w:p>
        </w:tc>
        <w:tc>
          <w:tcPr>
            <w:tcW w:w="1791" w:type="dxa"/>
            <w:noWrap/>
            <w:hideMark/>
          </w:tcPr>
          <w:p w14:paraId="20A208C5" w14:textId="77777777" w:rsidR="009F01D8" w:rsidRPr="002B28C3" w:rsidRDefault="009F01D8" w:rsidP="009F01D8">
            <w:pPr>
              <w:rPr>
                <w:rFonts w:asciiTheme="majorBidi" w:hAnsiTheme="majorBidi" w:cstheme="majorBidi"/>
              </w:rPr>
            </w:pPr>
            <w:r w:rsidRPr="002B28C3">
              <w:rPr>
                <w:rFonts w:asciiTheme="majorBidi" w:hAnsiTheme="majorBidi" w:cstheme="majorBidi"/>
              </w:rPr>
              <w:t>1554</w:t>
            </w:r>
          </w:p>
        </w:tc>
      </w:tr>
      <w:tr w:rsidR="009F01D8" w:rsidRPr="002B28C3" w14:paraId="55B0F27D" w14:textId="77777777" w:rsidTr="009F01D8">
        <w:trPr>
          <w:trHeight w:val="279"/>
        </w:trPr>
        <w:tc>
          <w:tcPr>
            <w:tcW w:w="1129" w:type="dxa"/>
            <w:noWrap/>
            <w:hideMark/>
          </w:tcPr>
          <w:p w14:paraId="77E3F32B"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096" w:type="dxa"/>
            <w:noWrap/>
            <w:hideMark/>
          </w:tcPr>
          <w:p w14:paraId="7EF4BF31" w14:textId="77777777" w:rsidR="009F01D8" w:rsidRPr="002B28C3" w:rsidRDefault="009F01D8" w:rsidP="009F01D8">
            <w:pPr>
              <w:rPr>
                <w:rFonts w:asciiTheme="majorBidi" w:hAnsiTheme="majorBidi" w:cstheme="majorBidi"/>
              </w:rPr>
            </w:pPr>
            <w:r w:rsidRPr="002B28C3">
              <w:rPr>
                <w:rFonts w:asciiTheme="majorBidi" w:hAnsiTheme="majorBidi" w:cstheme="majorBidi"/>
              </w:rPr>
              <w:t>#1 AND #2</w:t>
            </w:r>
          </w:p>
        </w:tc>
        <w:tc>
          <w:tcPr>
            <w:tcW w:w="1791" w:type="dxa"/>
            <w:noWrap/>
            <w:hideMark/>
          </w:tcPr>
          <w:p w14:paraId="0E57B46A"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r>
      <w:tr w:rsidR="009F01D8" w:rsidRPr="002B28C3" w14:paraId="1110B6EC" w14:textId="77777777" w:rsidTr="009F01D8">
        <w:trPr>
          <w:trHeight w:val="279"/>
        </w:trPr>
        <w:tc>
          <w:tcPr>
            <w:tcW w:w="1129" w:type="dxa"/>
            <w:noWrap/>
            <w:hideMark/>
          </w:tcPr>
          <w:p w14:paraId="00539728"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096" w:type="dxa"/>
            <w:noWrap/>
            <w:hideMark/>
          </w:tcPr>
          <w:p w14:paraId="21DA82AB" w14:textId="77777777" w:rsidR="009F01D8" w:rsidRPr="002B28C3" w:rsidRDefault="009F01D8" w:rsidP="009F01D8">
            <w:pPr>
              <w:rPr>
                <w:rFonts w:asciiTheme="majorBidi" w:hAnsiTheme="majorBidi" w:cstheme="majorBidi"/>
              </w:rPr>
            </w:pPr>
            <w:r w:rsidRPr="002B28C3">
              <w:rPr>
                <w:rFonts w:asciiTheme="majorBidi" w:hAnsiTheme="majorBidi" w:cstheme="majorBidi"/>
              </w:rPr>
              <w:t>(#3) FROM 2011 TO 2021</w:t>
            </w:r>
          </w:p>
        </w:tc>
        <w:tc>
          <w:tcPr>
            <w:tcW w:w="1791" w:type="dxa"/>
            <w:noWrap/>
            <w:hideMark/>
          </w:tcPr>
          <w:p w14:paraId="56D3A93F"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r>
    </w:tbl>
    <w:p w14:paraId="494637D4" w14:textId="77777777" w:rsidR="009F01D8" w:rsidRPr="00F63CD5" w:rsidRDefault="009F01D8" w:rsidP="009F01D8">
      <w:pPr>
        <w:spacing w:after="0"/>
      </w:pPr>
    </w:p>
    <w:p w14:paraId="25D88D6B" w14:textId="5429EC8A" w:rsidR="009F01D8" w:rsidRPr="002E4F02" w:rsidRDefault="00C33621" w:rsidP="00D76748">
      <w:pPr>
        <w:pStyle w:val="Heading4"/>
        <w:tabs>
          <w:tab w:val="left" w:pos="1418"/>
        </w:tabs>
        <w:rPr>
          <w:rFonts w:asciiTheme="majorBidi" w:hAnsiTheme="majorBidi"/>
          <w:b/>
          <w:bCs/>
          <w:i w:val="0"/>
          <w:iCs w:val="0"/>
          <w:noProof/>
          <w:color w:val="auto"/>
          <w:sz w:val="26"/>
          <w:szCs w:val="26"/>
        </w:rPr>
      </w:pPr>
      <w:bookmarkStart w:id="602" w:name="_Toc77254197"/>
      <w:r>
        <w:rPr>
          <w:rFonts w:asciiTheme="majorBidi" w:hAnsiTheme="majorBidi"/>
          <w:b/>
          <w:bCs/>
          <w:i w:val="0"/>
          <w:iCs w:val="0"/>
          <w:noProof/>
          <w:color w:val="auto"/>
          <w:sz w:val="24"/>
          <w:szCs w:val="24"/>
        </w:rPr>
        <w:tab/>
      </w:r>
      <w:r>
        <w:rPr>
          <w:rFonts w:asciiTheme="majorBidi" w:hAnsiTheme="majorBidi"/>
          <w:b/>
          <w:bCs/>
          <w:i w:val="0"/>
          <w:iCs w:val="0"/>
          <w:noProof/>
          <w:color w:val="auto"/>
          <w:sz w:val="24"/>
          <w:szCs w:val="24"/>
        </w:rPr>
        <w:tab/>
      </w:r>
      <w:r w:rsidR="009F01D8" w:rsidRPr="002E4F02">
        <w:rPr>
          <w:rFonts w:asciiTheme="majorBidi" w:hAnsiTheme="majorBidi"/>
          <w:b/>
          <w:bCs/>
          <w:i w:val="0"/>
          <w:iCs w:val="0"/>
          <w:noProof/>
          <w:color w:val="auto"/>
          <w:sz w:val="26"/>
          <w:szCs w:val="26"/>
        </w:rPr>
        <w:t>A1.3.2</w:t>
      </w:r>
      <w:r w:rsidR="009F01D8" w:rsidRPr="002E4F02">
        <w:rPr>
          <w:rFonts w:asciiTheme="majorBidi" w:hAnsiTheme="majorBidi"/>
          <w:b/>
          <w:bCs/>
          <w:i w:val="0"/>
          <w:iCs w:val="0"/>
          <w:noProof/>
          <w:color w:val="auto"/>
          <w:sz w:val="26"/>
          <w:szCs w:val="26"/>
        </w:rPr>
        <w:tab/>
        <w:t>Broad OXA-48 MBL search for database dredging</w:t>
      </w:r>
      <w:bookmarkEnd w:id="602"/>
    </w:p>
    <w:p w14:paraId="7FB60DB2" w14:textId="77777777" w:rsidR="009F01D8" w:rsidRPr="002E4F02" w:rsidRDefault="009F01D8" w:rsidP="009F01D8">
      <w:pPr>
        <w:spacing w:after="0"/>
        <w:rPr>
          <w:sz w:val="26"/>
          <w:szCs w:val="26"/>
        </w:rPr>
      </w:pPr>
    </w:p>
    <w:p w14:paraId="06385EFA"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 xml:space="preserve">Term group(s): Mechanisms [OXA-48, NDM, VIM, IMP] AND Germ [enterobacteria, </w:t>
      </w:r>
      <w:r w:rsidRPr="00D76748">
        <w:rPr>
          <w:rFonts w:asciiTheme="majorBidi" w:hAnsiTheme="majorBidi" w:cstheme="majorBidi"/>
          <w:i/>
        </w:rPr>
        <w:t>E. coli, K. pneumonia, P. aeruginosa</w:t>
      </w:r>
      <w:r w:rsidRPr="00D76748">
        <w:rPr>
          <w:rFonts w:asciiTheme="majorBidi" w:hAnsiTheme="majorBidi" w:cstheme="majorBidi"/>
        </w:rPr>
        <w:t>] AND filters</w:t>
      </w:r>
    </w:p>
    <w:p w14:paraId="3BA0534B"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Reviews, RCTs, observational studies filter (MEDLINE, Embase)</w:t>
      </w:r>
    </w:p>
    <w:p w14:paraId="10A8401D"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None</w:t>
      </w:r>
    </w:p>
    <w:p w14:paraId="21B0402D" w14:textId="77777777" w:rsidR="009F01D8" w:rsidRPr="00D76748" w:rsidRDefault="009F01D8" w:rsidP="009F01D8">
      <w:pPr>
        <w:rPr>
          <w:rFonts w:asciiTheme="majorBidi" w:hAnsiTheme="majorBidi" w:cstheme="majorBidi"/>
        </w:rPr>
      </w:pPr>
    </w:p>
    <w:p w14:paraId="019AB533" w14:textId="77777777" w:rsidR="009F01D8" w:rsidRPr="00D76748" w:rsidRDefault="009F01D8" w:rsidP="009F01D8">
      <w:pPr>
        <w:spacing w:after="0"/>
        <w:rPr>
          <w:rFonts w:asciiTheme="majorBidi" w:hAnsiTheme="majorBidi" w:cstheme="majorBidi"/>
          <w:b/>
          <w:bCs/>
        </w:rPr>
      </w:pPr>
      <w:r w:rsidRPr="00D76748">
        <w:rPr>
          <w:rFonts w:asciiTheme="majorBidi" w:hAnsiTheme="majorBidi" w:cstheme="majorBidi"/>
          <w:b/>
          <w:bCs/>
        </w:rPr>
        <w:t xml:space="preserve">Ovid MEDLINE(R) and </w:t>
      </w:r>
      <w:proofErr w:type="spellStart"/>
      <w:r w:rsidRPr="00D76748">
        <w:rPr>
          <w:rFonts w:asciiTheme="majorBidi" w:hAnsiTheme="majorBidi" w:cstheme="majorBidi"/>
          <w:b/>
          <w:bCs/>
        </w:rPr>
        <w:t>Epub</w:t>
      </w:r>
      <w:proofErr w:type="spellEnd"/>
      <w:r w:rsidRPr="00D76748">
        <w:rPr>
          <w:rFonts w:asciiTheme="majorBidi" w:hAnsiTheme="majorBidi" w:cstheme="majorBidi"/>
          <w:b/>
          <w:bCs/>
        </w:rPr>
        <w:t xml:space="preserve"> Ahead of Print, In-Process, In-Data-Review &amp; Other Non-Indexed Citations, Daily and Versions(R) 1946 to March 29, 2021 </w:t>
      </w:r>
      <w:r w:rsidRPr="00D76748">
        <w:rPr>
          <w:rFonts w:asciiTheme="majorBidi" w:hAnsiTheme="majorBidi" w:cstheme="majorBidi"/>
          <w:b/>
        </w:rPr>
        <w:t>(searched via the Ovid SP platform)</w:t>
      </w:r>
    </w:p>
    <w:p w14:paraId="27261782"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7</w:t>
      </w:r>
      <w:r w:rsidRPr="00D76748">
        <w:rPr>
          <w:rFonts w:asciiTheme="majorBidi" w:hAnsiTheme="majorBidi" w:cstheme="majorBidi"/>
          <w:vertAlign w:val="superscript"/>
        </w:rPr>
        <w:t>th</w:t>
      </w:r>
      <w:r w:rsidRPr="00D76748">
        <w:rPr>
          <w:rFonts w:asciiTheme="majorBidi" w:hAnsiTheme="majorBidi" w:cstheme="majorBidi"/>
        </w:rPr>
        <w:t xml:space="preserve"> April 2021</w:t>
      </w:r>
    </w:p>
    <w:p w14:paraId="7B608F9F" w14:textId="77777777" w:rsidR="009F01D8" w:rsidRPr="00D76748" w:rsidRDefault="009F01D8" w:rsidP="009F01D8">
      <w:pPr>
        <w:spacing w:after="0"/>
        <w:rPr>
          <w:rFonts w:asciiTheme="majorBidi" w:hAnsiTheme="majorBidi" w:cstheme="majorBidi"/>
        </w:rPr>
      </w:pPr>
    </w:p>
    <w:tbl>
      <w:tblPr>
        <w:tblStyle w:val="TableGrid"/>
        <w:tblW w:w="0" w:type="auto"/>
        <w:tblLook w:val="04A0" w:firstRow="1" w:lastRow="0" w:firstColumn="1" w:lastColumn="0" w:noHBand="0" w:noVBand="1"/>
      </w:tblPr>
      <w:tblGrid>
        <w:gridCol w:w="1090"/>
        <w:gridCol w:w="6276"/>
        <w:gridCol w:w="1650"/>
      </w:tblGrid>
      <w:tr w:rsidR="009F01D8" w:rsidRPr="00D76748" w14:paraId="0D5A52C4" w14:textId="77777777" w:rsidTr="009F01D8">
        <w:trPr>
          <w:trHeight w:val="288"/>
        </w:trPr>
        <w:tc>
          <w:tcPr>
            <w:tcW w:w="1090" w:type="dxa"/>
            <w:hideMark/>
          </w:tcPr>
          <w:p w14:paraId="4272B159"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w:t>
            </w:r>
          </w:p>
        </w:tc>
        <w:tc>
          <w:tcPr>
            <w:tcW w:w="6276" w:type="dxa"/>
            <w:hideMark/>
          </w:tcPr>
          <w:p w14:paraId="450A78D3"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Searches</w:t>
            </w:r>
          </w:p>
        </w:tc>
        <w:tc>
          <w:tcPr>
            <w:tcW w:w="1650" w:type="dxa"/>
            <w:hideMark/>
          </w:tcPr>
          <w:p w14:paraId="3DCA1A28"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Results</w:t>
            </w:r>
          </w:p>
        </w:tc>
      </w:tr>
      <w:tr w:rsidR="009F01D8" w:rsidRPr="00D76748" w14:paraId="24B57896" w14:textId="77777777" w:rsidTr="009F01D8">
        <w:trPr>
          <w:trHeight w:val="321"/>
        </w:trPr>
        <w:tc>
          <w:tcPr>
            <w:tcW w:w="1090" w:type="dxa"/>
            <w:noWrap/>
            <w:hideMark/>
          </w:tcPr>
          <w:p w14:paraId="5D25E1B3" w14:textId="77777777" w:rsidR="009F01D8" w:rsidRPr="00D76748" w:rsidRDefault="009F01D8" w:rsidP="009F01D8">
            <w:pPr>
              <w:rPr>
                <w:rFonts w:asciiTheme="majorBidi" w:hAnsiTheme="majorBidi" w:cstheme="majorBidi"/>
              </w:rPr>
            </w:pPr>
            <w:r w:rsidRPr="00D76748">
              <w:rPr>
                <w:rFonts w:asciiTheme="majorBidi" w:hAnsiTheme="majorBidi" w:cstheme="majorBidi"/>
              </w:rPr>
              <w:t>1</w:t>
            </w:r>
          </w:p>
        </w:tc>
        <w:tc>
          <w:tcPr>
            <w:tcW w:w="6276" w:type="dxa"/>
            <w:noWrap/>
            <w:hideMark/>
          </w:tcPr>
          <w:p w14:paraId="11506839"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oxa</w:t>
            </w:r>
            <w:proofErr w:type="gramEnd"/>
            <w:r w:rsidRPr="00D76748">
              <w:rPr>
                <w:rFonts w:asciiTheme="majorBidi" w:hAnsiTheme="majorBidi" w:cstheme="majorBidi"/>
              </w:rPr>
              <w:t>-48 or "</w:t>
            </w:r>
            <w:proofErr w:type="spellStart"/>
            <w:r w:rsidRPr="00D76748">
              <w:rPr>
                <w:rFonts w:asciiTheme="majorBidi" w:hAnsiTheme="majorBidi" w:cstheme="majorBidi"/>
              </w:rPr>
              <w:t>oxa</w:t>
            </w:r>
            <w:proofErr w:type="spellEnd"/>
            <w:r w:rsidRPr="00D76748">
              <w:rPr>
                <w:rFonts w:asciiTheme="majorBidi" w:hAnsiTheme="majorBidi" w:cstheme="majorBidi"/>
              </w:rPr>
              <w:t xml:space="preserve"> 48" or oxacillinase-48 or "oxacillinase 48").</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54BAFE2A" w14:textId="77777777" w:rsidR="009F01D8" w:rsidRPr="00D76748" w:rsidRDefault="009F01D8" w:rsidP="009F01D8">
            <w:pPr>
              <w:rPr>
                <w:rFonts w:asciiTheme="majorBidi" w:hAnsiTheme="majorBidi" w:cstheme="majorBidi"/>
              </w:rPr>
            </w:pPr>
            <w:r w:rsidRPr="00D76748">
              <w:rPr>
                <w:rFonts w:asciiTheme="majorBidi" w:hAnsiTheme="majorBidi" w:cstheme="majorBidi"/>
              </w:rPr>
              <w:t>1202</w:t>
            </w:r>
          </w:p>
        </w:tc>
      </w:tr>
      <w:tr w:rsidR="009F01D8" w:rsidRPr="00D76748" w14:paraId="073F3B88" w14:textId="77777777" w:rsidTr="009F01D8">
        <w:trPr>
          <w:trHeight w:val="321"/>
        </w:trPr>
        <w:tc>
          <w:tcPr>
            <w:tcW w:w="1090" w:type="dxa"/>
            <w:noWrap/>
            <w:hideMark/>
          </w:tcPr>
          <w:p w14:paraId="60DFD879"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c>
          <w:tcPr>
            <w:tcW w:w="6276" w:type="dxa"/>
            <w:noWrap/>
            <w:hideMark/>
          </w:tcPr>
          <w:p w14:paraId="06808CD3"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(("new </w:t>
            </w:r>
            <w:proofErr w:type="spellStart"/>
            <w:r w:rsidRPr="00D76748">
              <w:rPr>
                <w:rFonts w:asciiTheme="majorBidi" w:hAnsiTheme="majorBidi" w:cstheme="majorBidi"/>
              </w:rPr>
              <w:t>delhi</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ndm</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verona</w:t>
            </w:r>
            <w:proofErr w:type="spellEnd"/>
            <w:r w:rsidRPr="00D76748">
              <w:rPr>
                <w:rFonts w:asciiTheme="majorBidi" w:hAnsiTheme="majorBidi" w:cstheme="majorBidi"/>
              </w:rPr>
              <w:t xml:space="preserve"> integrated-encoded" or vim or </w:t>
            </w:r>
            <w:proofErr w:type="spellStart"/>
            <w:r w:rsidRPr="00D76748">
              <w:rPr>
                <w:rFonts w:asciiTheme="majorBidi" w:hAnsiTheme="majorBidi" w:cstheme="majorBidi"/>
              </w:rPr>
              <w:t>imipenemase</w:t>
            </w:r>
            <w:proofErr w:type="spellEnd"/>
            <w:r w:rsidRPr="00D76748">
              <w:rPr>
                <w:rFonts w:asciiTheme="majorBidi" w:hAnsiTheme="majorBidi" w:cstheme="majorBidi"/>
              </w:rPr>
              <w:t xml:space="preserve"> or imp) and (</w:t>
            </w:r>
            <w:proofErr w:type="spellStart"/>
            <w:r w:rsidRPr="00D76748">
              <w:rPr>
                <w:rFonts w:asciiTheme="majorBidi" w:hAnsiTheme="majorBidi" w:cstheme="majorBidi"/>
              </w:rPr>
              <w:t>mbl</w:t>
            </w:r>
            <w:proofErr w:type="spellEnd"/>
            <w:r w:rsidRPr="00D76748">
              <w:rPr>
                <w:rFonts w:asciiTheme="majorBidi" w:hAnsiTheme="majorBidi" w:cstheme="majorBidi"/>
              </w:rPr>
              <w:t xml:space="preserve"> or "metallo-beta-lactamase" or "</w:t>
            </w:r>
            <w:proofErr w:type="spellStart"/>
            <w:r w:rsidRPr="00D76748">
              <w:rPr>
                <w:rFonts w:asciiTheme="majorBidi" w:hAnsiTheme="majorBidi" w:cstheme="majorBidi"/>
              </w:rPr>
              <w:t>metallo</w:t>
            </w:r>
            <w:proofErr w:type="spellEnd"/>
            <w:r w:rsidRPr="00D76748">
              <w:rPr>
                <w:rFonts w:asciiTheme="majorBidi" w:hAnsiTheme="majorBidi" w:cstheme="majorBidi"/>
              </w:rPr>
              <w:t xml:space="preserve"> beta lactamase")).</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CA73F97" w14:textId="77777777" w:rsidR="009F01D8" w:rsidRPr="00D76748" w:rsidRDefault="009F01D8" w:rsidP="009F01D8">
            <w:pPr>
              <w:rPr>
                <w:rFonts w:asciiTheme="majorBidi" w:hAnsiTheme="majorBidi" w:cstheme="majorBidi"/>
              </w:rPr>
            </w:pPr>
            <w:r w:rsidRPr="00D76748">
              <w:rPr>
                <w:rFonts w:asciiTheme="majorBidi" w:hAnsiTheme="majorBidi" w:cstheme="majorBidi"/>
              </w:rPr>
              <w:t>1867</w:t>
            </w:r>
          </w:p>
        </w:tc>
      </w:tr>
      <w:tr w:rsidR="009F01D8" w:rsidRPr="00D76748" w14:paraId="7A82CAC1" w14:textId="77777777" w:rsidTr="009F01D8">
        <w:trPr>
          <w:trHeight w:val="321"/>
        </w:trPr>
        <w:tc>
          <w:tcPr>
            <w:tcW w:w="1090" w:type="dxa"/>
            <w:noWrap/>
            <w:hideMark/>
          </w:tcPr>
          <w:p w14:paraId="1FDB8250" w14:textId="77777777" w:rsidR="009F01D8" w:rsidRPr="00D76748" w:rsidRDefault="009F01D8" w:rsidP="009F01D8">
            <w:pPr>
              <w:rPr>
                <w:rFonts w:asciiTheme="majorBidi" w:hAnsiTheme="majorBidi" w:cstheme="majorBidi"/>
              </w:rPr>
            </w:pPr>
            <w:r w:rsidRPr="00D76748">
              <w:rPr>
                <w:rFonts w:asciiTheme="majorBidi" w:hAnsiTheme="majorBidi" w:cstheme="majorBidi"/>
              </w:rPr>
              <w:t>3</w:t>
            </w:r>
          </w:p>
        </w:tc>
        <w:tc>
          <w:tcPr>
            <w:tcW w:w="6276" w:type="dxa"/>
            <w:noWrap/>
            <w:hideMark/>
          </w:tcPr>
          <w:p w14:paraId="4322E97D" w14:textId="77777777" w:rsidR="009F01D8" w:rsidRPr="00D76748" w:rsidRDefault="009F01D8" w:rsidP="009F01D8">
            <w:pPr>
              <w:rPr>
                <w:rFonts w:asciiTheme="majorBidi" w:hAnsiTheme="majorBidi" w:cstheme="majorBidi"/>
              </w:rPr>
            </w:pPr>
            <w:r w:rsidRPr="00D76748">
              <w:rPr>
                <w:rFonts w:asciiTheme="majorBidi" w:hAnsiTheme="majorBidi" w:cstheme="majorBidi"/>
              </w:rPr>
              <w:t>1 or 2</w:t>
            </w:r>
          </w:p>
        </w:tc>
        <w:tc>
          <w:tcPr>
            <w:tcW w:w="1650" w:type="dxa"/>
            <w:noWrap/>
            <w:hideMark/>
          </w:tcPr>
          <w:p w14:paraId="2D64439E" w14:textId="77777777" w:rsidR="009F01D8" w:rsidRPr="00D76748" w:rsidRDefault="009F01D8" w:rsidP="009F01D8">
            <w:pPr>
              <w:rPr>
                <w:rFonts w:asciiTheme="majorBidi" w:hAnsiTheme="majorBidi" w:cstheme="majorBidi"/>
              </w:rPr>
            </w:pPr>
            <w:r w:rsidRPr="00D76748">
              <w:rPr>
                <w:rFonts w:asciiTheme="majorBidi" w:hAnsiTheme="majorBidi" w:cstheme="majorBidi"/>
              </w:rPr>
              <w:t>2969</w:t>
            </w:r>
          </w:p>
        </w:tc>
      </w:tr>
      <w:tr w:rsidR="009F01D8" w:rsidRPr="00D76748" w14:paraId="0BE86158" w14:textId="77777777" w:rsidTr="009F01D8">
        <w:trPr>
          <w:trHeight w:val="321"/>
        </w:trPr>
        <w:tc>
          <w:tcPr>
            <w:tcW w:w="1090" w:type="dxa"/>
            <w:noWrap/>
            <w:hideMark/>
          </w:tcPr>
          <w:p w14:paraId="06A93D76" w14:textId="77777777" w:rsidR="009F01D8" w:rsidRPr="00D76748" w:rsidRDefault="009F01D8" w:rsidP="009F01D8">
            <w:pPr>
              <w:rPr>
                <w:rFonts w:asciiTheme="majorBidi" w:hAnsiTheme="majorBidi" w:cstheme="majorBidi"/>
              </w:rPr>
            </w:pPr>
            <w:r w:rsidRPr="00D76748">
              <w:rPr>
                <w:rFonts w:asciiTheme="majorBidi" w:hAnsiTheme="majorBidi" w:cstheme="majorBidi"/>
              </w:rPr>
              <w:t>4</w:t>
            </w:r>
          </w:p>
        </w:tc>
        <w:tc>
          <w:tcPr>
            <w:tcW w:w="6276" w:type="dxa"/>
            <w:noWrap/>
            <w:hideMark/>
          </w:tcPr>
          <w:p w14:paraId="25A78859" w14:textId="77777777" w:rsidR="009F01D8" w:rsidRPr="00D76748" w:rsidRDefault="009F01D8" w:rsidP="009F01D8">
            <w:pPr>
              <w:rPr>
                <w:rFonts w:asciiTheme="majorBidi" w:hAnsiTheme="majorBidi" w:cstheme="majorBidi"/>
              </w:rPr>
            </w:pPr>
            <w:r w:rsidRPr="00D76748">
              <w:rPr>
                <w:rFonts w:asciiTheme="majorBidi" w:hAnsiTheme="majorBidi" w:cstheme="majorBidi"/>
              </w:rPr>
              <w:t>Enterobacteriaceae/</w:t>
            </w:r>
          </w:p>
        </w:tc>
        <w:tc>
          <w:tcPr>
            <w:tcW w:w="1650" w:type="dxa"/>
            <w:noWrap/>
            <w:hideMark/>
          </w:tcPr>
          <w:p w14:paraId="272685D1" w14:textId="77777777" w:rsidR="009F01D8" w:rsidRPr="00D76748" w:rsidRDefault="009F01D8" w:rsidP="009F01D8">
            <w:pPr>
              <w:rPr>
                <w:rFonts w:asciiTheme="majorBidi" w:hAnsiTheme="majorBidi" w:cstheme="majorBidi"/>
              </w:rPr>
            </w:pPr>
            <w:r w:rsidRPr="00D76748">
              <w:rPr>
                <w:rFonts w:asciiTheme="majorBidi" w:hAnsiTheme="majorBidi" w:cstheme="majorBidi"/>
              </w:rPr>
              <w:t>19296</w:t>
            </w:r>
          </w:p>
        </w:tc>
      </w:tr>
      <w:tr w:rsidR="009F01D8" w:rsidRPr="00D76748" w14:paraId="43E3FD88" w14:textId="77777777" w:rsidTr="009F01D8">
        <w:trPr>
          <w:trHeight w:val="321"/>
        </w:trPr>
        <w:tc>
          <w:tcPr>
            <w:tcW w:w="1090" w:type="dxa"/>
            <w:noWrap/>
            <w:hideMark/>
          </w:tcPr>
          <w:p w14:paraId="6CEB2C35" w14:textId="77777777" w:rsidR="009F01D8" w:rsidRPr="00D76748" w:rsidRDefault="009F01D8" w:rsidP="009F01D8">
            <w:pPr>
              <w:rPr>
                <w:rFonts w:asciiTheme="majorBidi" w:hAnsiTheme="majorBidi" w:cstheme="majorBidi"/>
              </w:rPr>
            </w:pPr>
            <w:r w:rsidRPr="00D76748">
              <w:rPr>
                <w:rFonts w:asciiTheme="majorBidi" w:hAnsiTheme="majorBidi" w:cstheme="majorBidi"/>
              </w:rPr>
              <w:t>5</w:t>
            </w:r>
          </w:p>
        </w:tc>
        <w:tc>
          <w:tcPr>
            <w:tcW w:w="6276" w:type="dxa"/>
            <w:noWrap/>
            <w:hideMark/>
          </w:tcPr>
          <w:p w14:paraId="150BD2C9" w14:textId="77777777" w:rsidR="009F01D8" w:rsidRPr="00D76748" w:rsidRDefault="009F01D8" w:rsidP="009F01D8">
            <w:pPr>
              <w:rPr>
                <w:rFonts w:asciiTheme="majorBidi" w:hAnsiTheme="majorBidi" w:cstheme="majorBidi"/>
              </w:rPr>
            </w:pPr>
            <w:r w:rsidRPr="00D76748">
              <w:rPr>
                <w:rFonts w:asciiTheme="majorBidi" w:hAnsiTheme="majorBidi" w:cstheme="majorBidi"/>
              </w:rPr>
              <w:t>Escherichia coli/</w:t>
            </w:r>
          </w:p>
        </w:tc>
        <w:tc>
          <w:tcPr>
            <w:tcW w:w="1650" w:type="dxa"/>
            <w:noWrap/>
            <w:hideMark/>
          </w:tcPr>
          <w:p w14:paraId="01A2214B" w14:textId="77777777" w:rsidR="009F01D8" w:rsidRPr="00D76748" w:rsidRDefault="009F01D8" w:rsidP="009F01D8">
            <w:pPr>
              <w:rPr>
                <w:rFonts w:asciiTheme="majorBidi" w:hAnsiTheme="majorBidi" w:cstheme="majorBidi"/>
              </w:rPr>
            </w:pPr>
            <w:r w:rsidRPr="00D76748">
              <w:rPr>
                <w:rFonts w:asciiTheme="majorBidi" w:hAnsiTheme="majorBidi" w:cstheme="majorBidi"/>
              </w:rPr>
              <w:t>271295</w:t>
            </w:r>
          </w:p>
        </w:tc>
      </w:tr>
      <w:tr w:rsidR="009F01D8" w:rsidRPr="00D76748" w14:paraId="0C559DDE" w14:textId="77777777" w:rsidTr="009F01D8">
        <w:trPr>
          <w:trHeight w:val="321"/>
        </w:trPr>
        <w:tc>
          <w:tcPr>
            <w:tcW w:w="1090" w:type="dxa"/>
            <w:noWrap/>
            <w:hideMark/>
          </w:tcPr>
          <w:p w14:paraId="1C822898" w14:textId="77777777" w:rsidR="009F01D8" w:rsidRPr="00D76748" w:rsidRDefault="009F01D8" w:rsidP="009F01D8">
            <w:pPr>
              <w:rPr>
                <w:rFonts w:asciiTheme="majorBidi" w:hAnsiTheme="majorBidi" w:cstheme="majorBidi"/>
              </w:rPr>
            </w:pPr>
            <w:r w:rsidRPr="00D76748">
              <w:rPr>
                <w:rFonts w:asciiTheme="majorBidi" w:hAnsiTheme="majorBidi" w:cstheme="majorBidi"/>
              </w:rPr>
              <w:t>6</w:t>
            </w:r>
          </w:p>
        </w:tc>
        <w:tc>
          <w:tcPr>
            <w:tcW w:w="6276" w:type="dxa"/>
            <w:noWrap/>
            <w:hideMark/>
          </w:tcPr>
          <w:p w14:paraId="485C1A86" w14:textId="77777777" w:rsidR="009F01D8" w:rsidRPr="00D76748" w:rsidRDefault="009F01D8" w:rsidP="009F01D8">
            <w:pPr>
              <w:rPr>
                <w:rFonts w:asciiTheme="majorBidi" w:hAnsiTheme="majorBidi" w:cstheme="majorBidi"/>
              </w:rPr>
            </w:pPr>
            <w:r w:rsidRPr="00D76748">
              <w:rPr>
                <w:rFonts w:asciiTheme="majorBidi" w:hAnsiTheme="majorBidi" w:cstheme="majorBidi"/>
              </w:rPr>
              <w:t>Klebsiella pneumoniae/</w:t>
            </w:r>
          </w:p>
        </w:tc>
        <w:tc>
          <w:tcPr>
            <w:tcW w:w="1650" w:type="dxa"/>
            <w:noWrap/>
            <w:hideMark/>
          </w:tcPr>
          <w:p w14:paraId="10724F37" w14:textId="77777777" w:rsidR="009F01D8" w:rsidRPr="00D76748" w:rsidRDefault="009F01D8" w:rsidP="009F01D8">
            <w:pPr>
              <w:rPr>
                <w:rFonts w:asciiTheme="majorBidi" w:hAnsiTheme="majorBidi" w:cstheme="majorBidi"/>
              </w:rPr>
            </w:pPr>
            <w:r w:rsidRPr="00D76748">
              <w:rPr>
                <w:rFonts w:asciiTheme="majorBidi" w:hAnsiTheme="majorBidi" w:cstheme="majorBidi"/>
              </w:rPr>
              <w:t>14859</w:t>
            </w:r>
          </w:p>
        </w:tc>
      </w:tr>
      <w:tr w:rsidR="009F01D8" w:rsidRPr="00D76748" w14:paraId="21409CBF" w14:textId="77777777" w:rsidTr="009F01D8">
        <w:trPr>
          <w:trHeight w:val="321"/>
        </w:trPr>
        <w:tc>
          <w:tcPr>
            <w:tcW w:w="1090" w:type="dxa"/>
            <w:noWrap/>
            <w:hideMark/>
          </w:tcPr>
          <w:p w14:paraId="4B95F98E" w14:textId="77777777" w:rsidR="009F01D8" w:rsidRPr="00D76748" w:rsidRDefault="009F01D8" w:rsidP="009F01D8">
            <w:pPr>
              <w:rPr>
                <w:rFonts w:asciiTheme="majorBidi" w:hAnsiTheme="majorBidi" w:cstheme="majorBidi"/>
              </w:rPr>
            </w:pPr>
            <w:r w:rsidRPr="00D76748">
              <w:rPr>
                <w:rFonts w:asciiTheme="majorBidi" w:hAnsiTheme="majorBidi" w:cstheme="majorBidi"/>
              </w:rPr>
              <w:t>7</w:t>
            </w:r>
          </w:p>
        </w:tc>
        <w:tc>
          <w:tcPr>
            <w:tcW w:w="6276" w:type="dxa"/>
            <w:noWrap/>
            <w:hideMark/>
          </w:tcPr>
          <w:p w14:paraId="5393A75C" w14:textId="77777777" w:rsidR="009F01D8" w:rsidRPr="00D76748" w:rsidRDefault="009F01D8" w:rsidP="009F01D8">
            <w:pPr>
              <w:rPr>
                <w:rFonts w:asciiTheme="majorBidi" w:hAnsiTheme="majorBidi" w:cstheme="majorBidi"/>
              </w:rPr>
            </w:pPr>
            <w:r w:rsidRPr="00D76748">
              <w:rPr>
                <w:rFonts w:asciiTheme="majorBidi" w:hAnsiTheme="majorBidi" w:cstheme="majorBidi"/>
              </w:rPr>
              <w:t>Pseudomonas aeruginosa/</w:t>
            </w:r>
          </w:p>
        </w:tc>
        <w:tc>
          <w:tcPr>
            <w:tcW w:w="1650" w:type="dxa"/>
            <w:noWrap/>
            <w:hideMark/>
          </w:tcPr>
          <w:p w14:paraId="6288480A" w14:textId="77777777" w:rsidR="009F01D8" w:rsidRPr="00D76748" w:rsidRDefault="009F01D8" w:rsidP="009F01D8">
            <w:pPr>
              <w:rPr>
                <w:rFonts w:asciiTheme="majorBidi" w:hAnsiTheme="majorBidi" w:cstheme="majorBidi"/>
              </w:rPr>
            </w:pPr>
            <w:r w:rsidRPr="00D76748">
              <w:rPr>
                <w:rFonts w:asciiTheme="majorBidi" w:hAnsiTheme="majorBidi" w:cstheme="majorBidi"/>
              </w:rPr>
              <w:t>43940</w:t>
            </w:r>
          </w:p>
        </w:tc>
      </w:tr>
      <w:tr w:rsidR="009F01D8" w:rsidRPr="00D76748" w14:paraId="6A67EBCC" w14:textId="77777777" w:rsidTr="009F01D8">
        <w:trPr>
          <w:trHeight w:val="321"/>
        </w:trPr>
        <w:tc>
          <w:tcPr>
            <w:tcW w:w="1090" w:type="dxa"/>
            <w:noWrap/>
            <w:hideMark/>
          </w:tcPr>
          <w:p w14:paraId="46CA218E"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c>
          <w:tcPr>
            <w:tcW w:w="6276" w:type="dxa"/>
            <w:noWrap/>
            <w:hideMark/>
          </w:tcPr>
          <w:p w14:paraId="53761A14"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spellStart"/>
            <w:r w:rsidRPr="00D76748">
              <w:rPr>
                <w:rFonts w:asciiTheme="majorBidi" w:hAnsiTheme="majorBidi" w:cstheme="majorBidi"/>
              </w:rPr>
              <w:t>enterobact</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enterobacteriaceae</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escherichia</w:t>
            </w:r>
            <w:proofErr w:type="spellEnd"/>
            <w:r w:rsidRPr="00D76748">
              <w:rPr>
                <w:rFonts w:asciiTheme="majorBidi" w:hAnsiTheme="majorBidi" w:cstheme="majorBidi"/>
              </w:rPr>
              <w:t xml:space="preserve"> coli" or "e. coli" or "klebsiella pneumoniae" or "k. pneumoniae" or "pseudomonas aeruginosa" or "p. aeruginosa").</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74D354C4" w14:textId="77777777" w:rsidR="009F01D8" w:rsidRPr="00D76748" w:rsidRDefault="009F01D8" w:rsidP="009F01D8">
            <w:pPr>
              <w:rPr>
                <w:rFonts w:asciiTheme="majorBidi" w:hAnsiTheme="majorBidi" w:cstheme="majorBidi"/>
              </w:rPr>
            </w:pPr>
            <w:r w:rsidRPr="00D76748">
              <w:rPr>
                <w:rFonts w:asciiTheme="majorBidi" w:hAnsiTheme="majorBidi" w:cstheme="majorBidi"/>
              </w:rPr>
              <w:t>399190</w:t>
            </w:r>
          </w:p>
        </w:tc>
      </w:tr>
      <w:tr w:rsidR="009F01D8" w:rsidRPr="00D76748" w14:paraId="164E5823" w14:textId="77777777" w:rsidTr="009F01D8">
        <w:trPr>
          <w:trHeight w:val="321"/>
        </w:trPr>
        <w:tc>
          <w:tcPr>
            <w:tcW w:w="1090" w:type="dxa"/>
            <w:noWrap/>
            <w:hideMark/>
          </w:tcPr>
          <w:p w14:paraId="2FCDD00B" w14:textId="77777777" w:rsidR="009F01D8" w:rsidRPr="00D76748" w:rsidRDefault="009F01D8" w:rsidP="009F01D8">
            <w:pPr>
              <w:rPr>
                <w:rFonts w:asciiTheme="majorBidi" w:hAnsiTheme="majorBidi" w:cstheme="majorBidi"/>
              </w:rPr>
            </w:pPr>
            <w:r w:rsidRPr="00D76748">
              <w:rPr>
                <w:rFonts w:asciiTheme="majorBidi" w:hAnsiTheme="majorBidi" w:cstheme="majorBidi"/>
              </w:rPr>
              <w:t>9</w:t>
            </w:r>
          </w:p>
        </w:tc>
        <w:tc>
          <w:tcPr>
            <w:tcW w:w="6276" w:type="dxa"/>
            <w:noWrap/>
            <w:hideMark/>
          </w:tcPr>
          <w:p w14:paraId="05B31529" w14:textId="77777777" w:rsidR="009F01D8" w:rsidRPr="00D76748" w:rsidRDefault="009F01D8" w:rsidP="009F01D8">
            <w:pPr>
              <w:rPr>
                <w:rFonts w:asciiTheme="majorBidi" w:hAnsiTheme="majorBidi" w:cstheme="majorBidi"/>
              </w:rPr>
            </w:pPr>
            <w:r w:rsidRPr="00D76748">
              <w:rPr>
                <w:rFonts w:asciiTheme="majorBidi" w:hAnsiTheme="majorBidi" w:cstheme="majorBidi"/>
              </w:rPr>
              <w:t>or/4-8</w:t>
            </w:r>
          </w:p>
        </w:tc>
        <w:tc>
          <w:tcPr>
            <w:tcW w:w="1650" w:type="dxa"/>
            <w:noWrap/>
            <w:hideMark/>
          </w:tcPr>
          <w:p w14:paraId="423F6D3B" w14:textId="77777777" w:rsidR="009F01D8" w:rsidRPr="00D76748" w:rsidRDefault="009F01D8" w:rsidP="009F01D8">
            <w:pPr>
              <w:rPr>
                <w:rFonts w:asciiTheme="majorBidi" w:hAnsiTheme="majorBidi" w:cstheme="majorBidi"/>
              </w:rPr>
            </w:pPr>
            <w:r w:rsidRPr="00D76748">
              <w:rPr>
                <w:rFonts w:asciiTheme="majorBidi" w:hAnsiTheme="majorBidi" w:cstheme="majorBidi"/>
              </w:rPr>
              <w:t>495144</w:t>
            </w:r>
          </w:p>
        </w:tc>
      </w:tr>
      <w:tr w:rsidR="009F01D8" w:rsidRPr="00D76748" w14:paraId="1C1CBF1D" w14:textId="77777777" w:rsidTr="009F01D8">
        <w:trPr>
          <w:trHeight w:val="321"/>
        </w:trPr>
        <w:tc>
          <w:tcPr>
            <w:tcW w:w="1090" w:type="dxa"/>
            <w:noWrap/>
            <w:hideMark/>
          </w:tcPr>
          <w:p w14:paraId="5697F92D" w14:textId="77777777" w:rsidR="009F01D8" w:rsidRPr="00D76748" w:rsidRDefault="009F01D8" w:rsidP="009F01D8">
            <w:pPr>
              <w:rPr>
                <w:rFonts w:asciiTheme="majorBidi" w:hAnsiTheme="majorBidi" w:cstheme="majorBidi"/>
              </w:rPr>
            </w:pPr>
            <w:r w:rsidRPr="00D76748">
              <w:rPr>
                <w:rFonts w:asciiTheme="majorBidi" w:hAnsiTheme="majorBidi" w:cstheme="majorBidi"/>
              </w:rPr>
              <w:t>10</w:t>
            </w:r>
          </w:p>
        </w:tc>
        <w:tc>
          <w:tcPr>
            <w:tcW w:w="6276" w:type="dxa"/>
            <w:noWrap/>
            <w:hideMark/>
          </w:tcPr>
          <w:p w14:paraId="1F3F119C" w14:textId="77777777" w:rsidR="009F01D8" w:rsidRPr="00D76748" w:rsidRDefault="009F01D8" w:rsidP="009F01D8">
            <w:pPr>
              <w:rPr>
                <w:rFonts w:asciiTheme="majorBidi" w:hAnsiTheme="majorBidi" w:cstheme="majorBidi"/>
              </w:rPr>
            </w:pPr>
            <w:r w:rsidRPr="00D76748">
              <w:rPr>
                <w:rFonts w:asciiTheme="majorBidi" w:hAnsiTheme="majorBidi" w:cstheme="majorBidi"/>
              </w:rPr>
              <w:t>3 and 9</w:t>
            </w:r>
          </w:p>
        </w:tc>
        <w:tc>
          <w:tcPr>
            <w:tcW w:w="1650" w:type="dxa"/>
            <w:noWrap/>
            <w:hideMark/>
          </w:tcPr>
          <w:p w14:paraId="5193547A" w14:textId="77777777" w:rsidR="009F01D8" w:rsidRPr="00D76748" w:rsidRDefault="009F01D8" w:rsidP="009F01D8">
            <w:pPr>
              <w:rPr>
                <w:rFonts w:asciiTheme="majorBidi" w:hAnsiTheme="majorBidi" w:cstheme="majorBidi"/>
              </w:rPr>
            </w:pPr>
            <w:r w:rsidRPr="00D76748">
              <w:rPr>
                <w:rFonts w:asciiTheme="majorBidi" w:hAnsiTheme="majorBidi" w:cstheme="majorBidi"/>
              </w:rPr>
              <w:t>2507</w:t>
            </w:r>
          </w:p>
        </w:tc>
      </w:tr>
      <w:tr w:rsidR="009F01D8" w:rsidRPr="00D76748" w14:paraId="6B6A9B0B" w14:textId="77777777" w:rsidTr="009F01D8">
        <w:trPr>
          <w:trHeight w:val="321"/>
        </w:trPr>
        <w:tc>
          <w:tcPr>
            <w:tcW w:w="1090" w:type="dxa"/>
            <w:noWrap/>
            <w:hideMark/>
          </w:tcPr>
          <w:p w14:paraId="15DC7981"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c>
          <w:tcPr>
            <w:tcW w:w="6276" w:type="dxa"/>
            <w:noWrap/>
            <w:hideMark/>
          </w:tcPr>
          <w:p w14:paraId="462E05A8" w14:textId="77777777" w:rsidR="009F01D8" w:rsidRPr="00D76748" w:rsidRDefault="009F01D8" w:rsidP="009F01D8">
            <w:pPr>
              <w:rPr>
                <w:rFonts w:asciiTheme="majorBidi" w:hAnsiTheme="majorBidi" w:cstheme="majorBidi"/>
              </w:rPr>
            </w:pPr>
            <w:r w:rsidRPr="00D76748">
              <w:rPr>
                <w:rFonts w:asciiTheme="majorBidi" w:hAnsiTheme="majorBidi" w:cstheme="majorBidi"/>
              </w:rPr>
              <w:t>(MEDLINE or systematic review).</w:t>
            </w:r>
            <w:proofErr w:type="spellStart"/>
            <w:r w:rsidRPr="00D76748">
              <w:rPr>
                <w:rFonts w:asciiTheme="majorBidi" w:hAnsiTheme="majorBidi" w:cstheme="majorBidi"/>
              </w:rPr>
              <w:t>tw</w:t>
            </w:r>
            <w:proofErr w:type="spellEnd"/>
            <w:r w:rsidRPr="00D76748">
              <w:rPr>
                <w:rFonts w:asciiTheme="majorBidi" w:hAnsiTheme="majorBidi" w:cstheme="majorBidi"/>
              </w:rPr>
              <w:t>. or meta analysis.pt.</w:t>
            </w:r>
          </w:p>
        </w:tc>
        <w:tc>
          <w:tcPr>
            <w:tcW w:w="1650" w:type="dxa"/>
            <w:noWrap/>
            <w:hideMark/>
          </w:tcPr>
          <w:p w14:paraId="6E9BD5EB" w14:textId="77777777" w:rsidR="009F01D8" w:rsidRPr="00D76748" w:rsidRDefault="009F01D8" w:rsidP="009F01D8">
            <w:pPr>
              <w:rPr>
                <w:rFonts w:asciiTheme="majorBidi" w:hAnsiTheme="majorBidi" w:cstheme="majorBidi"/>
              </w:rPr>
            </w:pPr>
            <w:r w:rsidRPr="00D76748">
              <w:rPr>
                <w:rFonts w:asciiTheme="majorBidi" w:hAnsiTheme="majorBidi" w:cstheme="majorBidi"/>
              </w:rPr>
              <w:t>312794</w:t>
            </w:r>
          </w:p>
        </w:tc>
      </w:tr>
      <w:tr w:rsidR="009F01D8" w:rsidRPr="00D76748" w14:paraId="22A310A6" w14:textId="77777777" w:rsidTr="009F01D8">
        <w:trPr>
          <w:trHeight w:val="321"/>
        </w:trPr>
        <w:tc>
          <w:tcPr>
            <w:tcW w:w="1090" w:type="dxa"/>
            <w:noWrap/>
            <w:hideMark/>
          </w:tcPr>
          <w:p w14:paraId="73CAECCE" w14:textId="77777777" w:rsidR="009F01D8" w:rsidRPr="00D76748" w:rsidRDefault="009F01D8" w:rsidP="009F01D8">
            <w:pPr>
              <w:rPr>
                <w:rFonts w:asciiTheme="majorBidi" w:hAnsiTheme="majorBidi" w:cstheme="majorBidi"/>
              </w:rPr>
            </w:pPr>
            <w:r w:rsidRPr="00D76748">
              <w:rPr>
                <w:rFonts w:asciiTheme="majorBidi" w:hAnsiTheme="majorBidi" w:cstheme="majorBidi"/>
              </w:rPr>
              <w:t>12</w:t>
            </w:r>
          </w:p>
        </w:tc>
        <w:tc>
          <w:tcPr>
            <w:tcW w:w="6276" w:type="dxa"/>
            <w:noWrap/>
            <w:hideMark/>
          </w:tcPr>
          <w:p w14:paraId="4AEB85C2"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Randomized Controlled Trial.pt.</w:t>
            </w:r>
          </w:p>
        </w:tc>
        <w:tc>
          <w:tcPr>
            <w:tcW w:w="1650" w:type="dxa"/>
            <w:noWrap/>
            <w:hideMark/>
          </w:tcPr>
          <w:p w14:paraId="4877451C" w14:textId="77777777" w:rsidR="009F01D8" w:rsidRPr="00D76748" w:rsidRDefault="009F01D8" w:rsidP="009F01D8">
            <w:pPr>
              <w:rPr>
                <w:rFonts w:asciiTheme="majorBidi" w:hAnsiTheme="majorBidi" w:cstheme="majorBidi"/>
              </w:rPr>
            </w:pPr>
            <w:r w:rsidRPr="00D76748">
              <w:rPr>
                <w:rFonts w:asciiTheme="majorBidi" w:hAnsiTheme="majorBidi" w:cstheme="majorBidi"/>
              </w:rPr>
              <w:t>526445</w:t>
            </w:r>
          </w:p>
        </w:tc>
      </w:tr>
      <w:tr w:rsidR="009F01D8" w:rsidRPr="00D76748" w14:paraId="2C606344" w14:textId="77777777" w:rsidTr="009F01D8">
        <w:trPr>
          <w:trHeight w:val="321"/>
        </w:trPr>
        <w:tc>
          <w:tcPr>
            <w:tcW w:w="1090" w:type="dxa"/>
            <w:noWrap/>
            <w:hideMark/>
          </w:tcPr>
          <w:p w14:paraId="64C28319"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c>
          <w:tcPr>
            <w:tcW w:w="6276" w:type="dxa"/>
            <w:noWrap/>
            <w:hideMark/>
          </w:tcPr>
          <w:p w14:paraId="152C4B46" w14:textId="77777777" w:rsidR="009F01D8" w:rsidRPr="00D76748" w:rsidRDefault="009F01D8" w:rsidP="009F01D8">
            <w:pPr>
              <w:rPr>
                <w:rFonts w:asciiTheme="majorBidi" w:hAnsiTheme="majorBidi" w:cstheme="majorBidi"/>
              </w:rPr>
            </w:pPr>
            <w:r w:rsidRPr="00D76748">
              <w:rPr>
                <w:rFonts w:asciiTheme="majorBidi" w:hAnsiTheme="majorBidi" w:cstheme="majorBidi"/>
              </w:rPr>
              <w:t>Controlled Clinical Trial.pt.</w:t>
            </w:r>
          </w:p>
        </w:tc>
        <w:tc>
          <w:tcPr>
            <w:tcW w:w="1650" w:type="dxa"/>
            <w:noWrap/>
            <w:hideMark/>
          </w:tcPr>
          <w:p w14:paraId="5F507333" w14:textId="77777777" w:rsidR="009F01D8" w:rsidRPr="00D76748" w:rsidRDefault="009F01D8" w:rsidP="009F01D8">
            <w:pPr>
              <w:rPr>
                <w:rFonts w:asciiTheme="majorBidi" w:hAnsiTheme="majorBidi" w:cstheme="majorBidi"/>
              </w:rPr>
            </w:pPr>
            <w:r w:rsidRPr="00D76748">
              <w:rPr>
                <w:rFonts w:asciiTheme="majorBidi" w:hAnsiTheme="majorBidi" w:cstheme="majorBidi"/>
              </w:rPr>
              <w:t>94120</w:t>
            </w:r>
          </w:p>
        </w:tc>
      </w:tr>
      <w:tr w:rsidR="009F01D8" w:rsidRPr="00D76748" w14:paraId="16456EAC" w14:textId="77777777" w:rsidTr="009F01D8">
        <w:trPr>
          <w:trHeight w:val="321"/>
        </w:trPr>
        <w:tc>
          <w:tcPr>
            <w:tcW w:w="1090" w:type="dxa"/>
            <w:noWrap/>
            <w:hideMark/>
          </w:tcPr>
          <w:p w14:paraId="08CCE539" w14:textId="77777777" w:rsidR="009F01D8" w:rsidRPr="00D76748" w:rsidRDefault="009F01D8" w:rsidP="009F01D8">
            <w:pPr>
              <w:rPr>
                <w:rFonts w:asciiTheme="majorBidi" w:hAnsiTheme="majorBidi" w:cstheme="majorBidi"/>
              </w:rPr>
            </w:pPr>
            <w:r w:rsidRPr="00D76748">
              <w:rPr>
                <w:rFonts w:asciiTheme="majorBidi" w:hAnsiTheme="majorBidi" w:cstheme="majorBidi"/>
              </w:rPr>
              <w:lastRenderedPageBreak/>
              <w:t>14</w:t>
            </w:r>
          </w:p>
        </w:tc>
        <w:tc>
          <w:tcPr>
            <w:tcW w:w="6276" w:type="dxa"/>
            <w:noWrap/>
            <w:hideMark/>
          </w:tcPr>
          <w:p w14:paraId="3782740E" w14:textId="77777777" w:rsidR="009F01D8" w:rsidRPr="00D76748" w:rsidRDefault="009F01D8" w:rsidP="009F01D8">
            <w:pPr>
              <w:rPr>
                <w:rFonts w:asciiTheme="majorBidi" w:hAnsiTheme="majorBidi" w:cstheme="majorBidi"/>
              </w:rPr>
            </w:pPr>
            <w:r w:rsidRPr="00D76748">
              <w:rPr>
                <w:rFonts w:asciiTheme="majorBidi" w:hAnsiTheme="majorBidi" w:cstheme="majorBidi"/>
              </w:rPr>
              <w:t>Clinical Trial.pt.</w:t>
            </w:r>
          </w:p>
        </w:tc>
        <w:tc>
          <w:tcPr>
            <w:tcW w:w="1650" w:type="dxa"/>
            <w:noWrap/>
            <w:hideMark/>
          </w:tcPr>
          <w:p w14:paraId="22AB0758" w14:textId="77777777" w:rsidR="009F01D8" w:rsidRPr="00D76748" w:rsidRDefault="009F01D8" w:rsidP="009F01D8">
            <w:pPr>
              <w:rPr>
                <w:rFonts w:asciiTheme="majorBidi" w:hAnsiTheme="majorBidi" w:cstheme="majorBidi"/>
              </w:rPr>
            </w:pPr>
            <w:r w:rsidRPr="00D76748">
              <w:rPr>
                <w:rFonts w:asciiTheme="majorBidi" w:hAnsiTheme="majorBidi" w:cstheme="majorBidi"/>
              </w:rPr>
              <w:t>528138</w:t>
            </w:r>
          </w:p>
        </w:tc>
      </w:tr>
      <w:tr w:rsidR="009F01D8" w:rsidRPr="00D76748" w14:paraId="0995E961" w14:textId="77777777" w:rsidTr="009F01D8">
        <w:trPr>
          <w:trHeight w:val="321"/>
        </w:trPr>
        <w:tc>
          <w:tcPr>
            <w:tcW w:w="1090" w:type="dxa"/>
            <w:noWrap/>
            <w:hideMark/>
          </w:tcPr>
          <w:p w14:paraId="00B37CB4" w14:textId="77777777" w:rsidR="009F01D8" w:rsidRPr="00D76748" w:rsidRDefault="009F01D8" w:rsidP="009F01D8">
            <w:pPr>
              <w:rPr>
                <w:rFonts w:asciiTheme="majorBidi" w:hAnsiTheme="majorBidi" w:cstheme="majorBidi"/>
              </w:rPr>
            </w:pPr>
            <w:r w:rsidRPr="00D76748">
              <w:rPr>
                <w:rFonts w:asciiTheme="majorBidi" w:hAnsiTheme="majorBidi" w:cstheme="majorBidi"/>
              </w:rPr>
              <w:t>15</w:t>
            </w:r>
          </w:p>
        </w:tc>
        <w:tc>
          <w:tcPr>
            <w:tcW w:w="6276" w:type="dxa"/>
            <w:noWrap/>
            <w:hideMark/>
          </w:tcPr>
          <w:p w14:paraId="00C3AC0F"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Clinical Trials as Topic/</w:t>
            </w:r>
          </w:p>
        </w:tc>
        <w:tc>
          <w:tcPr>
            <w:tcW w:w="1650" w:type="dxa"/>
            <w:noWrap/>
            <w:hideMark/>
          </w:tcPr>
          <w:p w14:paraId="6DAC646F" w14:textId="77777777" w:rsidR="009F01D8" w:rsidRPr="00D76748" w:rsidRDefault="009F01D8" w:rsidP="009F01D8">
            <w:pPr>
              <w:rPr>
                <w:rFonts w:asciiTheme="majorBidi" w:hAnsiTheme="majorBidi" w:cstheme="majorBidi"/>
              </w:rPr>
            </w:pPr>
            <w:r w:rsidRPr="00D76748">
              <w:rPr>
                <w:rFonts w:asciiTheme="majorBidi" w:hAnsiTheme="majorBidi" w:cstheme="majorBidi"/>
              </w:rPr>
              <w:t>354862</w:t>
            </w:r>
          </w:p>
        </w:tc>
      </w:tr>
      <w:tr w:rsidR="009F01D8" w:rsidRPr="00D76748" w14:paraId="4B7D88B5" w14:textId="77777777" w:rsidTr="009F01D8">
        <w:trPr>
          <w:trHeight w:val="321"/>
        </w:trPr>
        <w:tc>
          <w:tcPr>
            <w:tcW w:w="1090" w:type="dxa"/>
            <w:noWrap/>
            <w:hideMark/>
          </w:tcPr>
          <w:p w14:paraId="5726DA85"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c>
          <w:tcPr>
            <w:tcW w:w="6276" w:type="dxa"/>
            <w:noWrap/>
            <w:hideMark/>
          </w:tcPr>
          <w:p w14:paraId="089A0792" w14:textId="77777777" w:rsidR="009F01D8" w:rsidRPr="00D76748" w:rsidRDefault="009F01D8" w:rsidP="009F01D8">
            <w:pPr>
              <w:rPr>
                <w:rFonts w:asciiTheme="majorBidi" w:hAnsiTheme="majorBidi" w:cstheme="majorBidi"/>
              </w:rPr>
            </w:pPr>
            <w:r w:rsidRPr="00D76748">
              <w:rPr>
                <w:rFonts w:asciiTheme="majorBidi" w:hAnsiTheme="majorBidi" w:cstheme="majorBidi"/>
              </w:rPr>
              <w:t>Placebos/</w:t>
            </w:r>
          </w:p>
        </w:tc>
        <w:tc>
          <w:tcPr>
            <w:tcW w:w="1650" w:type="dxa"/>
            <w:noWrap/>
            <w:hideMark/>
          </w:tcPr>
          <w:p w14:paraId="18212B0E" w14:textId="77777777" w:rsidR="009F01D8" w:rsidRPr="00D76748" w:rsidRDefault="009F01D8" w:rsidP="009F01D8">
            <w:pPr>
              <w:rPr>
                <w:rFonts w:asciiTheme="majorBidi" w:hAnsiTheme="majorBidi" w:cstheme="majorBidi"/>
              </w:rPr>
            </w:pPr>
            <w:r w:rsidRPr="00D76748">
              <w:rPr>
                <w:rFonts w:asciiTheme="majorBidi" w:hAnsiTheme="majorBidi" w:cstheme="majorBidi"/>
              </w:rPr>
              <w:t>35413</w:t>
            </w:r>
          </w:p>
        </w:tc>
      </w:tr>
      <w:tr w:rsidR="009F01D8" w:rsidRPr="00D76748" w14:paraId="046751CE" w14:textId="77777777" w:rsidTr="009F01D8">
        <w:trPr>
          <w:trHeight w:val="321"/>
        </w:trPr>
        <w:tc>
          <w:tcPr>
            <w:tcW w:w="1090" w:type="dxa"/>
            <w:noWrap/>
            <w:hideMark/>
          </w:tcPr>
          <w:p w14:paraId="29F272AE" w14:textId="77777777" w:rsidR="009F01D8" w:rsidRPr="00D76748" w:rsidRDefault="009F01D8" w:rsidP="009F01D8">
            <w:pPr>
              <w:rPr>
                <w:rFonts w:asciiTheme="majorBidi" w:hAnsiTheme="majorBidi" w:cstheme="majorBidi"/>
              </w:rPr>
            </w:pPr>
            <w:r w:rsidRPr="00D76748">
              <w:rPr>
                <w:rFonts w:asciiTheme="majorBidi" w:hAnsiTheme="majorBidi" w:cstheme="majorBidi"/>
              </w:rPr>
              <w:t>17</w:t>
            </w:r>
          </w:p>
        </w:tc>
        <w:tc>
          <w:tcPr>
            <w:tcW w:w="6276" w:type="dxa"/>
            <w:noWrap/>
            <w:hideMark/>
          </w:tcPr>
          <w:p w14:paraId="55263867"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 Allocation/</w:t>
            </w:r>
          </w:p>
        </w:tc>
        <w:tc>
          <w:tcPr>
            <w:tcW w:w="1650" w:type="dxa"/>
            <w:noWrap/>
            <w:hideMark/>
          </w:tcPr>
          <w:p w14:paraId="364EB44A" w14:textId="77777777" w:rsidR="009F01D8" w:rsidRPr="00D76748" w:rsidRDefault="009F01D8" w:rsidP="009F01D8">
            <w:pPr>
              <w:rPr>
                <w:rFonts w:asciiTheme="majorBidi" w:hAnsiTheme="majorBidi" w:cstheme="majorBidi"/>
              </w:rPr>
            </w:pPr>
            <w:r w:rsidRPr="00D76748">
              <w:rPr>
                <w:rFonts w:asciiTheme="majorBidi" w:hAnsiTheme="majorBidi" w:cstheme="majorBidi"/>
              </w:rPr>
              <w:t>105006</w:t>
            </w:r>
          </w:p>
        </w:tc>
      </w:tr>
      <w:tr w:rsidR="009F01D8" w:rsidRPr="00D76748" w14:paraId="14E61958" w14:textId="77777777" w:rsidTr="009F01D8">
        <w:trPr>
          <w:trHeight w:val="321"/>
        </w:trPr>
        <w:tc>
          <w:tcPr>
            <w:tcW w:w="1090" w:type="dxa"/>
            <w:noWrap/>
            <w:hideMark/>
          </w:tcPr>
          <w:p w14:paraId="0AB9F3ED" w14:textId="77777777" w:rsidR="009F01D8" w:rsidRPr="00D76748" w:rsidRDefault="009F01D8" w:rsidP="009F01D8">
            <w:pPr>
              <w:rPr>
                <w:rFonts w:asciiTheme="majorBidi" w:hAnsiTheme="majorBidi" w:cstheme="majorBidi"/>
              </w:rPr>
            </w:pPr>
            <w:r w:rsidRPr="00D76748">
              <w:rPr>
                <w:rFonts w:asciiTheme="majorBidi" w:hAnsiTheme="majorBidi" w:cstheme="majorBidi"/>
              </w:rPr>
              <w:t>18</w:t>
            </w:r>
          </w:p>
        </w:tc>
        <w:tc>
          <w:tcPr>
            <w:tcW w:w="6276" w:type="dxa"/>
            <w:noWrap/>
            <w:hideMark/>
          </w:tcPr>
          <w:p w14:paraId="1ACF8565" w14:textId="77777777" w:rsidR="009F01D8" w:rsidRPr="00D76748" w:rsidRDefault="009F01D8" w:rsidP="009F01D8">
            <w:pPr>
              <w:rPr>
                <w:rFonts w:asciiTheme="majorBidi" w:hAnsiTheme="majorBidi" w:cstheme="majorBidi"/>
              </w:rPr>
            </w:pPr>
            <w:r w:rsidRPr="00D76748">
              <w:rPr>
                <w:rFonts w:asciiTheme="majorBidi" w:hAnsiTheme="majorBidi" w:cstheme="majorBidi"/>
              </w:rPr>
              <w:t>Double-Blind Method/</w:t>
            </w:r>
          </w:p>
        </w:tc>
        <w:tc>
          <w:tcPr>
            <w:tcW w:w="1650" w:type="dxa"/>
            <w:noWrap/>
            <w:hideMark/>
          </w:tcPr>
          <w:p w14:paraId="263D334F" w14:textId="77777777" w:rsidR="009F01D8" w:rsidRPr="00D76748" w:rsidRDefault="009F01D8" w:rsidP="009F01D8">
            <w:pPr>
              <w:rPr>
                <w:rFonts w:asciiTheme="majorBidi" w:hAnsiTheme="majorBidi" w:cstheme="majorBidi"/>
              </w:rPr>
            </w:pPr>
            <w:r w:rsidRPr="00D76748">
              <w:rPr>
                <w:rFonts w:asciiTheme="majorBidi" w:hAnsiTheme="majorBidi" w:cstheme="majorBidi"/>
              </w:rPr>
              <w:t>163341</w:t>
            </w:r>
          </w:p>
        </w:tc>
      </w:tr>
      <w:tr w:rsidR="009F01D8" w:rsidRPr="00D76748" w14:paraId="07AD22A9" w14:textId="77777777" w:rsidTr="009F01D8">
        <w:trPr>
          <w:trHeight w:val="321"/>
        </w:trPr>
        <w:tc>
          <w:tcPr>
            <w:tcW w:w="1090" w:type="dxa"/>
            <w:noWrap/>
            <w:hideMark/>
          </w:tcPr>
          <w:p w14:paraId="5A670EEC" w14:textId="77777777" w:rsidR="009F01D8" w:rsidRPr="00D76748" w:rsidRDefault="009F01D8" w:rsidP="009F01D8">
            <w:pPr>
              <w:rPr>
                <w:rFonts w:asciiTheme="majorBidi" w:hAnsiTheme="majorBidi" w:cstheme="majorBidi"/>
              </w:rPr>
            </w:pPr>
            <w:r w:rsidRPr="00D76748">
              <w:rPr>
                <w:rFonts w:asciiTheme="majorBidi" w:hAnsiTheme="majorBidi" w:cstheme="majorBidi"/>
              </w:rPr>
              <w:t>19</w:t>
            </w:r>
          </w:p>
        </w:tc>
        <w:tc>
          <w:tcPr>
            <w:tcW w:w="6276" w:type="dxa"/>
            <w:noWrap/>
            <w:hideMark/>
          </w:tcPr>
          <w:p w14:paraId="3EB4584A" w14:textId="77777777" w:rsidR="009F01D8" w:rsidRPr="00D76748" w:rsidRDefault="009F01D8" w:rsidP="009F01D8">
            <w:pPr>
              <w:rPr>
                <w:rFonts w:asciiTheme="majorBidi" w:hAnsiTheme="majorBidi" w:cstheme="majorBidi"/>
              </w:rPr>
            </w:pPr>
            <w:r w:rsidRPr="00D76748">
              <w:rPr>
                <w:rFonts w:asciiTheme="majorBidi" w:hAnsiTheme="majorBidi" w:cstheme="majorBidi"/>
              </w:rPr>
              <w:t>Single-Blind Method/</w:t>
            </w:r>
          </w:p>
        </w:tc>
        <w:tc>
          <w:tcPr>
            <w:tcW w:w="1650" w:type="dxa"/>
            <w:noWrap/>
            <w:hideMark/>
          </w:tcPr>
          <w:p w14:paraId="27ABDF95" w14:textId="77777777" w:rsidR="009F01D8" w:rsidRPr="00D76748" w:rsidRDefault="009F01D8" w:rsidP="009F01D8">
            <w:pPr>
              <w:rPr>
                <w:rFonts w:asciiTheme="majorBidi" w:hAnsiTheme="majorBidi" w:cstheme="majorBidi"/>
              </w:rPr>
            </w:pPr>
            <w:r w:rsidRPr="00D76748">
              <w:rPr>
                <w:rFonts w:asciiTheme="majorBidi" w:hAnsiTheme="majorBidi" w:cstheme="majorBidi"/>
              </w:rPr>
              <w:t>29950</w:t>
            </w:r>
          </w:p>
        </w:tc>
      </w:tr>
      <w:tr w:rsidR="009F01D8" w:rsidRPr="00D76748" w14:paraId="7C6C61AF" w14:textId="77777777" w:rsidTr="009F01D8">
        <w:trPr>
          <w:trHeight w:val="321"/>
        </w:trPr>
        <w:tc>
          <w:tcPr>
            <w:tcW w:w="1090" w:type="dxa"/>
            <w:noWrap/>
            <w:hideMark/>
          </w:tcPr>
          <w:p w14:paraId="18176478" w14:textId="77777777" w:rsidR="009F01D8" w:rsidRPr="00D76748" w:rsidRDefault="009F01D8" w:rsidP="009F01D8">
            <w:pPr>
              <w:rPr>
                <w:rFonts w:asciiTheme="majorBidi" w:hAnsiTheme="majorBidi" w:cstheme="majorBidi"/>
              </w:rPr>
            </w:pPr>
            <w:r w:rsidRPr="00D76748">
              <w:rPr>
                <w:rFonts w:asciiTheme="majorBidi" w:hAnsiTheme="majorBidi" w:cstheme="majorBidi"/>
              </w:rPr>
              <w:t>20</w:t>
            </w:r>
          </w:p>
        </w:tc>
        <w:tc>
          <w:tcPr>
            <w:tcW w:w="6276" w:type="dxa"/>
            <w:noWrap/>
            <w:hideMark/>
          </w:tcPr>
          <w:p w14:paraId="5476167A" w14:textId="77777777" w:rsidR="009F01D8" w:rsidRPr="00D76748" w:rsidRDefault="009F01D8" w:rsidP="009F01D8">
            <w:pPr>
              <w:rPr>
                <w:rFonts w:asciiTheme="majorBidi" w:hAnsiTheme="majorBidi" w:cstheme="majorBidi"/>
              </w:rPr>
            </w:pPr>
            <w:r w:rsidRPr="00D76748">
              <w:rPr>
                <w:rFonts w:asciiTheme="majorBidi" w:hAnsiTheme="majorBidi" w:cstheme="majorBidi"/>
              </w:rPr>
              <w:t>Cross-Over Studies/</w:t>
            </w:r>
          </w:p>
        </w:tc>
        <w:tc>
          <w:tcPr>
            <w:tcW w:w="1650" w:type="dxa"/>
            <w:noWrap/>
            <w:hideMark/>
          </w:tcPr>
          <w:p w14:paraId="514919B7" w14:textId="77777777" w:rsidR="009F01D8" w:rsidRPr="00D76748" w:rsidRDefault="009F01D8" w:rsidP="009F01D8">
            <w:pPr>
              <w:rPr>
                <w:rFonts w:asciiTheme="majorBidi" w:hAnsiTheme="majorBidi" w:cstheme="majorBidi"/>
              </w:rPr>
            </w:pPr>
            <w:r w:rsidRPr="00D76748">
              <w:rPr>
                <w:rFonts w:asciiTheme="majorBidi" w:hAnsiTheme="majorBidi" w:cstheme="majorBidi"/>
              </w:rPr>
              <w:t>49836</w:t>
            </w:r>
          </w:p>
        </w:tc>
      </w:tr>
      <w:tr w:rsidR="009F01D8" w:rsidRPr="00D76748" w14:paraId="3276C6E6" w14:textId="77777777" w:rsidTr="009F01D8">
        <w:trPr>
          <w:trHeight w:val="321"/>
        </w:trPr>
        <w:tc>
          <w:tcPr>
            <w:tcW w:w="1090" w:type="dxa"/>
            <w:noWrap/>
            <w:hideMark/>
          </w:tcPr>
          <w:p w14:paraId="64EC7F77" w14:textId="77777777" w:rsidR="009F01D8" w:rsidRPr="00D76748" w:rsidRDefault="009F01D8" w:rsidP="009F01D8">
            <w:pPr>
              <w:rPr>
                <w:rFonts w:asciiTheme="majorBidi" w:hAnsiTheme="majorBidi" w:cstheme="majorBidi"/>
              </w:rPr>
            </w:pPr>
            <w:r w:rsidRPr="00D76748">
              <w:rPr>
                <w:rFonts w:asciiTheme="majorBidi" w:hAnsiTheme="majorBidi" w:cstheme="majorBidi"/>
              </w:rPr>
              <w:t>21</w:t>
            </w:r>
          </w:p>
        </w:tc>
        <w:tc>
          <w:tcPr>
            <w:tcW w:w="6276" w:type="dxa"/>
            <w:noWrap/>
            <w:hideMark/>
          </w:tcPr>
          <w:p w14:paraId="5FE2F309"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 or control$ or clinical$) adj3 (trial$ or stud$)).</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2092954F" w14:textId="77777777" w:rsidR="009F01D8" w:rsidRPr="00D76748" w:rsidRDefault="009F01D8" w:rsidP="009F01D8">
            <w:pPr>
              <w:rPr>
                <w:rFonts w:asciiTheme="majorBidi" w:hAnsiTheme="majorBidi" w:cstheme="majorBidi"/>
              </w:rPr>
            </w:pPr>
            <w:r w:rsidRPr="00D76748">
              <w:rPr>
                <w:rFonts w:asciiTheme="majorBidi" w:hAnsiTheme="majorBidi" w:cstheme="majorBidi"/>
              </w:rPr>
              <w:t>1322185</w:t>
            </w:r>
          </w:p>
        </w:tc>
      </w:tr>
      <w:tr w:rsidR="009F01D8" w:rsidRPr="00D76748" w14:paraId="5AAC6FF7" w14:textId="77777777" w:rsidTr="009F01D8">
        <w:trPr>
          <w:trHeight w:val="321"/>
        </w:trPr>
        <w:tc>
          <w:tcPr>
            <w:tcW w:w="1090" w:type="dxa"/>
            <w:noWrap/>
            <w:hideMark/>
          </w:tcPr>
          <w:p w14:paraId="11B93F2C" w14:textId="77777777" w:rsidR="009F01D8" w:rsidRPr="00D76748" w:rsidRDefault="009F01D8" w:rsidP="009F01D8">
            <w:pPr>
              <w:rPr>
                <w:rFonts w:asciiTheme="majorBidi" w:hAnsiTheme="majorBidi" w:cstheme="majorBidi"/>
              </w:rPr>
            </w:pPr>
            <w:r w:rsidRPr="00D76748">
              <w:rPr>
                <w:rFonts w:asciiTheme="majorBidi" w:hAnsiTheme="majorBidi" w:cstheme="majorBidi"/>
              </w:rPr>
              <w:t>22</w:t>
            </w:r>
          </w:p>
        </w:tc>
        <w:tc>
          <w:tcPr>
            <w:tcW w:w="6276" w:type="dxa"/>
            <w:noWrap/>
            <w:hideMark/>
          </w:tcPr>
          <w:p w14:paraId="0AB937C1"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(random$ adj3 </w:t>
            </w:r>
            <w:proofErr w:type="spellStart"/>
            <w:r w:rsidRPr="00D76748">
              <w:rPr>
                <w:rFonts w:asciiTheme="majorBidi" w:hAnsiTheme="majorBidi" w:cstheme="majorBidi"/>
              </w:rPr>
              <w:t>allocat</w:t>
            </w:r>
            <w:proofErr w:type="spellEnd"/>
            <w:r w:rsidRPr="00D76748">
              <w:rPr>
                <w:rFonts w:asciiTheme="majorBidi" w:hAnsiTheme="majorBidi" w:cstheme="majorBidi"/>
              </w:rPr>
              <w:t>$).</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7E9CA680" w14:textId="77777777" w:rsidR="009F01D8" w:rsidRPr="00D76748" w:rsidRDefault="009F01D8" w:rsidP="009F01D8">
            <w:pPr>
              <w:rPr>
                <w:rFonts w:asciiTheme="majorBidi" w:hAnsiTheme="majorBidi" w:cstheme="majorBidi"/>
              </w:rPr>
            </w:pPr>
            <w:r w:rsidRPr="00D76748">
              <w:rPr>
                <w:rFonts w:asciiTheme="majorBidi" w:hAnsiTheme="majorBidi" w:cstheme="majorBidi"/>
              </w:rPr>
              <w:t>38452</w:t>
            </w:r>
          </w:p>
        </w:tc>
      </w:tr>
      <w:tr w:rsidR="009F01D8" w:rsidRPr="00D76748" w14:paraId="7A4FD51F" w14:textId="77777777" w:rsidTr="009F01D8">
        <w:trPr>
          <w:trHeight w:val="321"/>
        </w:trPr>
        <w:tc>
          <w:tcPr>
            <w:tcW w:w="1090" w:type="dxa"/>
            <w:noWrap/>
            <w:hideMark/>
          </w:tcPr>
          <w:p w14:paraId="24502D20" w14:textId="77777777" w:rsidR="009F01D8" w:rsidRPr="00D76748" w:rsidRDefault="009F01D8" w:rsidP="009F01D8">
            <w:pPr>
              <w:rPr>
                <w:rFonts w:asciiTheme="majorBidi" w:hAnsiTheme="majorBidi" w:cstheme="majorBidi"/>
              </w:rPr>
            </w:pPr>
            <w:r w:rsidRPr="00D76748">
              <w:rPr>
                <w:rFonts w:asciiTheme="majorBidi" w:hAnsiTheme="majorBidi" w:cstheme="majorBidi"/>
              </w:rPr>
              <w:t>23</w:t>
            </w:r>
          </w:p>
        </w:tc>
        <w:tc>
          <w:tcPr>
            <w:tcW w:w="6276" w:type="dxa"/>
            <w:noWrap/>
            <w:hideMark/>
          </w:tcPr>
          <w:p w14:paraId="32DFE8A9" w14:textId="77777777" w:rsidR="009F01D8" w:rsidRPr="00D76748" w:rsidRDefault="009F01D8" w:rsidP="009F01D8">
            <w:pPr>
              <w:rPr>
                <w:rFonts w:asciiTheme="majorBidi" w:hAnsiTheme="majorBidi" w:cstheme="majorBidi"/>
              </w:rPr>
            </w:pPr>
            <w:r w:rsidRPr="00D76748">
              <w:rPr>
                <w:rFonts w:asciiTheme="majorBidi" w:hAnsiTheme="majorBidi" w:cstheme="majorBidi"/>
              </w:rPr>
              <w:t>placebo$.tw.</w:t>
            </w:r>
          </w:p>
        </w:tc>
        <w:tc>
          <w:tcPr>
            <w:tcW w:w="1650" w:type="dxa"/>
            <w:noWrap/>
            <w:hideMark/>
          </w:tcPr>
          <w:p w14:paraId="52ED7289" w14:textId="77777777" w:rsidR="009F01D8" w:rsidRPr="00D76748" w:rsidRDefault="009F01D8" w:rsidP="009F01D8">
            <w:pPr>
              <w:rPr>
                <w:rFonts w:asciiTheme="majorBidi" w:hAnsiTheme="majorBidi" w:cstheme="majorBidi"/>
              </w:rPr>
            </w:pPr>
            <w:r w:rsidRPr="00D76748">
              <w:rPr>
                <w:rFonts w:asciiTheme="majorBidi" w:hAnsiTheme="majorBidi" w:cstheme="majorBidi"/>
              </w:rPr>
              <w:t>223839</w:t>
            </w:r>
          </w:p>
        </w:tc>
      </w:tr>
      <w:tr w:rsidR="009F01D8" w:rsidRPr="00D76748" w14:paraId="2FF68ED0" w14:textId="77777777" w:rsidTr="009F01D8">
        <w:trPr>
          <w:trHeight w:val="321"/>
        </w:trPr>
        <w:tc>
          <w:tcPr>
            <w:tcW w:w="1090" w:type="dxa"/>
            <w:noWrap/>
            <w:hideMark/>
          </w:tcPr>
          <w:p w14:paraId="63B000EB" w14:textId="77777777" w:rsidR="009F01D8" w:rsidRPr="00D76748" w:rsidRDefault="009F01D8" w:rsidP="009F01D8">
            <w:pPr>
              <w:rPr>
                <w:rFonts w:asciiTheme="majorBidi" w:hAnsiTheme="majorBidi" w:cstheme="majorBidi"/>
              </w:rPr>
            </w:pPr>
            <w:r w:rsidRPr="00D76748">
              <w:rPr>
                <w:rFonts w:asciiTheme="majorBidi" w:hAnsiTheme="majorBidi" w:cstheme="majorBidi"/>
              </w:rPr>
              <w:t>24</w:t>
            </w:r>
          </w:p>
        </w:tc>
        <w:tc>
          <w:tcPr>
            <w:tcW w:w="6276" w:type="dxa"/>
            <w:noWrap/>
            <w:hideMark/>
          </w:tcPr>
          <w:p w14:paraId="72201E8B"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spellStart"/>
            <w:r w:rsidRPr="00D76748">
              <w:rPr>
                <w:rFonts w:asciiTheme="majorBidi" w:hAnsiTheme="majorBidi" w:cstheme="majorBidi"/>
              </w:rPr>
              <w:t>singl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doubl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trebl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tripl</w:t>
            </w:r>
            <w:proofErr w:type="spellEnd"/>
            <w:r w:rsidRPr="00D76748">
              <w:rPr>
                <w:rFonts w:asciiTheme="majorBidi" w:hAnsiTheme="majorBidi" w:cstheme="majorBidi"/>
              </w:rPr>
              <w:t xml:space="preserve">$)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(blind$ or mask$)).</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5540BF45" w14:textId="77777777" w:rsidR="009F01D8" w:rsidRPr="00D76748" w:rsidRDefault="009F01D8" w:rsidP="009F01D8">
            <w:pPr>
              <w:rPr>
                <w:rFonts w:asciiTheme="majorBidi" w:hAnsiTheme="majorBidi" w:cstheme="majorBidi"/>
              </w:rPr>
            </w:pPr>
            <w:r w:rsidRPr="00D76748">
              <w:rPr>
                <w:rFonts w:asciiTheme="majorBidi" w:hAnsiTheme="majorBidi" w:cstheme="majorBidi"/>
              </w:rPr>
              <w:t>179179</w:t>
            </w:r>
          </w:p>
        </w:tc>
      </w:tr>
      <w:tr w:rsidR="009F01D8" w:rsidRPr="00D76748" w14:paraId="6C6C3203" w14:textId="77777777" w:rsidTr="009F01D8">
        <w:trPr>
          <w:trHeight w:val="321"/>
        </w:trPr>
        <w:tc>
          <w:tcPr>
            <w:tcW w:w="1090" w:type="dxa"/>
            <w:noWrap/>
            <w:hideMark/>
          </w:tcPr>
          <w:p w14:paraId="20D185C0" w14:textId="77777777" w:rsidR="009F01D8" w:rsidRPr="00D76748" w:rsidRDefault="009F01D8" w:rsidP="009F01D8">
            <w:pPr>
              <w:rPr>
                <w:rFonts w:asciiTheme="majorBidi" w:hAnsiTheme="majorBidi" w:cstheme="majorBidi"/>
              </w:rPr>
            </w:pPr>
            <w:r w:rsidRPr="00D76748">
              <w:rPr>
                <w:rFonts w:asciiTheme="majorBidi" w:hAnsiTheme="majorBidi" w:cstheme="majorBidi"/>
              </w:rPr>
              <w:t>25</w:t>
            </w:r>
          </w:p>
        </w:tc>
        <w:tc>
          <w:tcPr>
            <w:tcW w:w="6276" w:type="dxa"/>
            <w:noWrap/>
            <w:hideMark/>
          </w:tcPr>
          <w:p w14:paraId="2104D578"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(crossover$ or (cross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over$)).</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517E1158" w14:textId="77777777" w:rsidR="009F01D8" w:rsidRPr="00D76748" w:rsidRDefault="009F01D8" w:rsidP="009F01D8">
            <w:pPr>
              <w:rPr>
                <w:rFonts w:asciiTheme="majorBidi" w:hAnsiTheme="majorBidi" w:cstheme="majorBidi"/>
              </w:rPr>
            </w:pPr>
            <w:r w:rsidRPr="00D76748">
              <w:rPr>
                <w:rFonts w:asciiTheme="majorBidi" w:hAnsiTheme="majorBidi" w:cstheme="majorBidi"/>
              </w:rPr>
              <w:t>90152</w:t>
            </w:r>
          </w:p>
        </w:tc>
      </w:tr>
      <w:tr w:rsidR="009F01D8" w:rsidRPr="00D76748" w14:paraId="0C7152DD" w14:textId="77777777" w:rsidTr="009F01D8">
        <w:trPr>
          <w:trHeight w:val="321"/>
        </w:trPr>
        <w:tc>
          <w:tcPr>
            <w:tcW w:w="1090" w:type="dxa"/>
            <w:noWrap/>
            <w:hideMark/>
          </w:tcPr>
          <w:p w14:paraId="0DC77D27" w14:textId="77777777" w:rsidR="009F01D8" w:rsidRPr="00D76748" w:rsidRDefault="009F01D8" w:rsidP="009F01D8">
            <w:pPr>
              <w:rPr>
                <w:rFonts w:asciiTheme="majorBidi" w:hAnsiTheme="majorBidi" w:cstheme="majorBidi"/>
              </w:rPr>
            </w:pPr>
            <w:r w:rsidRPr="00D76748">
              <w:rPr>
                <w:rFonts w:asciiTheme="majorBidi" w:hAnsiTheme="majorBidi" w:cstheme="majorBidi"/>
              </w:rPr>
              <w:t>26</w:t>
            </w:r>
          </w:p>
        </w:tc>
        <w:tc>
          <w:tcPr>
            <w:tcW w:w="6276" w:type="dxa"/>
            <w:noWrap/>
            <w:hideMark/>
          </w:tcPr>
          <w:p w14:paraId="3918EF8D" w14:textId="77777777" w:rsidR="009F01D8" w:rsidRPr="00D76748" w:rsidRDefault="009F01D8" w:rsidP="009F01D8">
            <w:pPr>
              <w:rPr>
                <w:rFonts w:asciiTheme="majorBidi" w:hAnsiTheme="majorBidi" w:cstheme="majorBidi"/>
              </w:rPr>
            </w:pPr>
            <w:r w:rsidRPr="00D76748">
              <w:rPr>
                <w:rFonts w:asciiTheme="majorBidi" w:hAnsiTheme="majorBidi" w:cstheme="majorBidi"/>
              </w:rPr>
              <w:t>("phase 3" or "phase three").</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CAAB869" w14:textId="77777777" w:rsidR="009F01D8" w:rsidRPr="00D76748" w:rsidRDefault="009F01D8" w:rsidP="009F01D8">
            <w:pPr>
              <w:rPr>
                <w:rFonts w:asciiTheme="majorBidi" w:hAnsiTheme="majorBidi" w:cstheme="majorBidi"/>
              </w:rPr>
            </w:pPr>
            <w:r w:rsidRPr="00D76748">
              <w:rPr>
                <w:rFonts w:asciiTheme="majorBidi" w:hAnsiTheme="majorBidi" w:cstheme="majorBidi"/>
              </w:rPr>
              <w:t>16453</w:t>
            </w:r>
          </w:p>
        </w:tc>
      </w:tr>
      <w:tr w:rsidR="009F01D8" w:rsidRPr="00D76748" w14:paraId="6A41D1B9" w14:textId="77777777" w:rsidTr="009F01D8">
        <w:trPr>
          <w:trHeight w:val="321"/>
        </w:trPr>
        <w:tc>
          <w:tcPr>
            <w:tcW w:w="1090" w:type="dxa"/>
            <w:noWrap/>
            <w:hideMark/>
          </w:tcPr>
          <w:p w14:paraId="72849D08" w14:textId="77777777" w:rsidR="009F01D8" w:rsidRPr="00D76748" w:rsidRDefault="009F01D8" w:rsidP="009F01D8">
            <w:pPr>
              <w:rPr>
                <w:rFonts w:asciiTheme="majorBidi" w:hAnsiTheme="majorBidi" w:cstheme="majorBidi"/>
              </w:rPr>
            </w:pPr>
            <w:r w:rsidRPr="00D76748">
              <w:rPr>
                <w:rFonts w:asciiTheme="majorBidi" w:hAnsiTheme="majorBidi" w:cstheme="majorBidi"/>
              </w:rPr>
              <w:t>27</w:t>
            </w:r>
          </w:p>
        </w:tc>
        <w:tc>
          <w:tcPr>
            <w:tcW w:w="6276" w:type="dxa"/>
            <w:noWrap/>
            <w:hideMark/>
          </w:tcPr>
          <w:p w14:paraId="64893750" w14:textId="77777777" w:rsidR="009F01D8" w:rsidRPr="00D76748" w:rsidRDefault="009F01D8" w:rsidP="009F01D8">
            <w:pPr>
              <w:rPr>
                <w:rFonts w:asciiTheme="majorBidi" w:hAnsiTheme="majorBidi" w:cstheme="majorBidi"/>
              </w:rPr>
            </w:pPr>
            <w:r w:rsidRPr="00D76748">
              <w:rPr>
                <w:rFonts w:asciiTheme="majorBidi" w:hAnsiTheme="majorBidi" w:cstheme="majorBidi"/>
              </w:rPr>
              <w:t>or/12-26</w:t>
            </w:r>
          </w:p>
        </w:tc>
        <w:tc>
          <w:tcPr>
            <w:tcW w:w="1650" w:type="dxa"/>
            <w:noWrap/>
            <w:hideMark/>
          </w:tcPr>
          <w:p w14:paraId="7F1BD831" w14:textId="77777777" w:rsidR="009F01D8" w:rsidRPr="00D76748" w:rsidRDefault="009F01D8" w:rsidP="009F01D8">
            <w:pPr>
              <w:rPr>
                <w:rFonts w:asciiTheme="majorBidi" w:hAnsiTheme="majorBidi" w:cstheme="majorBidi"/>
              </w:rPr>
            </w:pPr>
            <w:r w:rsidRPr="00D76748">
              <w:rPr>
                <w:rFonts w:asciiTheme="majorBidi" w:hAnsiTheme="majorBidi" w:cstheme="majorBidi"/>
              </w:rPr>
              <w:t>2134299</w:t>
            </w:r>
          </w:p>
        </w:tc>
      </w:tr>
      <w:tr w:rsidR="009F01D8" w:rsidRPr="00D76748" w14:paraId="1271403A" w14:textId="77777777" w:rsidTr="009F01D8">
        <w:trPr>
          <w:trHeight w:val="321"/>
        </w:trPr>
        <w:tc>
          <w:tcPr>
            <w:tcW w:w="1090" w:type="dxa"/>
            <w:noWrap/>
            <w:hideMark/>
          </w:tcPr>
          <w:p w14:paraId="7A17A535" w14:textId="77777777" w:rsidR="009F01D8" w:rsidRPr="00D76748" w:rsidRDefault="009F01D8" w:rsidP="009F01D8">
            <w:pPr>
              <w:rPr>
                <w:rFonts w:asciiTheme="majorBidi" w:hAnsiTheme="majorBidi" w:cstheme="majorBidi"/>
              </w:rPr>
            </w:pPr>
            <w:r w:rsidRPr="00D76748">
              <w:rPr>
                <w:rFonts w:asciiTheme="majorBidi" w:hAnsiTheme="majorBidi" w:cstheme="majorBidi"/>
              </w:rPr>
              <w:t>28</w:t>
            </w:r>
          </w:p>
        </w:tc>
        <w:tc>
          <w:tcPr>
            <w:tcW w:w="6276" w:type="dxa"/>
            <w:noWrap/>
            <w:hideMark/>
          </w:tcPr>
          <w:p w14:paraId="7829DDE2" w14:textId="77777777" w:rsidR="009F01D8" w:rsidRPr="00D76748" w:rsidRDefault="009F01D8" w:rsidP="009F01D8">
            <w:pPr>
              <w:rPr>
                <w:rFonts w:asciiTheme="majorBidi" w:hAnsiTheme="majorBidi" w:cstheme="majorBidi"/>
              </w:rPr>
            </w:pPr>
            <w:r w:rsidRPr="00D76748">
              <w:rPr>
                <w:rFonts w:asciiTheme="majorBidi" w:hAnsiTheme="majorBidi" w:cstheme="majorBidi"/>
              </w:rPr>
              <w:t>animals/ not humans/</w:t>
            </w:r>
          </w:p>
        </w:tc>
        <w:tc>
          <w:tcPr>
            <w:tcW w:w="1650" w:type="dxa"/>
            <w:noWrap/>
            <w:hideMark/>
          </w:tcPr>
          <w:p w14:paraId="79321C36" w14:textId="77777777" w:rsidR="009F01D8" w:rsidRPr="00D76748" w:rsidRDefault="009F01D8" w:rsidP="009F01D8">
            <w:pPr>
              <w:rPr>
                <w:rFonts w:asciiTheme="majorBidi" w:hAnsiTheme="majorBidi" w:cstheme="majorBidi"/>
              </w:rPr>
            </w:pPr>
            <w:r w:rsidRPr="00D76748">
              <w:rPr>
                <w:rFonts w:asciiTheme="majorBidi" w:hAnsiTheme="majorBidi" w:cstheme="majorBidi"/>
              </w:rPr>
              <w:t>4776462</w:t>
            </w:r>
          </w:p>
        </w:tc>
      </w:tr>
      <w:tr w:rsidR="009F01D8" w:rsidRPr="00D76748" w14:paraId="197A19B6" w14:textId="77777777" w:rsidTr="009F01D8">
        <w:trPr>
          <w:trHeight w:val="321"/>
        </w:trPr>
        <w:tc>
          <w:tcPr>
            <w:tcW w:w="1090" w:type="dxa"/>
            <w:noWrap/>
            <w:hideMark/>
          </w:tcPr>
          <w:p w14:paraId="1DB9A73F" w14:textId="77777777" w:rsidR="009F01D8" w:rsidRPr="00D76748" w:rsidRDefault="009F01D8" w:rsidP="009F01D8">
            <w:pPr>
              <w:rPr>
                <w:rFonts w:asciiTheme="majorBidi" w:hAnsiTheme="majorBidi" w:cstheme="majorBidi"/>
              </w:rPr>
            </w:pPr>
            <w:r w:rsidRPr="00D76748">
              <w:rPr>
                <w:rFonts w:asciiTheme="majorBidi" w:hAnsiTheme="majorBidi" w:cstheme="majorBidi"/>
              </w:rPr>
              <w:t>29</w:t>
            </w:r>
          </w:p>
        </w:tc>
        <w:tc>
          <w:tcPr>
            <w:tcW w:w="6276" w:type="dxa"/>
            <w:noWrap/>
            <w:hideMark/>
          </w:tcPr>
          <w:p w14:paraId="7651DBDF" w14:textId="77777777" w:rsidR="009F01D8" w:rsidRPr="00D76748" w:rsidRDefault="009F01D8" w:rsidP="009F01D8">
            <w:pPr>
              <w:rPr>
                <w:rFonts w:asciiTheme="majorBidi" w:hAnsiTheme="majorBidi" w:cstheme="majorBidi"/>
              </w:rPr>
            </w:pPr>
            <w:r w:rsidRPr="00D76748">
              <w:rPr>
                <w:rFonts w:asciiTheme="majorBidi" w:hAnsiTheme="majorBidi" w:cstheme="majorBidi"/>
              </w:rPr>
              <w:t>27 not 28</w:t>
            </w:r>
          </w:p>
        </w:tc>
        <w:tc>
          <w:tcPr>
            <w:tcW w:w="1650" w:type="dxa"/>
            <w:noWrap/>
            <w:hideMark/>
          </w:tcPr>
          <w:p w14:paraId="3D6CFEDC" w14:textId="77777777" w:rsidR="009F01D8" w:rsidRPr="00D76748" w:rsidRDefault="009F01D8" w:rsidP="009F01D8">
            <w:pPr>
              <w:rPr>
                <w:rFonts w:asciiTheme="majorBidi" w:hAnsiTheme="majorBidi" w:cstheme="majorBidi"/>
              </w:rPr>
            </w:pPr>
            <w:r w:rsidRPr="00D76748">
              <w:rPr>
                <w:rFonts w:asciiTheme="majorBidi" w:hAnsiTheme="majorBidi" w:cstheme="majorBidi"/>
              </w:rPr>
              <w:t>2002988</w:t>
            </w:r>
          </w:p>
        </w:tc>
      </w:tr>
      <w:tr w:rsidR="009F01D8" w:rsidRPr="00D76748" w14:paraId="5AC9E95C" w14:textId="77777777" w:rsidTr="009F01D8">
        <w:trPr>
          <w:trHeight w:val="321"/>
        </w:trPr>
        <w:tc>
          <w:tcPr>
            <w:tcW w:w="1090" w:type="dxa"/>
            <w:noWrap/>
            <w:hideMark/>
          </w:tcPr>
          <w:p w14:paraId="7C392225" w14:textId="77777777" w:rsidR="009F01D8" w:rsidRPr="00D76748" w:rsidRDefault="009F01D8" w:rsidP="009F01D8">
            <w:pPr>
              <w:rPr>
                <w:rFonts w:asciiTheme="majorBidi" w:hAnsiTheme="majorBidi" w:cstheme="majorBidi"/>
              </w:rPr>
            </w:pPr>
            <w:r w:rsidRPr="00D76748">
              <w:rPr>
                <w:rFonts w:asciiTheme="majorBidi" w:hAnsiTheme="majorBidi" w:cstheme="majorBidi"/>
              </w:rPr>
              <w:t>30</w:t>
            </w:r>
          </w:p>
        </w:tc>
        <w:tc>
          <w:tcPr>
            <w:tcW w:w="6276" w:type="dxa"/>
            <w:noWrap/>
            <w:hideMark/>
          </w:tcPr>
          <w:p w14:paraId="36DFED23" w14:textId="77777777" w:rsidR="009F01D8" w:rsidRPr="00D76748" w:rsidRDefault="009F01D8" w:rsidP="009F01D8">
            <w:pPr>
              <w:rPr>
                <w:rFonts w:asciiTheme="majorBidi" w:hAnsiTheme="majorBidi" w:cstheme="majorBidi"/>
              </w:rPr>
            </w:pPr>
            <w:r w:rsidRPr="00D76748">
              <w:rPr>
                <w:rFonts w:asciiTheme="majorBidi" w:hAnsiTheme="majorBidi" w:cstheme="majorBidi"/>
              </w:rPr>
              <w:t>Observational Studies as Topic/</w:t>
            </w:r>
          </w:p>
        </w:tc>
        <w:tc>
          <w:tcPr>
            <w:tcW w:w="1650" w:type="dxa"/>
            <w:noWrap/>
            <w:hideMark/>
          </w:tcPr>
          <w:p w14:paraId="47992FC1" w14:textId="77777777" w:rsidR="009F01D8" w:rsidRPr="00D76748" w:rsidRDefault="009F01D8" w:rsidP="009F01D8">
            <w:pPr>
              <w:rPr>
                <w:rFonts w:asciiTheme="majorBidi" w:hAnsiTheme="majorBidi" w:cstheme="majorBidi"/>
              </w:rPr>
            </w:pPr>
            <w:r w:rsidRPr="00D76748">
              <w:rPr>
                <w:rFonts w:asciiTheme="majorBidi" w:hAnsiTheme="majorBidi" w:cstheme="majorBidi"/>
              </w:rPr>
              <w:t>6077</w:t>
            </w:r>
          </w:p>
        </w:tc>
      </w:tr>
      <w:tr w:rsidR="009F01D8" w:rsidRPr="00D76748" w14:paraId="1980D7B7" w14:textId="77777777" w:rsidTr="009F01D8">
        <w:trPr>
          <w:trHeight w:val="321"/>
        </w:trPr>
        <w:tc>
          <w:tcPr>
            <w:tcW w:w="1090" w:type="dxa"/>
            <w:noWrap/>
            <w:hideMark/>
          </w:tcPr>
          <w:p w14:paraId="0F0A5DFE" w14:textId="77777777" w:rsidR="009F01D8" w:rsidRPr="00D76748" w:rsidRDefault="009F01D8" w:rsidP="009F01D8">
            <w:pPr>
              <w:rPr>
                <w:rFonts w:asciiTheme="majorBidi" w:hAnsiTheme="majorBidi" w:cstheme="majorBidi"/>
              </w:rPr>
            </w:pPr>
            <w:r w:rsidRPr="00D76748">
              <w:rPr>
                <w:rFonts w:asciiTheme="majorBidi" w:hAnsiTheme="majorBidi" w:cstheme="majorBidi"/>
              </w:rPr>
              <w:t>31</w:t>
            </w:r>
          </w:p>
        </w:tc>
        <w:tc>
          <w:tcPr>
            <w:tcW w:w="6276" w:type="dxa"/>
            <w:noWrap/>
            <w:hideMark/>
          </w:tcPr>
          <w:p w14:paraId="1BC49E82" w14:textId="77777777" w:rsidR="009F01D8" w:rsidRPr="00D76748" w:rsidRDefault="009F01D8" w:rsidP="009F01D8">
            <w:pPr>
              <w:rPr>
                <w:rFonts w:asciiTheme="majorBidi" w:hAnsiTheme="majorBidi" w:cstheme="majorBidi"/>
              </w:rPr>
            </w:pPr>
            <w:r w:rsidRPr="00D76748">
              <w:rPr>
                <w:rFonts w:asciiTheme="majorBidi" w:hAnsiTheme="majorBidi" w:cstheme="majorBidi"/>
              </w:rPr>
              <w:t>Observational Study/</w:t>
            </w:r>
          </w:p>
        </w:tc>
        <w:tc>
          <w:tcPr>
            <w:tcW w:w="1650" w:type="dxa"/>
            <w:noWrap/>
            <w:hideMark/>
          </w:tcPr>
          <w:p w14:paraId="6101B4C5" w14:textId="77777777" w:rsidR="009F01D8" w:rsidRPr="00D76748" w:rsidRDefault="009F01D8" w:rsidP="009F01D8">
            <w:pPr>
              <w:rPr>
                <w:rFonts w:asciiTheme="majorBidi" w:hAnsiTheme="majorBidi" w:cstheme="majorBidi"/>
              </w:rPr>
            </w:pPr>
            <w:r w:rsidRPr="00D76748">
              <w:rPr>
                <w:rFonts w:asciiTheme="majorBidi" w:hAnsiTheme="majorBidi" w:cstheme="majorBidi"/>
              </w:rPr>
              <w:t>95871</w:t>
            </w:r>
          </w:p>
        </w:tc>
      </w:tr>
      <w:tr w:rsidR="009F01D8" w:rsidRPr="00D76748" w14:paraId="2656ABAE" w14:textId="77777777" w:rsidTr="009F01D8">
        <w:trPr>
          <w:trHeight w:val="321"/>
        </w:trPr>
        <w:tc>
          <w:tcPr>
            <w:tcW w:w="1090" w:type="dxa"/>
            <w:noWrap/>
            <w:hideMark/>
          </w:tcPr>
          <w:p w14:paraId="7EE03B67" w14:textId="77777777" w:rsidR="009F01D8" w:rsidRPr="00D76748" w:rsidRDefault="009F01D8" w:rsidP="009F01D8">
            <w:pPr>
              <w:rPr>
                <w:rFonts w:asciiTheme="majorBidi" w:hAnsiTheme="majorBidi" w:cstheme="majorBidi"/>
              </w:rPr>
            </w:pPr>
            <w:r w:rsidRPr="00D76748">
              <w:rPr>
                <w:rFonts w:asciiTheme="majorBidi" w:hAnsiTheme="majorBidi" w:cstheme="majorBidi"/>
              </w:rPr>
              <w:t>32</w:t>
            </w:r>
          </w:p>
        </w:tc>
        <w:tc>
          <w:tcPr>
            <w:tcW w:w="6276" w:type="dxa"/>
            <w:noWrap/>
            <w:hideMark/>
          </w:tcPr>
          <w:p w14:paraId="7B53D9E6" w14:textId="77777777" w:rsidR="009F01D8" w:rsidRPr="00D76748" w:rsidRDefault="009F01D8" w:rsidP="009F01D8">
            <w:pPr>
              <w:rPr>
                <w:rFonts w:asciiTheme="majorBidi" w:hAnsiTheme="majorBidi" w:cstheme="majorBidi"/>
              </w:rPr>
            </w:pPr>
            <w:r w:rsidRPr="00D76748">
              <w:rPr>
                <w:rFonts w:asciiTheme="majorBidi" w:hAnsiTheme="majorBidi" w:cstheme="majorBidi"/>
              </w:rPr>
              <w:t>Epidemiologic Studies/</w:t>
            </w:r>
          </w:p>
        </w:tc>
        <w:tc>
          <w:tcPr>
            <w:tcW w:w="1650" w:type="dxa"/>
            <w:noWrap/>
            <w:hideMark/>
          </w:tcPr>
          <w:p w14:paraId="5ADB3394" w14:textId="77777777" w:rsidR="009F01D8" w:rsidRPr="00D76748" w:rsidRDefault="009F01D8" w:rsidP="009F01D8">
            <w:pPr>
              <w:rPr>
                <w:rFonts w:asciiTheme="majorBidi" w:hAnsiTheme="majorBidi" w:cstheme="majorBidi"/>
              </w:rPr>
            </w:pPr>
            <w:r w:rsidRPr="00D76748">
              <w:rPr>
                <w:rFonts w:asciiTheme="majorBidi" w:hAnsiTheme="majorBidi" w:cstheme="majorBidi"/>
              </w:rPr>
              <w:t>8608</w:t>
            </w:r>
          </w:p>
        </w:tc>
      </w:tr>
      <w:tr w:rsidR="009F01D8" w:rsidRPr="00D76748" w14:paraId="75058368" w14:textId="77777777" w:rsidTr="009F01D8">
        <w:trPr>
          <w:trHeight w:val="321"/>
        </w:trPr>
        <w:tc>
          <w:tcPr>
            <w:tcW w:w="1090" w:type="dxa"/>
            <w:noWrap/>
            <w:hideMark/>
          </w:tcPr>
          <w:p w14:paraId="6604EFCD" w14:textId="77777777" w:rsidR="009F01D8" w:rsidRPr="00D76748" w:rsidRDefault="009F01D8" w:rsidP="009F01D8">
            <w:pPr>
              <w:rPr>
                <w:rFonts w:asciiTheme="majorBidi" w:hAnsiTheme="majorBidi" w:cstheme="majorBidi"/>
              </w:rPr>
            </w:pPr>
            <w:r w:rsidRPr="00D76748">
              <w:rPr>
                <w:rFonts w:asciiTheme="majorBidi" w:hAnsiTheme="majorBidi" w:cstheme="majorBidi"/>
              </w:rPr>
              <w:t>33</w:t>
            </w:r>
          </w:p>
        </w:tc>
        <w:tc>
          <w:tcPr>
            <w:tcW w:w="6276" w:type="dxa"/>
            <w:noWrap/>
            <w:hideMark/>
          </w:tcPr>
          <w:p w14:paraId="66707126"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Case-Control Studies/</w:t>
            </w:r>
          </w:p>
        </w:tc>
        <w:tc>
          <w:tcPr>
            <w:tcW w:w="1650" w:type="dxa"/>
            <w:noWrap/>
            <w:hideMark/>
          </w:tcPr>
          <w:p w14:paraId="02B1AB4E" w14:textId="77777777" w:rsidR="009F01D8" w:rsidRPr="00D76748" w:rsidRDefault="009F01D8" w:rsidP="009F01D8">
            <w:pPr>
              <w:rPr>
                <w:rFonts w:asciiTheme="majorBidi" w:hAnsiTheme="majorBidi" w:cstheme="majorBidi"/>
              </w:rPr>
            </w:pPr>
            <w:r w:rsidRPr="00D76748">
              <w:rPr>
                <w:rFonts w:asciiTheme="majorBidi" w:hAnsiTheme="majorBidi" w:cstheme="majorBidi"/>
              </w:rPr>
              <w:t>1155597</w:t>
            </w:r>
          </w:p>
        </w:tc>
      </w:tr>
      <w:tr w:rsidR="009F01D8" w:rsidRPr="00D76748" w14:paraId="0536CBA9" w14:textId="77777777" w:rsidTr="009F01D8">
        <w:trPr>
          <w:trHeight w:val="321"/>
        </w:trPr>
        <w:tc>
          <w:tcPr>
            <w:tcW w:w="1090" w:type="dxa"/>
            <w:noWrap/>
            <w:hideMark/>
          </w:tcPr>
          <w:p w14:paraId="6F8F3633" w14:textId="77777777" w:rsidR="009F01D8" w:rsidRPr="00D76748" w:rsidRDefault="009F01D8" w:rsidP="009F01D8">
            <w:pPr>
              <w:rPr>
                <w:rFonts w:asciiTheme="majorBidi" w:hAnsiTheme="majorBidi" w:cstheme="majorBidi"/>
              </w:rPr>
            </w:pPr>
            <w:r w:rsidRPr="00D76748">
              <w:rPr>
                <w:rFonts w:asciiTheme="majorBidi" w:hAnsiTheme="majorBidi" w:cstheme="majorBidi"/>
              </w:rPr>
              <w:t>34</w:t>
            </w:r>
          </w:p>
        </w:tc>
        <w:tc>
          <w:tcPr>
            <w:tcW w:w="6276" w:type="dxa"/>
            <w:noWrap/>
            <w:hideMark/>
          </w:tcPr>
          <w:p w14:paraId="641F3863" w14:textId="77777777" w:rsidR="009F01D8" w:rsidRPr="00D76748" w:rsidRDefault="009F01D8" w:rsidP="009F01D8">
            <w:pPr>
              <w:rPr>
                <w:rFonts w:asciiTheme="majorBidi" w:hAnsiTheme="majorBidi" w:cstheme="majorBidi"/>
              </w:rPr>
            </w:pPr>
            <w:r w:rsidRPr="00D76748">
              <w:rPr>
                <w:rFonts w:asciiTheme="majorBidi" w:hAnsiTheme="majorBidi" w:cstheme="majorBidi"/>
              </w:rPr>
              <w:t>exp Cohort Studies/</w:t>
            </w:r>
          </w:p>
        </w:tc>
        <w:tc>
          <w:tcPr>
            <w:tcW w:w="1650" w:type="dxa"/>
            <w:noWrap/>
            <w:hideMark/>
          </w:tcPr>
          <w:p w14:paraId="1CC32388" w14:textId="77777777" w:rsidR="009F01D8" w:rsidRPr="00D76748" w:rsidRDefault="009F01D8" w:rsidP="009F01D8">
            <w:pPr>
              <w:rPr>
                <w:rFonts w:asciiTheme="majorBidi" w:hAnsiTheme="majorBidi" w:cstheme="majorBidi"/>
              </w:rPr>
            </w:pPr>
            <w:r w:rsidRPr="00D76748">
              <w:rPr>
                <w:rFonts w:asciiTheme="majorBidi" w:hAnsiTheme="majorBidi" w:cstheme="majorBidi"/>
              </w:rPr>
              <w:t>2110104</w:t>
            </w:r>
          </w:p>
        </w:tc>
      </w:tr>
      <w:tr w:rsidR="009F01D8" w:rsidRPr="00D76748" w14:paraId="77762A18" w14:textId="77777777" w:rsidTr="009F01D8">
        <w:trPr>
          <w:trHeight w:val="321"/>
        </w:trPr>
        <w:tc>
          <w:tcPr>
            <w:tcW w:w="1090" w:type="dxa"/>
            <w:noWrap/>
            <w:hideMark/>
          </w:tcPr>
          <w:p w14:paraId="222FCF2A" w14:textId="77777777" w:rsidR="009F01D8" w:rsidRPr="00D76748" w:rsidRDefault="009F01D8" w:rsidP="009F01D8">
            <w:pPr>
              <w:rPr>
                <w:rFonts w:asciiTheme="majorBidi" w:hAnsiTheme="majorBidi" w:cstheme="majorBidi"/>
              </w:rPr>
            </w:pPr>
            <w:r w:rsidRPr="00D76748">
              <w:rPr>
                <w:rFonts w:asciiTheme="majorBidi" w:hAnsiTheme="majorBidi" w:cstheme="majorBidi"/>
              </w:rPr>
              <w:t>35</w:t>
            </w:r>
          </w:p>
        </w:tc>
        <w:tc>
          <w:tcPr>
            <w:tcW w:w="6276" w:type="dxa"/>
            <w:noWrap/>
            <w:hideMark/>
          </w:tcPr>
          <w:p w14:paraId="1F2B3DA6" w14:textId="77777777" w:rsidR="009F01D8" w:rsidRPr="00D76748" w:rsidRDefault="009F01D8" w:rsidP="009F01D8">
            <w:pPr>
              <w:rPr>
                <w:rFonts w:asciiTheme="majorBidi" w:hAnsiTheme="majorBidi" w:cstheme="majorBidi"/>
              </w:rPr>
            </w:pPr>
            <w:r w:rsidRPr="00D76748">
              <w:rPr>
                <w:rFonts w:asciiTheme="majorBidi" w:hAnsiTheme="majorBidi" w:cstheme="majorBidi"/>
              </w:rPr>
              <w:t>Cross-Sectional Studies/</w:t>
            </w:r>
          </w:p>
        </w:tc>
        <w:tc>
          <w:tcPr>
            <w:tcW w:w="1650" w:type="dxa"/>
            <w:noWrap/>
            <w:hideMark/>
          </w:tcPr>
          <w:p w14:paraId="58E8D668" w14:textId="77777777" w:rsidR="009F01D8" w:rsidRPr="00D76748" w:rsidRDefault="009F01D8" w:rsidP="009F01D8">
            <w:pPr>
              <w:rPr>
                <w:rFonts w:asciiTheme="majorBidi" w:hAnsiTheme="majorBidi" w:cstheme="majorBidi"/>
              </w:rPr>
            </w:pPr>
            <w:r w:rsidRPr="00D76748">
              <w:rPr>
                <w:rFonts w:asciiTheme="majorBidi" w:hAnsiTheme="majorBidi" w:cstheme="majorBidi"/>
              </w:rPr>
              <w:t>359015</w:t>
            </w:r>
          </w:p>
        </w:tc>
      </w:tr>
      <w:tr w:rsidR="009F01D8" w:rsidRPr="00D76748" w14:paraId="5649660E" w14:textId="77777777" w:rsidTr="009F01D8">
        <w:trPr>
          <w:trHeight w:val="321"/>
        </w:trPr>
        <w:tc>
          <w:tcPr>
            <w:tcW w:w="1090" w:type="dxa"/>
            <w:noWrap/>
            <w:hideMark/>
          </w:tcPr>
          <w:p w14:paraId="0B39E484" w14:textId="77777777" w:rsidR="009F01D8" w:rsidRPr="00D76748" w:rsidRDefault="009F01D8" w:rsidP="009F01D8">
            <w:pPr>
              <w:rPr>
                <w:rFonts w:asciiTheme="majorBidi" w:hAnsiTheme="majorBidi" w:cstheme="majorBidi"/>
              </w:rPr>
            </w:pPr>
            <w:r w:rsidRPr="00D76748">
              <w:rPr>
                <w:rFonts w:asciiTheme="majorBidi" w:hAnsiTheme="majorBidi" w:cstheme="majorBidi"/>
              </w:rPr>
              <w:t>36</w:t>
            </w:r>
          </w:p>
        </w:tc>
        <w:tc>
          <w:tcPr>
            <w:tcW w:w="6276" w:type="dxa"/>
            <w:noWrap/>
            <w:hideMark/>
          </w:tcPr>
          <w:p w14:paraId="470050ED" w14:textId="77777777" w:rsidR="009F01D8" w:rsidRPr="00D76748" w:rsidRDefault="009F01D8" w:rsidP="009F01D8">
            <w:pPr>
              <w:rPr>
                <w:rFonts w:asciiTheme="majorBidi" w:hAnsiTheme="majorBidi" w:cstheme="majorBidi"/>
              </w:rPr>
            </w:pPr>
            <w:r w:rsidRPr="00D76748">
              <w:rPr>
                <w:rFonts w:asciiTheme="majorBidi" w:hAnsiTheme="majorBidi" w:cstheme="majorBidi"/>
              </w:rPr>
              <w:t>Controlled Before-After Studies/</w:t>
            </w:r>
          </w:p>
        </w:tc>
        <w:tc>
          <w:tcPr>
            <w:tcW w:w="1650" w:type="dxa"/>
            <w:noWrap/>
            <w:hideMark/>
          </w:tcPr>
          <w:p w14:paraId="722D7E0B" w14:textId="77777777" w:rsidR="009F01D8" w:rsidRPr="00D76748" w:rsidRDefault="009F01D8" w:rsidP="009F01D8">
            <w:pPr>
              <w:rPr>
                <w:rFonts w:asciiTheme="majorBidi" w:hAnsiTheme="majorBidi" w:cstheme="majorBidi"/>
              </w:rPr>
            </w:pPr>
            <w:r w:rsidRPr="00D76748">
              <w:rPr>
                <w:rFonts w:asciiTheme="majorBidi" w:hAnsiTheme="majorBidi" w:cstheme="majorBidi"/>
              </w:rPr>
              <w:t>605</w:t>
            </w:r>
          </w:p>
        </w:tc>
      </w:tr>
      <w:tr w:rsidR="009F01D8" w:rsidRPr="00D76748" w14:paraId="68757D47" w14:textId="77777777" w:rsidTr="009F01D8">
        <w:trPr>
          <w:trHeight w:val="321"/>
        </w:trPr>
        <w:tc>
          <w:tcPr>
            <w:tcW w:w="1090" w:type="dxa"/>
            <w:noWrap/>
            <w:hideMark/>
          </w:tcPr>
          <w:p w14:paraId="58DCFCE1" w14:textId="77777777" w:rsidR="009F01D8" w:rsidRPr="00D76748" w:rsidRDefault="009F01D8" w:rsidP="009F01D8">
            <w:pPr>
              <w:rPr>
                <w:rFonts w:asciiTheme="majorBidi" w:hAnsiTheme="majorBidi" w:cstheme="majorBidi"/>
              </w:rPr>
            </w:pPr>
            <w:r w:rsidRPr="00D76748">
              <w:rPr>
                <w:rFonts w:asciiTheme="majorBidi" w:hAnsiTheme="majorBidi" w:cstheme="majorBidi"/>
              </w:rPr>
              <w:t>37</w:t>
            </w:r>
          </w:p>
        </w:tc>
        <w:tc>
          <w:tcPr>
            <w:tcW w:w="6276" w:type="dxa"/>
            <w:noWrap/>
            <w:hideMark/>
          </w:tcPr>
          <w:p w14:paraId="30DE1CC1" w14:textId="77777777" w:rsidR="009F01D8" w:rsidRPr="00D76748" w:rsidRDefault="009F01D8" w:rsidP="009F01D8">
            <w:pPr>
              <w:rPr>
                <w:rFonts w:asciiTheme="majorBidi" w:hAnsiTheme="majorBidi" w:cstheme="majorBidi"/>
              </w:rPr>
            </w:pPr>
            <w:r w:rsidRPr="00D76748">
              <w:rPr>
                <w:rFonts w:asciiTheme="majorBidi" w:hAnsiTheme="majorBidi" w:cstheme="majorBidi"/>
              </w:rPr>
              <w:t>Historically Controlled Study/</w:t>
            </w:r>
          </w:p>
        </w:tc>
        <w:tc>
          <w:tcPr>
            <w:tcW w:w="1650" w:type="dxa"/>
            <w:noWrap/>
            <w:hideMark/>
          </w:tcPr>
          <w:p w14:paraId="5401E9DC" w14:textId="77777777" w:rsidR="009F01D8" w:rsidRPr="00D76748" w:rsidRDefault="009F01D8" w:rsidP="009F01D8">
            <w:pPr>
              <w:rPr>
                <w:rFonts w:asciiTheme="majorBidi" w:hAnsiTheme="majorBidi" w:cstheme="majorBidi"/>
              </w:rPr>
            </w:pPr>
            <w:r w:rsidRPr="00D76748">
              <w:rPr>
                <w:rFonts w:asciiTheme="majorBidi" w:hAnsiTheme="majorBidi" w:cstheme="majorBidi"/>
              </w:rPr>
              <w:t>196</w:t>
            </w:r>
          </w:p>
        </w:tc>
      </w:tr>
      <w:tr w:rsidR="009F01D8" w:rsidRPr="00D76748" w14:paraId="6D8BEA12" w14:textId="77777777" w:rsidTr="009F01D8">
        <w:trPr>
          <w:trHeight w:val="321"/>
        </w:trPr>
        <w:tc>
          <w:tcPr>
            <w:tcW w:w="1090" w:type="dxa"/>
            <w:noWrap/>
            <w:hideMark/>
          </w:tcPr>
          <w:p w14:paraId="7E53FD42" w14:textId="77777777" w:rsidR="009F01D8" w:rsidRPr="00D76748" w:rsidRDefault="009F01D8" w:rsidP="009F01D8">
            <w:pPr>
              <w:rPr>
                <w:rFonts w:asciiTheme="majorBidi" w:hAnsiTheme="majorBidi" w:cstheme="majorBidi"/>
              </w:rPr>
            </w:pPr>
            <w:r w:rsidRPr="00D76748">
              <w:rPr>
                <w:rFonts w:asciiTheme="majorBidi" w:hAnsiTheme="majorBidi" w:cstheme="majorBidi"/>
              </w:rPr>
              <w:t>38</w:t>
            </w:r>
          </w:p>
        </w:tc>
        <w:tc>
          <w:tcPr>
            <w:tcW w:w="6276" w:type="dxa"/>
            <w:noWrap/>
            <w:hideMark/>
          </w:tcPr>
          <w:p w14:paraId="7727BF77" w14:textId="77777777" w:rsidR="009F01D8" w:rsidRPr="00D76748" w:rsidRDefault="009F01D8" w:rsidP="009F01D8">
            <w:pPr>
              <w:rPr>
                <w:rFonts w:asciiTheme="majorBidi" w:hAnsiTheme="majorBidi" w:cstheme="majorBidi"/>
              </w:rPr>
            </w:pPr>
            <w:r w:rsidRPr="00D76748">
              <w:rPr>
                <w:rFonts w:asciiTheme="majorBidi" w:hAnsiTheme="majorBidi" w:cstheme="majorBidi"/>
              </w:rPr>
              <w:t>Interrupted Time Series Analysis/</w:t>
            </w:r>
          </w:p>
        </w:tc>
        <w:tc>
          <w:tcPr>
            <w:tcW w:w="1650" w:type="dxa"/>
            <w:noWrap/>
            <w:hideMark/>
          </w:tcPr>
          <w:p w14:paraId="4AE9270D" w14:textId="77777777" w:rsidR="009F01D8" w:rsidRPr="00D76748" w:rsidRDefault="009F01D8" w:rsidP="009F01D8">
            <w:pPr>
              <w:rPr>
                <w:rFonts w:asciiTheme="majorBidi" w:hAnsiTheme="majorBidi" w:cstheme="majorBidi"/>
              </w:rPr>
            </w:pPr>
            <w:r w:rsidRPr="00D76748">
              <w:rPr>
                <w:rFonts w:asciiTheme="majorBidi" w:hAnsiTheme="majorBidi" w:cstheme="majorBidi"/>
              </w:rPr>
              <w:t>1184</w:t>
            </w:r>
          </w:p>
        </w:tc>
      </w:tr>
      <w:tr w:rsidR="009F01D8" w:rsidRPr="00D76748" w14:paraId="4DA9C09F" w14:textId="77777777" w:rsidTr="009F01D8">
        <w:trPr>
          <w:trHeight w:val="321"/>
        </w:trPr>
        <w:tc>
          <w:tcPr>
            <w:tcW w:w="1090" w:type="dxa"/>
            <w:noWrap/>
            <w:hideMark/>
          </w:tcPr>
          <w:p w14:paraId="2B9FB844" w14:textId="77777777" w:rsidR="009F01D8" w:rsidRPr="00D76748" w:rsidRDefault="009F01D8" w:rsidP="009F01D8">
            <w:pPr>
              <w:rPr>
                <w:rFonts w:asciiTheme="majorBidi" w:hAnsiTheme="majorBidi" w:cstheme="majorBidi"/>
              </w:rPr>
            </w:pPr>
            <w:r w:rsidRPr="00D76748">
              <w:rPr>
                <w:rFonts w:asciiTheme="majorBidi" w:hAnsiTheme="majorBidi" w:cstheme="majorBidi"/>
              </w:rPr>
              <w:t>39</w:t>
            </w:r>
          </w:p>
        </w:tc>
        <w:tc>
          <w:tcPr>
            <w:tcW w:w="6276" w:type="dxa"/>
            <w:noWrap/>
            <w:hideMark/>
          </w:tcPr>
          <w:p w14:paraId="296CC8C5" w14:textId="77777777" w:rsidR="009F01D8" w:rsidRPr="00D76748" w:rsidRDefault="009F01D8" w:rsidP="009F01D8">
            <w:pPr>
              <w:rPr>
                <w:rFonts w:asciiTheme="majorBidi" w:hAnsiTheme="majorBidi" w:cstheme="majorBidi"/>
              </w:rPr>
            </w:pPr>
            <w:r w:rsidRPr="00D76748">
              <w:rPr>
                <w:rFonts w:asciiTheme="majorBidi" w:hAnsiTheme="majorBidi" w:cstheme="majorBidi"/>
              </w:rPr>
              <w:t>Comparative Study.pt.</w:t>
            </w:r>
          </w:p>
        </w:tc>
        <w:tc>
          <w:tcPr>
            <w:tcW w:w="1650" w:type="dxa"/>
            <w:noWrap/>
            <w:hideMark/>
          </w:tcPr>
          <w:p w14:paraId="4D5EECA8" w14:textId="77777777" w:rsidR="009F01D8" w:rsidRPr="00D76748" w:rsidRDefault="009F01D8" w:rsidP="009F01D8">
            <w:pPr>
              <w:rPr>
                <w:rFonts w:asciiTheme="majorBidi" w:hAnsiTheme="majorBidi" w:cstheme="majorBidi"/>
              </w:rPr>
            </w:pPr>
            <w:r w:rsidRPr="00D76748">
              <w:rPr>
                <w:rFonts w:asciiTheme="majorBidi" w:hAnsiTheme="majorBidi" w:cstheme="majorBidi"/>
              </w:rPr>
              <w:t>1886769</w:t>
            </w:r>
          </w:p>
        </w:tc>
      </w:tr>
      <w:tr w:rsidR="009F01D8" w:rsidRPr="00D76748" w14:paraId="41DAE2D6" w14:textId="77777777" w:rsidTr="009F01D8">
        <w:trPr>
          <w:trHeight w:val="321"/>
        </w:trPr>
        <w:tc>
          <w:tcPr>
            <w:tcW w:w="1090" w:type="dxa"/>
            <w:noWrap/>
            <w:hideMark/>
          </w:tcPr>
          <w:p w14:paraId="044F7A91" w14:textId="77777777" w:rsidR="009F01D8" w:rsidRPr="00D76748" w:rsidRDefault="009F01D8" w:rsidP="009F01D8">
            <w:pPr>
              <w:rPr>
                <w:rFonts w:asciiTheme="majorBidi" w:hAnsiTheme="majorBidi" w:cstheme="majorBidi"/>
              </w:rPr>
            </w:pPr>
            <w:r w:rsidRPr="00D76748">
              <w:rPr>
                <w:rFonts w:asciiTheme="majorBidi" w:hAnsiTheme="majorBidi" w:cstheme="majorBidi"/>
              </w:rPr>
              <w:t>40</w:t>
            </w:r>
          </w:p>
        </w:tc>
        <w:tc>
          <w:tcPr>
            <w:tcW w:w="6276" w:type="dxa"/>
            <w:noWrap/>
            <w:hideMark/>
          </w:tcPr>
          <w:p w14:paraId="781DC83E" w14:textId="77777777" w:rsidR="009F01D8" w:rsidRPr="00D76748" w:rsidRDefault="009F01D8" w:rsidP="009F01D8">
            <w:pPr>
              <w:rPr>
                <w:rFonts w:asciiTheme="majorBidi" w:hAnsiTheme="majorBidi" w:cstheme="majorBidi"/>
              </w:rPr>
            </w:pPr>
            <w:r w:rsidRPr="00D76748">
              <w:rPr>
                <w:rFonts w:asciiTheme="majorBidi" w:hAnsiTheme="majorBidi" w:cstheme="majorBidi"/>
              </w:rPr>
              <w:t>case control$.tw.</w:t>
            </w:r>
          </w:p>
        </w:tc>
        <w:tc>
          <w:tcPr>
            <w:tcW w:w="1650" w:type="dxa"/>
            <w:noWrap/>
            <w:hideMark/>
          </w:tcPr>
          <w:p w14:paraId="2997DBE0" w14:textId="77777777" w:rsidR="009F01D8" w:rsidRPr="00D76748" w:rsidRDefault="009F01D8" w:rsidP="009F01D8">
            <w:pPr>
              <w:rPr>
                <w:rFonts w:asciiTheme="majorBidi" w:hAnsiTheme="majorBidi" w:cstheme="majorBidi"/>
              </w:rPr>
            </w:pPr>
            <w:r w:rsidRPr="00D76748">
              <w:rPr>
                <w:rFonts w:asciiTheme="majorBidi" w:hAnsiTheme="majorBidi" w:cstheme="majorBidi"/>
              </w:rPr>
              <w:t>136201</w:t>
            </w:r>
          </w:p>
        </w:tc>
      </w:tr>
      <w:tr w:rsidR="009F01D8" w:rsidRPr="00D76748" w14:paraId="75203B78" w14:textId="77777777" w:rsidTr="009F01D8">
        <w:trPr>
          <w:trHeight w:val="321"/>
        </w:trPr>
        <w:tc>
          <w:tcPr>
            <w:tcW w:w="1090" w:type="dxa"/>
            <w:noWrap/>
            <w:hideMark/>
          </w:tcPr>
          <w:p w14:paraId="053D0A02" w14:textId="77777777" w:rsidR="009F01D8" w:rsidRPr="00D76748" w:rsidRDefault="009F01D8" w:rsidP="009F01D8">
            <w:pPr>
              <w:rPr>
                <w:rFonts w:asciiTheme="majorBidi" w:hAnsiTheme="majorBidi" w:cstheme="majorBidi"/>
              </w:rPr>
            </w:pPr>
            <w:r w:rsidRPr="00D76748">
              <w:rPr>
                <w:rFonts w:asciiTheme="majorBidi" w:hAnsiTheme="majorBidi" w:cstheme="majorBidi"/>
              </w:rPr>
              <w:t>41</w:t>
            </w:r>
          </w:p>
        </w:tc>
        <w:tc>
          <w:tcPr>
            <w:tcW w:w="6276" w:type="dxa"/>
            <w:noWrap/>
            <w:hideMark/>
          </w:tcPr>
          <w:p w14:paraId="11B58F2C" w14:textId="77777777" w:rsidR="009F01D8" w:rsidRPr="00D76748" w:rsidRDefault="009F01D8" w:rsidP="009F01D8">
            <w:pPr>
              <w:rPr>
                <w:rFonts w:asciiTheme="majorBidi" w:hAnsiTheme="majorBidi" w:cstheme="majorBidi"/>
              </w:rPr>
            </w:pPr>
            <w:r w:rsidRPr="00D76748">
              <w:rPr>
                <w:rFonts w:asciiTheme="majorBidi" w:hAnsiTheme="majorBidi" w:cstheme="majorBidi"/>
              </w:rPr>
              <w:t>case series.tw.</w:t>
            </w:r>
          </w:p>
        </w:tc>
        <w:tc>
          <w:tcPr>
            <w:tcW w:w="1650" w:type="dxa"/>
            <w:noWrap/>
            <w:hideMark/>
          </w:tcPr>
          <w:p w14:paraId="7D425768" w14:textId="77777777" w:rsidR="009F01D8" w:rsidRPr="00D76748" w:rsidRDefault="009F01D8" w:rsidP="009F01D8">
            <w:pPr>
              <w:rPr>
                <w:rFonts w:asciiTheme="majorBidi" w:hAnsiTheme="majorBidi" w:cstheme="majorBidi"/>
              </w:rPr>
            </w:pPr>
            <w:r w:rsidRPr="00D76748">
              <w:rPr>
                <w:rFonts w:asciiTheme="majorBidi" w:hAnsiTheme="majorBidi" w:cstheme="majorBidi"/>
              </w:rPr>
              <w:t>81917</w:t>
            </w:r>
          </w:p>
        </w:tc>
      </w:tr>
      <w:tr w:rsidR="009F01D8" w:rsidRPr="00D76748" w14:paraId="025D120F" w14:textId="77777777" w:rsidTr="009F01D8">
        <w:trPr>
          <w:trHeight w:val="321"/>
        </w:trPr>
        <w:tc>
          <w:tcPr>
            <w:tcW w:w="1090" w:type="dxa"/>
            <w:noWrap/>
            <w:hideMark/>
          </w:tcPr>
          <w:p w14:paraId="7096732F" w14:textId="77777777" w:rsidR="009F01D8" w:rsidRPr="00D76748" w:rsidRDefault="009F01D8" w:rsidP="009F01D8">
            <w:pPr>
              <w:rPr>
                <w:rFonts w:asciiTheme="majorBidi" w:hAnsiTheme="majorBidi" w:cstheme="majorBidi"/>
              </w:rPr>
            </w:pPr>
            <w:r w:rsidRPr="00D76748">
              <w:rPr>
                <w:rFonts w:asciiTheme="majorBidi" w:hAnsiTheme="majorBidi" w:cstheme="majorBidi"/>
              </w:rPr>
              <w:t>42</w:t>
            </w:r>
          </w:p>
        </w:tc>
        <w:tc>
          <w:tcPr>
            <w:tcW w:w="6276" w:type="dxa"/>
            <w:noWrap/>
            <w:hideMark/>
          </w:tcPr>
          <w:p w14:paraId="56CDD75F"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cohort</w:t>
            </w:r>
            <w:proofErr w:type="gramEnd"/>
            <w:r w:rsidRPr="00D76748">
              <w:rPr>
                <w:rFonts w:asciiTheme="majorBidi" w:hAnsiTheme="majorBidi" w:cstheme="majorBidi"/>
              </w:rPr>
              <w:t xml:space="preserve">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31CC36BF" w14:textId="77777777" w:rsidR="009F01D8" w:rsidRPr="00D76748" w:rsidRDefault="009F01D8" w:rsidP="009F01D8">
            <w:pPr>
              <w:rPr>
                <w:rFonts w:asciiTheme="majorBidi" w:hAnsiTheme="majorBidi" w:cstheme="majorBidi"/>
              </w:rPr>
            </w:pPr>
            <w:r w:rsidRPr="00D76748">
              <w:rPr>
                <w:rFonts w:asciiTheme="majorBidi" w:hAnsiTheme="majorBidi" w:cstheme="majorBidi"/>
              </w:rPr>
              <w:t>231371</w:t>
            </w:r>
          </w:p>
        </w:tc>
      </w:tr>
      <w:tr w:rsidR="009F01D8" w:rsidRPr="00D76748" w14:paraId="310506E3" w14:textId="77777777" w:rsidTr="009F01D8">
        <w:trPr>
          <w:trHeight w:val="321"/>
        </w:trPr>
        <w:tc>
          <w:tcPr>
            <w:tcW w:w="1090" w:type="dxa"/>
            <w:noWrap/>
            <w:hideMark/>
          </w:tcPr>
          <w:p w14:paraId="478A86AA" w14:textId="77777777" w:rsidR="009F01D8" w:rsidRPr="00D76748" w:rsidRDefault="009F01D8" w:rsidP="009F01D8">
            <w:pPr>
              <w:rPr>
                <w:rFonts w:asciiTheme="majorBidi" w:hAnsiTheme="majorBidi" w:cstheme="majorBidi"/>
              </w:rPr>
            </w:pPr>
            <w:r w:rsidRPr="00D76748">
              <w:rPr>
                <w:rFonts w:asciiTheme="majorBidi" w:hAnsiTheme="majorBidi" w:cstheme="majorBidi"/>
              </w:rPr>
              <w:t>43</w:t>
            </w:r>
          </w:p>
        </w:tc>
        <w:tc>
          <w:tcPr>
            <w:tcW w:w="6276" w:type="dxa"/>
            <w:noWrap/>
            <w:hideMark/>
          </w:tcPr>
          <w:p w14:paraId="285D10F6" w14:textId="77777777" w:rsidR="009F01D8" w:rsidRPr="00D76748" w:rsidRDefault="009F01D8" w:rsidP="009F01D8">
            <w:pPr>
              <w:rPr>
                <w:rFonts w:asciiTheme="majorBidi" w:hAnsiTheme="majorBidi" w:cstheme="majorBidi"/>
              </w:rPr>
            </w:pPr>
            <w:r w:rsidRPr="00D76748">
              <w:rPr>
                <w:rFonts w:asciiTheme="majorBidi" w:hAnsiTheme="majorBidi" w:cstheme="majorBidi"/>
              </w:rPr>
              <w:t>cohort analy$.tw.</w:t>
            </w:r>
          </w:p>
        </w:tc>
        <w:tc>
          <w:tcPr>
            <w:tcW w:w="1650" w:type="dxa"/>
            <w:noWrap/>
            <w:hideMark/>
          </w:tcPr>
          <w:p w14:paraId="156078BF" w14:textId="77777777" w:rsidR="009F01D8" w:rsidRPr="00D76748" w:rsidRDefault="009F01D8" w:rsidP="009F01D8">
            <w:pPr>
              <w:rPr>
                <w:rFonts w:asciiTheme="majorBidi" w:hAnsiTheme="majorBidi" w:cstheme="majorBidi"/>
              </w:rPr>
            </w:pPr>
            <w:r w:rsidRPr="00D76748">
              <w:rPr>
                <w:rFonts w:asciiTheme="majorBidi" w:hAnsiTheme="majorBidi" w:cstheme="majorBidi"/>
              </w:rPr>
              <w:t>8925</w:t>
            </w:r>
          </w:p>
        </w:tc>
      </w:tr>
      <w:tr w:rsidR="009F01D8" w:rsidRPr="00D76748" w14:paraId="50F19C21" w14:textId="77777777" w:rsidTr="009F01D8">
        <w:trPr>
          <w:trHeight w:val="321"/>
        </w:trPr>
        <w:tc>
          <w:tcPr>
            <w:tcW w:w="1090" w:type="dxa"/>
            <w:noWrap/>
            <w:hideMark/>
          </w:tcPr>
          <w:p w14:paraId="28E60197" w14:textId="77777777" w:rsidR="009F01D8" w:rsidRPr="00D76748" w:rsidRDefault="009F01D8" w:rsidP="009F01D8">
            <w:pPr>
              <w:rPr>
                <w:rFonts w:asciiTheme="majorBidi" w:hAnsiTheme="majorBidi" w:cstheme="majorBidi"/>
              </w:rPr>
            </w:pPr>
            <w:r w:rsidRPr="00D76748">
              <w:rPr>
                <w:rFonts w:asciiTheme="majorBidi" w:hAnsiTheme="majorBidi" w:cstheme="majorBidi"/>
              </w:rPr>
              <w:t>44</w:t>
            </w:r>
          </w:p>
        </w:tc>
        <w:tc>
          <w:tcPr>
            <w:tcW w:w="6276" w:type="dxa"/>
            <w:noWrap/>
            <w:hideMark/>
          </w:tcPr>
          <w:p w14:paraId="1AD7D081"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follow</w:t>
            </w:r>
            <w:proofErr w:type="gramEnd"/>
            <w:r w:rsidRPr="00D76748">
              <w:rPr>
                <w:rFonts w:asciiTheme="majorBidi" w:hAnsiTheme="majorBidi" w:cstheme="majorBidi"/>
              </w:rPr>
              <w:t xml:space="preserve"> up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6466A5C0" w14:textId="77777777" w:rsidR="009F01D8" w:rsidRPr="00D76748" w:rsidRDefault="009F01D8" w:rsidP="009F01D8">
            <w:pPr>
              <w:rPr>
                <w:rFonts w:asciiTheme="majorBidi" w:hAnsiTheme="majorBidi" w:cstheme="majorBidi"/>
              </w:rPr>
            </w:pPr>
            <w:r w:rsidRPr="00D76748">
              <w:rPr>
                <w:rFonts w:asciiTheme="majorBidi" w:hAnsiTheme="majorBidi" w:cstheme="majorBidi"/>
              </w:rPr>
              <w:t>50873</w:t>
            </w:r>
          </w:p>
        </w:tc>
      </w:tr>
      <w:tr w:rsidR="009F01D8" w:rsidRPr="00D76748" w14:paraId="69D9A9CC" w14:textId="77777777" w:rsidTr="009F01D8">
        <w:trPr>
          <w:trHeight w:val="321"/>
        </w:trPr>
        <w:tc>
          <w:tcPr>
            <w:tcW w:w="1090" w:type="dxa"/>
            <w:noWrap/>
            <w:hideMark/>
          </w:tcPr>
          <w:p w14:paraId="5FFF6E9C" w14:textId="77777777" w:rsidR="009F01D8" w:rsidRPr="00D76748" w:rsidRDefault="009F01D8" w:rsidP="009F01D8">
            <w:pPr>
              <w:rPr>
                <w:rFonts w:asciiTheme="majorBidi" w:hAnsiTheme="majorBidi" w:cstheme="majorBidi"/>
              </w:rPr>
            </w:pPr>
            <w:r w:rsidRPr="00D76748">
              <w:rPr>
                <w:rFonts w:asciiTheme="majorBidi" w:hAnsiTheme="majorBidi" w:cstheme="majorBidi"/>
              </w:rPr>
              <w:t>45</w:t>
            </w:r>
          </w:p>
        </w:tc>
        <w:tc>
          <w:tcPr>
            <w:tcW w:w="6276" w:type="dxa"/>
            <w:noWrap/>
            <w:hideMark/>
          </w:tcPr>
          <w:p w14:paraId="65434198"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observational</w:t>
            </w:r>
            <w:proofErr w:type="gramEnd"/>
            <w:r w:rsidRPr="00D76748">
              <w:rPr>
                <w:rFonts w:asciiTheme="majorBidi" w:hAnsiTheme="majorBidi" w:cstheme="majorBidi"/>
              </w:rPr>
              <w:t xml:space="preserve">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603845C6" w14:textId="77777777" w:rsidR="009F01D8" w:rsidRPr="00D76748" w:rsidRDefault="009F01D8" w:rsidP="009F01D8">
            <w:pPr>
              <w:rPr>
                <w:rFonts w:asciiTheme="majorBidi" w:hAnsiTheme="majorBidi" w:cstheme="majorBidi"/>
              </w:rPr>
            </w:pPr>
            <w:r w:rsidRPr="00D76748">
              <w:rPr>
                <w:rFonts w:asciiTheme="majorBidi" w:hAnsiTheme="majorBidi" w:cstheme="majorBidi"/>
              </w:rPr>
              <w:t>119734</w:t>
            </w:r>
          </w:p>
        </w:tc>
      </w:tr>
      <w:tr w:rsidR="009F01D8" w:rsidRPr="00D76748" w14:paraId="5D575841" w14:textId="77777777" w:rsidTr="009F01D8">
        <w:trPr>
          <w:trHeight w:val="321"/>
        </w:trPr>
        <w:tc>
          <w:tcPr>
            <w:tcW w:w="1090" w:type="dxa"/>
            <w:noWrap/>
            <w:hideMark/>
          </w:tcPr>
          <w:p w14:paraId="5E53F463" w14:textId="77777777" w:rsidR="009F01D8" w:rsidRPr="00D76748" w:rsidRDefault="009F01D8" w:rsidP="009F01D8">
            <w:pPr>
              <w:rPr>
                <w:rFonts w:asciiTheme="majorBidi" w:hAnsiTheme="majorBidi" w:cstheme="majorBidi"/>
              </w:rPr>
            </w:pPr>
            <w:r w:rsidRPr="00D76748">
              <w:rPr>
                <w:rFonts w:asciiTheme="majorBidi" w:hAnsiTheme="majorBidi" w:cstheme="majorBidi"/>
              </w:rPr>
              <w:t>46</w:t>
            </w:r>
          </w:p>
        </w:tc>
        <w:tc>
          <w:tcPr>
            <w:tcW w:w="6276" w:type="dxa"/>
            <w:noWrap/>
            <w:hideMark/>
          </w:tcPr>
          <w:p w14:paraId="55D36EC7" w14:textId="77777777" w:rsidR="009F01D8" w:rsidRPr="00D76748" w:rsidRDefault="009F01D8" w:rsidP="009F01D8">
            <w:pPr>
              <w:rPr>
                <w:rFonts w:asciiTheme="majorBidi" w:hAnsiTheme="majorBidi" w:cstheme="majorBidi"/>
              </w:rPr>
            </w:pPr>
            <w:r w:rsidRPr="00D76748">
              <w:rPr>
                <w:rFonts w:asciiTheme="majorBidi" w:hAnsiTheme="majorBidi" w:cstheme="majorBidi"/>
              </w:rPr>
              <w:t>longitudinal.tw.</w:t>
            </w:r>
          </w:p>
        </w:tc>
        <w:tc>
          <w:tcPr>
            <w:tcW w:w="1650" w:type="dxa"/>
            <w:noWrap/>
            <w:hideMark/>
          </w:tcPr>
          <w:p w14:paraId="2B4DA8F4" w14:textId="77777777" w:rsidR="009F01D8" w:rsidRPr="00D76748" w:rsidRDefault="009F01D8" w:rsidP="009F01D8">
            <w:pPr>
              <w:rPr>
                <w:rFonts w:asciiTheme="majorBidi" w:hAnsiTheme="majorBidi" w:cstheme="majorBidi"/>
              </w:rPr>
            </w:pPr>
            <w:r w:rsidRPr="00D76748">
              <w:rPr>
                <w:rFonts w:asciiTheme="majorBidi" w:hAnsiTheme="majorBidi" w:cstheme="majorBidi"/>
              </w:rPr>
              <w:t>263046</w:t>
            </w:r>
          </w:p>
        </w:tc>
      </w:tr>
      <w:tr w:rsidR="009F01D8" w:rsidRPr="00D76748" w14:paraId="08C4AED7" w14:textId="77777777" w:rsidTr="009F01D8">
        <w:trPr>
          <w:trHeight w:val="321"/>
        </w:trPr>
        <w:tc>
          <w:tcPr>
            <w:tcW w:w="1090" w:type="dxa"/>
            <w:noWrap/>
            <w:hideMark/>
          </w:tcPr>
          <w:p w14:paraId="7AE1979E" w14:textId="77777777" w:rsidR="009F01D8" w:rsidRPr="00D76748" w:rsidRDefault="009F01D8" w:rsidP="009F01D8">
            <w:pPr>
              <w:rPr>
                <w:rFonts w:asciiTheme="majorBidi" w:hAnsiTheme="majorBidi" w:cstheme="majorBidi"/>
              </w:rPr>
            </w:pPr>
            <w:r w:rsidRPr="00D76748">
              <w:rPr>
                <w:rFonts w:asciiTheme="majorBidi" w:hAnsiTheme="majorBidi" w:cstheme="majorBidi"/>
              </w:rPr>
              <w:t>47</w:t>
            </w:r>
          </w:p>
        </w:tc>
        <w:tc>
          <w:tcPr>
            <w:tcW w:w="6276" w:type="dxa"/>
            <w:noWrap/>
            <w:hideMark/>
          </w:tcPr>
          <w:p w14:paraId="3B8278B7" w14:textId="77777777" w:rsidR="009F01D8" w:rsidRPr="00D76748" w:rsidRDefault="009F01D8" w:rsidP="009F01D8">
            <w:pPr>
              <w:rPr>
                <w:rFonts w:asciiTheme="majorBidi" w:hAnsiTheme="majorBidi" w:cstheme="majorBidi"/>
              </w:rPr>
            </w:pPr>
            <w:r w:rsidRPr="00D76748">
              <w:rPr>
                <w:rFonts w:asciiTheme="majorBidi" w:hAnsiTheme="majorBidi" w:cstheme="majorBidi"/>
              </w:rPr>
              <w:t>prospective.tw.</w:t>
            </w:r>
          </w:p>
        </w:tc>
        <w:tc>
          <w:tcPr>
            <w:tcW w:w="1650" w:type="dxa"/>
            <w:noWrap/>
            <w:hideMark/>
          </w:tcPr>
          <w:p w14:paraId="175DE91D" w14:textId="77777777" w:rsidR="009F01D8" w:rsidRPr="00D76748" w:rsidRDefault="009F01D8" w:rsidP="009F01D8">
            <w:pPr>
              <w:rPr>
                <w:rFonts w:asciiTheme="majorBidi" w:hAnsiTheme="majorBidi" w:cstheme="majorBidi"/>
              </w:rPr>
            </w:pPr>
            <w:r w:rsidRPr="00D76748">
              <w:rPr>
                <w:rFonts w:asciiTheme="majorBidi" w:hAnsiTheme="majorBidi" w:cstheme="majorBidi"/>
              </w:rPr>
              <w:t>604957</w:t>
            </w:r>
          </w:p>
        </w:tc>
      </w:tr>
      <w:tr w:rsidR="009F01D8" w:rsidRPr="00D76748" w14:paraId="15C8A173" w14:textId="77777777" w:rsidTr="009F01D8">
        <w:trPr>
          <w:trHeight w:val="321"/>
        </w:trPr>
        <w:tc>
          <w:tcPr>
            <w:tcW w:w="1090" w:type="dxa"/>
            <w:noWrap/>
            <w:hideMark/>
          </w:tcPr>
          <w:p w14:paraId="7C743582" w14:textId="77777777" w:rsidR="009F01D8" w:rsidRPr="00D76748" w:rsidRDefault="009F01D8" w:rsidP="009F01D8">
            <w:pPr>
              <w:rPr>
                <w:rFonts w:asciiTheme="majorBidi" w:hAnsiTheme="majorBidi" w:cstheme="majorBidi"/>
              </w:rPr>
            </w:pPr>
            <w:r w:rsidRPr="00D76748">
              <w:rPr>
                <w:rFonts w:asciiTheme="majorBidi" w:hAnsiTheme="majorBidi" w:cstheme="majorBidi"/>
              </w:rPr>
              <w:t>48</w:t>
            </w:r>
          </w:p>
        </w:tc>
        <w:tc>
          <w:tcPr>
            <w:tcW w:w="6276" w:type="dxa"/>
            <w:noWrap/>
            <w:hideMark/>
          </w:tcPr>
          <w:p w14:paraId="1135C067" w14:textId="77777777" w:rsidR="009F01D8" w:rsidRPr="00D76748" w:rsidRDefault="009F01D8" w:rsidP="009F01D8">
            <w:pPr>
              <w:rPr>
                <w:rFonts w:asciiTheme="majorBidi" w:hAnsiTheme="majorBidi" w:cstheme="majorBidi"/>
              </w:rPr>
            </w:pPr>
            <w:r w:rsidRPr="00D76748">
              <w:rPr>
                <w:rFonts w:asciiTheme="majorBidi" w:hAnsiTheme="majorBidi" w:cstheme="majorBidi"/>
              </w:rPr>
              <w:t>retrospective.tw.</w:t>
            </w:r>
          </w:p>
        </w:tc>
        <w:tc>
          <w:tcPr>
            <w:tcW w:w="1650" w:type="dxa"/>
            <w:noWrap/>
            <w:hideMark/>
          </w:tcPr>
          <w:p w14:paraId="5622F2C7" w14:textId="77777777" w:rsidR="009F01D8" w:rsidRPr="00D76748" w:rsidRDefault="009F01D8" w:rsidP="009F01D8">
            <w:pPr>
              <w:rPr>
                <w:rFonts w:asciiTheme="majorBidi" w:hAnsiTheme="majorBidi" w:cstheme="majorBidi"/>
              </w:rPr>
            </w:pPr>
            <w:r w:rsidRPr="00D76748">
              <w:rPr>
                <w:rFonts w:asciiTheme="majorBidi" w:hAnsiTheme="majorBidi" w:cstheme="majorBidi"/>
              </w:rPr>
              <w:t>582233</w:t>
            </w:r>
          </w:p>
        </w:tc>
      </w:tr>
      <w:tr w:rsidR="009F01D8" w:rsidRPr="00D76748" w14:paraId="0B9D972D" w14:textId="77777777" w:rsidTr="009F01D8">
        <w:trPr>
          <w:trHeight w:val="321"/>
        </w:trPr>
        <w:tc>
          <w:tcPr>
            <w:tcW w:w="1090" w:type="dxa"/>
            <w:noWrap/>
            <w:hideMark/>
          </w:tcPr>
          <w:p w14:paraId="4CE6747F" w14:textId="77777777" w:rsidR="009F01D8" w:rsidRPr="00D76748" w:rsidRDefault="009F01D8" w:rsidP="009F01D8">
            <w:pPr>
              <w:rPr>
                <w:rFonts w:asciiTheme="majorBidi" w:hAnsiTheme="majorBidi" w:cstheme="majorBidi"/>
              </w:rPr>
            </w:pPr>
            <w:r w:rsidRPr="00D76748">
              <w:rPr>
                <w:rFonts w:asciiTheme="majorBidi" w:hAnsiTheme="majorBidi" w:cstheme="majorBidi"/>
              </w:rPr>
              <w:t>49</w:t>
            </w:r>
          </w:p>
        </w:tc>
        <w:tc>
          <w:tcPr>
            <w:tcW w:w="6276" w:type="dxa"/>
            <w:noWrap/>
            <w:hideMark/>
          </w:tcPr>
          <w:p w14:paraId="400FFD0F" w14:textId="77777777" w:rsidR="009F01D8" w:rsidRPr="00D76748" w:rsidRDefault="009F01D8" w:rsidP="009F01D8">
            <w:pPr>
              <w:rPr>
                <w:rFonts w:asciiTheme="majorBidi" w:hAnsiTheme="majorBidi" w:cstheme="majorBidi"/>
              </w:rPr>
            </w:pPr>
            <w:r w:rsidRPr="00D76748">
              <w:rPr>
                <w:rFonts w:asciiTheme="majorBidi" w:hAnsiTheme="majorBidi" w:cstheme="majorBidi"/>
              </w:rPr>
              <w:t>or/30-48</w:t>
            </w:r>
          </w:p>
        </w:tc>
        <w:tc>
          <w:tcPr>
            <w:tcW w:w="1650" w:type="dxa"/>
            <w:noWrap/>
            <w:hideMark/>
          </w:tcPr>
          <w:p w14:paraId="406C08E2" w14:textId="77777777" w:rsidR="009F01D8" w:rsidRPr="00D76748" w:rsidRDefault="009F01D8" w:rsidP="009F01D8">
            <w:pPr>
              <w:rPr>
                <w:rFonts w:asciiTheme="majorBidi" w:hAnsiTheme="majorBidi" w:cstheme="majorBidi"/>
              </w:rPr>
            </w:pPr>
            <w:r w:rsidRPr="00D76748">
              <w:rPr>
                <w:rFonts w:asciiTheme="majorBidi" w:hAnsiTheme="majorBidi" w:cstheme="majorBidi"/>
              </w:rPr>
              <w:t>4760829</w:t>
            </w:r>
          </w:p>
        </w:tc>
      </w:tr>
      <w:tr w:rsidR="009F01D8" w:rsidRPr="00D76748" w14:paraId="0E7B6B5C" w14:textId="77777777" w:rsidTr="009F01D8">
        <w:trPr>
          <w:trHeight w:val="321"/>
        </w:trPr>
        <w:tc>
          <w:tcPr>
            <w:tcW w:w="1090" w:type="dxa"/>
            <w:noWrap/>
            <w:hideMark/>
          </w:tcPr>
          <w:p w14:paraId="37BD615B" w14:textId="77777777" w:rsidR="009F01D8" w:rsidRPr="00D76748" w:rsidRDefault="009F01D8" w:rsidP="009F01D8">
            <w:pPr>
              <w:rPr>
                <w:rFonts w:asciiTheme="majorBidi" w:hAnsiTheme="majorBidi" w:cstheme="majorBidi"/>
              </w:rPr>
            </w:pPr>
            <w:r w:rsidRPr="00D76748">
              <w:rPr>
                <w:rFonts w:asciiTheme="majorBidi" w:hAnsiTheme="majorBidi" w:cstheme="majorBidi"/>
              </w:rPr>
              <w:t>50</w:t>
            </w:r>
          </w:p>
        </w:tc>
        <w:tc>
          <w:tcPr>
            <w:tcW w:w="6276" w:type="dxa"/>
            <w:noWrap/>
            <w:hideMark/>
          </w:tcPr>
          <w:p w14:paraId="774CA8E3"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11</w:t>
            </w:r>
          </w:p>
        </w:tc>
        <w:tc>
          <w:tcPr>
            <w:tcW w:w="1650" w:type="dxa"/>
            <w:noWrap/>
            <w:hideMark/>
          </w:tcPr>
          <w:p w14:paraId="52F7FB95"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r>
      <w:tr w:rsidR="009F01D8" w:rsidRPr="00D76748" w14:paraId="69148403" w14:textId="77777777" w:rsidTr="009F01D8">
        <w:trPr>
          <w:trHeight w:val="321"/>
        </w:trPr>
        <w:tc>
          <w:tcPr>
            <w:tcW w:w="1090" w:type="dxa"/>
            <w:noWrap/>
            <w:hideMark/>
          </w:tcPr>
          <w:p w14:paraId="2FD24EF0" w14:textId="77777777" w:rsidR="009F01D8" w:rsidRPr="00D76748" w:rsidRDefault="009F01D8" w:rsidP="009F01D8">
            <w:pPr>
              <w:rPr>
                <w:rFonts w:asciiTheme="majorBidi" w:hAnsiTheme="majorBidi" w:cstheme="majorBidi"/>
              </w:rPr>
            </w:pPr>
            <w:r w:rsidRPr="00D76748">
              <w:rPr>
                <w:rFonts w:asciiTheme="majorBidi" w:hAnsiTheme="majorBidi" w:cstheme="majorBidi"/>
              </w:rPr>
              <w:t>51</w:t>
            </w:r>
          </w:p>
        </w:tc>
        <w:tc>
          <w:tcPr>
            <w:tcW w:w="6276" w:type="dxa"/>
            <w:noWrap/>
            <w:hideMark/>
          </w:tcPr>
          <w:p w14:paraId="322B0E9A"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29</w:t>
            </w:r>
          </w:p>
        </w:tc>
        <w:tc>
          <w:tcPr>
            <w:tcW w:w="1650" w:type="dxa"/>
            <w:noWrap/>
            <w:hideMark/>
          </w:tcPr>
          <w:p w14:paraId="38DBF360" w14:textId="77777777" w:rsidR="009F01D8" w:rsidRPr="00D76748" w:rsidRDefault="009F01D8" w:rsidP="009F01D8">
            <w:pPr>
              <w:rPr>
                <w:rFonts w:asciiTheme="majorBidi" w:hAnsiTheme="majorBidi" w:cstheme="majorBidi"/>
              </w:rPr>
            </w:pPr>
            <w:r w:rsidRPr="00D76748">
              <w:rPr>
                <w:rFonts w:asciiTheme="majorBidi" w:hAnsiTheme="majorBidi" w:cstheme="majorBidi"/>
              </w:rPr>
              <w:t>80</w:t>
            </w:r>
          </w:p>
        </w:tc>
      </w:tr>
      <w:tr w:rsidR="009F01D8" w:rsidRPr="00D76748" w14:paraId="3FF5D594" w14:textId="77777777" w:rsidTr="009F01D8">
        <w:trPr>
          <w:trHeight w:val="321"/>
        </w:trPr>
        <w:tc>
          <w:tcPr>
            <w:tcW w:w="1090" w:type="dxa"/>
            <w:noWrap/>
            <w:hideMark/>
          </w:tcPr>
          <w:p w14:paraId="531954A2" w14:textId="77777777" w:rsidR="009F01D8" w:rsidRPr="00D76748" w:rsidRDefault="009F01D8" w:rsidP="009F01D8">
            <w:pPr>
              <w:rPr>
                <w:rFonts w:asciiTheme="majorBidi" w:hAnsiTheme="majorBidi" w:cstheme="majorBidi"/>
              </w:rPr>
            </w:pPr>
            <w:r w:rsidRPr="00D76748">
              <w:rPr>
                <w:rFonts w:asciiTheme="majorBidi" w:hAnsiTheme="majorBidi" w:cstheme="majorBidi"/>
              </w:rPr>
              <w:t>52</w:t>
            </w:r>
          </w:p>
        </w:tc>
        <w:tc>
          <w:tcPr>
            <w:tcW w:w="6276" w:type="dxa"/>
            <w:noWrap/>
            <w:hideMark/>
          </w:tcPr>
          <w:p w14:paraId="0DD0BA20"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49</w:t>
            </w:r>
          </w:p>
        </w:tc>
        <w:tc>
          <w:tcPr>
            <w:tcW w:w="1650" w:type="dxa"/>
            <w:noWrap/>
            <w:hideMark/>
          </w:tcPr>
          <w:p w14:paraId="1B8106FD" w14:textId="77777777" w:rsidR="009F01D8" w:rsidRPr="00D76748" w:rsidRDefault="009F01D8" w:rsidP="009F01D8">
            <w:pPr>
              <w:rPr>
                <w:rFonts w:asciiTheme="majorBidi" w:hAnsiTheme="majorBidi" w:cstheme="majorBidi"/>
              </w:rPr>
            </w:pPr>
            <w:r w:rsidRPr="00D76748">
              <w:rPr>
                <w:rFonts w:asciiTheme="majorBidi" w:hAnsiTheme="majorBidi" w:cstheme="majorBidi"/>
              </w:rPr>
              <w:t>311</w:t>
            </w:r>
          </w:p>
        </w:tc>
      </w:tr>
    </w:tbl>
    <w:p w14:paraId="550F550C" w14:textId="77777777" w:rsidR="009F01D8" w:rsidRPr="00F63CD5" w:rsidRDefault="009F01D8" w:rsidP="009F01D8"/>
    <w:p w14:paraId="6F0E14BB" w14:textId="77777777" w:rsidR="00D76748" w:rsidRDefault="00D76748" w:rsidP="009F01D8">
      <w:pPr>
        <w:spacing w:after="0"/>
        <w:rPr>
          <w:rFonts w:asciiTheme="majorBidi" w:eastAsia="Times New Roman" w:hAnsiTheme="majorBidi" w:cstheme="majorBidi"/>
          <w:b/>
          <w:bCs/>
          <w:color w:val="000000"/>
          <w:lang w:eastAsia="en-GB"/>
        </w:rPr>
      </w:pPr>
    </w:p>
    <w:p w14:paraId="483E95BC" w14:textId="2E1176FA" w:rsidR="009F01D8" w:rsidRPr="00F63CD5" w:rsidRDefault="009F01D8" w:rsidP="009F01D8">
      <w:pPr>
        <w:spacing w:after="0"/>
        <w:rPr>
          <w:rFonts w:eastAsia="Times New Roman"/>
          <w:b/>
          <w:bCs/>
          <w:color w:val="000000"/>
          <w:lang w:eastAsia="en-GB"/>
        </w:rPr>
      </w:pPr>
      <w:r w:rsidRPr="00D76748">
        <w:rPr>
          <w:rFonts w:asciiTheme="majorBidi" w:eastAsia="Times New Roman" w:hAnsiTheme="majorBidi" w:cstheme="majorBidi"/>
          <w:b/>
          <w:bCs/>
          <w:color w:val="000000"/>
          <w:lang w:eastAsia="en-GB"/>
        </w:rPr>
        <w:lastRenderedPageBreak/>
        <w:t xml:space="preserve">Embase 1974 to 2021 April 06 </w:t>
      </w:r>
      <w:r w:rsidRPr="00D76748">
        <w:rPr>
          <w:rFonts w:asciiTheme="majorBidi" w:hAnsiTheme="majorBidi" w:cstheme="majorBidi"/>
          <w:b/>
        </w:rPr>
        <w:t>(searched via the Ovid SP platform</w:t>
      </w:r>
      <w:r w:rsidRPr="00F63CD5">
        <w:rPr>
          <w:b/>
        </w:rPr>
        <w:t>)</w:t>
      </w:r>
    </w:p>
    <w:p w14:paraId="2403281D" w14:textId="77777777" w:rsidR="009F01D8" w:rsidRPr="00D76748" w:rsidRDefault="009F01D8" w:rsidP="009F01D8">
      <w:pPr>
        <w:spacing w:after="0"/>
        <w:rPr>
          <w:rFonts w:asciiTheme="majorBidi" w:eastAsia="Times New Roman" w:hAnsiTheme="majorBidi" w:cstheme="majorBidi"/>
          <w:bCs/>
          <w:color w:val="000000"/>
          <w:lang w:eastAsia="en-GB"/>
        </w:rPr>
      </w:pPr>
      <w:r w:rsidRPr="00D76748">
        <w:rPr>
          <w:rFonts w:asciiTheme="majorBidi" w:eastAsia="Times New Roman" w:hAnsiTheme="majorBidi" w:cstheme="majorBidi"/>
          <w:bCs/>
          <w:color w:val="000000"/>
          <w:lang w:eastAsia="en-GB"/>
        </w:rPr>
        <w:t>7</w:t>
      </w:r>
      <w:r w:rsidRPr="00D76748">
        <w:rPr>
          <w:rFonts w:asciiTheme="majorBidi" w:eastAsia="Times New Roman" w:hAnsiTheme="majorBidi" w:cstheme="majorBidi"/>
          <w:bCs/>
          <w:color w:val="000000"/>
          <w:vertAlign w:val="superscript"/>
          <w:lang w:eastAsia="en-GB"/>
        </w:rPr>
        <w:t>th</w:t>
      </w:r>
      <w:r w:rsidRPr="00D76748">
        <w:rPr>
          <w:rFonts w:asciiTheme="majorBidi" w:eastAsia="Times New Roman" w:hAnsiTheme="majorBidi" w:cstheme="majorBidi"/>
          <w:bCs/>
          <w:color w:val="000000"/>
          <w:lang w:eastAsia="en-GB"/>
        </w:rPr>
        <w:t xml:space="preserve"> April 2021</w:t>
      </w:r>
    </w:p>
    <w:p w14:paraId="282699B5" w14:textId="77777777" w:rsidR="009F01D8" w:rsidRPr="00F63CD5" w:rsidRDefault="009F01D8" w:rsidP="009F01D8">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090"/>
        <w:gridCol w:w="6276"/>
        <w:gridCol w:w="1650"/>
      </w:tblGrid>
      <w:tr w:rsidR="009F01D8" w:rsidRPr="00D76748" w14:paraId="2F032A10" w14:textId="77777777" w:rsidTr="009F01D8">
        <w:trPr>
          <w:trHeight w:val="288"/>
        </w:trPr>
        <w:tc>
          <w:tcPr>
            <w:tcW w:w="1090" w:type="dxa"/>
            <w:hideMark/>
          </w:tcPr>
          <w:p w14:paraId="6BE37EEE"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w:t>
            </w:r>
          </w:p>
        </w:tc>
        <w:tc>
          <w:tcPr>
            <w:tcW w:w="6276" w:type="dxa"/>
            <w:hideMark/>
          </w:tcPr>
          <w:p w14:paraId="118969EC"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Searches</w:t>
            </w:r>
          </w:p>
        </w:tc>
        <w:tc>
          <w:tcPr>
            <w:tcW w:w="1650" w:type="dxa"/>
            <w:hideMark/>
          </w:tcPr>
          <w:p w14:paraId="5FB14724" w14:textId="77777777" w:rsidR="009F01D8" w:rsidRPr="00D76748" w:rsidRDefault="009F01D8" w:rsidP="009F01D8">
            <w:pPr>
              <w:rPr>
                <w:rFonts w:asciiTheme="majorBidi" w:hAnsiTheme="majorBidi" w:cstheme="majorBidi"/>
                <w:b/>
                <w:bCs/>
              </w:rPr>
            </w:pPr>
            <w:r w:rsidRPr="00D76748">
              <w:rPr>
                <w:rFonts w:asciiTheme="majorBidi" w:hAnsiTheme="majorBidi" w:cstheme="majorBidi"/>
                <w:b/>
                <w:bCs/>
              </w:rPr>
              <w:t>Results</w:t>
            </w:r>
          </w:p>
        </w:tc>
      </w:tr>
      <w:tr w:rsidR="009F01D8" w:rsidRPr="00D76748" w14:paraId="1135DDDB" w14:textId="77777777" w:rsidTr="009F01D8">
        <w:trPr>
          <w:trHeight w:val="288"/>
        </w:trPr>
        <w:tc>
          <w:tcPr>
            <w:tcW w:w="1090" w:type="dxa"/>
            <w:noWrap/>
            <w:hideMark/>
          </w:tcPr>
          <w:p w14:paraId="27717690" w14:textId="77777777" w:rsidR="009F01D8" w:rsidRPr="00D76748" w:rsidRDefault="009F01D8" w:rsidP="009F01D8">
            <w:pPr>
              <w:rPr>
                <w:rFonts w:asciiTheme="majorBidi" w:hAnsiTheme="majorBidi" w:cstheme="majorBidi"/>
              </w:rPr>
            </w:pPr>
            <w:r w:rsidRPr="00D76748">
              <w:rPr>
                <w:rFonts w:asciiTheme="majorBidi" w:hAnsiTheme="majorBidi" w:cstheme="majorBidi"/>
              </w:rPr>
              <w:t>1</w:t>
            </w:r>
          </w:p>
        </w:tc>
        <w:tc>
          <w:tcPr>
            <w:tcW w:w="6276" w:type="dxa"/>
            <w:noWrap/>
            <w:hideMark/>
          </w:tcPr>
          <w:p w14:paraId="46DE487B"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oxa</w:t>
            </w:r>
            <w:proofErr w:type="gramEnd"/>
            <w:r w:rsidRPr="00D76748">
              <w:rPr>
                <w:rFonts w:asciiTheme="majorBidi" w:hAnsiTheme="majorBidi" w:cstheme="majorBidi"/>
              </w:rPr>
              <w:t>-48 or "</w:t>
            </w:r>
            <w:proofErr w:type="spellStart"/>
            <w:r w:rsidRPr="00D76748">
              <w:rPr>
                <w:rFonts w:asciiTheme="majorBidi" w:hAnsiTheme="majorBidi" w:cstheme="majorBidi"/>
              </w:rPr>
              <w:t>oxa</w:t>
            </w:r>
            <w:proofErr w:type="spellEnd"/>
            <w:r w:rsidRPr="00D76748">
              <w:rPr>
                <w:rFonts w:asciiTheme="majorBidi" w:hAnsiTheme="majorBidi" w:cstheme="majorBidi"/>
              </w:rPr>
              <w:t xml:space="preserve"> 48" or oxacillinase-48 or "oxacillinase 48").</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588F6C2D" w14:textId="77777777" w:rsidR="009F01D8" w:rsidRPr="00D76748" w:rsidRDefault="009F01D8" w:rsidP="009F01D8">
            <w:pPr>
              <w:rPr>
                <w:rFonts w:asciiTheme="majorBidi" w:hAnsiTheme="majorBidi" w:cstheme="majorBidi"/>
              </w:rPr>
            </w:pPr>
            <w:r w:rsidRPr="00D76748">
              <w:rPr>
                <w:rFonts w:asciiTheme="majorBidi" w:hAnsiTheme="majorBidi" w:cstheme="majorBidi"/>
              </w:rPr>
              <w:t>1483</w:t>
            </w:r>
          </w:p>
        </w:tc>
      </w:tr>
      <w:tr w:rsidR="009F01D8" w:rsidRPr="00D76748" w14:paraId="4AB2607C" w14:textId="77777777" w:rsidTr="009F01D8">
        <w:trPr>
          <w:trHeight w:val="288"/>
        </w:trPr>
        <w:tc>
          <w:tcPr>
            <w:tcW w:w="1090" w:type="dxa"/>
            <w:noWrap/>
            <w:hideMark/>
          </w:tcPr>
          <w:p w14:paraId="5A8CD66D" w14:textId="77777777" w:rsidR="009F01D8" w:rsidRPr="00D76748" w:rsidRDefault="009F01D8" w:rsidP="009F01D8">
            <w:pPr>
              <w:rPr>
                <w:rFonts w:asciiTheme="majorBidi" w:hAnsiTheme="majorBidi" w:cstheme="majorBidi"/>
              </w:rPr>
            </w:pPr>
            <w:r w:rsidRPr="00D76748">
              <w:rPr>
                <w:rFonts w:asciiTheme="majorBidi" w:hAnsiTheme="majorBidi" w:cstheme="majorBidi"/>
              </w:rPr>
              <w:t>2</w:t>
            </w:r>
          </w:p>
        </w:tc>
        <w:tc>
          <w:tcPr>
            <w:tcW w:w="6276" w:type="dxa"/>
            <w:noWrap/>
            <w:hideMark/>
          </w:tcPr>
          <w:p w14:paraId="680AF274"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(("new </w:t>
            </w:r>
            <w:proofErr w:type="spellStart"/>
            <w:r w:rsidRPr="00D76748">
              <w:rPr>
                <w:rFonts w:asciiTheme="majorBidi" w:hAnsiTheme="majorBidi" w:cstheme="majorBidi"/>
              </w:rPr>
              <w:t>delhi</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ndm</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verona</w:t>
            </w:r>
            <w:proofErr w:type="spellEnd"/>
            <w:r w:rsidRPr="00D76748">
              <w:rPr>
                <w:rFonts w:asciiTheme="majorBidi" w:hAnsiTheme="majorBidi" w:cstheme="majorBidi"/>
              </w:rPr>
              <w:t xml:space="preserve"> integrated-encoded" or vim or </w:t>
            </w:r>
            <w:proofErr w:type="spellStart"/>
            <w:r w:rsidRPr="00D76748">
              <w:rPr>
                <w:rFonts w:asciiTheme="majorBidi" w:hAnsiTheme="majorBidi" w:cstheme="majorBidi"/>
              </w:rPr>
              <w:t>imipenemase</w:t>
            </w:r>
            <w:proofErr w:type="spellEnd"/>
            <w:r w:rsidRPr="00D76748">
              <w:rPr>
                <w:rFonts w:asciiTheme="majorBidi" w:hAnsiTheme="majorBidi" w:cstheme="majorBidi"/>
              </w:rPr>
              <w:t xml:space="preserve"> or imp) and (</w:t>
            </w:r>
            <w:proofErr w:type="spellStart"/>
            <w:r w:rsidRPr="00D76748">
              <w:rPr>
                <w:rFonts w:asciiTheme="majorBidi" w:hAnsiTheme="majorBidi" w:cstheme="majorBidi"/>
              </w:rPr>
              <w:t>mbl</w:t>
            </w:r>
            <w:proofErr w:type="spellEnd"/>
            <w:r w:rsidRPr="00D76748">
              <w:rPr>
                <w:rFonts w:asciiTheme="majorBidi" w:hAnsiTheme="majorBidi" w:cstheme="majorBidi"/>
              </w:rPr>
              <w:t xml:space="preserve"> or "metallo-beta-lactamase" or "</w:t>
            </w:r>
            <w:proofErr w:type="spellStart"/>
            <w:r w:rsidRPr="00D76748">
              <w:rPr>
                <w:rFonts w:asciiTheme="majorBidi" w:hAnsiTheme="majorBidi" w:cstheme="majorBidi"/>
              </w:rPr>
              <w:t>metallo</w:t>
            </w:r>
            <w:proofErr w:type="spellEnd"/>
            <w:r w:rsidRPr="00D76748">
              <w:rPr>
                <w:rFonts w:asciiTheme="majorBidi" w:hAnsiTheme="majorBidi" w:cstheme="majorBidi"/>
              </w:rPr>
              <w:t xml:space="preserve"> beta lactamase")).</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7044AB3" w14:textId="77777777" w:rsidR="009F01D8" w:rsidRPr="00D76748" w:rsidRDefault="009F01D8" w:rsidP="009F01D8">
            <w:pPr>
              <w:rPr>
                <w:rFonts w:asciiTheme="majorBidi" w:hAnsiTheme="majorBidi" w:cstheme="majorBidi"/>
              </w:rPr>
            </w:pPr>
            <w:r w:rsidRPr="00D76748">
              <w:rPr>
                <w:rFonts w:asciiTheme="majorBidi" w:hAnsiTheme="majorBidi" w:cstheme="majorBidi"/>
              </w:rPr>
              <w:t>2156</w:t>
            </w:r>
          </w:p>
        </w:tc>
      </w:tr>
      <w:tr w:rsidR="009F01D8" w:rsidRPr="00D76748" w14:paraId="076D8289" w14:textId="77777777" w:rsidTr="009F01D8">
        <w:trPr>
          <w:trHeight w:val="288"/>
        </w:trPr>
        <w:tc>
          <w:tcPr>
            <w:tcW w:w="1090" w:type="dxa"/>
            <w:noWrap/>
            <w:hideMark/>
          </w:tcPr>
          <w:p w14:paraId="382C5C60" w14:textId="77777777" w:rsidR="009F01D8" w:rsidRPr="00D76748" w:rsidRDefault="009F01D8" w:rsidP="009F01D8">
            <w:pPr>
              <w:rPr>
                <w:rFonts w:asciiTheme="majorBidi" w:hAnsiTheme="majorBidi" w:cstheme="majorBidi"/>
              </w:rPr>
            </w:pPr>
            <w:r w:rsidRPr="00D76748">
              <w:rPr>
                <w:rFonts w:asciiTheme="majorBidi" w:hAnsiTheme="majorBidi" w:cstheme="majorBidi"/>
              </w:rPr>
              <w:t>3</w:t>
            </w:r>
          </w:p>
        </w:tc>
        <w:tc>
          <w:tcPr>
            <w:tcW w:w="6276" w:type="dxa"/>
            <w:noWrap/>
            <w:hideMark/>
          </w:tcPr>
          <w:p w14:paraId="18E094DC" w14:textId="77777777" w:rsidR="009F01D8" w:rsidRPr="00D76748" w:rsidRDefault="009F01D8" w:rsidP="009F01D8">
            <w:pPr>
              <w:rPr>
                <w:rFonts w:asciiTheme="majorBidi" w:hAnsiTheme="majorBidi" w:cstheme="majorBidi"/>
              </w:rPr>
            </w:pPr>
            <w:r w:rsidRPr="00D76748">
              <w:rPr>
                <w:rFonts w:asciiTheme="majorBidi" w:hAnsiTheme="majorBidi" w:cstheme="majorBidi"/>
              </w:rPr>
              <w:t>1 or 2</w:t>
            </w:r>
          </w:p>
        </w:tc>
        <w:tc>
          <w:tcPr>
            <w:tcW w:w="1650" w:type="dxa"/>
            <w:noWrap/>
            <w:hideMark/>
          </w:tcPr>
          <w:p w14:paraId="7ABB886C" w14:textId="77777777" w:rsidR="009F01D8" w:rsidRPr="00D76748" w:rsidRDefault="009F01D8" w:rsidP="009F01D8">
            <w:pPr>
              <w:rPr>
                <w:rFonts w:asciiTheme="majorBidi" w:hAnsiTheme="majorBidi" w:cstheme="majorBidi"/>
              </w:rPr>
            </w:pPr>
            <w:r w:rsidRPr="00D76748">
              <w:rPr>
                <w:rFonts w:asciiTheme="majorBidi" w:hAnsiTheme="majorBidi" w:cstheme="majorBidi"/>
              </w:rPr>
              <w:t>3502</w:t>
            </w:r>
          </w:p>
        </w:tc>
      </w:tr>
      <w:tr w:rsidR="009F01D8" w:rsidRPr="00D76748" w14:paraId="35704930" w14:textId="77777777" w:rsidTr="009F01D8">
        <w:trPr>
          <w:trHeight w:val="288"/>
        </w:trPr>
        <w:tc>
          <w:tcPr>
            <w:tcW w:w="1090" w:type="dxa"/>
            <w:noWrap/>
            <w:hideMark/>
          </w:tcPr>
          <w:p w14:paraId="0F357972" w14:textId="77777777" w:rsidR="009F01D8" w:rsidRPr="00D76748" w:rsidRDefault="009F01D8" w:rsidP="009F01D8">
            <w:pPr>
              <w:rPr>
                <w:rFonts w:asciiTheme="majorBidi" w:hAnsiTheme="majorBidi" w:cstheme="majorBidi"/>
              </w:rPr>
            </w:pPr>
            <w:r w:rsidRPr="00D76748">
              <w:rPr>
                <w:rFonts w:asciiTheme="majorBidi" w:hAnsiTheme="majorBidi" w:cstheme="majorBidi"/>
              </w:rPr>
              <w:t>4</w:t>
            </w:r>
          </w:p>
        </w:tc>
        <w:tc>
          <w:tcPr>
            <w:tcW w:w="6276" w:type="dxa"/>
            <w:noWrap/>
            <w:hideMark/>
          </w:tcPr>
          <w:p w14:paraId="1180BC52" w14:textId="77777777" w:rsidR="009F01D8" w:rsidRPr="00D76748" w:rsidRDefault="009F01D8" w:rsidP="009F01D8">
            <w:pPr>
              <w:rPr>
                <w:rFonts w:asciiTheme="majorBidi" w:hAnsiTheme="majorBidi" w:cstheme="majorBidi"/>
              </w:rPr>
            </w:pPr>
            <w:r w:rsidRPr="00D76748">
              <w:rPr>
                <w:rFonts w:asciiTheme="majorBidi" w:hAnsiTheme="majorBidi" w:cstheme="majorBidi"/>
              </w:rPr>
              <w:t>Enterobacteriaceae/</w:t>
            </w:r>
          </w:p>
        </w:tc>
        <w:tc>
          <w:tcPr>
            <w:tcW w:w="1650" w:type="dxa"/>
            <w:noWrap/>
            <w:hideMark/>
          </w:tcPr>
          <w:p w14:paraId="12C54838" w14:textId="77777777" w:rsidR="009F01D8" w:rsidRPr="00D76748" w:rsidRDefault="009F01D8" w:rsidP="009F01D8">
            <w:pPr>
              <w:rPr>
                <w:rFonts w:asciiTheme="majorBidi" w:hAnsiTheme="majorBidi" w:cstheme="majorBidi"/>
              </w:rPr>
            </w:pPr>
            <w:r w:rsidRPr="00D76748">
              <w:rPr>
                <w:rFonts w:asciiTheme="majorBidi" w:hAnsiTheme="majorBidi" w:cstheme="majorBidi"/>
              </w:rPr>
              <w:t>24817</w:t>
            </w:r>
          </w:p>
        </w:tc>
      </w:tr>
      <w:tr w:rsidR="009F01D8" w:rsidRPr="00D76748" w14:paraId="3A6F1045" w14:textId="77777777" w:rsidTr="009F01D8">
        <w:trPr>
          <w:trHeight w:val="288"/>
        </w:trPr>
        <w:tc>
          <w:tcPr>
            <w:tcW w:w="1090" w:type="dxa"/>
            <w:noWrap/>
            <w:hideMark/>
          </w:tcPr>
          <w:p w14:paraId="2FB47CCC" w14:textId="77777777" w:rsidR="009F01D8" w:rsidRPr="00D76748" w:rsidRDefault="009F01D8" w:rsidP="009F01D8">
            <w:pPr>
              <w:rPr>
                <w:rFonts w:asciiTheme="majorBidi" w:hAnsiTheme="majorBidi" w:cstheme="majorBidi"/>
              </w:rPr>
            </w:pPr>
            <w:r w:rsidRPr="00D76748">
              <w:rPr>
                <w:rFonts w:asciiTheme="majorBidi" w:hAnsiTheme="majorBidi" w:cstheme="majorBidi"/>
              </w:rPr>
              <w:t>5</w:t>
            </w:r>
          </w:p>
        </w:tc>
        <w:tc>
          <w:tcPr>
            <w:tcW w:w="6276" w:type="dxa"/>
            <w:noWrap/>
            <w:hideMark/>
          </w:tcPr>
          <w:p w14:paraId="3A246717" w14:textId="77777777" w:rsidR="009F01D8" w:rsidRPr="00D76748" w:rsidRDefault="009F01D8" w:rsidP="009F01D8">
            <w:pPr>
              <w:rPr>
                <w:rFonts w:asciiTheme="majorBidi" w:hAnsiTheme="majorBidi" w:cstheme="majorBidi"/>
              </w:rPr>
            </w:pPr>
            <w:r w:rsidRPr="00D76748">
              <w:rPr>
                <w:rFonts w:asciiTheme="majorBidi" w:hAnsiTheme="majorBidi" w:cstheme="majorBidi"/>
              </w:rPr>
              <w:t>Escherichia coli/</w:t>
            </w:r>
          </w:p>
        </w:tc>
        <w:tc>
          <w:tcPr>
            <w:tcW w:w="1650" w:type="dxa"/>
            <w:noWrap/>
            <w:hideMark/>
          </w:tcPr>
          <w:p w14:paraId="2193B40D" w14:textId="77777777" w:rsidR="009F01D8" w:rsidRPr="00D76748" w:rsidRDefault="009F01D8" w:rsidP="009F01D8">
            <w:pPr>
              <w:rPr>
                <w:rFonts w:asciiTheme="majorBidi" w:hAnsiTheme="majorBidi" w:cstheme="majorBidi"/>
              </w:rPr>
            </w:pPr>
            <w:r w:rsidRPr="00D76748">
              <w:rPr>
                <w:rFonts w:asciiTheme="majorBidi" w:hAnsiTheme="majorBidi" w:cstheme="majorBidi"/>
              </w:rPr>
              <w:t>355829</w:t>
            </w:r>
          </w:p>
        </w:tc>
      </w:tr>
      <w:tr w:rsidR="009F01D8" w:rsidRPr="00D76748" w14:paraId="42DA4C39" w14:textId="77777777" w:rsidTr="009F01D8">
        <w:trPr>
          <w:trHeight w:val="288"/>
        </w:trPr>
        <w:tc>
          <w:tcPr>
            <w:tcW w:w="1090" w:type="dxa"/>
            <w:noWrap/>
            <w:hideMark/>
          </w:tcPr>
          <w:p w14:paraId="51CFEDB9" w14:textId="77777777" w:rsidR="009F01D8" w:rsidRPr="00D76748" w:rsidRDefault="009F01D8" w:rsidP="009F01D8">
            <w:pPr>
              <w:rPr>
                <w:rFonts w:asciiTheme="majorBidi" w:hAnsiTheme="majorBidi" w:cstheme="majorBidi"/>
              </w:rPr>
            </w:pPr>
            <w:r w:rsidRPr="00D76748">
              <w:rPr>
                <w:rFonts w:asciiTheme="majorBidi" w:hAnsiTheme="majorBidi" w:cstheme="majorBidi"/>
              </w:rPr>
              <w:t>6</w:t>
            </w:r>
          </w:p>
        </w:tc>
        <w:tc>
          <w:tcPr>
            <w:tcW w:w="6276" w:type="dxa"/>
            <w:noWrap/>
            <w:hideMark/>
          </w:tcPr>
          <w:p w14:paraId="30DFB710" w14:textId="77777777" w:rsidR="009F01D8" w:rsidRPr="00D76748" w:rsidRDefault="009F01D8" w:rsidP="009F01D8">
            <w:pPr>
              <w:rPr>
                <w:rFonts w:asciiTheme="majorBidi" w:hAnsiTheme="majorBidi" w:cstheme="majorBidi"/>
              </w:rPr>
            </w:pPr>
            <w:r w:rsidRPr="00D76748">
              <w:rPr>
                <w:rFonts w:asciiTheme="majorBidi" w:hAnsiTheme="majorBidi" w:cstheme="majorBidi"/>
              </w:rPr>
              <w:t>Klebsiella pneumoniae/</w:t>
            </w:r>
          </w:p>
        </w:tc>
        <w:tc>
          <w:tcPr>
            <w:tcW w:w="1650" w:type="dxa"/>
            <w:noWrap/>
            <w:hideMark/>
          </w:tcPr>
          <w:p w14:paraId="117EA706" w14:textId="77777777" w:rsidR="009F01D8" w:rsidRPr="00D76748" w:rsidRDefault="009F01D8" w:rsidP="009F01D8">
            <w:pPr>
              <w:rPr>
                <w:rFonts w:asciiTheme="majorBidi" w:hAnsiTheme="majorBidi" w:cstheme="majorBidi"/>
              </w:rPr>
            </w:pPr>
            <w:r w:rsidRPr="00D76748">
              <w:rPr>
                <w:rFonts w:asciiTheme="majorBidi" w:hAnsiTheme="majorBidi" w:cstheme="majorBidi"/>
              </w:rPr>
              <w:t>44139</w:t>
            </w:r>
          </w:p>
        </w:tc>
      </w:tr>
      <w:tr w:rsidR="009F01D8" w:rsidRPr="00D76748" w14:paraId="4C9AEC32" w14:textId="77777777" w:rsidTr="009F01D8">
        <w:trPr>
          <w:trHeight w:val="288"/>
        </w:trPr>
        <w:tc>
          <w:tcPr>
            <w:tcW w:w="1090" w:type="dxa"/>
            <w:noWrap/>
            <w:hideMark/>
          </w:tcPr>
          <w:p w14:paraId="4BAB05A4" w14:textId="77777777" w:rsidR="009F01D8" w:rsidRPr="00D76748" w:rsidRDefault="009F01D8" w:rsidP="009F01D8">
            <w:pPr>
              <w:rPr>
                <w:rFonts w:asciiTheme="majorBidi" w:hAnsiTheme="majorBidi" w:cstheme="majorBidi"/>
              </w:rPr>
            </w:pPr>
            <w:r w:rsidRPr="00D76748">
              <w:rPr>
                <w:rFonts w:asciiTheme="majorBidi" w:hAnsiTheme="majorBidi" w:cstheme="majorBidi"/>
              </w:rPr>
              <w:t>7</w:t>
            </w:r>
          </w:p>
        </w:tc>
        <w:tc>
          <w:tcPr>
            <w:tcW w:w="6276" w:type="dxa"/>
            <w:noWrap/>
            <w:hideMark/>
          </w:tcPr>
          <w:p w14:paraId="7B0443BC" w14:textId="77777777" w:rsidR="009F01D8" w:rsidRPr="00D76748" w:rsidRDefault="009F01D8" w:rsidP="009F01D8">
            <w:pPr>
              <w:rPr>
                <w:rFonts w:asciiTheme="majorBidi" w:hAnsiTheme="majorBidi" w:cstheme="majorBidi"/>
              </w:rPr>
            </w:pPr>
            <w:r w:rsidRPr="00D76748">
              <w:rPr>
                <w:rFonts w:asciiTheme="majorBidi" w:hAnsiTheme="majorBidi" w:cstheme="majorBidi"/>
              </w:rPr>
              <w:t>Pseudomonas aeruginosa/</w:t>
            </w:r>
          </w:p>
        </w:tc>
        <w:tc>
          <w:tcPr>
            <w:tcW w:w="1650" w:type="dxa"/>
            <w:noWrap/>
            <w:hideMark/>
          </w:tcPr>
          <w:p w14:paraId="6DA7775C" w14:textId="77777777" w:rsidR="009F01D8" w:rsidRPr="00D76748" w:rsidRDefault="009F01D8" w:rsidP="009F01D8">
            <w:pPr>
              <w:rPr>
                <w:rFonts w:asciiTheme="majorBidi" w:hAnsiTheme="majorBidi" w:cstheme="majorBidi"/>
              </w:rPr>
            </w:pPr>
            <w:r w:rsidRPr="00D76748">
              <w:rPr>
                <w:rFonts w:asciiTheme="majorBidi" w:hAnsiTheme="majorBidi" w:cstheme="majorBidi"/>
              </w:rPr>
              <w:t>102141</w:t>
            </w:r>
          </w:p>
        </w:tc>
      </w:tr>
      <w:tr w:rsidR="009F01D8" w:rsidRPr="00D76748" w14:paraId="0039833D" w14:textId="77777777" w:rsidTr="009F01D8">
        <w:trPr>
          <w:trHeight w:val="288"/>
        </w:trPr>
        <w:tc>
          <w:tcPr>
            <w:tcW w:w="1090" w:type="dxa"/>
            <w:noWrap/>
            <w:hideMark/>
          </w:tcPr>
          <w:p w14:paraId="6E642A08" w14:textId="77777777" w:rsidR="009F01D8" w:rsidRPr="00D76748" w:rsidRDefault="009F01D8" w:rsidP="009F01D8">
            <w:pPr>
              <w:rPr>
                <w:rFonts w:asciiTheme="majorBidi" w:hAnsiTheme="majorBidi" w:cstheme="majorBidi"/>
              </w:rPr>
            </w:pPr>
            <w:r w:rsidRPr="00D76748">
              <w:rPr>
                <w:rFonts w:asciiTheme="majorBidi" w:hAnsiTheme="majorBidi" w:cstheme="majorBidi"/>
              </w:rPr>
              <w:t>8</w:t>
            </w:r>
          </w:p>
        </w:tc>
        <w:tc>
          <w:tcPr>
            <w:tcW w:w="6276" w:type="dxa"/>
            <w:noWrap/>
            <w:hideMark/>
          </w:tcPr>
          <w:p w14:paraId="13AD5604"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spellStart"/>
            <w:r w:rsidRPr="00D76748">
              <w:rPr>
                <w:rFonts w:asciiTheme="majorBidi" w:hAnsiTheme="majorBidi" w:cstheme="majorBidi"/>
              </w:rPr>
              <w:t>enterobact</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enterobacteriaceae</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escherichia</w:t>
            </w:r>
            <w:proofErr w:type="spellEnd"/>
            <w:r w:rsidRPr="00D76748">
              <w:rPr>
                <w:rFonts w:asciiTheme="majorBidi" w:hAnsiTheme="majorBidi" w:cstheme="majorBidi"/>
              </w:rPr>
              <w:t xml:space="preserve"> coli" or "e. coli" or "klebsiella pneumoniae" or "k. pneumoniae" or "pseudomonas aeruginosa" or "p. aeruginosa").</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7BC99A83" w14:textId="77777777" w:rsidR="009F01D8" w:rsidRPr="00D76748" w:rsidRDefault="009F01D8" w:rsidP="009F01D8">
            <w:pPr>
              <w:rPr>
                <w:rFonts w:asciiTheme="majorBidi" w:hAnsiTheme="majorBidi" w:cstheme="majorBidi"/>
              </w:rPr>
            </w:pPr>
            <w:r w:rsidRPr="00D76748">
              <w:rPr>
                <w:rFonts w:asciiTheme="majorBidi" w:hAnsiTheme="majorBidi" w:cstheme="majorBidi"/>
              </w:rPr>
              <w:t>446239</w:t>
            </w:r>
          </w:p>
        </w:tc>
      </w:tr>
      <w:tr w:rsidR="009F01D8" w:rsidRPr="00D76748" w14:paraId="30933F75" w14:textId="77777777" w:rsidTr="009F01D8">
        <w:trPr>
          <w:trHeight w:val="288"/>
        </w:trPr>
        <w:tc>
          <w:tcPr>
            <w:tcW w:w="1090" w:type="dxa"/>
            <w:noWrap/>
            <w:hideMark/>
          </w:tcPr>
          <w:p w14:paraId="396C6126" w14:textId="77777777" w:rsidR="009F01D8" w:rsidRPr="00D76748" w:rsidRDefault="009F01D8" w:rsidP="009F01D8">
            <w:pPr>
              <w:rPr>
                <w:rFonts w:asciiTheme="majorBidi" w:hAnsiTheme="majorBidi" w:cstheme="majorBidi"/>
              </w:rPr>
            </w:pPr>
            <w:r w:rsidRPr="00D76748">
              <w:rPr>
                <w:rFonts w:asciiTheme="majorBidi" w:hAnsiTheme="majorBidi" w:cstheme="majorBidi"/>
              </w:rPr>
              <w:t>9</w:t>
            </w:r>
          </w:p>
        </w:tc>
        <w:tc>
          <w:tcPr>
            <w:tcW w:w="6276" w:type="dxa"/>
            <w:noWrap/>
            <w:hideMark/>
          </w:tcPr>
          <w:p w14:paraId="0DD7CC2C" w14:textId="77777777" w:rsidR="009F01D8" w:rsidRPr="00D76748" w:rsidRDefault="009F01D8" w:rsidP="009F01D8">
            <w:pPr>
              <w:rPr>
                <w:rFonts w:asciiTheme="majorBidi" w:hAnsiTheme="majorBidi" w:cstheme="majorBidi"/>
              </w:rPr>
            </w:pPr>
            <w:r w:rsidRPr="00D76748">
              <w:rPr>
                <w:rFonts w:asciiTheme="majorBidi" w:hAnsiTheme="majorBidi" w:cstheme="majorBidi"/>
              </w:rPr>
              <w:t>or/4-8</w:t>
            </w:r>
          </w:p>
        </w:tc>
        <w:tc>
          <w:tcPr>
            <w:tcW w:w="1650" w:type="dxa"/>
            <w:noWrap/>
            <w:hideMark/>
          </w:tcPr>
          <w:p w14:paraId="2AC05BEC" w14:textId="77777777" w:rsidR="009F01D8" w:rsidRPr="00D76748" w:rsidRDefault="009F01D8" w:rsidP="009F01D8">
            <w:pPr>
              <w:rPr>
                <w:rFonts w:asciiTheme="majorBidi" w:hAnsiTheme="majorBidi" w:cstheme="majorBidi"/>
              </w:rPr>
            </w:pPr>
            <w:r w:rsidRPr="00D76748">
              <w:rPr>
                <w:rFonts w:asciiTheme="majorBidi" w:hAnsiTheme="majorBidi" w:cstheme="majorBidi"/>
              </w:rPr>
              <w:t>573320</w:t>
            </w:r>
          </w:p>
        </w:tc>
      </w:tr>
      <w:tr w:rsidR="009F01D8" w:rsidRPr="00D76748" w14:paraId="782625A7" w14:textId="77777777" w:rsidTr="009F01D8">
        <w:trPr>
          <w:trHeight w:val="288"/>
        </w:trPr>
        <w:tc>
          <w:tcPr>
            <w:tcW w:w="1090" w:type="dxa"/>
            <w:noWrap/>
            <w:hideMark/>
          </w:tcPr>
          <w:p w14:paraId="1BF6335D" w14:textId="77777777" w:rsidR="009F01D8" w:rsidRPr="00D76748" w:rsidRDefault="009F01D8" w:rsidP="009F01D8">
            <w:pPr>
              <w:rPr>
                <w:rFonts w:asciiTheme="majorBidi" w:hAnsiTheme="majorBidi" w:cstheme="majorBidi"/>
              </w:rPr>
            </w:pPr>
            <w:r w:rsidRPr="00D76748">
              <w:rPr>
                <w:rFonts w:asciiTheme="majorBidi" w:hAnsiTheme="majorBidi" w:cstheme="majorBidi"/>
              </w:rPr>
              <w:t>10</w:t>
            </w:r>
          </w:p>
        </w:tc>
        <w:tc>
          <w:tcPr>
            <w:tcW w:w="6276" w:type="dxa"/>
            <w:noWrap/>
            <w:hideMark/>
          </w:tcPr>
          <w:p w14:paraId="4F1D31AE" w14:textId="77777777" w:rsidR="009F01D8" w:rsidRPr="00D76748" w:rsidRDefault="009F01D8" w:rsidP="009F01D8">
            <w:pPr>
              <w:rPr>
                <w:rFonts w:asciiTheme="majorBidi" w:hAnsiTheme="majorBidi" w:cstheme="majorBidi"/>
              </w:rPr>
            </w:pPr>
            <w:r w:rsidRPr="00D76748">
              <w:rPr>
                <w:rFonts w:asciiTheme="majorBidi" w:hAnsiTheme="majorBidi" w:cstheme="majorBidi"/>
              </w:rPr>
              <w:t>3 and 9</w:t>
            </w:r>
          </w:p>
        </w:tc>
        <w:tc>
          <w:tcPr>
            <w:tcW w:w="1650" w:type="dxa"/>
            <w:noWrap/>
            <w:hideMark/>
          </w:tcPr>
          <w:p w14:paraId="2E07B136" w14:textId="77777777" w:rsidR="009F01D8" w:rsidRPr="00D76748" w:rsidRDefault="009F01D8" w:rsidP="009F01D8">
            <w:pPr>
              <w:rPr>
                <w:rFonts w:asciiTheme="majorBidi" w:hAnsiTheme="majorBidi" w:cstheme="majorBidi"/>
              </w:rPr>
            </w:pPr>
            <w:r w:rsidRPr="00D76748">
              <w:rPr>
                <w:rFonts w:asciiTheme="majorBidi" w:hAnsiTheme="majorBidi" w:cstheme="majorBidi"/>
              </w:rPr>
              <w:t>3045</w:t>
            </w:r>
          </w:p>
        </w:tc>
      </w:tr>
      <w:tr w:rsidR="009F01D8" w:rsidRPr="00D76748" w14:paraId="781E51F8" w14:textId="77777777" w:rsidTr="009F01D8">
        <w:trPr>
          <w:trHeight w:val="288"/>
        </w:trPr>
        <w:tc>
          <w:tcPr>
            <w:tcW w:w="1090" w:type="dxa"/>
            <w:noWrap/>
            <w:hideMark/>
          </w:tcPr>
          <w:p w14:paraId="6A7F6AFB" w14:textId="77777777" w:rsidR="009F01D8" w:rsidRPr="00D76748" w:rsidRDefault="009F01D8" w:rsidP="009F01D8">
            <w:pPr>
              <w:rPr>
                <w:rFonts w:asciiTheme="majorBidi" w:hAnsiTheme="majorBidi" w:cstheme="majorBidi"/>
              </w:rPr>
            </w:pPr>
            <w:r w:rsidRPr="00D76748">
              <w:rPr>
                <w:rFonts w:asciiTheme="majorBidi" w:hAnsiTheme="majorBidi" w:cstheme="majorBidi"/>
              </w:rPr>
              <w:t>11</w:t>
            </w:r>
          </w:p>
        </w:tc>
        <w:tc>
          <w:tcPr>
            <w:tcW w:w="6276" w:type="dxa"/>
            <w:noWrap/>
            <w:hideMark/>
          </w:tcPr>
          <w:p w14:paraId="35380E01" w14:textId="77777777" w:rsidR="009F01D8" w:rsidRPr="00D76748" w:rsidRDefault="009F01D8" w:rsidP="009F01D8">
            <w:pPr>
              <w:rPr>
                <w:rFonts w:asciiTheme="majorBidi" w:hAnsiTheme="majorBidi" w:cstheme="majorBidi"/>
              </w:rPr>
            </w:pPr>
            <w:r w:rsidRPr="00D76748">
              <w:rPr>
                <w:rFonts w:asciiTheme="majorBidi" w:hAnsiTheme="majorBidi" w:cstheme="majorBidi"/>
              </w:rPr>
              <w:t>(meta-analysis or systematic review).</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427E08A4" w14:textId="77777777" w:rsidR="009F01D8" w:rsidRPr="00D76748" w:rsidRDefault="009F01D8" w:rsidP="009F01D8">
            <w:pPr>
              <w:rPr>
                <w:rFonts w:asciiTheme="majorBidi" w:hAnsiTheme="majorBidi" w:cstheme="majorBidi"/>
              </w:rPr>
            </w:pPr>
            <w:r w:rsidRPr="00D76748">
              <w:rPr>
                <w:rFonts w:asciiTheme="majorBidi" w:hAnsiTheme="majorBidi" w:cstheme="majorBidi"/>
              </w:rPr>
              <w:t>352331</w:t>
            </w:r>
          </w:p>
        </w:tc>
      </w:tr>
      <w:tr w:rsidR="009F01D8" w:rsidRPr="00D76748" w14:paraId="1F6F6515" w14:textId="77777777" w:rsidTr="009F01D8">
        <w:trPr>
          <w:trHeight w:val="288"/>
        </w:trPr>
        <w:tc>
          <w:tcPr>
            <w:tcW w:w="1090" w:type="dxa"/>
            <w:noWrap/>
            <w:hideMark/>
          </w:tcPr>
          <w:p w14:paraId="3E3B817E" w14:textId="77777777" w:rsidR="009F01D8" w:rsidRPr="00D76748" w:rsidRDefault="009F01D8" w:rsidP="009F01D8">
            <w:pPr>
              <w:rPr>
                <w:rFonts w:asciiTheme="majorBidi" w:hAnsiTheme="majorBidi" w:cstheme="majorBidi"/>
              </w:rPr>
            </w:pPr>
            <w:r w:rsidRPr="00D76748">
              <w:rPr>
                <w:rFonts w:asciiTheme="majorBidi" w:hAnsiTheme="majorBidi" w:cstheme="majorBidi"/>
              </w:rPr>
              <w:t>12</w:t>
            </w:r>
          </w:p>
        </w:tc>
        <w:tc>
          <w:tcPr>
            <w:tcW w:w="6276" w:type="dxa"/>
            <w:noWrap/>
            <w:hideMark/>
          </w:tcPr>
          <w:p w14:paraId="0BE395EB"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Randomization/</w:t>
            </w:r>
          </w:p>
        </w:tc>
        <w:tc>
          <w:tcPr>
            <w:tcW w:w="1650" w:type="dxa"/>
            <w:noWrap/>
            <w:hideMark/>
          </w:tcPr>
          <w:p w14:paraId="34FB155D" w14:textId="77777777" w:rsidR="009F01D8" w:rsidRPr="00D76748" w:rsidRDefault="009F01D8" w:rsidP="009F01D8">
            <w:pPr>
              <w:rPr>
                <w:rFonts w:asciiTheme="majorBidi" w:hAnsiTheme="majorBidi" w:cstheme="majorBidi"/>
              </w:rPr>
            </w:pPr>
            <w:r w:rsidRPr="00D76748">
              <w:rPr>
                <w:rFonts w:asciiTheme="majorBidi" w:hAnsiTheme="majorBidi" w:cstheme="majorBidi"/>
              </w:rPr>
              <w:t>90999</w:t>
            </w:r>
          </w:p>
        </w:tc>
      </w:tr>
      <w:tr w:rsidR="009F01D8" w:rsidRPr="00D76748" w14:paraId="57B27A04" w14:textId="77777777" w:rsidTr="009F01D8">
        <w:trPr>
          <w:trHeight w:val="288"/>
        </w:trPr>
        <w:tc>
          <w:tcPr>
            <w:tcW w:w="1090" w:type="dxa"/>
            <w:noWrap/>
            <w:hideMark/>
          </w:tcPr>
          <w:p w14:paraId="0F85975F"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c>
          <w:tcPr>
            <w:tcW w:w="6276" w:type="dxa"/>
            <w:noWrap/>
            <w:hideMark/>
          </w:tcPr>
          <w:p w14:paraId="130CC898" w14:textId="77777777" w:rsidR="009F01D8" w:rsidRPr="00D76748" w:rsidRDefault="009F01D8" w:rsidP="009F01D8">
            <w:pPr>
              <w:rPr>
                <w:rFonts w:asciiTheme="majorBidi" w:hAnsiTheme="majorBidi" w:cstheme="majorBidi"/>
              </w:rPr>
            </w:pPr>
            <w:r w:rsidRPr="00D76748">
              <w:rPr>
                <w:rFonts w:asciiTheme="majorBidi" w:hAnsiTheme="majorBidi" w:cstheme="majorBidi"/>
              </w:rPr>
              <w:t>Placebo/</w:t>
            </w:r>
          </w:p>
        </w:tc>
        <w:tc>
          <w:tcPr>
            <w:tcW w:w="1650" w:type="dxa"/>
            <w:noWrap/>
            <w:hideMark/>
          </w:tcPr>
          <w:p w14:paraId="6C7821B8" w14:textId="77777777" w:rsidR="009F01D8" w:rsidRPr="00D76748" w:rsidRDefault="009F01D8" w:rsidP="009F01D8">
            <w:pPr>
              <w:rPr>
                <w:rFonts w:asciiTheme="majorBidi" w:hAnsiTheme="majorBidi" w:cstheme="majorBidi"/>
              </w:rPr>
            </w:pPr>
            <w:r w:rsidRPr="00D76748">
              <w:rPr>
                <w:rFonts w:asciiTheme="majorBidi" w:hAnsiTheme="majorBidi" w:cstheme="majorBidi"/>
              </w:rPr>
              <w:t>367151</w:t>
            </w:r>
          </w:p>
        </w:tc>
      </w:tr>
      <w:tr w:rsidR="009F01D8" w:rsidRPr="00D76748" w14:paraId="1F25B637" w14:textId="77777777" w:rsidTr="009F01D8">
        <w:trPr>
          <w:trHeight w:val="288"/>
        </w:trPr>
        <w:tc>
          <w:tcPr>
            <w:tcW w:w="1090" w:type="dxa"/>
            <w:noWrap/>
            <w:hideMark/>
          </w:tcPr>
          <w:p w14:paraId="74FFD420" w14:textId="77777777" w:rsidR="009F01D8" w:rsidRPr="00D76748" w:rsidRDefault="009F01D8" w:rsidP="009F01D8">
            <w:pPr>
              <w:rPr>
                <w:rFonts w:asciiTheme="majorBidi" w:hAnsiTheme="majorBidi" w:cstheme="majorBidi"/>
              </w:rPr>
            </w:pPr>
            <w:r w:rsidRPr="00D76748">
              <w:rPr>
                <w:rFonts w:asciiTheme="majorBidi" w:hAnsiTheme="majorBidi" w:cstheme="majorBidi"/>
              </w:rPr>
              <w:t>14</w:t>
            </w:r>
          </w:p>
        </w:tc>
        <w:tc>
          <w:tcPr>
            <w:tcW w:w="6276" w:type="dxa"/>
            <w:noWrap/>
            <w:hideMark/>
          </w:tcPr>
          <w:p w14:paraId="1579C650" w14:textId="77777777" w:rsidR="009F01D8" w:rsidRPr="00D76748" w:rsidRDefault="009F01D8" w:rsidP="009F01D8">
            <w:pPr>
              <w:rPr>
                <w:rFonts w:asciiTheme="majorBidi" w:hAnsiTheme="majorBidi" w:cstheme="majorBidi"/>
              </w:rPr>
            </w:pPr>
            <w:r w:rsidRPr="00D76748">
              <w:rPr>
                <w:rFonts w:asciiTheme="majorBidi" w:hAnsiTheme="majorBidi" w:cstheme="majorBidi"/>
              </w:rPr>
              <w:t>Double Blind Procedure/</w:t>
            </w:r>
          </w:p>
        </w:tc>
        <w:tc>
          <w:tcPr>
            <w:tcW w:w="1650" w:type="dxa"/>
            <w:noWrap/>
            <w:hideMark/>
          </w:tcPr>
          <w:p w14:paraId="7BB9BA1C" w14:textId="77777777" w:rsidR="009F01D8" w:rsidRPr="00D76748" w:rsidRDefault="009F01D8" w:rsidP="009F01D8">
            <w:pPr>
              <w:rPr>
                <w:rFonts w:asciiTheme="majorBidi" w:hAnsiTheme="majorBidi" w:cstheme="majorBidi"/>
              </w:rPr>
            </w:pPr>
            <w:r w:rsidRPr="00D76748">
              <w:rPr>
                <w:rFonts w:asciiTheme="majorBidi" w:hAnsiTheme="majorBidi" w:cstheme="majorBidi"/>
              </w:rPr>
              <w:t>183893</w:t>
            </w:r>
          </w:p>
        </w:tc>
      </w:tr>
      <w:tr w:rsidR="009F01D8" w:rsidRPr="00D76748" w14:paraId="1E05E0BE" w14:textId="77777777" w:rsidTr="009F01D8">
        <w:trPr>
          <w:trHeight w:val="288"/>
        </w:trPr>
        <w:tc>
          <w:tcPr>
            <w:tcW w:w="1090" w:type="dxa"/>
            <w:noWrap/>
            <w:hideMark/>
          </w:tcPr>
          <w:p w14:paraId="04CC2125" w14:textId="77777777" w:rsidR="009F01D8" w:rsidRPr="00D76748" w:rsidRDefault="009F01D8" w:rsidP="009F01D8">
            <w:pPr>
              <w:rPr>
                <w:rFonts w:asciiTheme="majorBidi" w:hAnsiTheme="majorBidi" w:cstheme="majorBidi"/>
              </w:rPr>
            </w:pPr>
            <w:r w:rsidRPr="00D76748">
              <w:rPr>
                <w:rFonts w:asciiTheme="majorBidi" w:hAnsiTheme="majorBidi" w:cstheme="majorBidi"/>
              </w:rPr>
              <w:t>15</w:t>
            </w:r>
          </w:p>
        </w:tc>
        <w:tc>
          <w:tcPr>
            <w:tcW w:w="6276" w:type="dxa"/>
            <w:noWrap/>
            <w:hideMark/>
          </w:tcPr>
          <w:p w14:paraId="26202EA8" w14:textId="77777777" w:rsidR="009F01D8" w:rsidRPr="00D76748" w:rsidRDefault="009F01D8" w:rsidP="009F01D8">
            <w:pPr>
              <w:rPr>
                <w:rFonts w:asciiTheme="majorBidi" w:hAnsiTheme="majorBidi" w:cstheme="majorBidi"/>
              </w:rPr>
            </w:pPr>
            <w:r w:rsidRPr="00D76748">
              <w:rPr>
                <w:rFonts w:asciiTheme="majorBidi" w:hAnsiTheme="majorBidi" w:cstheme="majorBidi"/>
              </w:rPr>
              <w:t>Single Blind Procedure/</w:t>
            </w:r>
          </w:p>
        </w:tc>
        <w:tc>
          <w:tcPr>
            <w:tcW w:w="1650" w:type="dxa"/>
            <w:noWrap/>
            <w:hideMark/>
          </w:tcPr>
          <w:p w14:paraId="3BAAAEEF" w14:textId="77777777" w:rsidR="009F01D8" w:rsidRPr="00D76748" w:rsidRDefault="009F01D8" w:rsidP="009F01D8">
            <w:pPr>
              <w:rPr>
                <w:rFonts w:asciiTheme="majorBidi" w:hAnsiTheme="majorBidi" w:cstheme="majorBidi"/>
              </w:rPr>
            </w:pPr>
            <w:r w:rsidRPr="00D76748">
              <w:rPr>
                <w:rFonts w:asciiTheme="majorBidi" w:hAnsiTheme="majorBidi" w:cstheme="majorBidi"/>
              </w:rPr>
              <w:t>42628</w:t>
            </w:r>
          </w:p>
        </w:tc>
      </w:tr>
      <w:tr w:rsidR="009F01D8" w:rsidRPr="00D76748" w14:paraId="6165F6DB" w14:textId="77777777" w:rsidTr="009F01D8">
        <w:trPr>
          <w:trHeight w:val="288"/>
        </w:trPr>
        <w:tc>
          <w:tcPr>
            <w:tcW w:w="1090" w:type="dxa"/>
            <w:noWrap/>
            <w:hideMark/>
          </w:tcPr>
          <w:p w14:paraId="628B8B4C" w14:textId="77777777" w:rsidR="009F01D8" w:rsidRPr="00D76748" w:rsidRDefault="009F01D8" w:rsidP="009F01D8">
            <w:pPr>
              <w:rPr>
                <w:rFonts w:asciiTheme="majorBidi" w:hAnsiTheme="majorBidi" w:cstheme="majorBidi"/>
              </w:rPr>
            </w:pPr>
            <w:r w:rsidRPr="00D76748">
              <w:rPr>
                <w:rFonts w:asciiTheme="majorBidi" w:hAnsiTheme="majorBidi" w:cstheme="majorBidi"/>
              </w:rPr>
              <w:t>16</w:t>
            </w:r>
          </w:p>
        </w:tc>
        <w:tc>
          <w:tcPr>
            <w:tcW w:w="6276" w:type="dxa"/>
            <w:noWrap/>
            <w:hideMark/>
          </w:tcPr>
          <w:p w14:paraId="1E6BDE3E" w14:textId="77777777" w:rsidR="009F01D8" w:rsidRPr="00D76748" w:rsidRDefault="009F01D8" w:rsidP="009F01D8">
            <w:pPr>
              <w:rPr>
                <w:rFonts w:asciiTheme="majorBidi" w:hAnsiTheme="majorBidi" w:cstheme="majorBidi"/>
              </w:rPr>
            </w:pPr>
            <w:r w:rsidRPr="00D76748">
              <w:rPr>
                <w:rFonts w:asciiTheme="majorBidi" w:hAnsiTheme="majorBidi" w:cstheme="majorBidi"/>
              </w:rPr>
              <w:t>Crossover Procedure/</w:t>
            </w:r>
          </w:p>
        </w:tc>
        <w:tc>
          <w:tcPr>
            <w:tcW w:w="1650" w:type="dxa"/>
            <w:noWrap/>
            <w:hideMark/>
          </w:tcPr>
          <w:p w14:paraId="2B39BF20" w14:textId="77777777" w:rsidR="009F01D8" w:rsidRPr="00D76748" w:rsidRDefault="009F01D8" w:rsidP="009F01D8">
            <w:pPr>
              <w:rPr>
                <w:rFonts w:asciiTheme="majorBidi" w:hAnsiTheme="majorBidi" w:cstheme="majorBidi"/>
              </w:rPr>
            </w:pPr>
            <w:r w:rsidRPr="00D76748">
              <w:rPr>
                <w:rFonts w:asciiTheme="majorBidi" w:hAnsiTheme="majorBidi" w:cstheme="majorBidi"/>
              </w:rPr>
              <w:t>66858</w:t>
            </w:r>
          </w:p>
        </w:tc>
      </w:tr>
      <w:tr w:rsidR="009F01D8" w:rsidRPr="00D76748" w14:paraId="0EC36524" w14:textId="77777777" w:rsidTr="009F01D8">
        <w:trPr>
          <w:trHeight w:val="288"/>
        </w:trPr>
        <w:tc>
          <w:tcPr>
            <w:tcW w:w="1090" w:type="dxa"/>
            <w:noWrap/>
            <w:hideMark/>
          </w:tcPr>
          <w:p w14:paraId="1FBC0D4C" w14:textId="77777777" w:rsidR="009F01D8" w:rsidRPr="00D76748" w:rsidRDefault="009F01D8" w:rsidP="009F01D8">
            <w:pPr>
              <w:rPr>
                <w:rFonts w:asciiTheme="majorBidi" w:hAnsiTheme="majorBidi" w:cstheme="majorBidi"/>
              </w:rPr>
            </w:pPr>
            <w:r w:rsidRPr="00D76748">
              <w:rPr>
                <w:rFonts w:asciiTheme="majorBidi" w:hAnsiTheme="majorBidi" w:cstheme="majorBidi"/>
              </w:rPr>
              <w:t>17</w:t>
            </w:r>
          </w:p>
        </w:tc>
        <w:tc>
          <w:tcPr>
            <w:tcW w:w="6276" w:type="dxa"/>
            <w:noWrap/>
            <w:hideMark/>
          </w:tcPr>
          <w:p w14:paraId="0C56D901"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 or control$ or clinical$) adj3 (trial$ or stud$)).</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7ACFBE45" w14:textId="77777777" w:rsidR="009F01D8" w:rsidRPr="00D76748" w:rsidRDefault="009F01D8" w:rsidP="009F01D8">
            <w:pPr>
              <w:rPr>
                <w:rFonts w:asciiTheme="majorBidi" w:hAnsiTheme="majorBidi" w:cstheme="majorBidi"/>
              </w:rPr>
            </w:pPr>
            <w:r w:rsidRPr="00D76748">
              <w:rPr>
                <w:rFonts w:asciiTheme="majorBidi" w:hAnsiTheme="majorBidi" w:cstheme="majorBidi"/>
              </w:rPr>
              <w:t>1846260</w:t>
            </w:r>
          </w:p>
        </w:tc>
      </w:tr>
      <w:tr w:rsidR="009F01D8" w:rsidRPr="00D76748" w14:paraId="43784C84" w14:textId="77777777" w:rsidTr="009F01D8">
        <w:trPr>
          <w:trHeight w:val="288"/>
        </w:trPr>
        <w:tc>
          <w:tcPr>
            <w:tcW w:w="1090" w:type="dxa"/>
            <w:noWrap/>
            <w:hideMark/>
          </w:tcPr>
          <w:p w14:paraId="790BC428" w14:textId="77777777" w:rsidR="009F01D8" w:rsidRPr="00D76748" w:rsidRDefault="009F01D8" w:rsidP="009F01D8">
            <w:pPr>
              <w:rPr>
                <w:rFonts w:asciiTheme="majorBidi" w:hAnsiTheme="majorBidi" w:cstheme="majorBidi"/>
              </w:rPr>
            </w:pPr>
            <w:r w:rsidRPr="00D76748">
              <w:rPr>
                <w:rFonts w:asciiTheme="majorBidi" w:hAnsiTheme="majorBidi" w:cstheme="majorBidi"/>
              </w:rPr>
              <w:t>18</w:t>
            </w:r>
          </w:p>
        </w:tc>
        <w:tc>
          <w:tcPr>
            <w:tcW w:w="6276" w:type="dxa"/>
            <w:noWrap/>
            <w:hideMark/>
          </w:tcPr>
          <w:p w14:paraId="53712792"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(random$ adj3 </w:t>
            </w:r>
            <w:proofErr w:type="spellStart"/>
            <w:r w:rsidRPr="00D76748">
              <w:rPr>
                <w:rFonts w:asciiTheme="majorBidi" w:hAnsiTheme="majorBidi" w:cstheme="majorBidi"/>
              </w:rPr>
              <w:t>allocat</w:t>
            </w:r>
            <w:proofErr w:type="spellEnd"/>
            <w:r w:rsidRPr="00D76748">
              <w:rPr>
                <w:rFonts w:asciiTheme="majorBidi" w:hAnsiTheme="majorBidi" w:cstheme="majorBidi"/>
              </w:rPr>
              <w:t>$).</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3707DB64" w14:textId="77777777" w:rsidR="009F01D8" w:rsidRPr="00D76748" w:rsidRDefault="009F01D8" w:rsidP="009F01D8">
            <w:pPr>
              <w:rPr>
                <w:rFonts w:asciiTheme="majorBidi" w:hAnsiTheme="majorBidi" w:cstheme="majorBidi"/>
              </w:rPr>
            </w:pPr>
            <w:r w:rsidRPr="00D76748">
              <w:rPr>
                <w:rFonts w:asciiTheme="majorBidi" w:hAnsiTheme="majorBidi" w:cstheme="majorBidi"/>
              </w:rPr>
              <w:t>48159</w:t>
            </w:r>
          </w:p>
        </w:tc>
      </w:tr>
      <w:tr w:rsidR="009F01D8" w:rsidRPr="00D76748" w14:paraId="647E6B67" w14:textId="77777777" w:rsidTr="009F01D8">
        <w:trPr>
          <w:trHeight w:val="288"/>
        </w:trPr>
        <w:tc>
          <w:tcPr>
            <w:tcW w:w="1090" w:type="dxa"/>
            <w:noWrap/>
            <w:hideMark/>
          </w:tcPr>
          <w:p w14:paraId="791C3ED7" w14:textId="77777777" w:rsidR="009F01D8" w:rsidRPr="00D76748" w:rsidRDefault="009F01D8" w:rsidP="009F01D8">
            <w:pPr>
              <w:rPr>
                <w:rFonts w:asciiTheme="majorBidi" w:hAnsiTheme="majorBidi" w:cstheme="majorBidi"/>
              </w:rPr>
            </w:pPr>
            <w:r w:rsidRPr="00D76748">
              <w:rPr>
                <w:rFonts w:asciiTheme="majorBidi" w:hAnsiTheme="majorBidi" w:cstheme="majorBidi"/>
              </w:rPr>
              <w:t>19</w:t>
            </w:r>
          </w:p>
        </w:tc>
        <w:tc>
          <w:tcPr>
            <w:tcW w:w="6276" w:type="dxa"/>
            <w:noWrap/>
            <w:hideMark/>
          </w:tcPr>
          <w:p w14:paraId="4BA3A49B" w14:textId="77777777" w:rsidR="009F01D8" w:rsidRPr="00D76748" w:rsidRDefault="009F01D8" w:rsidP="009F01D8">
            <w:pPr>
              <w:rPr>
                <w:rFonts w:asciiTheme="majorBidi" w:hAnsiTheme="majorBidi" w:cstheme="majorBidi"/>
              </w:rPr>
            </w:pPr>
            <w:r w:rsidRPr="00D76748">
              <w:rPr>
                <w:rFonts w:asciiTheme="majorBidi" w:hAnsiTheme="majorBidi" w:cstheme="majorBidi"/>
              </w:rPr>
              <w:t>placebo$.tw.</w:t>
            </w:r>
          </w:p>
        </w:tc>
        <w:tc>
          <w:tcPr>
            <w:tcW w:w="1650" w:type="dxa"/>
            <w:noWrap/>
            <w:hideMark/>
          </w:tcPr>
          <w:p w14:paraId="5FEEBABA" w14:textId="77777777" w:rsidR="009F01D8" w:rsidRPr="00D76748" w:rsidRDefault="009F01D8" w:rsidP="009F01D8">
            <w:pPr>
              <w:rPr>
                <w:rFonts w:asciiTheme="majorBidi" w:hAnsiTheme="majorBidi" w:cstheme="majorBidi"/>
              </w:rPr>
            </w:pPr>
            <w:r w:rsidRPr="00D76748">
              <w:rPr>
                <w:rFonts w:asciiTheme="majorBidi" w:hAnsiTheme="majorBidi" w:cstheme="majorBidi"/>
              </w:rPr>
              <w:t>325978</w:t>
            </w:r>
          </w:p>
        </w:tc>
      </w:tr>
      <w:tr w:rsidR="009F01D8" w:rsidRPr="00D76748" w14:paraId="03AE58FC" w14:textId="77777777" w:rsidTr="009F01D8">
        <w:trPr>
          <w:trHeight w:val="288"/>
        </w:trPr>
        <w:tc>
          <w:tcPr>
            <w:tcW w:w="1090" w:type="dxa"/>
            <w:noWrap/>
            <w:hideMark/>
          </w:tcPr>
          <w:p w14:paraId="60EB3598" w14:textId="77777777" w:rsidR="009F01D8" w:rsidRPr="00D76748" w:rsidRDefault="009F01D8" w:rsidP="009F01D8">
            <w:pPr>
              <w:rPr>
                <w:rFonts w:asciiTheme="majorBidi" w:hAnsiTheme="majorBidi" w:cstheme="majorBidi"/>
              </w:rPr>
            </w:pPr>
            <w:r w:rsidRPr="00D76748">
              <w:rPr>
                <w:rFonts w:asciiTheme="majorBidi" w:hAnsiTheme="majorBidi" w:cstheme="majorBidi"/>
              </w:rPr>
              <w:t>20</w:t>
            </w:r>
          </w:p>
        </w:tc>
        <w:tc>
          <w:tcPr>
            <w:tcW w:w="6276" w:type="dxa"/>
            <w:noWrap/>
            <w:hideMark/>
          </w:tcPr>
          <w:p w14:paraId="3A73E6A1"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spellStart"/>
            <w:r w:rsidRPr="00D76748">
              <w:rPr>
                <w:rFonts w:asciiTheme="majorBidi" w:hAnsiTheme="majorBidi" w:cstheme="majorBidi"/>
              </w:rPr>
              <w:t>singl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doubl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trebl</w:t>
            </w:r>
            <w:proofErr w:type="spellEnd"/>
            <w:r w:rsidRPr="00D76748">
              <w:rPr>
                <w:rFonts w:asciiTheme="majorBidi" w:hAnsiTheme="majorBidi" w:cstheme="majorBidi"/>
              </w:rPr>
              <w:t xml:space="preserve">$ or </w:t>
            </w:r>
            <w:proofErr w:type="spellStart"/>
            <w:r w:rsidRPr="00D76748">
              <w:rPr>
                <w:rFonts w:asciiTheme="majorBidi" w:hAnsiTheme="majorBidi" w:cstheme="majorBidi"/>
              </w:rPr>
              <w:t>tripl</w:t>
            </w:r>
            <w:proofErr w:type="spellEnd"/>
            <w:r w:rsidRPr="00D76748">
              <w:rPr>
                <w:rFonts w:asciiTheme="majorBidi" w:hAnsiTheme="majorBidi" w:cstheme="majorBidi"/>
              </w:rPr>
              <w:t xml:space="preserve">$)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(blind$ or mask$)).</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B63833C" w14:textId="77777777" w:rsidR="009F01D8" w:rsidRPr="00D76748" w:rsidRDefault="009F01D8" w:rsidP="009F01D8">
            <w:pPr>
              <w:rPr>
                <w:rFonts w:asciiTheme="majorBidi" w:hAnsiTheme="majorBidi" w:cstheme="majorBidi"/>
              </w:rPr>
            </w:pPr>
            <w:r w:rsidRPr="00D76748">
              <w:rPr>
                <w:rFonts w:asciiTheme="majorBidi" w:hAnsiTheme="majorBidi" w:cstheme="majorBidi"/>
              </w:rPr>
              <w:t>251245</w:t>
            </w:r>
          </w:p>
        </w:tc>
      </w:tr>
      <w:tr w:rsidR="009F01D8" w:rsidRPr="00D76748" w14:paraId="428D1522" w14:textId="77777777" w:rsidTr="009F01D8">
        <w:trPr>
          <w:trHeight w:val="288"/>
        </w:trPr>
        <w:tc>
          <w:tcPr>
            <w:tcW w:w="1090" w:type="dxa"/>
            <w:noWrap/>
            <w:hideMark/>
          </w:tcPr>
          <w:p w14:paraId="52987A43" w14:textId="77777777" w:rsidR="009F01D8" w:rsidRPr="00D76748" w:rsidRDefault="009F01D8" w:rsidP="009F01D8">
            <w:pPr>
              <w:rPr>
                <w:rFonts w:asciiTheme="majorBidi" w:hAnsiTheme="majorBidi" w:cstheme="majorBidi"/>
              </w:rPr>
            </w:pPr>
            <w:r w:rsidRPr="00D76748">
              <w:rPr>
                <w:rFonts w:asciiTheme="majorBidi" w:hAnsiTheme="majorBidi" w:cstheme="majorBidi"/>
              </w:rPr>
              <w:t>21</w:t>
            </w:r>
          </w:p>
        </w:tc>
        <w:tc>
          <w:tcPr>
            <w:tcW w:w="6276" w:type="dxa"/>
            <w:noWrap/>
            <w:hideMark/>
          </w:tcPr>
          <w:p w14:paraId="3E973774"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(crossover$ or (cross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over$)).</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4A37322F" w14:textId="77777777" w:rsidR="009F01D8" w:rsidRPr="00D76748" w:rsidRDefault="009F01D8" w:rsidP="009F01D8">
            <w:pPr>
              <w:rPr>
                <w:rFonts w:asciiTheme="majorBidi" w:hAnsiTheme="majorBidi" w:cstheme="majorBidi"/>
              </w:rPr>
            </w:pPr>
            <w:r w:rsidRPr="00D76748">
              <w:rPr>
                <w:rFonts w:asciiTheme="majorBidi" w:hAnsiTheme="majorBidi" w:cstheme="majorBidi"/>
              </w:rPr>
              <w:t>112515</w:t>
            </w:r>
          </w:p>
        </w:tc>
      </w:tr>
      <w:tr w:rsidR="009F01D8" w:rsidRPr="00D76748" w14:paraId="1EE3755E" w14:textId="77777777" w:rsidTr="009F01D8">
        <w:trPr>
          <w:trHeight w:val="288"/>
        </w:trPr>
        <w:tc>
          <w:tcPr>
            <w:tcW w:w="1090" w:type="dxa"/>
            <w:noWrap/>
            <w:hideMark/>
          </w:tcPr>
          <w:p w14:paraId="39708DF2" w14:textId="77777777" w:rsidR="009F01D8" w:rsidRPr="00D76748" w:rsidRDefault="009F01D8" w:rsidP="009F01D8">
            <w:pPr>
              <w:rPr>
                <w:rFonts w:asciiTheme="majorBidi" w:hAnsiTheme="majorBidi" w:cstheme="majorBidi"/>
              </w:rPr>
            </w:pPr>
            <w:r w:rsidRPr="00D76748">
              <w:rPr>
                <w:rFonts w:asciiTheme="majorBidi" w:hAnsiTheme="majorBidi" w:cstheme="majorBidi"/>
              </w:rPr>
              <w:t>22</w:t>
            </w:r>
          </w:p>
        </w:tc>
        <w:tc>
          <w:tcPr>
            <w:tcW w:w="6276" w:type="dxa"/>
            <w:noWrap/>
            <w:hideMark/>
          </w:tcPr>
          <w:p w14:paraId="2E025987" w14:textId="77777777" w:rsidR="009F01D8" w:rsidRPr="00D76748" w:rsidRDefault="009F01D8" w:rsidP="009F01D8">
            <w:pPr>
              <w:rPr>
                <w:rFonts w:asciiTheme="majorBidi" w:hAnsiTheme="majorBidi" w:cstheme="majorBidi"/>
              </w:rPr>
            </w:pPr>
            <w:r w:rsidRPr="00D76748">
              <w:rPr>
                <w:rFonts w:asciiTheme="majorBidi" w:hAnsiTheme="majorBidi" w:cstheme="majorBidi"/>
              </w:rPr>
              <w:t>or/12-21</w:t>
            </w:r>
          </w:p>
        </w:tc>
        <w:tc>
          <w:tcPr>
            <w:tcW w:w="1650" w:type="dxa"/>
            <w:noWrap/>
            <w:hideMark/>
          </w:tcPr>
          <w:p w14:paraId="2B315700" w14:textId="77777777" w:rsidR="009F01D8" w:rsidRPr="00D76748" w:rsidRDefault="009F01D8" w:rsidP="009F01D8">
            <w:pPr>
              <w:rPr>
                <w:rFonts w:asciiTheme="majorBidi" w:hAnsiTheme="majorBidi" w:cstheme="majorBidi"/>
              </w:rPr>
            </w:pPr>
            <w:r w:rsidRPr="00D76748">
              <w:rPr>
                <w:rFonts w:asciiTheme="majorBidi" w:hAnsiTheme="majorBidi" w:cstheme="majorBidi"/>
              </w:rPr>
              <w:t>2272133</w:t>
            </w:r>
          </w:p>
        </w:tc>
      </w:tr>
      <w:tr w:rsidR="009F01D8" w:rsidRPr="00D76748" w14:paraId="38CF16CF" w14:textId="77777777" w:rsidTr="009F01D8">
        <w:trPr>
          <w:trHeight w:val="288"/>
        </w:trPr>
        <w:tc>
          <w:tcPr>
            <w:tcW w:w="1090" w:type="dxa"/>
            <w:noWrap/>
            <w:hideMark/>
          </w:tcPr>
          <w:p w14:paraId="171A4CE0" w14:textId="77777777" w:rsidR="009F01D8" w:rsidRPr="00D76748" w:rsidRDefault="009F01D8" w:rsidP="009F01D8">
            <w:pPr>
              <w:rPr>
                <w:rFonts w:asciiTheme="majorBidi" w:hAnsiTheme="majorBidi" w:cstheme="majorBidi"/>
              </w:rPr>
            </w:pPr>
            <w:r w:rsidRPr="00D76748">
              <w:rPr>
                <w:rFonts w:asciiTheme="majorBidi" w:hAnsiTheme="majorBidi" w:cstheme="majorBidi"/>
              </w:rPr>
              <w:t>23</w:t>
            </w:r>
          </w:p>
        </w:tc>
        <w:tc>
          <w:tcPr>
            <w:tcW w:w="6276" w:type="dxa"/>
            <w:noWrap/>
            <w:hideMark/>
          </w:tcPr>
          <w:p w14:paraId="6703E9EA" w14:textId="77777777" w:rsidR="009F01D8" w:rsidRPr="00D76748" w:rsidRDefault="009F01D8" w:rsidP="009F01D8">
            <w:pPr>
              <w:rPr>
                <w:rFonts w:asciiTheme="majorBidi" w:hAnsiTheme="majorBidi" w:cstheme="majorBidi"/>
              </w:rPr>
            </w:pPr>
            <w:r w:rsidRPr="00D76748">
              <w:rPr>
                <w:rFonts w:asciiTheme="majorBidi" w:hAnsiTheme="majorBidi" w:cstheme="majorBidi"/>
              </w:rPr>
              <w:t>nonhuman/ not human/</w:t>
            </w:r>
          </w:p>
        </w:tc>
        <w:tc>
          <w:tcPr>
            <w:tcW w:w="1650" w:type="dxa"/>
            <w:noWrap/>
            <w:hideMark/>
          </w:tcPr>
          <w:p w14:paraId="1C31AD39" w14:textId="77777777" w:rsidR="009F01D8" w:rsidRPr="00D76748" w:rsidRDefault="009F01D8" w:rsidP="009F01D8">
            <w:pPr>
              <w:rPr>
                <w:rFonts w:asciiTheme="majorBidi" w:hAnsiTheme="majorBidi" w:cstheme="majorBidi"/>
              </w:rPr>
            </w:pPr>
            <w:r w:rsidRPr="00D76748">
              <w:rPr>
                <w:rFonts w:asciiTheme="majorBidi" w:hAnsiTheme="majorBidi" w:cstheme="majorBidi"/>
              </w:rPr>
              <w:t>4810057</w:t>
            </w:r>
          </w:p>
        </w:tc>
      </w:tr>
      <w:tr w:rsidR="009F01D8" w:rsidRPr="00D76748" w14:paraId="17F5F03A" w14:textId="77777777" w:rsidTr="009F01D8">
        <w:trPr>
          <w:trHeight w:val="288"/>
        </w:trPr>
        <w:tc>
          <w:tcPr>
            <w:tcW w:w="1090" w:type="dxa"/>
            <w:noWrap/>
            <w:hideMark/>
          </w:tcPr>
          <w:p w14:paraId="7BAAD864" w14:textId="77777777" w:rsidR="009F01D8" w:rsidRPr="00D76748" w:rsidRDefault="009F01D8" w:rsidP="009F01D8">
            <w:pPr>
              <w:rPr>
                <w:rFonts w:asciiTheme="majorBidi" w:hAnsiTheme="majorBidi" w:cstheme="majorBidi"/>
              </w:rPr>
            </w:pPr>
            <w:r w:rsidRPr="00D76748">
              <w:rPr>
                <w:rFonts w:asciiTheme="majorBidi" w:hAnsiTheme="majorBidi" w:cstheme="majorBidi"/>
              </w:rPr>
              <w:t>24</w:t>
            </w:r>
          </w:p>
        </w:tc>
        <w:tc>
          <w:tcPr>
            <w:tcW w:w="6276" w:type="dxa"/>
            <w:noWrap/>
            <w:hideMark/>
          </w:tcPr>
          <w:p w14:paraId="643C6252" w14:textId="77777777" w:rsidR="009F01D8" w:rsidRPr="00D76748" w:rsidRDefault="009F01D8" w:rsidP="009F01D8">
            <w:pPr>
              <w:rPr>
                <w:rFonts w:asciiTheme="majorBidi" w:hAnsiTheme="majorBidi" w:cstheme="majorBidi"/>
              </w:rPr>
            </w:pPr>
            <w:r w:rsidRPr="00D76748">
              <w:rPr>
                <w:rFonts w:asciiTheme="majorBidi" w:hAnsiTheme="majorBidi" w:cstheme="majorBidi"/>
              </w:rPr>
              <w:t>22 not 23</w:t>
            </w:r>
          </w:p>
        </w:tc>
        <w:tc>
          <w:tcPr>
            <w:tcW w:w="1650" w:type="dxa"/>
            <w:noWrap/>
            <w:hideMark/>
          </w:tcPr>
          <w:p w14:paraId="7B94D680" w14:textId="77777777" w:rsidR="009F01D8" w:rsidRPr="00D76748" w:rsidRDefault="009F01D8" w:rsidP="009F01D8">
            <w:pPr>
              <w:rPr>
                <w:rFonts w:asciiTheme="majorBidi" w:hAnsiTheme="majorBidi" w:cstheme="majorBidi"/>
              </w:rPr>
            </w:pPr>
            <w:r w:rsidRPr="00D76748">
              <w:rPr>
                <w:rFonts w:asciiTheme="majorBidi" w:hAnsiTheme="majorBidi" w:cstheme="majorBidi"/>
              </w:rPr>
              <w:t>2173105</w:t>
            </w:r>
          </w:p>
        </w:tc>
      </w:tr>
      <w:tr w:rsidR="009F01D8" w:rsidRPr="00D76748" w14:paraId="30F72467" w14:textId="77777777" w:rsidTr="009F01D8">
        <w:trPr>
          <w:trHeight w:val="288"/>
        </w:trPr>
        <w:tc>
          <w:tcPr>
            <w:tcW w:w="1090" w:type="dxa"/>
            <w:noWrap/>
            <w:hideMark/>
          </w:tcPr>
          <w:p w14:paraId="510DA122" w14:textId="77777777" w:rsidR="009F01D8" w:rsidRPr="00D76748" w:rsidRDefault="009F01D8" w:rsidP="009F01D8">
            <w:pPr>
              <w:rPr>
                <w:rFonts w:asciiTheme="majorBidi" w:hAnsiTheme="majorBidi" w:cstheme="majorBidi"/>
              </w:rPr>
            </w:pPr>
            <w:r w:rsidRPr="00D76748">
              <w:rPr>
                <w:rFonts w:asciiTheme="majorBidi" w:hAnsiTheme="majorBidi" w:cstheme="majorBidi"/>
              </w:rPr>
              <w:t>25</w:t>
            </w:r>
          </w:p>
        </w:tc>
        <w:tc>
          <w:tcPr>
            <w:tcW w:w="6276" w:type="dxa"/>
            <w:noWrap/>
            <w:hideMark/>
          </w:tcPr>
          <w:p w14:paraId="12EB7ACF" w14:textId="77777777" w:rsidR="009F01D8" w:rsidRPr="00D76748" w:rsidRDefault="009F01D8" w:rsidP="009F01D8">
            <w:pPr>
              <w:rPr>
                <w:rFonts w:asciiTheme="majorBidi" w:hAnsiTheme="majorBidi" w:cstheme="majorBidi"/>
              </w:rPr>
            </w:pPr>
            <w:r w:rsidRPr="00D76748">
              <w:rPr>
                <w:rFonts w:asciiTheme="majorBidi" w:hAnsiTheme="majorBidi" w:cstheme="majorBidi"/>
              </w:rPr>
              <w:t>Clinical study/</w:t>
            </w:r>
          </w:p>
        </w:tc>
        <w:tc>
          <w:tcPr>
            <w:tcW w:w="1650" w:type="dxa"/>
            <w:noWrap/>
            <w:hideMark/>
          </w:tcPr>
          <w:p w14:paraId="6ED3086D" w14:textId="77777777" w:rsidR="009F01D8" w:rsidRPr="00D76748" w:rsidRDefault="009F01D8" w:rsidP="009F01D8">
            <w:pPr>
              <w:rPr>
                <w:rFonts w:asciiTheme="majorBidi" w:hAnsiTheme="majorBidi" w:cstheme="majorBidi"/>
              </w:rPr>
            </w:pPr>
            <w:r w:rsidRPr="00D76748">
              <w:rPr>
                <w:rFonts w:asciiTheme="majorBidi" w:hAnsiTheme="majorBidi" w:cstheme="majorBidi"/>
              </w:rPr>
              <w:t>157356</w:t>
            </w:r>
          </w:p>
        </w:tc>
      </w:tr>
      <w:tr w:rsidR="009F01D8" w:rsidRPr="00D76748" w14:paraId="252E0BF9" w14:textId="77777777" w:rsidTr="009F01D8">
        <w:trPr>
          <w:trHeight w:val="288"/>
        </w:trPr>
        <w:tc>
          <w:tcPr>
            <w:tcW w:w="1090" w:type="dxa"/>
            <w:noWrap/>
            <w:hideMark/>
          </w:tcPr>
          <w:p w14:paraId="143C3EFD" w14:textId="77777777" w:rsidR="009F01D8" w:rsidRPr="00D76748" w:rsidRDefault="009F01D8" w:rsidP="009F01D8">
            <w:pPr>
              <w:rPr>
                <w:rFonts w:asciiTheme="majorBidi" w:hAnsiTheme="majorBidi" w:cstheme="majorBidi"/>
              </w:rPr>
            </w:pPr>
            <w:r w:rsidRPr="00D76748">
              <w:rPr>
                <w:rFonts w:asciiTheme="majorBidi" w:hAnsiTheme="majorBidi" w:cstheme="majorBidi"/>
              </w:rPr>
              <w:t>26</w:t>
            </w:r>
          </w:p>
        </w:tc>
        <w:tc>
          <w:tcPr>
            <w:tcW w:w="6276" w:type="dxa"/>
            <w:noWrap/>
            <w:hideMark/>
          </w:tcPr>
          <w:p w14:paraId="664932E5" w14:textId="77777777" w:rsidR="009F01D8" w:rsidRPr="00D76748" w:rsidRDefault="009F01D8" w:rsidP="009F01D8">
            <w:pPr>
              <w:rPr>
                <w:rFonts w:asciiTheme="majorBidi" w:hAnsiTheme="majorBidi" w:cstheme="majorBidi"/>
              </w:rPr>
            </w:pPr>
            <w:r w:rsidRPr="00D76748">
              <w:rPr>
                <w:rFonts w:asciiTheme="majorBidi" w:hAnsiTheme="majorBidi" w:cstheme="majorBidi"/>
              </w:rPr>
              <w:t>Case control study/</w:t>
            </w:r>
          </w:p>
        </w:tc>
        <w:tc>
          <w:tcPr>
            <w:tcW w:w="1650" w:type="dxa"/>
            <w:noWrap/>
            <w:hideMark/>
          </w:tcPr>
          <w:p w14:paraId="213263DE" w14:textId="77777777" w:rsidR="009F01D8" w:rsidRPr="00D76748" w:rsidRDefault="009F01D8" w:rsidP="009F01D8">
            <w:pPr>
              <w:rPr>
                <w:rFonts w:asciiTheme="majorBidi" w:hAnsiTheme="majorBidi" w:cstheme="majorBidi"/>
              </w:rPr>
            </w:pPr>
            <w:r w:rsidRPr="00D76748">
              <w:rPr>
                <w:rFonts w:asciiTheme="majorBidi" w:hAnsiTheme="majorBidi" w:cstheme="majorBidi"/>
              </w:rPr>
              <w:t>171323</w:t>
            </w:r>
          </w:p>
        </w:tc>
      </w:tr>
      <w:tr w:rsidR="009F01D8" w:rsidRPr="00D76748" w14:paraId="61F40CA0" w14:textId="77777777" w:rsidTr="009F01D8">
        <w:trPr>
          <w:trHeight w:val="288"/>
        </w:trPr>
        <w:tc>
          <w:tcPr>
            <w:tcW w:w="1090" w:type="dxa"/>
            <w:noWrap/>
            <w:hideMark/>
          </w:tcPr>
          <w:p w14:paraId="728E1E81" w14:textId="77777777" w:rsidR="009F01D8" w:rsidRPr="00D76748" w:rsidRDefault="009F01D8" w:rsidP="009F01D8">
            <w:pPr>
              <w:rPr>
                <w:rFonts w:asciiTheme="majorBidi" w:hAnsiTheme="majorBidi" w:cstheme="majorBidi"/>
              </w:rPr>
            </w:pPr>
            <w:r w:rsidRPr="00D76748">
              <w:rPr>
                <w:rFonts w:asciiTheme="majorBidi" w:hAnsiTheme="majorBidi" w:cstheme="majorBidi"/>
              </w:rPr>
              <w:t>27</w:t>
            </w:r>
          </w:p>
        </w:tc>
        <w:tc>
          <w:tcPr>
            <w:tcW w:w="6276" w:type="dxa"/>
            <w:noWrap/>
            <w:hideMark/>
          </w:tcPr>
          <w:p w14:paraId="51352CE7" w14:textId="77777777" w:rsidR="009F01D8" w:rsidRPr="00D76748" w:rsidRDefault="009F01D8" w:rsidP="009F01D8">
            <w:pPr>
              <w:rPr>
                <w:rFonts w:asciiTheme="majorBidi" w:hAnsiTheme="majorBidi" w:cstheme="majorBidi"/>
              </w:rPr>
            </w:pPr>
            <w:r w:rsidRPr="00D76748">
              <w:rPr>
                <w:rFonts w:asciiTheme="majorBidi" w:hAnsiTheme="majorBidi" w:cstheme="majorBidi"/>
              </w:rPr>
              <w:t>Family study/</w:t>
            </w:r>
          </w:p>
        </w:tc>
        <w:tc>
          <w:tcPr>
            <w:tcW w:w="1650" w:type="dxa"/>
            <w:noWrap/>
            <w:hideMark/>
          </w:tcPr>
          <w:p w14:paraId="00088572" w14:textId="77777777" w:rsidR="009F01D8" w:rsidRPr="00D76748" w:rsidRDefault="009F01D8" w:rsidP="009F01D8">
            <w:pPr>
              <w:rPr>
                <w:rFonts w:asciiTheme="majorBidi" w:hAnsiTheme="majorBidi" w:cstheme="majorBidi"/>
              </w:rPr>
            </w:pPr>
            <w:r w:rsidRPr="00D76748">
              <w:rPr>
                <w:rFonts w:asciiTheme="majorBidi" w:hAnsiTheme="majorBidi" w:cstheme="majorBidi"/>
              </w:rPr>
              <w:t>26257</w:t>
            </w:r>
          </w:p>
        </w:tc>
      </w:tr>
      <w:tr w:rsidR="009F01D8" w:rsidRPr="00D76748" w14:paraId="2E628DB4" w14:textId="77777777" w:rsidTr="009F01D8">
        <w:trPr>
          <w:trHeight w:val="288"/>
        </w:trPr>
        <w:tc>
          <w:tcPr>
            <w:tcW w:w="1090" w:type="dxa"/>
            <w:noWrap/>
            <w:hideMark/>
          </w:tcPr>
          <w:p w14:paraId="6A954864" w14:textId="77777777" w:rsidR="009F01D8" w:rsidRPr="00D76748" w:rsidRDefault="009F01D8" w:rsidP="009F01D8">
            <w:pPr>
              <w:rPr>
                <w:rFonts w:asciiTheme="majorBidi" w:hAnsiTheme="majorBidi" w:cstheme="majorBidi"/>
              </w:rPr>
            </w:pPr>
            <w:r w:rsidRPr="00D76748">
              <w:rPr>
                <w:rFonts w:asciiTheme="majorBidi" w:hAnsiTheme="majorBidi" w:cstheme="majorBidi"/>
              </w:rPr>
              <w:t>28</w:t>
            </w:r>
          </w:p>
        </w:tc>
        <w:tc>
          <w:tcPr>
            <w:tcW w:w="6276" w:type="dxa"/>
            <w:noWrap/>
            <w:hideMark/>
          </w:tcPr>
          <w:p w14:paraId="7C070BE0" w14:textId="77777777" w:rsidR="009F01D8" w:rsidRPr="00D76748" w:rsidRDefault="009F01D8" w:rsidP="009F01D8">
            <w:pPr>
              <w:rPr>
                <w:rFonts w:asciiTheme="majorBidi" w:hAnsiTheme="majorBidi" w:cstheme="majorBidi"/>
              </w:rPr>
            </w:pPr>
            <w:r w:rsidRPr="00D76748">
              <w:rPr>
                <w:rFonts w:asciiTheme="majorBidi" w:hAnsiTheme="majorBidi" w:cstheme="majorBidi"/>
              </w:rPr>
              <w:t>Longitudinal study/</w:t>
            </w:r>
          </w:p>
        </w:tc>
        <w:tc>
          <w:tcPr>
            <w:tcW w:w="1650" w:type="dxa"/>
            <w:noWrap/>
            <w:hideMark/>
          </w:tcPr>
          <w:p w14:paraId="355F91A1" w14:textId="77777777" w:rsidR="009F01D8" w:rsidRPr="00D76748" w:rsidRDefault="009F01D8" w:rsidP="009F01D8">
            <w:pPr>
              <w:rPr>
                <w:rFonts w:asciiTheme="majorBidi" w:hAnsiTheme="majorBidi" w:cstheme="majorBidi"/>
              </w:rPr>
            </w:pPr>
            <w:r w:rsidRPr="00D76748">
              <w:rPr>
                <w:rFonts w:asciiTheme="majorBidi" w:hAnsiTheme="majorBidi" w:cstheme="majorBidi"/>
              </w:rPr>
              <w:t>153994</w:t>
            </w:r>
          </w:p>
        </w:tc>
      </w:tr>
      <w:tr w:rsidR="009F01D8" w:rsidRPr="00D76748" w14:paraId="49D1FE14" w14:textId="77777777" w:rsidTr="009F01D8">
        <w:trPr>
          <w:trHeight w:val="288"/>
        </w:trPr>
        <w:tc>
          <w:tcPr>
            <w:tcW w:w="1090" w:type="dxa"/>
            <w:noWrap/>
            <w:hideMark/>
          </w:tcPr>
          <w:p w14:paraId="15E2FF6B" w14:textId="77777777" w:rsidR="009F01D8" w:rsidRPr="00D76748" w:rsidRDefault="009F01D8" w:rsidP="009F01D8">
            <w:pPr>
              <w:rPr>
                <w:rFonts w:asciiTheme="majorBidi" w:hAnsiTheme="majorBidi" w:cstheme="majorBidi"/>
              </w:rPr>
            </w:pPr>
            <w:r w:rsidRPr="00D76748">
              <w:rPr>
                <w:rFonts w:asciiTheme="majorBidi" w:hAnsiTheme="majorBidi" w:cstheme="majorBidi"/>
              </w:rPr>
              <w:t>29</w:t>
            </w:r>
          </w:p>
        </w:tc>
        <w:tc>
          <w:tcPr>
            <w:tcW w:w="6276" w:type="dxa"/>
            <w:noWrap/>
            <w:hideMark/>
          </w:tcPr>
          <w:p w14:paraId="406D7B38" w14:textId="77777777" w:rsidR="009F01D8" w:rsidRPr="00D76748" w:rsidRDefault="009F01D8" w:rsidP="009F01D8">
            <w:pPr>
              <w:rPr>
                <w:rFonts w:asciiTheme="majorBidi" w:hAnsiTheme="majorBidi" w:cstheme="majorBidi"/>
              </w:rPr>
            </w:pPr>
            <w:r w:rsidRPr="00D76748">
              <w:rPr>
                <w:rFonts w:asciiTheme="majorBidi" w:hAnsiTheme="majorBidi" w:cstheme="majorBidi"/>
              </w:rPr>
              <w:t>Retrospective study/</w:t>
            </w:r>
          </w:p>
        </w:tc>
        <w:tc>
          <w:tcPr>
            <w:tcW w:w="1650" w:type="dxa"/>
            <w:noWrap/>
            <w:hideMark/>
          </w:tcPr>
          <w:p w14:paraId="431CFAE5" w14:textId="77777777" w:rsidR="009F01D8" w:rsidRPr="00D76748" w:rsidRDefault="009F01D8" w:rsidP="009F01D8">
            <w:pPr>
              <w:rPr>
                <w:rFonts w:asciiTheme="majorBidi" w:hAnsiTheme="majorBidi" w:cstheme="majorBidi"/>
              </w:rPr>
            </w:pPr>
            <w:r w:rsidRPr="00D76748">
              <w:rPr>
                <w:rFonts w:asciiTheme="majorBidi" w:hAnsiTheme="majorBidi" w:cstheme="majorBidi"/>
              </w:rPr>
              <w:t>1061177</w:t>
            </w:r>
          </w:p>
        </w:tc>
      </w:tr>
      <w:tr w:rsidR="009F01D8" w:rsidRPr="00D76748" w14:paraId="235DE166" w14:textId="77777777" w:rsidTr="009F01D8">
        <w:trPr>
          <w:trHeight w:val="288"/>
        </w:trPr>
        <w:tc>
          <w:tcPr>
            <w:tcW w:w="1090" w:type="dxa"/>
            <w:noWrap/>
            <w:hideMark/>
          </w:tcPr>
          <w:p w14:paraId="180D2BC5" w14:textId="77777777" w:rsidR="009F01D8" w:rsidRPr="00D76748" w:rsidRDefault="009F01D8" w:rsidP="009F01D8">
            <w:pPr>
              <w:rPr>
                <w:rFonts w:asciiTheme="majorBidi" w:hAnsiTheme="majorBidi" w:cstheme="majorBidi"/>
              </w:rPr>
            </w:pPr>
            <w:r w:rsidRPr="00D76748">
              <w:rPr>
                <w:rFonts w:asciiTheme="majorBidi" w:hAnsiTheme="majorBidi" w:cstheme="majorBidi"/>
              </w:rPr>
              <w:t>30</w:t>
            </w:r>
          </w:p>
        </w:tc>
        <w:tc>
          <w:tcPr>
            <w:tcW w:w="6276" w:type="dxa"/>
            <w:noWrap/>
            <w:hideMark/>
          </w:tcPr>
          <w:p w14:paraId="4C54EAA0" w14:textId="77777777" w:rsidR="009F01D8" w:rsidRPr="00D76748" w:rsidRDefault="009F01D8" w:rsidP="009F01D8">
            <w:pPr>
              <w:rPr>
                <w:rFonts w:asciiTheme="majorBidi" w:hAnsiTheme="majorBidi" w:cstheme="majorBidi"/>
              </w:rPr>
            </w:pPr>
            <w:r w:rsidRPr="00D76748">
              <w:rPr>
                <w:rFonts w:asciiTheme="majorBidi" w:hAnsiTheme="majorBidi" w:cstheme="majorBidi"/>
              </w:rPr>
              <w:t>comparative study/</w:t>
            </w:r>
          </w:p>
        </w:tc>
        <w:tc>
          <w:tcPr>
            <w:tcW w:w="1650" w:type="dxa"/>
            <w:noWrap/>
            <w:hideMark/>
          </w:tcPr>
          <w:p w14:paraId="70B9CF98" w14:textId="77777777" w:rsidR="009F01D8" w:rsidRPr="00D76748" w:rsidRDefault="009F01D8" w:rsidP="009F01D8">
            <w:pPr>
              <w:rPr>
                <w:rFonts w:asciiTheme="majorBidi" w:hAnsiTheme="majorBidi" w:cstheme="majorBidi"/>
              </w:rPr>
            </w:pPr>
            <w:r w:rsidRPr="00D76748">
              <w:rPr>
                <w:rFonts w:asciiTheme="majorBidi" w:hAnsiTheme="majorBidi" w:cstheme="majorBidi"/>
              </w:rPr>
              <w:t>895931</w:t>
            </w:r>
          </w:p>
        </w:tc>
      </w:tr>
      <w:tr w:rsidR="009F01D8" w:rsidRPr="00D76748" w14:paraId="50C287D4" w14:textId="77777777" w:rsidTr="009F01D8">
        <w:trPr>
          <w:trHeight w:val="288"/>
        </w:trPr>
        <w:tc>
          <w:tcPr>
            <w:tcW w:w="1090" w:type="dxa"/>
            <w:noWrap/>
            <w:hideMark/>
          </w:tcPr>
          <w:p w14:paraId="639CBE2D" w14:textId="77777777" w:rsidR="009F01D8" w:rsidRPr="00D76748" w:rsidRDefault="009F01D8" w:rsidP="009F01D8">
            <w:pPr>
              <w:rPr>
                <w:rFonts w:asciiTheme="majorBidi" w:hAnsiTheme="majorBidi" w:cstheme="majorBidi"/>
              </w:rPr>
            </w:pPr>
            <w:r w:rsidRPr="00D76748">
              <w:rPr>
                <w:rFonts w:asciiTheme="majorBidi" w:hAnsiTheme="majorBidi" w:cstheme="majorBidi"/>
              </w:rPr>
              <w:t>31</w:t>
            </w:r>
          </w:p>
        </w:tc>
        <w:tc>
          <w:tcPr>
            <w:tcW w:w="6276" w:type="dxa"/>
            <w:noWrap/>
            <w:hideMark/>
          </w:tcPr>
          <w:p w14:paraId="0F38A010" w14:textId="77777777" w:rsidR="009F01D8" w:rsidRPr="00D76748" w:rsidRDefault="009F01D8" w:rsidP="009F01D8">
            <w:pPr>
              <w:rPr>
                <w:rFonts w:asciiTheme="majorBidi" w:hAnsiTheme="majorBidi" w:cstheme="majorBidi"/>
              </w:rPr>
            </w:pPr>
            <w:r w:rsidRPr="00D76748">
              <w:rPr>
                <w:rFonts w:asciiTheme="majorBidi" w:hAnsiTheme="majorBidi" w:cstheme="majorBidi"/>
              </w:rPr>
              <w:t>Prospective study/</w:t>
            </w:r>
          </w:p>
        </w:tc>
        <w:tc>
          <w:tcPr>
            <w:tcW w:w="1650" w:type="dxa"/>
            <w:noWrap/>
            <w:hideMark/>
          </w:tcPr>
          <w:p w14:paraId="0A6145E1" w14:textId="77777777" w:rsidR="009F01D8" w:rsidRPr="00D76748" w:rsidRDefault="009F01D8" w:rsidP="009F01D8">
            <w:pPr>
              <w:rPr>
                <w:rFonts w:asciiTheme="majorBidi" w:hAnsiTheme="majorBidi" w:cstheme="majorBidi"/>
              </w:rPr>
            </w:pPr>
            <w:r w:rsidRPr="00D76748">
              <w:rPr>
                <w:rFonts w:asciiTheme="majorBidi" w:hAnsiTheme="majorBidi" w:cstheme="majorBidi"/>
              </w:rPr>
              <w:t>678405</w:t>
            </w:r>
          </w:p>
        </w:tc>
      </w:tr>
      <w:tr w:rsidR="009F01D8" w:rsidRPr="00D76748" w14:paraId="1CD83ECC" w14:textId="77777777" w:rsidTr="009F01D8">
        <w:trPr>
          <w:trHeight w:val="288"/>
        </w:trPr>
        <w:tc>
          <w:tcPr>
            <w:tcW w:w="1090" w:type="dxa"/>
            <w:noWrap/>
            <w:hideMark/>
          </w:tcPr>
          <w:p w14:paraId="51E1A79B" w14:textId="77777777" w:rsidR="009F01D8" w:rsidRPr="00D76748" w:rsidRDefault="009F01D8" w:rsidP="009F01D8">
            <w:pPr>
              <w:rPr>
                <w:rFonts w:asciiTheme="majorBidi" w:hAnsiTheme="majorBidi" w:cstheme="majorBidi"/>
              </w:rPr>
            </w:pPr>
            <w:r w:rsidRPr="00D76748">
              <w:rPr>
                <w:rFonts w:asciiTheme="majorBidi" w:hAnsiTheme="majorBidi" w:cstheme="majorBidi"/>
              </w:rPr>
              <w:t>32</w:t>
            </w:r>
          </w:p>
        </w:tc>
        <w:tc>
          <w:tcPr>
            <w:tcW w:w="6276" w:type="dxa"/>
            <w:noWrap/>
            <w:hideMark/>
          </w:tcPr>
          <w:p w14:paraId="58E7CC1C" w14:textId="77777777" w:rsidR="009F01D8" w:rsidRPr="00D76748" w:rsidRDefault="009F01D8" w:rsidP="009F01D8">
            <w:pPr>
              <w:rPr>
                <w:rFonts w:asciiTheme="majorBidi" w:hAnsiTheme="majorBidi" w:cstheme="majorBidi"/>
              </w:rPr>
            </w:pPr>
            <w:r w:rsidRPr="00D76748">
              <w:rPr>
                <w:rFonts w:asciiTheme="majorBidi" w:hAnsiTheme="majorBidi" w:cstheme="majorBidi"/>
              </w:rPr>
              <w:t>Randomized controlled trials/</w:t>
            </w:r>
          </w:p>
        </w:tc>
        <w:tc>
          <w:tcPr>
            <w:tcW w:w="1650" w:type="dxa"/>
            <w:noWrap/>
            <w:hideMark/>
          </w:tcPr>
          <w:p w14:paraId="4F8E301A" w14:textId="77777777" w:rsidR="009F01D8" w:rsidRPr="00D76748" w:rsidRDefault="009F01D8" w:rsidP="009F01D8">
            <w:pPr>
              <w:rPr>
                <w:rFonts w:asciiTheme="majorBidi" w:hAnsiTheme="majorBidi" w:cstheme="majorBidi"/>
              </w:rPr>
            </w:pPr>
            <w:r w:rsidRPr="00D76748">
              <w:rPr>
                <w:rFonts w:asciiTheme="majorBidi" w:hAnsiTheme="majorBidi" w:cstheme="majorBidi"/>
              </w:rPr>
              <w:t>201238</w:t>
            </w:r>
          </w:p>
        </w:tc>
      </w:tr>
      <w:tr w:rsidR="009F01D8" w:rsidRPr="00D76748" w14:paraId="69876DC0" w14:textId="77777777" w:rsidTr="009F01D8">
        <w:trPr>
          <w:trHeight w:val="288"/>
        </w:trPr>
        <w:tc>
          <w:tcPr>
            <w:tcW w:w="1090" w:type="dxa"/>
            <w:hideMark/>
          </w:tcPr>
          <w:p w14:paraId="2EEDDA6C" w14:textId="77777777" w:rsidR="009F01D8" w:rsidRPr="00D76748" w:rsidRDefault="009F01D8" w:rsidP="009F01D8">
            <w:pPr>
              <w:rPr>
                <w:rFonts w:asciiTheme="majorBidi" w:hAnsiTheme="majorBidi" w:cstheme="majorBidi"/>
              </w:rPr>
            </w:pPr>
            <w:r w:rsidRPr="00D76748">
              <w:rPr>
                <w:rFonts w:asciiTheme="majorBidi" w:hAnsiTheme="majorBidi" w:cstheme="majorBidi"/>
              </w:rPr>
              <w:t>33</w:t>
            </w:r>
          </w:p>
        </w:tc>
        <w:tc>
          <w:tcPr>
            <w:tcW w:w="6276" w:type="dxa"/>
            <w:hideMark/>
          </w:tcPr>
          <w:p w14:paraId="75E1318E" w14:textId="77777777" w:rsidR="009F01D8" w:rsidRPr="00D76748" w:rsidRDefault="009F01D8" w:rsidP="009F01D8">
            <w:pPr>
              <w:rPr>
                <w:rFonts w:asciiTheme="majorBidi" w:hAnsiTheme="majorBidi" w:cstheme="majorBidi"/>
              </w:rPr>
            </w:pPr>
            <w:r w:rsidRPr="00D76748">
              <w:rPr>
                <w:rFonts w:asciiTheme="majorBidi" w:hAnsiTheme="majorBidi" w:cstheme="majorBidi"/>
              </w:rPr>
              <w:t>31 not 32</w:t>
            </w:r>
          </w:p>
        </w:tc>
        <w:tc>
          <w:tcPr>
            <w:tcW w:w="1650" w:type="dxa"/>
            <w:noWrap/>
            <w:hideMark/>
          </w:tcPr>
          <w:p w14:paraId="5B3709FF" w14:textId="77777777" w:rsidR="009F01D8" w:rsidRPr="00D76748" w:rsidRDefault="009F01D8" w:rsidP="009F01D8">
            <w:pPr>
              <w:rPr>
                <w:rFonts w:asciiTheme="majorBidi" w:hAnsiTheme="majorBidi" w:cstheme="majorBidi"/>
              </w:rPr>
            </w:pPr>
            <w:r w:rsidRPr="00D76748">
              <w:rPr>
                <w:rFonts w:asciiTheme="majorBidi" w:hAnsiTheme="majorBidi" w:cstheme="majorBidi"/>
              </w:rPr>
              <w:t>670835</w:t>
            </w:r>
          </w:p>
        </w:tc>
      </w:tr>
      <w:tr w:rsidR="009F01D8" w:rsidRPr="00D76748" w14:paraId="7B05C0DA" w14:textId="77777777" w:rsidTr="009F01D8">
        <w:trPr>
          <w:trHeight w:val="288"/>
        </w:trPr>
        <w:tc>
          <w:tcPr>
            <w:tcW w:w="1090" w:type="dxa"/>
            <w:noWrap/>
            <w:hideMark/>
          </w:tcPr>
          <w:p w14:paraId="0B8A5118" w14:textId="77777777" w:rsidR="009F01D8" w:rsidRPr="00D76748" w:rsidRDefault="009F01D8" w:rsidP="009F01D8">
            <w:pPr>
              <w:rPr>
                <w:rFonts w:asciiTheme="majorBidi" w:hAnsiTheme="majorBidi" w:cstheme="majorBidi"/>
              </w:rPr>
            </w:pPr>
            <w:r w:rsidRPr="00D76748">
              <w:rPr>
                <w:rFonts w:asciiTheme="majorBidi" w:hAnsiTheme="majorBidi" w:cstheme="majorBidi"/>
              </w:rPr>
              <w:t>34</w:t>
            </w:r>
          </w:p>
        </w:tc>
        <w:tc>
          <w:tcPr>
            <w:tcW w:w="6276" w:type="dxa"/>
            <w:noWrap/>
            <w:hideMark/>
          </w:tcPr>
          <w:p w14:paraId="5455C03D" w14:textId="77777777" w:rsidR="009F01D8" w:rsidRPr="00D76748" w:rsidRDefault="009F01D8" w:rsidP="009F01D8">
            <w:pPr>
              <w:rPr>
                <w:rFonts w:asciiTheme="majorBidi" w:hAnsiTheme="majorBidi" w:cstheme="majorBidi"/>
              </w:rPr>
            </w:pPr>
            <w:r w:rsidRPr="00D76748">
              <w:rPr>
                <w:rFonts w:asciiTheme="majorBidi" w:hAnsiTheme="majorBidi" w:cstheme="majorBidi"/>
              </w:rPr>
              <w:t>Cohort analysis/</w:t>
            </w:r>
          </w:p>
        </w:tc>
        <w:tc>
          <w:tcPr>
            <w:tcW w:w="1650" w:type="dxa"/>
            <w:noWrap/>
            <w:hideMark/>
          </w:tcPr>
          <w:p w14:paraId="78BCB8AD" w14:textId="77777777" w:rsidR="009F01D8" w:rsidRPr="00D76748" w:rsidRDefault="009F01D8" w:rsidP="009F01D8">
            <w:pPr>
              <w:rPr>
                <w:rFonts w:asciiTheme="majorBidi" w:hAnsiTheme="majorBidi" w:cstheme="majorBidi"/>
              </w:rPr>
            </w:pPr>
            <w:r w:rsidRPr="00D76748">
              <w:rPr>
                <w:rFonts w:asciiTheme="majorBidi" w:hAnsiTheme="majorBidi" w:cstheme="majorBidi"/>
              </w:rPr>
              <w:t>693427</w:t>
            </w:r>
          </w:p>
        </w:tc>
      </w:tr>
      <w:tr w:rsidR="009F01D8" w:rsidRPr="00D76748" w14:paraId="40D606BE" w14:textId="77777777" w:rsidTr="009F01D8">
        <w:trPr>
          <w:trHeight w:val="288"/>
        </w:trPr>
        <w:tc>
          <w:tcPr>
            <w:tcW w:w="1090" w:type="dxa"/>
            <w:noWrap/>
            <w:hideMark/>
          </w:tcPr>
          <w:p w14:paraId="26C45CB7" w14:textId="77777777" w:rsidR="009F01D8" w:rsidRPr="00D76748" w:rsidRDefault="009F01D8" w:rsidP="009F01D8">
            <w:pPr>
              <w:rPr>
                <w:rFonts w:asciiTheme="majorBidi" w:hAnsiTheme="majorBidi" w:cstheme="majorBidi"/>
              </w:rPr>
            </w:pPr>
            <w:r w:rsidRPr="00D76748">
              <w:rPr>
                <w:rFonts w:asciiTheme="majorBidi" w:hAnsiTheme="majorBidi" w:cstheme="majorBidi"/>
              </w:rPr>
              <w:t>35</w:t>
            </w:r>
          </w:p>
        </w:tc>
        <w:tc>
          <w:tcPr>
            <w:tcW w:w="6276" w:type="dxa"/>
            <w:noWrap/>
            <w:hideMark/>
          </w:tcPr>
          <w:p w14:paraId="56259326" w14:textId="77777777" w:rsidR="009F01D8" w:rsidRPr="00D76748" w:rsidRDefault="009F01D8" w:rsidP="009F01D8">
            <w:pPr>
              <w:rPr>
                <w:rFonts w:asciiTheme="majorBidi" w:hAnsiTheme="majorBidi" w:cstheme="majorBidi"/>
              </w:rPr>
            </w:pPr>
            <w:r w:rsidRPr="00D76748">
              <w:rPr>
                <w:rFonts w:asciiTheme="majorBidi" w:hAnsiTheme="majorBidi" w:cstheme="majorBidi"/>
              </w:rPr>
              <w:t>cohort analy$.tw.</w:t>
            </w:r>
          </w:p>
        </w:tc>
        <w:tc>
          <w:tcPr>
            <w:tcW w:w="1650" w:type="dxa"/>
            <w:noWrap/>
            <w:hideMark/>
          </w:tcPr>
          <w:p w14:paraId="7A8AFB42" w14:textId="77777777" w:rsidR="009F01D8" w:rsidRPr="00D76748" w:rsidRDefault="009F01D8" w:rsidP="009F01D8">
            <w:pPr>
              <w:rPr>
                <w:rFonts w:asciiTheme="majorBidi" w:hAnsiTheme="majorBidi" w:cstheme="majorBidi"/>
              </w:rPr>
            </w:pPr>
            <w:r w:rsidRPr="00D76748">
              <w:rPr>
                <w:rFonts w:asciiTheme="majorBidi" w:hAnsiTheme="majorBidi" w:cstheme="majorBidi"/>
              </w:rPr>
              <w:t>14434</w:t>
            </w:r>
          </w:p>
        </w:tc>
      </w:tr>
      <w:tr w:rsidR="009F01D8" w:rsidRPr="00D76748" w14:paraId="34922247" w14:textId="77777777" w:rsidTr="009F01D8">
        <w:trPr>
          <w:trHeight w:val="288"/>
        </w:trPr>
        <w:tc>
          <w:tcPr>
            <w:tcW w:w="1090" w:type="dxa"/>
            <w:noWrap/>
            <w:hideMark/>
          </w:tcPr>
          <w:p w14:paraId="6DCD72EC" w14:textId="77777777" w:rsidR="009F01D8" w:rsidRPr="00D76748" w:rsidRDefault="009F01D8" w:rsidP="009F01D8">
            <w:pPr>
              <w:rPr>
                <w:rFonts w:asciiTheme="majorBidi" w:hAnsiTheme="majorBidi" w:cstheme="majorBidi"/>
              </w:rPr>
            </w:pPr>
            <w:r w:rsidRPr="00D76748">
              <w:rPr>
                <w:rFonts w:asciiTheme="majorBidi" w:hAnsiTheme="majorBidi" w:cstheme="majorBidi"/>
              </w:rPr>
              <w:t>36</w:t>
            </w:r>
          </w:p>
        </w:tc>
        <w:tc>
          <w:tcPr>
            <w:tcW w:w="6276" w:type="dxa"/>
            <w:noWrap/>
            <w:hideMark/>
          </w:tcPr>
          <w:p w14:paraId="7DBEC802"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(Cohort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1B0BF3BC" w14:textId="77777777" w:rsidR="009F01D8" w:rsidRPr="00D76748" w:rsidRDefault="009F01D8" w:rsidP="009F01D8">
            <w:pPr>
              <w:rPr>
                <w:rFonts w:asciiTheme="majorBidi" w:hAnsiTheme="majorBidi" w:cstheme="majorBidi"/>
              </w:rPr>
            </w:pPr>
            <w:r w:rsidRPr="00D76748">
              <w:rPr>
                <w:rFonts w:asciiTheme="majorBidi" w:hAnsiTheme="majorBidi" w:cstheme="majorBidi"/>
              </w:rPr>
              <w:t>338607</w:t>
            </w:r>
          </w:p>
        </w:tc>
      </w:tr>
      <w:tr w:rsidR="009F01D8" w:rsidRPr="00D76748" w14:paraId="174D2636" w14:textId="77777777" w:rsidTr="009F01D8">
        <w:trPr>
          <w:trHeight w:val="288"/>
        </w:trPr>
        <w:tc>
          <w:tcPr>
            <w:tcW w:w="1090" w:type="dxa"/>
            <w:noWrap/>
            <w:hideMark/>
          </w:tcPr>
          <w:p w14:paraId="6539D35C" w14:textId="77777777" w:rsidR="009F01D8" w:rsidRPr="00D76748" w:rsidRDefault="009F01D8" w:rsidP="009F01D8">
            <w:pPr>
              <w:rPr>
                <w:rFonts w:asciiTheme="majorBidi" w:hAnsiTheme="majorBidi" w:cstheme="majorBidi"/>
              </w:rPr>
            </w:pPr>
            <w:r w:rsidRPr="00D76748">
              <w:rPr>
                <w:rFonts w:asciiTheme="majorBidi" w:hAnsiTheme="majorBidi" w:cstheme="majorBidi"/>
              </w:rPr>
              <w:t>37</w:t>
            </w:r>
          </w:p>
        </w:tc>
        <w:tc>
          <w:tcPr>
            <w:tcW w:w="6276" w:type="dxa"/>
            <w:noWrap/>
            <w:hideMark/>
          </w:tcPr>
          <w:p w14:paraId="766E5AE4"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(Case control$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2A1E14E" w14:textId="77777777" w:rsidR="009F01D8" w:rsidRPr="00D76748" w:rsidRDefault="009F01D8" w:rsidP="009F01D8">
            <w:pPr>
              <w:rPr>
                <w:rFonts w:asciiTheme="majorBidi" w:hAnsiTheme="majorBidi" w:cstheme="majorBidi"/>
              </w:rPr>
            </w:pPr>
            <w:r w:rsidRPr="00D76748">
              <w:rPr>
                <w:rFonts w:asciiTheme="majorBidi" w:hAnsiTheme="majorBidi" w:cstheme="majorBidi"/>
              </w:rPr>
              <w:t>146583</w:t>
            </w:r>
          </w:p>
        </w:tc>
      </w:tr>
      <w:tr w:rsidR="009F01D8" w:rsidRPr="00D76748" w14:paraId="4C2D5783" w14:textId="77777777" w:rsidTr="009F01D8">
        <w:trPr>
          <w:trHeight w:val="288"/>
        </w:trPr>
        <w:tc>
          <w:tcPr>
            <w:tcW w:w="1090" w:type="dxa"/>
            <w:noWrap/>
            <w:hideMark/>
          </w:tcPr>
          <w:p w14:paraId="05BF93EE" w14:textId="77777777" w:rsidR="009F01D8" w:rsidRPr="00D76748" w:rsidRDefault="009F01D8" w:rsidP="009F01D8">
            <w:pPr>
              <w:rPr>
                <w:rFonts w:asciiTheme="majorBidi" w:hAnsiTheme="majorBidi" w:cstheme="majorBidi"/>
              </w:rPr>
            </w:pPr>
            <w:r w:rsidRPr="00D76748">
              <w:rPr>
                <w:rFonts w:asciiTheme="majorBidi" w:hAnsiTheme="majorBidi" w:cstheme="majorBidi"/>
              </w:rPr>
              <w:t>38</w:t>
            </w:r>
          </w:p>
        </w:tc>
        <w:tc>
          <w:tcPr>
            <w:tcW w:w="6276" w:type="dxa"/>
            <w:noWrap/>
            <w:hideMark/>
          </w:tcPr>
          <w:p w14:paraId="219ABF52"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follow</w:t>
            </w:r>
            <w:proofErr w:type="gramEnd"/>
            <w:r w:rsidRPr="00D76748">
              <w:rPr>
                <w:rFonts w:asciiTheme="majorBidi" w:hAnsiTheme="majorBidi" w:cstheme="majorBidi"/>
              </w:rPr>
              <w:t xml:space="preserve"> up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48AA668F" w14:textId="77777777" w:rsidR="009F01D8" w:rsidRPr="00D76748" w:rsidRDefault="009F01D8" w:rsidP="009F01D8">
            <w:pPr>
              <w:rPr>
                <w:rFonts w:asciiTheme="majorBidi" w:hAnsiTheme="majorBidi" w:cstheme="majorBidi"/>
              </w:rPr>
            </w:pPr>
            <w:r w:rsidRPr="00D76748">
              <w:rPr>
                <w:rFonts w:asciiTheme="majorBidi" w:hAnsiTheme="majorBidi" w:cstheme="majorBidi"/>
              </w:rPr>
              <w:t>66194</w:t>
            </w:r>
          </w:p>
        </w:tc>
      </w:tr>
      <w:tr w:rsidR="009F01D8" w:rsidRPr="00D76748" w14:paraId="358F0F1A" w14:textId="77777777" w:rsidTr="009F01D8">
        <w:trPr>
          <w:trHeight w:val="288"/>
        </w:trPr>
        <w:tc>
          <w:tcPr>
            <w:tcW w:w="1090" w:type="dxa"/>
            <w:noWrap/>
            <w:hideMark/>
          </w:tcPr>
          <w:p w14:paraId="02831516" w14:textId="77777777" w:rsidR="009F01D8" w:rsidRPr="00D76748" w:rsidRDefault="009F01D8" w:rsidP="009F01D8">
            <w:pPr>
              <w:rPr>
                <w:rFonts w:asciiTheme="majorBidi" w:hAnsiTheme="majorBidi" w:cstheme="majorBidi"/>
              </w:rPr>
            </w:pPr>
            <w:r w:rsidRPr="00D76748">
              <w:rPr>
                <w:rFonts w:asciiTheme="majorBidi" w:hAnsiTheme="majorBidi" w:cstheme="majorBidi"/>
              </w:rPr>
              <w:lastRenderedPageBreak/>
              <w:t>39</w:t>
            </w:r>
          </w:p>
        </w:tc>
        <w:tc>
          <w:tcPr>
            <w:tcW w:w="6276" w:type="dxa"/>
            <w:noWrap/>
            <w:hideMark/>
          </w:tcPr>
          <w:p w14:paraId="79CC8DF5"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observational</w:t>
            </w:r>
            <w:proofErr w:type="gramEnd"/>
            <w:r w:rsidRPr="00D76748">
              <w:rPr>
                <w:rFonts w:asciiTheme="majorBidi" w:hAnsiTheme="majorBidi" w:cstheme="majorBidi"/>
              </w:rPr>
              <w:t xml:space="preserve">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376EED36" w14:textId="77777777" w:rsidR="009F01D8" w:rsidRPr="00D76748" w:rsidRDefault="009F01D8" w:rsidP="009F01D8">
            <w:pPr>
              <w:rPr>
                <w:rFonts w:asciiTheme="majorBidi" w:hAnsiTheme="majorBidi" w:cstheme="majorBidi"/>
              </w:rPr>
            </w:pPr>
            <w:r w:rsidRPr="00D76748">
              <w:rPr>
                <w:rFonts w:asciiTheme="majorBidi" w:hAnsiTheme="majorBidi" w:cstheme="majorBidi"/>
              </w:rPr>
              <w:t>188213</w:t>
            </w:r>
          </w:p>
        </w:tc>
      </w:tr>
      <w:tr w:rsidR="009F01D8" w:rsidRPr="00D76748" w14:paraId="03651419" w14:textId="77777777" w:rsidTr="009F01D8">
        <w:trPr>
          <w:trHeight w:val="288"/>
        </w:trPr>
        <w:tc>
          <w:tcPr>
            <w:tcW w:w="1090" w:type="dxa"/>
            <w:noWrap/>
            <w:hideMark/>
          </w:tcPr>
          <w:p w14:paraId="4C433428" w14:textId="77777777" w:rsidR="009F01D8" w:rsidRPr="00D76748" w:rsidRDefault="009F01D8" w:rsidP="009F01D8">
            <w:pPr>
              <w:rPr>
                <w:rFonts w:asciiTheme="majorBidi" w:hAnsiTheme="majorBidi" w:cstheme="majorBidi"/>
              </w:rPr>
            </w:pPr>
            <w:r w:rsidRPr="00D76748">
              <w:rPr>
                <w:rFonts w:asciiTheme="majorBidi" w:hAnsiTheme="majorBidi" w:cstheme="majorBidi"/>
              </w:rPr>
              <w:t>40</w:t>
            </w:r>
          </w:p>
        </w:tc>
        <w:tc>
          <w:tcPr>
            <w:tcW w:w="6276" w:type="dxa"/>
            <w:noWrap/>
            <w:hideMark/>
          </w:tcPr>
          <w:p w14:paraId="4934C8F5" w14:textId="77777777" w:rsidR="009F01D8" w:rsidRPr="00D76748" w:rsidRDefault="009F01D8" w:rsidP="009F01D8">
            <w:pPr>
              <w:rPr>
                <w:rFonts w:asciiTheme="majorBidi" w:hAnsiTheme="majorBidi" w:cstheme="majorBidi"/>
              </w:rPr>
            </w:pPr>
            <w:r w:rsidRPr="00D76748">
              <w:rPr>
                <w:rFonts w:asciiTheme="majorBidi" w:hAnsiTheme="majorBidi" w:cstheme="majorBidi"/>
              </w:rPr>
              <w:t xml:space="preserve">(epidemiologic$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90E4476" w14:textId="77777777" w:rsidR="009F01D8" w:rsidRPr="00D76748" w:rsidRDefault="009F01D8" w:rsidP="009F01D8">
            <w:pPr>
              <w:rPr>
                <w:rFonts w:asciiTheme="majorBidi" w:hAnsiTheme="majorBidi" w:cstheme="majorBidi"/>
              </w:rPr>
            </w:pPr>
            <w:r w:rsidRPr="00D76748">
              <w:rPr>
                <w:rFonts w:asciiTheme="majorBidi" w:hAnsiTheme="majorBidi" w:cstheme="majorBidi"/>
              </w:rPr>
              <w:t>111182</w:t>
            </w:r>
          </w:p>
        </w:tc>
      </w:tr>
      <w:tr w:rsidR="009F01D8" w:rsidRPr="00D76748" w14:paraId="01FFB77A" w14:textId="77777777" w:rsidTr="009F01D8">
        <w:trPr>
          <w:trHeight w:val="288"/>
        </w:trPr>
        <w:tc>
          <w:tcPr>
            <w:tcW w:w="1090" w:type="dxa"/>
            <w:noWrap/>
            <w:hideMark/>
          </w:tcPr>
          <w:p w14:paraId="57C0C385" w14:textId="77777777" w:rsidR="009F01D8" w:rsidRPr="00D76748" w:rsidRDefault="009F01D8" w:rsidP="009F01D8">
            <w:pPr>
              <w:rPr>
                <w:rFonts w:asciiTheme="majorBidi" w:hAnsiTheme="majorBidi" w:cstheme="majorBidi"/>
              </w:rPr>
            </w:pPr>
            <w:r w:rsidRPr="00D76748">
              <w:rPr>
                <w:rFonts w:asciiTheme="majorBidi" w:hAnsiTheme="majorBidi" w:cstheme="majorBidi"/>
              </w:rPr>
              <w:t>41</w:t>
            </w:r>
          </w:p>
        </w:tc>
        <w:tc>
          <w:tcPr>
            <w:tcW w:w="6276" w:type="dxa"/>
            <w:noWrap/>
            <w:hideMark/>
          </w:tcPr>
          <w:p w14:paraId="1919A740" w14:textId="77777777" w:rsidR="009F01D8" w:rsidRPr="00D76748" w:rsidRDefault="009F01D8" w:rsidP="009F01D8">
            <w:pPr>
              <w:rPr>
                <w:rFonts w:asciiTheme="majorBidi" w:hAnsiTheme="majorBidi" w:cstheme="majorBidi"/>
              </w:rPr>
            </w:pPr>
            <w:r w:rsidRPr="00D76748">
              <w:rPr>
                <w:rFonts w:asciiTheme="majorBidi" w:hAnsiTheme="majorBidi" w:cstheme="majorBidi"/>
              </w:rPr>
              <w:t>(</w:t>
            </w:r>
            <w:proofErr w:type="gramStart"/>
            <w:r w:rsidRPr="00D76748">
              <w:rPr>
                <w:rFonts w:asciiTheme="majorBidi" w:hAnsiTheme="majorBidi" w:cstheme="majorBidi"/>
              </w:rPr>
              <w:t>cross</w:t>
            </w:r>
            <w:proofErr w:type="gramEnd"/>
            <w:r w:rsidRPr="00D76748">
              <w:rPr>
                <w:rFonts w:asciiTheme="majorBidi" w:hAnsiTheme="majorBidi" w:cstheme="majorBidi"/>
              </w:rPr>
              <w:t xml:space="preserve"> sectional </w:t>
            </w:r>
            <w:proofErr w:type="spellStart"/>
            <w:r w:rsidRPr="00D76748">
              <w:rPr>
                <w:rFonts w:asciiTheme="majorBidi" w:hAnsiTheme="majorBidi" w:cstheme="majorBidi"/>
              </w:rPr>
              <w:t>adj</w:t>
            </w:r>
            <w:proofErr w:type="spellEnd"/>
            <w:r w:rsidRPr="00D76748">
              <w:rPr>
                <w:rFonts w:asciiTheme="majorBidi" w:hAnsiTheme="majorBidi" w:cstheme="majorBidi"/>
              </w:rPr>
              <w:t xml:space="preserve"> (study or studies)).</w:t>
            </w:r>
            <w:proofErr w:type="spellStart"/>
            <w:r w:rsidRPr="00D76748">
              <w:rPr>
                <w:rFonts w:asciiTheme="majorBidi" w:hAnsiTheme="majorBidi" w:cstheme="majorBidi"/>
              </w:rPr>
              <w:t>tw</w:t>
            </w:r>
            <w:proofErr w:type="spellEnd"/>
            <w:r w:rsidRPr="00D76748">
              <w:rPr>
                <w:rFonts w:asciiTheme="majorBidi" w:hAnsiTheme="majorBidi" w:cstheme="majorBidi"/>
              </w:rPr>
              <w:t>.</w:t>
            </w:r>
          </w:p>
        </w:tc>
        <w:tc>
          <w:tcPr>
            <w:tcW w:w="1650" w:type="dxa"/>
            <w:noWrap/>
            <w:hideMark/>
          </w:tcPr>
          <w:p w14:paraId="0832053D" w14:textId="77777777" w:rsidR="009F01D8" w:rsidRPr="00D76748" w:rsidRDefault="009F01D8" w:rsidP="009F01D8">
            <w:pPr>
              <w:rPr>
                <w:rFonts w:asciiTheme="majorBidi" w:hAnsiTheme="majorBidi" w:cstheme="majorBidi"/>
              </w:rPr>
            </w:pPr>
            <w:r w:rsidRPr="00D76748">
              <w:rPr>
                <w:rFonts w:asciiTheme="majorBidi" w:hAnsiTheme="majorBidi" w:cstheme="majorBidi"/>
              </w:rPr>
              <w:t>248198</w:t>
            </w:r>
          </w:p>
        </w:tc>
      </w:tr>
      <w:tr w:rsidR="009F01D8" w:rsidRPr="00D76748" w14:paraId="709F9C34" w14:textId="77777777" w:rsidTr="009F01D8">
        <w:trPr>
          <w:trHeight w:val="288"/>
        </w:trPr>
        <w:tc>
          <w:tcPr>
            <w:tcW w:w="1090" w:type="dxa"/>
            <w:noWrap/>
            <w:hideMark/>
          </w:tcPr>
          <w:p w14:paraId="4A2E6D48" w14:textId="77777777" w:rsidR="009F01D8" w:rsidRPr="00D76748" w:rsidRDefault="009F01D8" w:rsidP="009F01D8">
            <w:pPr>
              <w:rPr>
                <w:rFonts w:asciiTheme="majorBidi" w:hAnsiTheme="majorBidi" w:cstheme="majorBidi"/>
              </w:rPr>
            </w:pPr>
            <w:r w:rsidRPr="00D76748">
              <w:rPr>
                <w:rFonts w:asciiTheme="majorBidi" w:hAnsiTheme="majorBidi" w:cstheme="majorBidi"/>
              </w:rPr>
              <w:t>42</w:t>
            </w:r>
          </w:p>
        </w:tc>
        <w:tc>
          <w:tcPr>
            <w:tcW w:w="6276" w:type="dxa"/>
            <w:noWrap/>
            <w:hideMark/>
          </w:tcPr>
          <w:p w14:paraId="72233235" w14:textId="77777777" w:rsidR="009F01D8" w:rsidRPr="00D76748" w:rsidRDefault="009F01D8" w:rsidP="009F01D8">
            <w:pPr>
              <w:rPr>
                <w:rFonts w:asciiTheme="majorBidi" w:hAnsiTheme="majorBidi" w:cstheme="majorBidi"/>
              </w:rPr>
            </w:pPr>
            <w:r w:rsidRPr="00D76748">
              <w:rPr>
                <w:rFonts w:asciiTheme="majorBidi" w:hAnsiTheme="majorBidi" w:cstheme="majorBidi"/>
              </w:rPr>
              <w:t>case series.tw.</w:t>
            </w:r>
          </w:p>
        </w:tc>
        <w:tc>
          <w:tcPr>
            <w:tcW w:w="1650" w:type="dxa"/>
            <w:noWrap/>
            <w:hideMark/>
          </w:tcPr>
          <w:p w14:paraId="4B49FDEF" w14:textId="77777777" w:rsidR="009F01D8" w:rsidRPr="00D76748" w:rsidRDefault="009F01D8" w:rsidP="009F01D8">
            <w:pPr>
              <w:rPr>
                <w:rFonts w:asciiTheme="majorBidi" w:hAnsiTheme="majorBidi" w:cstheme="majorBidi"/>
              </w:rPr>
            </w:pPr>
            <w:r w:rsidRPr="00D76748">
              <w:rPr>
                <w:rFonts w:asciiTheme="majorBidi" w:hAnsiTheme="majorBidi" w:cstheme="majorBidi"/>
              </w:rPr>
              <w:t>114881</w:t>
            </w:r>
          </w:p>
        </w:tc>
      </w:tr>
      <w:tr w:rsidR="009F01D8" w:rsidRPr="00D76748" w14:paraId="74E52A8D" w14:textId="77777777" w:rsidTr="009F01D8">
        <w:trPr>
          <w:trHeight w:val="288"/>
        </w:trPr>
        <w:tc>
          <w:tcPr>
            <w:tcW w:w="1090" w:type="dxa"/>
            <w:noWrap/>
            <w:hideMark/>
          </w:tcPr>
          <w:p w14:paraId="363863B0" w14:textId="77777777" w:rsidR="009F01D8" w:rsidRPr="00D76748" w:rsidRDefault="009F01D8" w:rsidP="009F01D8">
            <w:pPr>
              <w:rPr>
                <w:rFonts w:asciiTheme="majorBidi" w:hAnsiTheme="majorBidi" w:cstheme="majorBidi"/>
              </w:rPr>
            </w:pPr>
            <w:r w:rsidRPr="00D76748">
              <w:rPr>
                <w:rFonts w:asciiTheme="majorBidi" w:hAnsiTheme="majorBidi" w:cstheme="majorBidi"/>
              </w:rPr>
              <w:t>43</w:t>
            </w:r>
          </w:p>
        </w:tc>
        <w:tc>
          <w:tcPr>
            <w:tcW w:w="6276" w:type="dxa"/>
            <w:noWrap/>
            <w:hideMark/>
          </w:tcPr>
          <w:p w14:paraId="2C5526E3" w14:textId="77777777" w:rsidR="009F01D8" w:rsidRPr="00D76748" w:rsidRDefault="009F01D8" w:rsidP="009F01D8">
            <w:pPr>
              <w:rPr>
                <w:rFonts w:asciiTheme="majorBidi" w:hAnsiTheme="majorBidi" w:cstheme="majorBidi"/>
              </w:rPr>
            </w:pPr>
            <w:r w:rsidRPr="00D76748">
              <w:rPr>
                <w:rFonts w:asciiTheme="majorBidi" w:hAnsiTheme="majorBidi" w:cstheme="majorBidi"/>
              </w:rPr>
              <w:t>prospective.tw.</w:t>
            </w:r>
          </w:p>
        </w:tc>
        <w:tc>
          <w:tcPr>
            <w:tcW w:w="1650" w:type="dxa"/>
            <w:noWrap/>
            <w:hideMark/>
          </w:tcPr>
          <w:p w14:paraId="59C1A509" w14:textId="77777777" w:rsidR="009F01D8" w:rsidRPr="00D76748" w:rsidRDefault="009F01D8" w:rsidP="009F01D8">
            <w:pPr>
              <w:rPr>
                <w:rFonts w:asciiTheme="majorBidi" w:hAnsiTheme="majorBidi" w:cstheme="majorBidi"/>
              </w:rPr>
            </w:pPr>
            <w:r w:rsidRPr="00D76748">
              <w:rPr>
                <w:rFonts w:asciiTheme="majorBidi" w:hAnsiTheme="majorBidi" w:cstheme="majorBidi"/>
              </w:rPr>
              <w:t>921226</w:t>
            </w:r>
          </w:p>
        </w:tc>
      </w:tr>
      <w:tr w:rsidR="009F01D8" w:rsidRPr="00D76748" w14:paraId="2C76674B" w14:textId="77777777" w:rsidTr="009F01D8">
        <w:trPr>
          <w:trHeight w:val="288"/>
        </w:trPr>
        <w:tc>
          <w:tcPr>
            <w:tcW w:w="1090" w:type="dxa"/>
            <w:noWrap/>
            <w:hideMark/>
          </w:tcPr>
          <w:p w14:paraId="169E4CB9" w14:textId="77777777" w:rsidR="009F01D8" w:rsidRPr="00D76748" w:rsidRDefault="009F01D8" w:rsidP="009F01D8">
            <w:pPr>
              <w:rPr>
                <w:rFonts w:asciiTheme="majorBidi" w:hAnsiTheme="majorBidi" w:cstheme="majorBidi"/>
              </w:rPr>
            </w:pPr>
            <w:r w:rsidRPr="00D76748">
              <w:rPr>
                <w:rFonts w:asciiTheme="majorBidi" w:hAnsiTheme="majorBidi" w:cstheme="majorBidi"/>
              </w:rPr>
              <w:t>44</w:t>
            </w:r>
          </w:p>
        </w:tc>
        <w:tc>
          <w:tcPr>
            <w:tcW w:w="6276" w:type="dxa"/>
            <w:noWrap/>
            <w:hideMark/>
          </w:tcPr>
          <w:p w14:paraId="51F22574" w14:textId="77777777" w:rsidR="009F01D8" w:rsidRPr="00D76748" w:rsidRDefault="009F01D8" w:rsidP="009F01D8">
            <w:pPr>
              <w:rPr>
                <w:rFonts w:asciiTheme="majorBidi" w:hAnsiTheme="majorBidi" w:cstheme="majorBidi"/>
              </w:rPr>
            </w:pPr>
            <w:r w:rsidRPr="00D76748">
              <w:rPr>
                <w:rFonts w:asciiTheme="majorBidi" w:hAnsiTheme="majorBidi" w:cstheme="majorBidi"/>
              </w:rPr>
              <w:t>retrospective.tw.</w:t>
            </w:r>
          </w:p>
        </w:tc>
        <w:tc>
          <w:tcPr>
            <w:tcW w:w="1650" w:type="dxa"/>
            <w:noWrap/>
            <w:hideMark/>
          </w:tcPr>
          <w:p w14:paraId="5193C196" w14:textId="77777777" w:rsidR="009F01D8" w:rsidRPr="00D76748" w:rsidRDefault="009F01D8" w:rsidP="009F01D8">
            <w:pPr>
              <w:rPr>
                <w:rFonts w:asciiTheme="majorBidi" w:hAnsiTheme="majorBidi" w:cstheme="majorBidi"/>
              </w:rPr>
            </w:pPr>
            <w:r w:rsidRPr="00D76748">
              <w:rPr>
                <w:rFonts w:asciiTheme="majorBidi" w:hAnsiTheme="majorBidi" w:cstheme="majorBidi"/>
              </w:rPr>
              <w:t>972633</w:t>
            </w:r>
          </w:p>
        </w:tc>
      </w:tr>
      <w:tr w:rsidR="009F01D8" w:rsidRPr="00D76748" w14:paraId="698F4CA5" w14:textId="77777777" w:rsidTr="009F01D8">
        <w:trPr>
          <w:trHeight w:val="288"/>
        </w:trPr>
        <w:tc>
          <w:tcPr>
            <w:tcW w:w="1090" w:type="dxa"/>
            <w:noWrap/>
            <w:hideMark/>
          </w:tcPr>
          <w:p w14:paraId="55656CE1" w14:textId="77777777" w:rsidR="009F01D8" w:rsidRPr="00D76748" w:rsidRDefault="009F01D8" w:rsidP="009F01D8">
            <w:pPr>
              <w:rPr>
                <w:rFonts w:asciiTheme="majorBidi" w:hAnsiTheme="majorBidi" w:cstheme="majorBidi"/>
              </w:rPr>
            </w:pPr>
            <w:r w:rsidRPr="00D76748">
              <w:rPr>
                <w:rFonts w:asciiTheme="majorBidi" w:hAnsiTheme="majorBidi" w:cstheme="majorBidi"/>
              </w:rPr>
              <w:t>45</w:t>
            </w:r>
          </w:p>
        </w:tc>
        <w:tc>
          <w:tcPr>
            <w:tcW w:w="6276" w:type="dxa"/>
            <w:noWrap/>
            <w:hideMark/>
          </w:tcPr>
          <w:p w14:paraId="2F0EDC44" w14:textId="77777777" w:rsidR="009F01D8" w:rsidRPr="00D76748" w:rsidRDefault="009F01D8" w:rsidP="009F01D8">
            <w:pPr>
              <w:rPr>
                <w:rFonts w:asciiTheme="majorBidi" w:hAnsiTheme="majorBidi" w:cstheme="majorBidi"/>
              </w:rPr>
            </w:pPr>
            <w:r w:rsidRPr="00D76748">
              <w:rPr>
                <w:rFonts w:asciiTheme="majorBidi" w:hAnsiTheme="majorBidi" w:cstheme="majorBidi"/>
              </w:rPr>
              <w:t>or/25-30,33-44</w:t>
            </w:r>
          </w:p>
        </w:tc>
        <w:tc>
          <w:tcPr>
            <w:tcW w:w="1650" w:type="dxa"/>
            <w:noWrap/>
            <w:hideMark/>
          </w:tcPr>
          <w:p w14:paraId="6824DF16" w14:textId="77777777" w:rsidR="009F01D8" w:rsidRPr="00D76748" w:rsidRDefault="009F01D8" w:rsidP="009F01D8">
            <w:pPr>
              <w:rPr>
                <w:rFonts w:asciiTheme="majorBidi" w:hAnsiTheme="majorBidi" w:cstheme="majorBidi"/>
              </w:rPr>
            </w:pPr>
            <w:r w:rsidRPr="00D76748">
              <w:rPr>
                <w:rFonts w:asciiTheme="majorBidi" w:hAnsiTheme="majorBidi" w:cstheme="majorBidi"/>
              </w:rPr>
              <w:t>4373011</w:t>
            </w:r>
          </w:p>
        </w:tc>
      </w:tr>
      <w:tr w:rsidR="009F01D8" w:rsidRPr="00D76748" w14:paraId="45147A1F" w14:textId="77777777" w:rsidTr="009F01D8">
        <w:trPr>
          <w:trHeight w:val="288"/>
        </w:trPr>
        <w:tc>
          <w:tcPr>
            <w:tcW w:w="1090" w:type="dxa"/>
            <w:noWrap/>
            <w:hideMark/>
          </w:tcPr>
          <w:p w14:paraId="397C473C" w14:textId="77777777" w:rsidR="009F01D8" w:rsidRPr="00D76748" w:rsidRDefault="009F01D8" w:rsidP="009F01D8">
            <w:pPr>
              <w:rPr>
                <w:rFonts w:asciiTheme="majorBidi" w:hAnsiTheme="majorBidi" w:cstheme="majorBidi"/>
              </w:rPr>
            </w:pPr>
            <w:r w:rsidRPr="00D76748">
              <w:rPr>
                <w:rFonts w:asciiTheme="majorBidi" w:hAnsiTheme="majorBidi" w:cstheme="majorBidi"/>
              </w:rPr>
              <w:t>46</w:t>
            </w:r>
          </w:p>
        </w:tc>
        <w:tc>
          <w:tcPr>
            <w:tcW w:w="6276" w:type="dxa"/>
            <w:noWrap/>
            <w:hideMark/>
          </w:tcPr>
          <w:p w14:paraId="6FC594D9"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11</w:t>
            </w:r>
          </w:p>
        </w:tc>
        <w:tc>
          <w:tcPr>
            <w:tcW w:w="1650" w:type="dxa"/>
            <w:noWrap/>
            <w:hideMark/>
          </w:tcPr>
          <w:p w14:paraId="09EC30B0" w14:textId="77777777" w:rsidR="009F01D8" w:rsidRPr="00D76748" w:rsidRDefault="009F01D8" w:rsidP="009F01D8">
            <w:pPr>
              <w:rPr>
                <w:rFonts w:asciiTheme="majorBidi" w:hAnsiTheme="majorBidi" w:cstheme="majorBidi"/>
              </w:rPr>
            </w:pPr>
            <w:r w:rsidRPr="00D76748">
              <w:rPr>
                <w:rFonts w:asciiTheme="majorBidi" w:hAnsiTheme="majorBidi" w:cstheme="majorBidi"/>
              </w:rPr>
              <w:t>13</w:t>
            </w:r>
          </w:p>
        </w:tc>
      </w:tr>
      <w:tr w:rsidR="009F01D8" w:rsidRPr="00D76748" w14:paraId="234AEC7C" w14:textId="77777777" w:rsidTr="009F01D8">
        <w:trPr>
          <w:trHeight w:val="288"/>
        </w:trPr>
        <w:tc>
          <w:tcPr>
            <w:tcW w:w="1090" w:type="dxa"/>
            <w:noWrap/>
            <w:hideMark/>
          </w:tcPr>
          <w:p w14:paraId="3D9DDB37" w14:textId="77777777" w:rsidR="009F01D8" w:rsidRPr="00D76748" w:rsidRDefault="009F01D8" w:rsidP="009F01D8">
            <w:pPr>
              <w:rPr>
                <w:rFonts w:asciiTheme="majorBidi" w:hAnsiTheme="majorBidi" w:cstheme="majorBidi"/>
              </w:rPr>
            </w:pPr>
            <w:r w:rsidRPr="00D76748">
              <w:rPr>
                <w:rFonts w:asciiTheme="majorBidi" w:hAnsiTheme="majorBidi" w:cstheme="majorBidi"/>
              </w:rPr>
              <w:t>47</w:t>
            </w:r>
          </w:p>
        </w:tc>
        <w:tc>
          <w:tcPr>
            <w:tcW w:w="6276" w:type="dxa"/>
            <w:noWrap/>
            <w:hideMark/>
          </w:tcPr>
          <w:p w14:paraId="6BEFB2A8"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24</w:t>
            </w:r>
          </w:p>
        </w:tc>
        <w:tc>
          <w:tcPr>
            <w:tcW w:w="1650" w:type="dxa"/>
            <w:noWrap/>
            <w:hideMark/>
          </w:tcPr>
          <w:p w14:paraId="65A5C387" w14:textId="77777777" w:rsidR="009F01D8" w:rsidRPr="00D76748" w:rsidRDefault="009F01D8" w:rsidP="009F01D8">
            <w:pPr>
              <w:rPr>
                <w:rFonts w:asciiTheme="majorBidi" w:hAnsiTheme="majorBidi" w:cstheme="majorBidi"/>
              </w:rPr>
            </w:pPr>
            <w:r w:rsidRPr="00D76748">
              <w:rPr>
                <w:rFonts w:asciiTheme="majorBidi" w:hAnsiTheme="majorBidi" w:cstheme="majorBidi"/>
              </w:rPr>
              <w:t>80</w:t>
            </w:r>
          </w:p>
        </w:tc>
      </w:tr>
      <w:tr w:rsidR="009F01D8" w:rsidRPr="00D76748" w14:paraId="67AD8B28" w14:textId="77777777" w:rsidTr="009F01D8">
        <w:trPr>
          <w:trHeight w:val="288"/>
        </w:trPr>
        <w:tc>
          <w:tcPr>
            <w:tcW w:w="1090" w:type="dxa"/>
            <w:noWrap/>
            <w:hideMark/>
          </w:tcPr>
          <w:p w14:paraId="0C5F0DBE" w14:textId="77777777" w:rsidR="009F01D8" w:rsidRPr="00D76748" w:rsidRDefault="009F01D8" w:rsidP="009F01D8">
            <w:pPr>
              <w:rPr>
                <w:rFonts w:asciiTheme="majorBidi" w:hAnsiTheme="majorBidi" w:cstheme="majorBidi"/>
              </w:rPr>
            </w:pPr>
            <w:r w:rsidRPr="00D76748">
              <w:rPr>
                <w:rFonts w:asciiTheme="majorBidi" w:hAnsiTheme="majorBidi" w:cstheme="majorBidi"/>
              </w:rPr>
              <w:t>48</w:t>
            </w:r>
          </w:p>
        </w:tc>
        <w:tc>
          <w:tcPr>
            <w:tcW w:w="6276" w:type="dxa"/>
            <w:noWrap/>
            <w:hideMark/>
          </w:tcPr>
          <w:p w14:paraId="359EEA72" w14:textId="77777777" w:rsidR="009F01D8" w:rsidRPr="00D76748" w:rsidRDefault="009F01D8" w:rsidP="009F01D8">
            <w:pPr>
              <w:rPr>
                <w:rFonts w:asciiTheme="majorBidi" w:hAnsiTheme="majorBidi" w:cstheme="majorBidi"/>
              </w:rPr>
            </w:pPr>
            <w:r w:rsidRPr="00D76748">
              <w:rPr>
                <w:rFonts w:asciiTheme="majorBidi" w:hAnsiTheme="majorBidi" w:cstheme="majorBidi"/>
              </w:rPr>
              <w:t>10 and 45</w:t>
            </w:r>
          </w:p>
        </w:tc>
        <w:tc>
          <w:tcPr>
            <w:tcW w:w="1650" w:type="dxa"/>
            <w:noWrap/>
            <w:hideMark/>
          </w:tcPr>
          <w:p w14:paraId="2C94E8A3" w14:textId="77777777" w:rsidR="009F01D8" w:rsidRPr="00D76748" w:rsidRDefault="009F01D8" w:rsidP="009F01D8">
            <w:pPr>
              <w:rPr>
                <w:rFonts w:asciiTheme="majorBidi" w:hAnsiTheme="majorBidi" w:cstheme="majorBidi"/>
              </w:rPr>
            </w:pPr>
            <w:r w:rsidRPr="00D76748">
              <w:rPr>
                <w:rFonts w:asciiTheme="majorBidi" w:hAnsiTheme="majorBidi" w:cstheme="majorBidi"/>
              </w:rPr>
              <w:t>382</w:t>
            </w:r>
          </w:p>
        </w:tc>
      </w:tr>
    </w:tbl>
    <w:p w14:paraId="07C0647D" w14:textId="77777777" w:rsidR="009F01D8" w:rsidRPr="00F63CD5" w:rsidRDefault="009F01D8" w:rsidP="009F01D8"/>
    <w:p w14:paraId="7ADBB28C" w14:textId="77777777" w:rsidR="009F01D8" w:rsidRPr="00D76748" w:rsidRDefault="009F01D8" w:rsidP="009F01D8">
      <w:pPr>
        <w:spacing w:after="0"/>
        <w:rPr>
          <w:rFonts w:asciiTheme="majorBidi" w:hAnsiTheme="majorBidi" w:cstheme="majorBidi"/>
          <w:b/>
        </w:rPr>
      </w:pPr>
      <w:r w:rsidRPr="00D76748">
        <w:rPr>
          <w:rFonts w:asciiTheme="majorBidi" w:hAnsiTheme="majorBidi" w:cstheme="majorBidi"/>
          <w:b/>
        </w:rPr>
        <w:t>CRD database (searched via the University of York CRD platform)</w:t>
      </w:r>
    </w:p>
    <w:p w14:paraId="595DAC54"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30</w:t>
      </w:r>
      <w:r w:rsidRPr="00D76748">
        <w:rPr>
          <w:rFonts w:asciiTheme="majorBidi" w:hAnsiTheme="majorBidi" w:cstheme="majorBidi"/>
          <w:vertAlign w:val="superscript"/>
        </w:rPr>
        <w:t>th</w:t>
      </w:r>
      <w:r w:rsidRPr="00D76748">
        <w:rPr>
          <w:rFonts w:asciiTheme="majorBidi" w:hAnsiTheme="majorBidi" w:cstheme="majorBidi"/>
        </w:rPr>
        <w:t xml:space="preserve"> March 2021</w:t>
      </w:r>
    </w:p>
    <w:p w14:paraId="79A8FBF0" w14:textId="77777777" w:rsidR="009F01D8" w:rsidRPr="00F63CD5" w:rsidRDefault="009F01D8" w:rsidP="009F01D8">
      <w:pPr>
        <w:spacing w:after="0"/>
      </w:pPr>
    </w:p>
    <w:tbl>
      <w:tblPr>
        <w:tblStyle w:val="TableGrid"/>
        <w:tblW w:w="0" w:type="auto"/>
        <w:tblLook w:val="04A0" w:firstRow="1" w:lastRow="0" w:firstColumn="1" w:lastColumn="0" w:noHBand="0" w:noVBand="1"/>
      </w:tblPr>
      <w:tblGrid>
        <w:gridCol w:w="1099"/>
        <w:gridCol w:w="6267"/>
        <w:gridCol w:w="1650"/>
      </w:tblGrid>
      <w:tr w:rsidR="009F01D8" w:rsidRPr="002B28C3" w14:paraId="6A71B285" w14:textId="77777777" w:rsidTr="009F01D8">
        <w:trPr>
          <w:trHeight w:val="288"/>
        </w:trPr>
        <w:tc>
          <w:tcPr>
            <w:tcW w:w="1099" w:type="dxa"/>
            <w:hideMark/>
          </w:tcPr>
          <w:p w14:paraId="62D615D4"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67" w:type="dxa"/>
            <w:hideMark/>
          </w:tcPr>
          <w:p w14:paraId="4A1058B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7028DB4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6E47B81D" w14:textId="77777777" w:rsidTr="009F01D8">
        <w:trPr>
          <w:trHeight w:val="288"/>
        </w:trPr>
        <w:tc>
          <w:tcPr>
            <w:tcW w:w="1099" w:type="dxa"/>
            <w:noWrap/>
            <w:hideMark/>
          </w:tcPr>
          <w:p w14:paraId="26DA9646"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67" w:type="dxa"/>
            <w:noWrap/>
            <w:hideMark/>
          </w:tcPr>
          <w:p w14:paraId="2AC3BBDF" w14:textId="77777777" w:rsidR="009F01D8" w:rsidRPr="002B28C3" w:rsidRDefault="009F01D8" w:rsidP="009F01D8">
            <w:pPr>
              <w:rPr>
                <w:rFonts w:asciiTheme="majorBidi" w:hAnsiTheme="majorBidi" w:cstheme="majorBidi"/>
              </w:rPr>
            </w:pPr>
            <w:r w:rsidRPr="002B28C3">
              <w:rPr>
                <w:rFonts w:asciiTheme="majorBidi" w:hAnsiTheme="majorBidi" w:cstheme="majorBidi"/>
              </w:rPr>
              <w:t>((oxa-48 or "</w:t>
            </w:r>
            <w:proofErr w:type="spellStart"/>
            <w:r w:rsidRPr="002B28C3">
              <w:rPr>
                <w:rFonts w:asciiTheme="majorBidi" w:hAnsiTheme="majorBidi" w:cstheme="majorBidi"/>
              </w:rPr>
              <w:t>oxa</w:t>
            </w:r>
            <w:proofErr w:type="spellEnd"/>
            <w:r w:rsidRPr="002B28C3">
              <w:rPr>
                <w:rFonts w:asciiTheme="majorBidi" w:hAnsiTheme="majorBidi" w:cstheme="majorBidi"/>
              </w:rPr>
              <w:t xml:space="preserve"> 48" or oxacillinase-48 or "oxacillinase 48"))</w:t>
            </w:r>
          </w:p>
        </w:tc>
        <w:tc>
          <w:tcPr>
            <w:tcW w:w="1650" w:type="dxa"/>
            <w:noWrap/>
            <w:hideMark/>
          </w:tcPr>
          <w:p w14:paraId="320B1595"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r w:rsidR="009F01D8" w:rsidRPr="002B28C3" w14:paraId="30DFE184" w14:textId="77777777" w:rsidTr="009F01D8">
        <w:trPr>
          <w:trHeight w:val="288"/>
        </w:trPr>
        <w:tc>
          <w:tcPr>
            <w:tcW w:w="1099" w:type="dxa"/>
            <w:noWrap/>
            <w:hideMark/>
          </w:tcPr>
          <w:p w14:paraId="506F1936"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67" w:type="dxa"/>
            <w:noWrap/>
            <w:hideMark/>
          </w:tcPr>
          <w:p w14:paraId="5126FD04"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((("new </w:t>
            </w:r>
            <w:proofErr w:type="spellStart"/>
            <w:r w:rsidRPr="002B28C3">
              <w:rPr>
                <w:rFonts w:asciiTheme="majorBidi" w:hAnsiTheme="majorBidi" w:cstheme="majorBidi"/>
              </w:rPr>
              <w:t>delhi</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ndm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verona</w:t>
            </w:r>
            <w:proofErr w:type="spellEnd"/>
            <w:r w:rsidRPr="002B28C3">
              <w:rPr>
                <w:rFonts w:asciiTheme="majorBidi" w:hAnsiTheme="majorBidi" w:cstheme="majorBidi"/>
              </w:rPr>
              <w:t xml:space="preserve"> integrated-encoded" or vim or </w:t>
            </w:r>
            <w:proofErr w:type="spellStart"/>
            <w:r w:rsidRPr="002B28C3">
              <w:rPr>
                <w:rFonts w:asciiTheme="majorBidi" w:hAnsiTheme="majorBidi" w:cstheme="majorBidi"/>
              </w:rPr>
              <w:t>imipenemase</w:t>
            </w:r>
            <w:proofErr w:type="spellEnd"/>
            <w:r w:rsidRPr="002B28C3">
              <w:rPr>
                <w:rFonts w:asciiTheme="majorBidi" w:hAnsiTheme="majorBidi" w:cstheme="majorBidi"/>
              </w:rPr>
              <w:t xml:space="preserve"> or imp) and (</w:t>
            </w:r>
            <w:proofErr w:type="spellStart"/>
            <w:r w:rsidRPr="002B28C3">
              <w:rPr>
                <w:rFonts w:asciiTheme="majorBidi" w:hAnsiTheme="majorBidi" w:cstheme="majorBidi"/>
              </w:rPr>
              <w:t>mbl</w:t>
            </w:r>
            <w:proofErr w:type="spellEnd"/>
            <w:r w:rsidRPr="002B28C3">
              <w:rPr>
                <w:rFonts w:asciiTheme="majorBidi" w:hAnsiTheme="majorBidi" w:cstheme="majorBidi"/>
              </w:rPr>
              <w:t xml:space="preserve"> or "metallo-beta-lactamase" or "</w:t>
            </w:r>
            <w:proofErr w:type="spellStart"/>
            <w:r w:rsidRPr="002B28C3">
              <w:rPr>
                <w:rFonts w:asciiTheme="majorBidi" w:hAnsiTheme="majorBidi" w:cstheme="majorBidi"/>
              </w:rPr>
              <w:t>metallo</w:t>
            </w:r>
            <w:proofErr w:type="spellEnd"/>
            <w:r w:rsidRPr="002B28C3">
              <w:rPr>
                <w:rFonts w:asciiTheme="majorBidi" w:hAnsiTheme="majorBidi" w:cstheme="majorBidi"/>
              </w:rPr>
              <w:t xml:space="preserve"> beta lactamase")))</w:t>
            </w:r>
          </w:p>
        </w:tc>
        <w:tc>
          <w:tcPr>
            <w:tcW w:w="1650" w:type="dxa"/>
            <w:noWrap/>
            <w:hideMark/>
          </w:tcPr>
          <w:p w14:paraId="5FC55878" w14:textId="77777777" w:rsidR="009F01D8" w:rsidRPr="002B28C3" w:rsidRDefault="009F01D8" w:rsidP="009F01D8">
            <w:pPr>
              <w:rPr>
                <w:rFonts w:asciiTheme="majorBidi" w:hAnsiTheme="majorBidi" w:cstheme="majorBidi"/>
              </w:rPr>
            </w:pPr>
            <w:r w:rsidRPr="002B28C3">
              <w:rPr>
                <w:rFonts w:asciiTheme="majorBidi" w:hAnsiTheme="majorBidi" w:cstheme="majorBidi"/>
              </w:rPr>
              <w:t>0</w:t>
            </w:r>
          </w:p>
        </w:tc>
      </w:tr>
    </w:tbl>
    <w:p w14:paraId="17DB4A57" w14:textId="77777777" w:rsidR="009F01D8" w:rsidRPr="00F63CD5" w:rsidRDefault="009F01D8" w:rsidP="009F01D8"/>
    <w:p w14:paraId="52BFA6B9" w14:textId="68551865" w:rsidR="009F01D8" w:rsidRPr="002E4F02" w:rsidRDefault="00C33621" w:rsidP="00D76748">
      <w:pPr>
        <w:pStyle w:val="Heading4"/>
        <w:tabs>
          <w:tab w:val="left" w:pos="1418"/>
        </w:tabs>
        <w:rPr>
          <w:rFonts w:asciiTheme="majorBidi" w:hAnsiTheme="majorBidi"/>
          <w:b/>
          <w:bCs/>
          <w:i w:val="0"/>
          <w:iCs w:val="0"/>
          <w:noProof/>
          <w:color w:val="auto"/>
          <w:sz w:val="26"/>
          <w:szCs w:val="26"/>
        </w:rPr>
      </w:pPr>
      <w:bookmarkStart w:id="603" w:name="_Toc77254198"/>
      <w:r>
        <w:rPr>
          <w:rFonts w:asciiTheme="majorBidi" w:hAnsiTheme="majorBidi"/>
          <w:b/>
          <w:bCs/>
          <w:i w:val="0"/>
          <w:iCs w:val="0"/>
          <w:noProof/>
          <w:color w:val="auto"/>
          <w:sz w:val="24"/>
          <w:szCs w:val="24"/>
        </w:rPr>
        <w:tab/>
      </w:r>
      <w:r>
        <w:rPr>
          <w:rFonts w:asciiTheme="majorBidi" w:hAnsiTheme="majorBidi"/>
          <w:b/>
          <w:bCs/>
          <w:i w:val="0"/>
          <w:iCs w:val="0"/>
          <w:noProof/>
          <w:color w:val="auto"/>
          <w:sz w:val="24"/>
          <w:szCs w:val="24"/>
        </w:rPr>
        <w:tab/>
      </w:r>
      <w:r w:rsidR="009F01D8" w:rsidRPr="002E4F02">
        <w:rPr>
          <w:rFonts w:asciiTheme="majorBidi" w:hAnsiTheme="majorBidi"/>
          <w:b/>
          <w:bCs/>
          <w:i w:val="0"/>
          <w:iCs w:val="0"/>
          <w:noProof/>
          <w:color w:val="auto"/>
          <w:sz w:val="26"/>
          <w:szCs w:val="26"/>
        </w:rPr>
        <w:t>A1.3.3</w:t>
      </w:r>
      <w:r w:rsidR="009F01D8" w:rsidRPr="002E4F02">
        <w:rPr>
          <w:rFonts w:asciiTheme="majorBidi" w:hAnsiTheme="majorBidi"/>
          <w:b/>
          <w:bCs/>
          <w:i w:val="0"/>
          <w:iCs w:val="0"/>
          <w:noProof/>
          <w:color w:val="auto"/>
          <w:sz w:val="26"/>
          <w:szCs w:val="26"/>
        </w:rPr>
        <w:tab/>
        <w:t>Focused long-term outcomes search</w:t>
      </w:r>
      <w:bookmarkEnd w:id="603"/>
    </w:p>
    <w:p w14:paraId="1D6BED1D" w14:textId="77777777" w:rsidR="009F01D8" w:rsidRPr="00F63CD5" w:rsidRDefault="009F01D8" w:rsidP="009F01D8">
      <w:pPr>
        <w:spacing w:after="0"/>
      </w:pPr>
    </w:p>
    <w:p w14:paraId="50742636"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Term group(s): (</w:t>
      </w:r>
      <w:proofErr w:type="spellStart"/>
      <w:r w:rsidRPr="00D76748">
        <w:rPr>
          <w:rFonts w:asciiTheme="majorBidi" w:hAnsiTheme="majorBidi" w:cstheme="majorBidi"/>
        </w:rPr>
        <w:t>Carbepenem</w:t>
      </w:r>
      <w:proofErr w:type="spellEnd"/>
      <w:r w:rsidRPr="00D76748">
        <w:rPr>
          <w:rFonts w:asciiTheme="majorBidi" w:hAnsiTheme="majorBidi" w:cstheme="majorBidi"/>
        </w:rPr>
        <w:t xml:space="preserve"> resistance OR mechanisms) AND (sites [UTI/HAPVAP]) AND filters</w:t>
      </w:r>
    </w:p>
    <w:p w14:paraId="12EAB3B2"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UK (MEDLINE, Embase), Europe (unvalidated)</w:t>
      </w:r>
    </w:p>
    <w:p w14:paraId="50FC717B"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2010-present, English language</w:t>
      </w:r>
    </w:p>
    <w:p w14:paraId="7F9A4FE6" w14:textId="77777777" w:rsidR="009F01D8" w:rsidRPr="00D76748" w:rsidRDefault="009F01D8" w:rsidP="009F01D8">
      <w:pPr>
        <w:spacing w:after="0"/>
        <w:rPr>
          <w:rFonts w:asciiTheme="majorBidi" w:hAnsiTheme="majorBidi" w:cstheme="majorBidi"/>
        </w:rPr>
      </w:pPr>
    </w:p>
    <w:p w14:paraId="5DF8310D" w14:textId="77777777" w:rsidR="009F01D8" w:rsidRPr="00D76748" w:rsidRDefault="009F01D8" w:rsidP="009F01D8">
      <w:pPr>
        <w:spacing w:after="0"/>
        <w:rPr>
          <w:rFonts w:asciiTheme="majorBidi" w:hAnsiTheme="majorBidi" w:cstheme="majorBidi"/>
          <w:b/>
        </w:rPr>
      </w:pPr>
      <w:r w:rsidRPr="00D76748">
        <w:rPr>
          <w:rFonts w:asciiTheme="majorBidi" w:hAnsiTheme="majorBidi" w:cstheme="majorBidi"/>
          <w:b/>
        </w:rPr>
        <w:t xml:space="preserve">Ovid MEDLINE(R) and </w:t>
      </w:r>
      <w:proofErr w:type="spellStart"/>
      <w:r w:rsidRPr="00D76748">
        <w:rPr>
          <w:rFonts w:asciiTheme="majorBidi" w:hAnsiTheme="majorBidi" w:cstheme="majorBidi"/>
          <w:b/>
        </w:rPr>
        <w:t>Epub</w:t>
      </w:r>
      <w:proofErr w:type="spellEnd"/>
      <w:r w:rsidRPr="00D76748">
        <w:rPr>
          <w:rFonts w:asciiTheme="majorBidi" w:hAnsiTheme="majorBidi" w:cstheme="majorBidi"/>
          <w:b/>
        </w:rPr>
        <w:t xml:space="preserve"> Ahead of Print, In-Process, In-Data-Review &amp; Other Non-Indexed Citations, Daily and Versions(R) 1946 to June 10, 2021 (searched via the Ovid SP platform)</w:t>
      </w:r>
    </w:p>
    <w:p w14:paraId="157E9B5D"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11</w:t>
      </w:r>
      <w:r w:rsidRPr="00D76748">
        <w:rPr>
          <w:rFonts w:asciiTheme="majorBidi" w:hAnsiTheme="majorBidi" w:cstheme="majorBidi"/>
          <w:vertAlign w:val="superscript"/>
        </w:rPr>
        <w:t>th</w:t>
      </w:r>
      <w:r w:rsidRPr="00D76748">
        <w:rPr>
          <w:rFonts w:asciiTheme="majorBidi" w:hAnsiTheme="majorBidi" w:cstheme="majorBidi"/>
        </w:rPr>
        <w:t xml:space="preserve"> June 2021</w:t>
      </w:r>
    </w:p>
    <w:p w14:paraId="351AF7E2" w14:textId="77777777" w:rsidR="009F01D8" w:rsidRPr="00D76748" w:rsidRDefault="009F01D8" w:rsidP="009F01D8">
      <w:pPr>
        <w:rPr>
          <w:rFonts w:asciiTheme="majorBidi" w:hAnsiTheme="majorBidi" w:cstheme="majorBidi"/>
          <w:b/>
        </w:rPr>
      </w:pPr>
    </w:p>
    <w:tbl>
      <w:tblPr>
        <w:tblStyle w:val="TableGrid"/>
        <w:tblW w:w="0" w:type="auto"/>
        <w:tblLook w:val="04A0" w:firstRow="1" w:lastRow="0" w:firstColumn="1" w:lastColumn="0" w:noHBand="0" w:noVBand="1"/>
      </w:tblPr>
      <w:tblGrid>
        <w:gridCol w:w="1129"/>
        <w:gridCol w:w="6237"/>
        <w:gridCol w:w="1650"/>
      </w:tblGrid>
      <w:tr w:rsidR="009F01D8" w:rsidRPr="00F63CD5" w14:paraId="75CC2512" w14:textId="77777777" w:rsidTr="009F01D8">
        <w:trPr>
          <w:trHeight w:val="279"/>
        </w:trPr>
        <w:tc>
          <w:tcPr>
            <w:tcW w:w="1129" w:type="dxa"/>
            <w:hideMark/>
          </w:tcPr>
          <w:p w14:paraId="66A45C4F"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37" w:type="dxa"/>
            <w:hideMark/>
          </w:tcPr>
          <w:p w14:paraId="4A764047"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358CCE1E"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F63CD5" w14:paraId="782E6549" w14:textId="77777777" w:rsidTr="009F01D8">
        <w:trPr>
          <w:trHeight w:val="279"/>
        </w:trPr>
        <w:tc>
          <w:tcPr>
            <w:tcW w:w="1129" w:type="dxa"/>
            <w:hideMark/>
          </w:tcPr>
          <w:p w14:paraId="33B70B04"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37" w:type="dxa"/>
            <w:hideMark/>
          </w:tcPr>
          <w:p w14:paraId="102E6C73"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carbapenem</w:t>
            </w:r>
            <w:proofErr w:type="gramEnd"/>
            <w:r w:rsidRPr="002B28C3">
              <w:rPr>
                <w:rFonts w:asciiTheme="majorBidi" w:hAnsiTheme="majorBidi" w:cstheme="majorBidi"/>
              </w:rPr>
              <w:t>-</w:t>
            </w:r>
            <w:proofErr w:type="spellStart"/>
            <w:r w:rsidRPr="002B28C3">
              <w:rPr>
                <w:rFonts w:asciiTheme="majorBidi" w:hAnsiTheme="majorBidi" w:cstheme="majorBidi"/>
              </w:rPr>
              <w:t>resistan</w:t>
            </w:r>
            <w:proofErr w:type="spellEnd"/>
            <w:r w:rsidRPr="002B28C3">
              <w:rPr>
                <w:rFonts w:asciiTheme="majorBidi" w:hAnsiTheme="majorBidi" w:cstheme="majorBidi"/>
              </w:rPr>
              <w:t xml:space="preserve">* or "carbapenem </w:t>
            </w:r>
            <w:proofErr w:type="spellStart"/>
            <w:r w:rsidRPr="002B28C3">
              <w:rPr>
                <w:rFonts w:asciiTheme="majorBidi" w:hAnsiTheme="majorBidi" w:cstheme="majorBidi"/>
              </w:rPr>
              <w:t>resistan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carbapenemase</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60034301" w14:textId="77777777" w:rsidR="009F01D8" w:rsidRPr="002B28C3" w:rsidRDefault="009F01D8" w:rsidP="009F01D8">
            <w:pPr>
              <w:rPr>
                <w:rFonts w:asciiTheme="majorBidi" w:hAnsiTheme="majorBidi" w:cstheme="majorBidi"/>
              </w:rPr>
            </w:pPr>
            <w:r w:rsidRPr="002B28C3">
              <w:rPr>
                <w:rFonts w:asciiTheme="majorBidi" w:hAnsiTheme="majorBidi" w:cstheme="majorBidi"/>
              </w:rPr>
              <w:t>10189</w:t>
            </w:r>
          </w:p>
        </w:tc>
      </w:tr>
      <w:tr w:rsidR="009F01D8" w:rsidRPr="00F63CD5" w14:paraId="7E6A6973" w14:textId="77777777" w:rsidTr="009F01D8">
        <w:trPr>
          <w:trHeight w:val="279"/>
        </w:trPr>
        <w:tc>
          <w:tcPr>
            <w:tcW w:w="1129" w:type="dxa"/>
            <w:hideMark/>
          </w:tcPr>
          <w:p w14:paraId="26F09F40"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37" w:type="dxa"/>
            <w:hideMark/>
          </w:tcPr>
          <w:p w14:paraId="781A2C4B" w14:textId="77777777" w:rsidR="009F01D8" w:rsidRPr="002B28C3" w:rsidRDefault="009F01D8" w:rsidP="009F01D8">
            <w:pPr>
              <w:rPr>
                <w:rFonts w:asciiTheme="majorBidi" w:hAnsiTheme="majorBidi" w:cstheme="majorBidi"/>
              </w:rPr>
            </w:pPr>
            <w:r w:rsidRPr="002B28C3">
              <w:rPr>
                <w:rFonts w:asciiTheme="majorBidi" w:hAnsiTheme="majorBidi" w:cstheme="majorBidi"/>
              </w:rPr>
              <w:t>(carbapenem* and (non-</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or "non </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nonsusceptib</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1F22357B" w14:textId="77777777" w:rsidR="009F01D8" w:rsidRPr="002B28C3" w:rsidRDefault="009F01D8" w:rsidP="009F01D8">
            <w:pPr>
              <w:rPr>
                <w:rFonts w:asciiTheme="majorBidi" w:hAnsiTheme="majorBidi" w:cstheme="majorBidi"/>
              </w:rPr>
            </w:pPr>
            <w:r w:rsidRPr="002B28C3">
              <w:rPr>
                <w:rFonts w:asciiTheme="majorBidi" w:hAnsiTheme="majorBidi" w:cstheme="majorBidi"/>
              </w:rPr>
              <w:t>674</w:t>
            </w:r>
          </w:p>
        </w:tc>
      </w:tr>
      <w:tr w:rsidR="009F01D8" w:rsidRPr="00F63CD5" w14:paraId="7E0840F2" w14:textId="77777777" w:rsidTr="009F01D8">
        <w:trPr>
          <w:trHeight w:val="279"/>
        </w:trPr>
        <w:tc>
          <w:tcPr>
            <w:tcW w:w="1129" w:type="dxa"/>
            <w:hideMark/>
          </w:tcPr>
          <w:p w14:paraId="535C62B4"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237" w:type="dxa"/>
            <w:hideMark/>
          </w:tcPr>
          <w:p w14:paraId="1A436C09"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oxa</w:t>
            </w:r>
            <w:proofErr w:type="gramEnd"/>
            <w:r w:rsidRPr="002B28C3">
              <w:rPr>
                <w:rFonts w:asciiTheme="majorBidi" w:hAnsiTheme="majorBidi" w:cstheme="majorBidi"/>
              </w:rPr>
              <w:t>-48* or "</w:t>
            </w:r>
            <w:proofErr w:type="spellStart"/>
            <w:r w:rsidRPr="002B28C3">
              <w:rPr>
                <w:rFonts w:asciiTheme="majorBidi" w:hAnsiTheme="majorBidi" w:cstheme="majorBidi"/>
              </w:rPr>
              <w:t>oxa</w:t>
            </w:r>
            <w:proofErr w:type="spellEnd"/>
            <w:r w:rsidRPr="002B28C3">
              <w:rPr>
                <w:rFonts w:asciiTheme="majorBidi" w:hAnsiTheme="majorBidi" w:cstheme="majorBidi"/>
              </w:rPr>
              <w:t xml:space="preserve"> 48*" or oxacillinase-48* or "oxacillinase 48*" or blaoxa-48* or "</w:t>
            </w:r>
            <w:proofErr w:type="spellStart"/>
            <w:r w:rsidRPr="002B28C3">
              <w:rPr>
                <w:rFonts w:asciiTheme="majorBidi" w:hAnsiTheme="majorBidi" w:cstheme="majorBidi"/>
              </w:rPr>
              <w:t>blaoxa</w:t>
            </w:r>
            <w:proofErr w:type="spellEnd"/>
            <w:r w:rsidRPr="002B28C3">
              <w:rPr>
                <w:rFonts w:asciiTheme="majorBidi" w:hAnsiTheme="majorBidi" w:cstheme="majorBidi"/>
              </w:rPr>
              <w:t xml:space="preserve"> 48*").</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2794442D" w14:textId="77777777" w:rsidR="009F01D8" w:rsidRPr="002B28C3" w:rsidRDefault="009F01D8" w:rsidP="009F01D8">
            <w:pPr>
              <w:rPr>
                <w:rFonts w:asciiTheme="majorBidi" w:hAnsiTheme="majorBidi" w:cstheme="majorBidi"/>
              </w:rPr>
            </w:pPr>
            <w:r w:rsidRPr="002B28C3">
              <w:rPr>
                <w:rFonts w:asciiTheme="majorBidi" w:hAnsiTheme="majorBidi" w:cstheme="majorBidi"/>
              </w:rPr>
              <w:t>1595</w:t>
            </w:r>
          </w:p>
        </w:tc>
      </w:tr>
      <w:tr w:rsidR="009F01D8" w:rsidRPr="00F63CD5" w14:paraId="1783A08A" w14:textId="77777777" w:rsidTr="009F01D8">
        <w:trPr>
          <w:trHeight w:val="279"/>
        </w:trPr>
        <w:tc>
          <w:tcPr>
            <w:tcW w:w="1129" w:type="dxa"/>
            <w:hideMark/>
          </w:tcPr>
          <w:p w14:paraId="1DB07283"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237" w:type="dxa"/>
            <w:hideMark/>
          </w:tcPr>
          <w:p w14:paraId="1525C2F7"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(("new </w:t>
            </w:r>
            <w:proofErr w:type="spellStart"/>
            <w:r w:rsidRPr="002B28C3">
              <w:rPr>
                <w:rFonts w:asciiTheme="majorBidi" w:hAnsiTheme="majorBidi" w:cstheme="majorBidi"/>
              </w:rPr>
              <w:t>delhi</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ndm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verona</w:t>
            </w:r>
            <w:proofErr w:type="spellEnd"/>
            <w:r w:rsidRPr="002B28C3">
              <w:rPr>
                <w:rFonts w:asciiTheme="majorBidi" w:hAnsiTheme="majorBidi" w:cstheme="majorBidi"/>
              </w:rPr>
              <w:t xml:space="preserve"> integrated-encoded" or vim or </w:t>
            </w:r>
            <w:proofErr w:type="spellStart"/>
            <w:r w:rsidRPr="002B28C3">
              <w:rPr>
                <w:rFonts w:asciiTheme="majorBidi" w:hAnsiTheme="majorBidi" w:cstheme="majorBidi"/>
              </w:rPr>
              <w:t>imipenemase</w:t>
            </w:r>
            <w:proofErr w:type="spellEnd"/>
            <w:r w:rsidRPr="002B28C3">
              <w:rPr>
                <w:rFonts w:asciiTheme="majorBidi" w:hAnsiTheme="majorBidi" w:cstheme="majorBidi"/>
              </w:rPr>
              <w:t xml:space="preserve"> or imp) and (</w:t>
            </w:r>
            <w:proofErr w:type="spellStart"/>
            <w:r w:rsidRPr="002B28C3">
              <w:rPr>
                <w:rFonts w:asciiTheme="majorBidi" w:hAnsiTheme="majorBidi" w:cstheme="majorBidi"/>
              </w:rPr>
              <w:t>mbl</w:t>
            </w:r>
            <w:proofErr w:type="spellEnd"/>
            <w:r w:rsidRPr="002B28C3">
              <w:rPr>
                <w:rFonts w:asciiTheme="majorBidi" w:hAnsiTheme="majorBidi" w:cstheme="majorBidi"/>
              </w:rPr>
              <w:t xml:space="preserve"> or "metallo-beta-lactamase" or "</w:t>
            </w:r>
            <w:proofErr w:type="spellStart"/>
            <w:r w:rsidRPr="002B28C3">
              <w:rPr>
                <w:rFonts w:asciiTheme="majorBidi" w:hAnsiTheme="majorBidi" w:cstheme="majorBidi"/>
              </w:rPr>
              <w:t>metallo</w:t>
            </w:r>
            <w:proofErr w:type="spellEnd"/>
            <w:r w:rsidRPr="002B28C3">
              <w:rPr>
                <w:rFonts w:asciiTheme="majorBidi" w:hAnsiTheme="majorBidi" w:cstheme="majorBidi"/>
              </w:rPr>
              <w:t xml:space="preserve"> beta lactamase")).</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64B53A1F" w14:textId="77777777" w:rsidR="009F01D8" w:rsidRPr="002B28C3" w:rsidRDefault="009F01D8" w:rsidP="009F01D8">
            <w:pPr>
              <w:rPr>
                <w:rFonts w:asciiTheme="majorBidi" w:hAnsiTheme="majorBidi" w:cstheme="majorBidi"/>
              </w:rPr>
            </w:pPr>
            <w:r w:rsidRPr="002B28C3">
              <w:rPr>
                <w:rFonts w:asciiTheme="majorBidi" w:hAnsiTheme="majorBidi" w:cstheme="majorBidi"/>
              </w:rPr>
              <w:t>1900</w:t>
            </w:r>
          </w:p>
        </w:tc>
      </w:tr>
      <w:tr w:rsidR="009F01D8" w:rsidRPr="00F63CD5" w14:paraId="37CC8917" w14:textId="77777777" w:rsidTr="009F01D8">
        <w:trPr>
          <w:trHeight w:val="279"/>
        </w:trPr>
        <w:tc>
          <w:tcPr>
            <w:tcW w:w="1129" w:type="dxa"/>
            <w:hideMark/>
          </w:tcPr>
          <w:p w14:paraId="2FB2897A"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237" w:type="dxa"/>
            <w:hideMark/>
          </w:tcPr>
          <w:p w14:paraId="6F50E1C3" w14:textId="77777777" w:rsidR="009F01D8" w:rsidRPr="002B28C3" w:rsidRDefault="009F01D8" w:rsidP="009F01D8">
            <w:pPr>
              <w:rPr>
                <w:rFonts w:asciiTheme="majorBidi" w:hAnsiTheme="majorBidi" w:cstheme="majorBidi"/>
              </w:rPr>
            </w:pPr>
            <w:r w:rsidRPr="002B28C3">
              <w:rPr>
                <w:rFonts w:asciiTheme="majorBidi" w:hAnsiTheme="majorBidi" w:cstheme="majorBidi"/>
              </w:rPr>
              <w:t>or/1-4</w:t>
            </w:r>
          </w:p>
        </w:tc>
        <w:tc>
          <w:tcPr>
            <w:tcW w:w="1650" w:type="dxa"/>
            <w:hideMark/>
          </w:tcPr>
          <w:p w14:paraId="0CF1EAE2" w14:textId="77777777" w:rsidR="009F01D8" w:rsidRPr="002B28C3" w:rsidRDefault="009F01D8" w:rsidP="009F01D8">
            <w:pPr>
              <w:rPr>
                <w:rFonts w:asciiTheme="majorBidi" w:hAnsiTheme="majorBidi" w:cstheme="majorBidi"/>
              </w:rPr>
            </w:pPr>
            <w:r w:rsidRPr="002B28C3">
              <w:rPr>
                <w:rFonts w:asciiTheme="majorBidi" w:hAnsiTheme="majorBidi" w:cstheme="majorBidi"/>
              </w:rPr>
              <w:t>11737</w:t>
            </w:r>
          </w:p>
        </w:tc>
      </w:tr>
      <w:tr w:rsidR="009F01D8" w:rsidRPr="00F63CD5" w14:paraId="7A438EDD" w14:textId="77777777" w:rsidTr="009F01D8">
        <w:trPr>
          <w:trHeight w:val="279"/>
        </w:trPr>
        <w:tc>
          <w:tcPr>
            <w:tcW w:w="1129" w:type="dxa"/>
            <w:hideMark/>
          </w:tcPr>
          <w:p w14:paraId="3CB3F88B"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237" w:type="dxa"/>
            <w:hideMark/>
          </w:tcPr>
          <w:p w14:paraId="5F52C762" w14:textId="77777777" w:rsidR="009F01D8" w:rsidRPr="002B28C3" w:rsidRDefault="009F01D8" w:rsidP="009F01D8">
            <w:pPr>
              <w:rPr>
                <w:rFonts w:asciiTheme="majorBidi" w:hAnsiTheme="majorBidi" w:cstheme="majorBidi"/>
              </w:rPr>
            </w:pPr>
            <w:r w:rsidRPr="002B28C3">
              <w:rPr>
                <w:rFonts w:asciiTheme="majorBidi" w:hAnsiTheme="majorBidi" w:cstheme="majorBidi"/>
              </w:rPr>
              <w:t>(cohort* or longitudinal or prospective or retrospective or follow-up or "follow up" or long-term or "long term" or year).</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05B7E11B" w14:textId="77777777" w:rsidR="009F01D8" w:rsidRPr="002B28C3" w:rsidRDefault="009F01D8" w:rsidP="009F01D8">
            <w:pPr>
              <w:rPr>
                <w:rFonts w:asciiTheme="majorBidi" w:hAnsiTheme="majorBidi" w:cstheme="majorBidi"/>
              </w:rPr>
            </w:pPr>
            <w:r w:rsidRPr="002B28C3">
              <w:rPr>
                <w:rFonts w:asciiTheme="majorBidi" w:hAnsiTheme="majorBidi" w:cstheme="majorBidi"/>
              </w:rPr>
              <w:t>4211288</w:t>
            </w:r>
          </w:p>
        </w:tc>
      </w:tr>
      <w:tr w:rsidR="009F01D8" w:rsidRPr="00F63CD5" w14:paraId="666B9C96" w14:textId="77777777" w:rsidTr="009F01D8">
        <w:trPr>
          <w:trHeight w:val="279"/>
        </w:trPr>
        <w:tc>
          <w:tcPr>
            <w:tcW w:w="1129" w:type="dxa"/>
            <w:hideMark/>
          </w:tcPr>
          <w:p w14:paraId="0CCCAE1F" w14:textId="77777777" w:rsidR="009F01D8" w:rsidRPr="002B28C3" w:rsidRDefault="009F01D8" w:rsidP="009F01D8">
            <w:pPr>
              <w:rPr>
                <w:rFonts w:asciiTheme="majorBidi" w:hAnsiTheme="majorBidi" w:cstheme="majorBidi"/>
              </w:rPr>
            </w:pPr>
            <w:r w:rsidRPr="002B28C3">
              <w:rPr>
                <w:rFonts w:asciiTheme="majorBidi" w:hAnsiTheme="majorBidi" w:cstheme="majorBidi"/>
              </w:rPr>
              <w:t>7</w:t>
            </w:r>
          </w:p>
        </w:tc>
        <w:tc>
          <w:tcPr>
            <w:tcW w:w="6237" w:type="dxa"/>
            <w:hideMark/>
          </w:tcPr>
          <w:p w14:paraId="23409C3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mortality</w:t>
            </w:r>
            <w:proofErr w:type="gramEnd"/>
            <w:r w:rsidRPr="002B28C3">
              <w:rPr>
                <w:rFonts w:asciiTheme="majorBidi" w:hAnsiTheme="majorBidi" w:cstheme="majorBidi"/>
              </w:rPr>
              <w:t xml:space="preserve"> or death* or survival).</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00B6230F" w14:textId="77777777" w:rsidR="009F01D8" w:rsidRPr="002B28C3" w:rsidRDefault="009F01D8" w:rsidP="009F01D8">
            <w:pPr>
              <w:rPr>
                <w:rFonts w:asciiTheme="majorBidi" w:hAnsiTheme="majorBidi" w:cstheme="majorBidi"/>
              </w:rPr>
            </w:pPr>
            <w:r w:rsidRPr="002B28C3">
              <w:rPr>
                <w:rFonts w:asciiTheme="majorBidi" w:hAnsiTheme="majorBidi" w:cstheme="majorBidi"/>
              </w:rPr>
              <w:t>2271430</w:t>
            </w:r>
          </w:p>
        </w:tc>
      </w:tr>
      <w:tr w:rsidR="009F01D8" w:rsidRPr="00F63CD5" w14:paraId="47F7EDDA" w14:textId="77777777" w:rsidTr="009F01D8">
        <w:trPr>
          <w:trHeight w:val="279"/>
        </w:trPr>
        <w:tc>
          <w:tcPr>
            <w:tcW w:w="1129" w:type="dxa"/>
            <w:hideMark/>
          </w:tcPr>
          <w:p w14:paraId="496311CA"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c>
          <w:tcPr>
            <w:tcW w:w="6237" w:type="dxa"/>
            <w:hideMark/>
          </w:tcPr>
          <w:p w14:paraId="78AE5BE1"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Infections/</w:t>
            </w:r>
          </w:p>
        </w:tc>
        <w:tc>
          <w:tcPr>
            <w:tcW w:w="1650" w:type="dxa"/>
            <w:hideMark/>
          </w:tcPr>
          <w:p w14:paraId="5407BD59" w14:textId="77777777" w:rsidR="009F01D8" w:rsidRPr="002B28C3" w:rsidRDefault="009F01D8" w:rsidP="009F01D8">
            <w:pPr>
              <w:rPr>
                <w:rFonts w:asciiTheme="majorBidi" w:hAnsiTheme="majorBidi" w:cstheme="majorBidi"/>
              </w:rPr>
            </w:pPr>
            <w:r w:rsidRPr="002B28C3">
              <w:rPr>
                <w:rFonts w:asciiTheme="majorBidi" w:hAnsiTheme="majorBidi" w:cstheme="majorBidi"/>
              </w:rPr>
              <w:t>39976</w:t>
            </w:r>
          </w:p>
        </w:tc>
      </w:tr>
      <w:tr w:rsidR="009F01D8" w:rsidRPr="00F63CD5" w14:paraId="1AF58177" w14:textId="77777777" w:rsidTr="009F01D8">
        <w:trPr>
          <w:trHeight w:val="279"/>
        </w:trPr>
        <w:tc>
          <w:tcPr>
            <w:tcW w:w="1129" w:type="dxa"/>
            <w:hideMark/>
          </w:tcPr>
          <w:p w14:paraId="0D6C9AF7" w14:textId="77777777" w:rsidR="009F01D8" w:rsidRPr="002B28C3" w:rsidRDefault="009F01D8" w:rsidP="009F01D8">
            <w:pPr>
              <w:rPr>
                <w:rFonts w:asciiTheme="majorBidi" w:hAnsiTheme="majorBidi" w:cstheme="majorBidi"/>
              </w:rPr>
            </w:pPr>
            <w:r w:rsidRPr="002B28C3">
              <w:rPr>
                <w:rFonts w:asciiTheme="majorBidi" w:hAnsiTheme="majorBidi" w:cstheme="majorBidi"/>
              </w:rPr>
              <w:t>9</w:t>
            </w:r>
          </w:p>
        </w:tc>
        <w:tc>
          <w:tcPr>
            <w:tcW w:w="6237" w:type="dxa"/>
            <w:hideMark/>
          </w:tcPr>
          <w:p w14:paraId="1A81B63F"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7D39516B" w14:textId="77777777" w:rsidR="009F01D8" w:rsidRPr="002B28C3" w:rsidRDefault="009F01D8" w:rsidP="009F01D8">
            <w:pPr>
              <w:rPr>
                <w:rFonts w:asciiTheme="majorBidi" w:hAnsiTheme="majorBidi" w:cstheme="majorBidi"/>
              </w:rPr>
            </w:pPr>
            <w:r w:rsidRPr="002B28C3">
              <w:rPr>
                <w:rFonts w:asciiTheme="majorBidi" w:hAnsiTheme="majorBidi" w:cstheme="majorBidi"/>
              </w:rPr>
              <w:t>42419</w:t>
            </w:r>
          </w:p>
        </w:tc>
      </w:tr>
      <w:tr w:rsidR="009F01D8" w:rsidRPr="00F63CD5" w14:paraId="6BE7897F" w14:textId="77777777" w:rsidTr="009F01D8">
        <w:trPr>
          <w:trHeight w:val="279"/>
        </w:trPr>
        <w:tc>
          <w:tcPr>
            <w:tcW w:w="1129" w:type="dxa"/>
            <w:hideMark/>
          </w:tcPr>
          <w:p w14:paraId="577474FE"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10</w:t>
            </w:r>
          </w:p>
        </w:tc>
        <w:tc>
          <w:tcPr>
            <w:tcW w:w="6237" w:type="dxa"/>
            <w:hideMark/>
          </w:tcPr>
          <w:p w14:paraId="29B9080C"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proofErr w:type="gramStart"/>
            <w:r w:rsidRPr="002B28C3">
              <w:rPr>
                <w:rFonts w:asciiTheme="majorBidi" w:hAnsiTheme="majorBidi" w:cstheme="majorBidi"/>
              </w:rPr>
              <w:t>uti</w:t>
            </w:r>
            <w:proofErr w:type="spellEnd"/>
            <w:proofErr w:type="gramEnd"/>
            <w:r w:rsidRPr="002B28C3">
              <w:rPr>
                <w:rFonts w:asciiTheme="majorBidi" w:hAnsiTheme="majorBidi" w:cstheme="majorBidi"/>
              </w:rPr>
              <w:t xml:space="preserve"> or </w:t>
            </w:r>
            <w:proofErr w:type="spellStart"/>
            <w:r w:rsidRPr="002B28C3">
              <w:rPr>
                <w:rFonts w:asciiTheme="majorBidi" w:hAnsiTheme="majorBidi" w:cstheme="majorBidi"/>
              </w:rPr>
              <w:t>utis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cuti</w:t>
            </w:r>
            <w:proofErr w:type="spellEnd"/>
            <w:r w:rsidRPr="002B28C3">
              <w:rPr>
                <w:rFonts w:asciiTheme="majorBidi" w:hAnsiTheme="majorBidi" w:cstheme="majorBidi"/>
              </w:rPr>
              <w:t xml:space="preserve"> or cutis).</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3A766AAF" w14:textId="77777777" w:rsidR="009F01D8" w:rsidRPr="002B28C3" w:rsidRDefault="009F01D8" w:rsidP="009F01D8">
            <w:pPr>
              <w:rPr>
                <w:rFonts w:asciiTheme="majorBidi" w:hAnsiTheme="majorBidi" w:cstheme="majorBidi"/>
              </w:rPr>
            </w:pPr>
            <w:r w:rsidRPr="002B28C3">
              <w:rPr>
                <w:rFonts w:asciiTheme="majorBidi" w:hAnsiTheme="majorBidi" w:cstheme="majorBidi"/>
              </w:rPr>
              <w:t>17460</w:t>
            </w:r>
          </w:p>
        </w:tc>
      </w:tr>
      <w:tr w:rsidR="009F01D8" w:rsidRPr="00F63CD5" w14:paraId="08239676" w14:textId="77777777" w:rsidTr="009F01D8">
        <w:trPr>
          <w:trHeight w:val="279"/>
        </w:trPr>
        <w:tc>
          <w:tcPr>
            <w:tcW w:w="1129" w:type="dxa"/>
            <w:hideMark/>
          </w:tcPr>
          <w:p w14:paraId="2C92C9BE" w14:textId="77777777" w:rsidR="009F01D8" w:rsidRPr="002B28C3" w:rsidRDefault="009F01D8" w:rsidP="009F01D8">
            <w:pPr>
              <w:rPr>
                <w:rFonts w:asciiTheme="majorBidi" w:hAnsiTheme="majorBidi" w:cstheme="majorBidi"/>
              </w:rPr>
            </w:pPr>
            <w:r w:rsidRPr="002B28C3">
              <w:rPr>
                <w:rFonts w:asciiTheme="majorBidi" w:hAnsiTheme="majorBidi" w:cstheme="majorBidi"/>
              </w:rPr>
              <w:t>11</w:t>
            </w:r>
          </w:p>
        </w:tc>
        <w:tc>
          <w:tcPr>
            <w:tcW w:w="6237" w:type="dxa"/>
            <w:hideMark/>
          </w:tcPr>
          <w:p w14:paraId="16525A90"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Pneumonia/</w:t>
            </w:r>
          </w:p>
        </w:tc>
        <w:tc>
          <w:tcPr>
            <w:tcW w:w="1650" w:type="dxa"/>
            <w:hideMark/>
          </w:tcPr>
          <w:p w14:paraId="7069064C" w14:textId="77777777" w:rsidR="009F01D8" w:rsidRPr="002B28C3" w:rsidRDefault="009F01D8" w:rsidP="009F01D8">
            <w:pPr>
              <w:rPr>
                <w:rFonts w:asciiTheme="majorBidi" w:hAnsiTheme="majorBidi" w:cstheme="majorBidi"/>
              </w:rPr>
            </w:pPr>
            <w:r w:rsidRPr="002B28C3">
              <w:rPr>
                <w:rFonts w:asciiTheme="majorBidi" w:hAnsiTheme="majorBidi" w:cstheme="majorBidi"/>
              </w:rPr>
              <w:t>178125</w:t>
            </w:r>
          </w:p>
        </w:tc>
      </w:tr>
      <w:tr w:rsidR="009F01D8" w:rsidRPr="00F63CD5" w14:paraId="55498297" w14:textId="77777777" w:rsidTr="009F01D8">
        <w:trPr>
          <w:trHeight w:val="279"/>
        </w:trPr>
        <w:tc>
          <w:tcPr>
            <w:tcW w:w="1129" w:type="dxa"/>
            <w:hideMark/>
          </w:tcPr>
          <w:p w14:paraId="584FE24A" w14:textId="77777777" w:rsidR="009F01D8" w:rsidRPr="002B28C3" w:rsidRDefault="009F01D8" w:rsidP="009F01D8">
            <w:pPr>
              <w:rPr>
                <w:rFonts w:asciiTheme="majorBidi" w:hAnsiTheme="majorBidi" w:cstheme="majorBidi"/>
              </w:rPr>
            </w:pPr>
            <w:r w:rsidRPr="002B28C3">
              <w:rPr>
                <w:rFonts w:asciiTheme="majorBidi" w:hAnsiTheme="majorBidi" w:cstheme="majorBidi"/>
              </w:rPr>
              <w:t>12</w:t>
            </w:r>
          </w:p>
        </w:tc>
        <w:tc>
          <w:tcPr>
            <w:tcW w:w="6237" w:type="dxa"/>
            <w:hideMark/>
          </w:tcPr>
          <w:p w14:paraId="0BA91E48"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pneumon</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71FB6B1F" w14:textId="77777777" w:rsidR="009F01D8" w:rsidRPr="002B28C3" w:rsidRDefault="009F01D8" w:rsidP="009F01D8">
            <w:pPr>
              <w:rPr>
                <w:rFonts w:asciiTheme="majorBidi" w:hAnsiTheme="majorBidi" w:cstheme="majorBidi"/>
              </w:rPr>
            </w:pPr>
            <w:r w:rsidRPr="002B28C3">
              <w:rPr>
                <w:rFonts w:asciiTheme="majorBidi" w:hAnsiTheme="majorBidi" w:cstheme="majorBidi"/>
              </w:rPr>
              <w:t>202270</w:t>
            </w:r>
          </w:p>
        </w:tc>
      </w:tr>
      <w:tr w:rsidR="009F01D8" w:rsidRPr="00F63CD5" w14:paraId="28E8FB7E" w14:textId="77777777" w:rsidTr="009F01D8">
        <w:trPr>
          <w:trHeight w:val="279"/>
        </w:trPr>
        <w:tc>
          <w:tcPr>
            <w:tcW w:w="1129" w:type="dxa"/>
            <w:hideMark/>
          </w:tcPr>
          <w:p w14:paraId="0023BE4A" w14:textId="77777777" w:rsidR="009F01D8" w:rsidRPr="002B28C3" w:rsidRDefault="009F01D8" w:rsidP="009F01D8">
            <w:pPr>
              <w:rPr>
                <w:rFonts w:asciiTheme="majorBidi" w:hAnsiTheme="majorBidi" w:cstheme="majorBidi"/>
              </w:rPr>
            </w:pPr>
            <w:r w:rsidRPr="002B28C3">
              <w:rPr>
                <w:rFonts w:asciiTheme="majorBidi" w:hAnsiTheme="majorBidi" w:cstheme="majorBidi"/>
              </w:rPr>
              <w:t>13</w:t>
            </w:r>
          </w:p>
        </w:tc>
        <w:tc>
          <w:tcPr>
            <w:tcW w:w="6237" w:type="dxa"/>
            <w:hideMark/>
          </w:tcPr>
          <w:p w14:paraId="7647D1C7"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Intensive Care Units/</w:t>
            </w:r>
          </w:p>
        </w:tc>
        <w:tc>
          <w:tcPr>
            <w:tcW w:w="1650" w:type="dxa"/>
            <w:hideMark/>
          </w:tcPr>
          <w:p w14:paraId="3C47C8A3" w14:textId="77777777" w:rsidR="009F01D8" w:rsidRPr="002B28C3" w:rsidRDefault="009F01D8" w:rsidP="009F01D8">
            <w:pPr>
              <w:rPr>
                <w:rFonts w:asciiTheme="majorBidi" w:hAnsiTheme="majorBidi" w:cstheme="majorBidi"/>
              </w:rPr>
            </w:pPr>
            <w:r w:rsidRPr="002B28C3">
              <w:rPr>
                <w:rFonts w:asciiTheme="majorBidi" w:hAnsiTheme="majorBidi" w:cstheme="majorBidi"/>
              </w:rPr>
              <w:t>91189</w:t>
            </w:r>
          </w:p>
        </w:tc>
      </w:tr>
      <w:tr w:rsidR="009F01D8" w:rsidRPr="00F63CD5" w14:paraId="43B9C262" w14:textId="77777777" w:rsidTr="009F01D8">
        <w:trPr>
          <w:trHeight w:val="279"/>
        </w:trPr>
        <w:tc>
          <w:tcPr>
            <w:tcW w:w="1129" w:type="dxa"/>
            <w:hideMark/>
          </w:tcPr>
          <w:p w14:paraId="0D04E84B" w14:textId="77777777" w:rsidR="009F01D8" w:rsidRPr="002B28C3" w:rsidRDefault="009F01D8" w:rsidP="009F01D8">
            <w:pPr>
              <w:rPr>
                <w:rFonts w:asciiTheme="majorBidi" w:hAnsiTheme="majorBidi" w:cstheme="majorBidi"/>
              </w:rPr>
            </w:pPr>
            <w:r w:rsidRPr="002B28C3">
              <w:rPr>
                <w:rFonts w:asciiTheme="majorBidi" w:hAnsiTheme="majorBidi" w:cstheme="majorBidi"/>
              </w:rPr>
              <w:t>14</w:t>
            </w:r>
          </w:p>
        </w:tc>
        <w:tc>
          <w:tcPr>
            <w:tcW w:w="6237" w:type="dxa"/>
            <w:hideMark/>
          </w:tcPr>
          <w:p w14:paraId="10503EB8"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((hospital* or ventilator* or </w:t>
            </w:r>
            <w:proofErr w:type="spellStart"/>
            <w:r w:rsidRPr="002B28C3">
              <w:rPr>
                <w:rFonts w:asciiTheme="majorBidi" w:hAnsiTheme="majorBidi" w:cstheme="majorBidi"/>
              </w:rPr>
              <w:t>icu</w:t>
            </w:r>
            <w:proofErr w:type="spellEnd"/>
            <w:r w:rsidRPr="002B28C3">
              <w:rPr>
                <w:rFonts w:asciiTheme="majorBidi" w:hAnsiTheme="majorBidi" w:cstheme="majorBidi"/>
              </w:rPr>
              <w:t xml:space="preserve"> or intensive care) adj3 (acquired or </w:t>
            </w:r>
            <w:proofErr w:type="spellStart"/>
            <w:r w:rsidRPr="002B28C3">
              <w:rPr>
                <w:rFonts w:asciiTheme="majorBidi" w:hAnsiTheme="majorBidi" w:cstheme="majorBidi"/>
              </w:rPr>
              <w:t>associat</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7182D888" w14:textId="77777777" w:rsidR="009F01D8" w:rsidRPr="002B28C3" w:rsidRDefault="009F01D8" w:rsidP="009F01D8">
            <w:pPr>
              <w:rPr>
                <w:rFonts w:asciiTheme="majorBidi" w:hAnsiTheme="majorBidi" w:cstheme="majorBidi"/>
              </w:rPr>
            </w:pPr>
            <w:r w:rsidRPr="002B28C3">
              <w:rPr>
                <w:rFonts w:asciiTheme="majorBidi" w:hAnsiTheme="majorBidi" w:cstheme="majorBidi"/>
              </w:rPr>
              <w:t>49009</w:t>
            </w:r>
          </w:p>
        </w:tc>
      </w:tr>
      <w:tr w:rsidR="009F01D8" w:rsidRPr="00F63CD5" w14:paraId="4FA43EDF" w14:textId="77777777" w:rsidTr="009F01D8">
        <w:trPr>
          <w:trHeight w:val="279"/>
        </w:trPr>
        <w:tc>
          <w:tcPr>
            <w:tcW w:w="1129" w:type="dxa"/>
            <w:hideMark/>
          </w:tcPr>
          <w:p w14:paraId="4862EF82" w14:textId="77777777" w:rsidR="009F01D8" w:rsidRPr="002B28C3" w:rsidRDefault="009F01D8" w:rsidP="009F01D8">
            <w:pPr>
              <w:rPr>
                <w:rFonts w:asciiTheme="majorBidi" w:hAnsiTheme="majorBidi" w:cstheme="majorBidi"/>
              </w:rPr>
            </w:pPr>
            <w:r w:rsidRPr="002B28C3">
              <w:rPr>
                <w:rFonts w:asciiTheme="majorBidi" w:hAnsiTheme="majorBidi" w:cstheme="majorBidi"/>
              </w:rPr>
              <w:t>15</w:t>
            </w:r>
          </w:p>
        </w:tc>
        <w:tc>
          <w:tcPr>
            <w:tcW w:w="6237" w:type="dxa"/>
            <w:hideMark/>
          </w:tcPr>
          <w:p w14:paraId="168B3A20" w14:textId="77777777" w:rsidR="009F01D8" w:rsidRPr="002B28C3" w:rsidRDefault="009F01D8" w:rsidP="009F01D8">
            <w:pPr>
              <w:rPr>
                <w:rFonts w:asciiTheme="majorBidi" w:hAnsiTheme="majorBidi" w:cstheme="majorBidi"/>
              </w:rPr>
            </w:pPr>
            <w:r w:rsidRPr="002B28C3">
              <w:rPr>
                <w:rFonts w:asciiTheme="majorBidi" w:hAnsiTheme="majorBidi" w:cstheme="majorBidi"/>
              </w:rPr>
              <w:t>Pneumonia, Ventilator-Associated/</w:t>
            </w:r>
          </w:p>
        </w:tc>
        <w:tc>
          <w:tcPr>
            <w:tcW w:w="1650" w:type="dxa"/>
            <w:hideMark/>
          </w:tcPr>
          <w:p w14:paraId="7641A6AD" w14:textId="77777777" w:rsidR="009F01D8" w:rsidRPr="002B28C3" w:rsidRDefault="009F01D8" w:rsidP="009F01D8">
            <w:pPr>
              <w:rPr>
                <w:rFonts w:asciiTheme="majorBidi" w:hAnsiTheme="majorBidi" w:cstheme="majorBidi"/>
              </w:rPr>
            </w:pPr>
            <w:r w:rsidRPr="002B28C3">
              <w:rPr>
                <w:rFonts w:asciiTheme="majorBidi" w:hAnsiTheme="majorBidi" w:cstheme="majorBidi"/>
              </w:rPr>
              <w:t>3704</w:t>
            </w:r>
          </w:p>
        </w:tc>
      </w:tr>
      <w:tr w:rsidR="009F01D8" w:rsidRPr="00F63CD5" w14:paraId="31F40747" w14:textId="77777777" w:rsidTr="009F01D8">
        <w:trPr>
          <w:trHeight w:val="279"/>
        </w:trPr>
        <w:tc>
          <w:tcPr>
            <w:tcW w:w="1129" w:type="dxa"/>
            <w:hideMark/>
          </w:tcPr>
          <w:p w14:paraId="6B0CCCF2" w14:textId="77777777" w:rsidR="009F01D8" w:rsidRPr="002B28C3" w:rsidRDefault="009F01D8" w:rsidP="009F01D8">
            <w:pPr>
              <w:rPr>
                <w:rFonts w:asciiTheme="majorBidi" w:hAnsiTheme="majorBidi" w:cstheme="majorBidi"/>
              </w:rPr>
            </w:pPr>
            <w:r w:rsidRPr="002B28C3">
              <w:rPr>
                <w:rFonts w:asciiTheme="majorBidi" w:hAnsiTheme="majorBidi" w:cstheme="majorBidi"/>
              </w:rPr>
              <w:t>16</w:t>
            </w:r>
          </w:p>
        </w:tc>
        <w:tc>
          <w:tcPr>
            <w:tcW w:w="6237" w:type="dxa"/>
            <w:hideMark/>
          </w:tcPr>
          <w:p w14:paraId="651F5B3E"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hap</w:t>
            </w:r>
            <w:proofErr w:type="gramEnd"/>
            <w:r w:rsidRPr="002B28C3">
              <w:rPr>
                <w:rFonts w:asciiTheme="majorBidi" w:hAnsiTheme="majorBidi" w:cstheme="majorBidi"/>
              </w:rPr>
              <w:t xml:space="preserve"> or </w:t>
            </w:r>
            <w:proofErr w:type="spellStart"/>
            <w:r w:rsidRPr="002B28C3">
              <w:rPr>
                <w:rFonts w:asciiTheme="majorBidi" w:hAnsiTheme="majorBidi" w:cstheme="majorBidi"/>
              </w:rPr>
              <w:t>vap</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hideMark/>
          </w:tcPr>
          <w:p w14:paraId="7EFC591F" w14:textId="77777777" w:rsidR="009F01D8" w:rsidRPr="002B28C3" w:rsidRDefault="009F01D8" w:rsidP="009F01D8">
            <w:pPr>
              <w:rPr>
                <w:rFonts w:asciiTheme="majorBidi" w:hAnsiTheme="majorBidi" w:cstheme="majorBidi"/>
              </w:rPr>
            </w:pPr>
            <w:r w:rsidRPr="002B28C3">
              <w:rPr>
                <w:rFonts w:asciiTheme="majorBidi" w:hAnsiTheme="majorBidi" w:cstheme="majorBidi"/>
              </w:rPr>
              <w:t>10159</w:t>
            </w:r>
          </w:p>
        </w:tc>
      </w:tr>
      <w:tr w:rsidR="009F01D8" w:rsidRPr="00F63CD5" w14:paraId="38B7E719" w14:textId="77777777" w:rsidTr="009F01D8">
        <w:trPr>
          <w:trHeight w:val="279"/>
        </w:trPr>
        <w:tc>
          <w:tcPr>
            <w:tcW w:w="1129" w:type="dxa"/>
            <w:hideMark/>
          </w:tcPr>
          <w:p w14:paraId="79C802EF"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c>
          <w:tcPr>
            <w:tcW w:w="6237" w:type="dxa"/>
            <w:hideMark/>
          </w:tcPr>
          <w:p w14:paraId="09258A5B" w14:textId="77777777" w:rsidR="009F01D8" w:rsidRPr="002B28C3" w:rsidRDefault="009F01D8" w:rsidP="009F01D8">
            <w:pPr>
              <w:rPr>
                <w:rFonts w:asciiTheme="majorBidi" w:hAnsiTheme="majorBidi" w:cstheme="majorBidi"/>
              </w:rPr>
            </w:pPr>
            <w:r w:rsidRPr="002B28C3">
              <w:rPr>
                <w:rFonts w:asciiTheme="majorBidi" w:hAnsiTheme="majorBidi" w:cstheme="majorBidi"/>
              </w:rPr>
              <w:t>(11 or 12) and (13 or 14)</w:t>
            </w:r>
          </w:p>
        </w:tc>
        <w:tc>
          <w:tcPr>
            <w:tcW w:w="1650" w:type="dxa"/>
            <w:hideMark/>
          </w:tcPr>
          <w:p w14:paraId="00397E88" w14:textId="77777777" w:rsidR="009F01D8" w:rsidRPr="002B28C3" w:rsidRDefault="009F01D8" w:rsidP="009F01D8">
            <w:pPr>
              <w:rPr>
                <w:rFonts w:asciiTheme="majorBidi" w:hAnsiTheme="majorBidi" w:cstheme="majorBidi"/>
              </w:rPr>
            </w:pPr>
            <w:r w:rsidRPr="002B28C3">
              <w:rPr>
                <w:rFonts w:asciiTheme="majorBidi" w:hAnsiTheme="majorBidi" w:cstheme="majorBidi"/>
              </w:rPr>
              <w:t>17397</w:t>
            </w:r>
          </w:p>
        </w:tc>
      </w:tr>
      <w:tr w:rsidR="009F01D8" w:rsidRPr="00F63CD5" w14:paraId="51F7925A" w14:textId="77777777" w:rsidTr="009F01D8">
        <w:trPr>
          <w:trHeight w:val="279"/>
        </w:trPr>
        <w:tc>
          <w:tcPr>
            <w:tcW w:w="1129" w:type="dxa"/>
            <w:hideMark/>
          </w:tcPr>
          <w:p w14:paraId="02296CB3"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c>
          <w:tcPr>
            <w:tcW w:w="6237" w:type="dxa"/>
            <w:hideMark/>
          </w:tcPr>
          <w:p w14:paraId="0A3BBCE3" w14:textId="77777777" w:rsidR="009F01D8" w:rsidRPr="002B28C3" w:rsidRDefault="009F01D8" w:rsidP="009F01D8">
            <w:pPr>
              <w:rPr>
                <w:rFonts w:asciiTheme="majorBidi" w:hAnsiTheme="majorBidi" w:cstheme="majorBidi"/>
              </w:rPr>
            </w:pPr>
            <w:r w:rsidRPr="002B28C3">
              <w:rPr>
                <w:rFonts w:asciiTheme="majorBidi" w:hAnsiTheme="majorBidi" w:cstheme="majorBidi"/>
              </w:rPr>
              <w:t>8 or 9 or 10 or 15 or 16 or 17</w:t>
            </w:r>
          </w:p>
        </w:tc>
        <w:tc>
          <w:tcPr>
            <w:tcW w:w="1650" w:type="dxa"/>
            <w:hideMark/>
          </w:tcPr>
          <w:p w14:paraId="30CA0A3D" w14:textId="77777777" w:rsidR="009F01D8" w:rsidRPr="002B28C3" w:rsidRDefault="009F01D8" w:rsidP="009F01D8">
            <w:pPr>
              <w:rPr>
                <w:rFonts w:asciiTheme="majorBidi" w:hAnsiTheme="majorBidi" w:cstheme="majorBidi"/>
              </w:rPr>
            </w:pPr>
            <w:r w:rsidRPr="002B28C3">
              <w:rPr>
                <w:rFonts w:asciiTheme="majorBidi" w:hAnsiTheme="majorBidi" w:cstheme="majorBidi"/>
              </w:rPr>
              <w:t>91038</w:t>
            </w:r>
          </w:p>
        </w:tc>
      </w:tr>
      <w:tr w:rsidR="009F01D8" w:rsidRPr="00F63CD5" w14:paraId="1D3D75AB" w14:textId="77777777" w:rsidTr="009F01D8">
        <w:trPr>
          <w:trHeight w:val="279"/>
        </w:trPr>
        <w:tc>
          <w:tcPr>
            <w:tcW w:w="1129" w:type="dxa"/>
            <w:hideMark/>
          </w:tcPr>
          <w:p w14:paraId="21B66D3D" w14:textId="77777777" w:rsidR="009F01D8" w:rsidRPr="002B28C3" w:rsidRDefault="009F01D8" w:rsidP="009F01D8">
            <w:pPr>
              <w:rPr>
                <w:rFonts w:asciiTheme="majorBidi" w:hAnsiTheme="majorBidi" w:cstheme="majorBidi"/>
              </w:rPr>
            </w:pPr>
            <w:r w:rsidRPr="002B28C3">
              <w:rPr>
                <w:rFonts w:asciiTheme="majorBidi" w:hAnsiTheme="majorBidi" w:cstheme="majorBidi"/>
              </w:rPr>
              <w:t>19</w:t>
            </w:r>
          </w:p>
        </w:tc>
        <w:tc>
          <w:tcPr>
            <w:tcW w:w="6237" w:type="dxa"/>
            <w:hideMark/>
          </w:tcPr>
          <w:p w14:paraId="6E89738E" w14:textId="77777777" w:rsidR="009F01D8" w:rsidRPr="002B28C3" w:rsidRDefault="009F01D8" w:rsidP="009F01D8">
            <w:pPr>
              <w:rPr>
                <w:rFonts w:asciiTheme="majorBidi" w:hAnsiTheme="majorBidi" w:cstheme="majorBidi"/>
              </w:rPr>
            </w:pPr>
            <w:r w:rsidRPr="002B28C3">
              <w:rPr>
                <w:rFonts w:asciiTheme="majorBidi" w:hAnsiTheme="majorBidi" w:cstheme="majorBidi"/>
              </w:rPr>
              <w:t>5 and 6 and 7 and 18</w:t>
            </w:r>
          </w:p>
        </w:tc>
        <w:tc>
          <w:tcPr>
            <w:tcW w:w="1650" w:type="dxa"/>
            <w:hideMark/>
          </w:tcPr>
          <w:p w14:paraId="2A2309D8" w14:textId="77777777" w:rsidR="009F01D8" w:rsidRPr="002B28C3" w:rsidRDefault="009F01D8" w:rsidP="009F01D8">
            <w:pPr>
              <w:rPr>
                <w:rFonts w:asciiTheme="majorBidi" w:hAnsiTheme="majorBidi" w:cstheme="majorBidi"/>
              </w:rPr>
            </w:pPr>
            <w:r w:rsidRPr="002B28C3">
              <w:rPr>
                <w:rFonts w:asciiTheme="majorBidi" w:hAnsiTheme="majorBidi" w:cstheme="majorBidi"/>
              </w:rPr>
              <w:t>160</w:t>
            </w:r>
          </w:p>
        </w:tc>
      </w:tr>
      <w:tr w:rsidR="009F01D8" w:rsidRPr="00F63CD5" w14:paraId="523C958E" w14:textId="77777777" w:rsidTr="009F01D8">
        <w:trPr>
          <w:trHeight w:val="279"/>
        </w:trPr>
        <w:tc>
          <w:tcPr>
            <w:tcW w:w="1129" w:type="dxa"/>
            <w:hideMark/>
          </w:tcPr>
          <w:p w14:paraId="59D7DE90" w14:textId="77777777" w:rsidR="009F01D8" w:rsidRPr="002B28C3" w:rsidRDefault="009F01D8" w:rsidP="009F01D8">
            <w:pPr>
              <w:rPr>
                <w:rFonts w:asciiTheme="majorBidi" w:hAnsiTheme="majorBidi" w:cstheme="majorBidi"/>
              </w:rPr>
            </w:pPr>
            <w:r w:rsidRPr="002B28C3">
              <w:rPr>
                <w:rFonts w:asciiTheme="majorBidi" w:hAnsiTheme="majorBidi" w:cstheme="majorBidi"/>
              </w:rPr>
              <w:t>20</w:t>
            </w:r>
          </w:p>
        </w:tc>
        <w:tc>
          <w:tcPr>
            <w:tcW w:w="6237" w:type="dxa"/>
            <w:hideMark/>
          </w:tcPr>
          <w:p w14:paraId="4982120E"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19 to </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language</w:t>
            </w:r>
          </w:p>
        </w:tc>
        <w:tc>
          <w:tcPr>
            <w:tcW w:w="1650" w:type="dxa"/>
            <w:hideMark/>
          </w:tcPr>
          <w:p w14:paraId="1DFB7177" w14:textId="77777777" w:rsidR="009F01D8" w:rsidRPr="002B28C3" w:rsidRDefault="009F01D8" w:rsidP="009F01D8">
            <w:pPr>
              <w:rPr>
                <w:rFonts w:asciiTheme="majorBidi" w:hAnsiTheme="majorBidi" w:cstheme="majorBidi"/>
              </w:rPr>
            </w:pPr>
            <w:r w:rsidRPr="002B28C3">
              <w:rPr>
                <w:rFonts w:asciiTheme="majorBidi" w:hAnsiTheme="majorBidi" w:cstheme="majorBidi"/>
              </w:rPr>
              <w:t>154</w:t>
            </w:r>
          </w:p>
        </w:tc>
      </w:tr>
      <w:tr w:rsidR="009F01D8" w:rsidRPr="00F63CD5" w14:paraId="1FE78B9A" w14:textId="77777777" w:rsidTr="009F01D8">
        <w:trPr>
          <w:trHeight w:val="279"/>
        </w:trPr>
        <w:tc>
          <w:tcPr>
            <w:tcW w:w="1129" w:type="dxa"/>
            <w:hideMark/>
          </w:tcPr>
          <w:p w14:paraId="794252AE" w14:textId="77777777" w:rsidR="009F01D8" w:rsidRPr="002B28C3" w:rsidRDefault="009F01D8" w:rsidP="009F01D8">
            <w:pPr>
              <w:rPr>
                <w:rFonts w:asciiTheme="majorBidi" w:hAnsiTheme="majorBidi" w:cstheme="majorBidi"/>
              </w:rPr>
            </w:pPr>
            <w:r w:rsidRPr="002B28C3">
              <w:rPr>
                <w:rFonts w:asciiTheme="majorBidi" w:hAnsiTheme="majorBidi" w:cstheme="majorBidi"/>
              </w:rPr>
              <w:t>21</w:t>
            </w:r>
          </w:p>
        </w:tc>
        <w:tc>
          <w:tcPr>
            <w:tcW w:w="6237" w:type="dxa"/>
            <w:hideMark/>
          </w:tcPr>
          <w:p w14:paraId="006AE536"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20 to </w:t>
            </w:r>
            <w:proofErr w:type="spellStart"/>
            <w:r w:rsidRPr="002B28C3">
              <w:rPr>
                <w:rFonts w:asciiTheme="majorBidi" w:hAnsiTheme="majorBidi" w:cstheme="majorBidi"/>
              </w:rPr>
              <w:t>yr</w:t>
            </w:r>
            <w:proofErr w:type="spellEnd"/>
            <w:r w:rsidRPr="002B28C3">
              <w:rPr>
                <w:rFonts w:asciiTheme="majorBidi" w:hAnsiTheme="majorBidi" w:cstheme="majorBidi"/>
              </w:rPr>
              <w:t>="2010 -Current"</w:t>
            </w:r>
          </w:p>
        </w:tc>
        <w:tc>
          <w:tcPr>
            <w:tcW w:w="1650" w:type="dxa"/>
            <w:hideMark/>
          </w:tcPr>
          <w:p w14:paraId="1FE7EFCF" w14:textId="77777777" w:rsidR="009F01D8" w:rsidRPr="002B28C3" w:rsidRDefault="009F01D8" w:rsidP="009F01D8">
            <w:pPr>
              <w:rPr>
                <w:rFonts w:asciiTheme="majorBidi" w:hAnsiTheme="majorBidi" w:cstheme="majorBidi"/>
              </w:rPr>
            </w:pPr>
            <w:r w:rsidRPr="002B28C3">
              <w:rPr>
                <w:rFonts w:asciiTheme="majorBidi" w:hAnsiTheme="majorBidi" w:cstheme="majorBidi"/>
              </w:rPr>
              <w:t>146</w:t>
            </w:r>
          </w:p>
        </w:tc>
      </w:tr>
      <w:tr w:rsidR="009F01D8" w:rsidRPr="00F63CD5" w14:paraId="0D5131CF" w14:textId="77777777" w:rsidTr="009F01D8">
        <w:trPr>
          <w:trHeight w:val="279"/>
        </w:trPr>
        <w:tc>
          <w:tcPr>
            <w:tcW w:w="1129" w:type="dxa"/>
            <w:hideMark/>
          </w:tcPr>
          <w:p w14:paraId="10E36927" w14:textId="77777777" w:rsidR="009F01D8" w:rsidRPr="002B28C3" w:rsidRDefault="009F01D8" w:rsidP="009F01D8">
            <w:pPr>
              <w:rPr>
                <w:rFonts w:asciiTheme="majorBidi" w:hAnsiTheme="majorBidi" w:cstheme="majorBidi"/>
              </w:rPr>
            </w:pPr>
            <w:r w:rsidRPr="002B28C3">
              <w:rPr>
                <w:rFonts w:asciiTheme="majorBidi" w:hAnsiTheme="majorBidi" w:cstheme="majorBidi"/>
              </w:rPr>
              <w:t>22</w:t>
            </w:r>
          </w:p>
        </w:tc>
        <w:tc>
          <w:tcPr>
            <w:tcW w:w="6237" w:type="dxa"/>
            <w:hideMark/>
          </w:tcPr>
          <w:p w14:paraId="7F45C2F6"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Great Britain/</w:t>
            </w:r>
          </w:p>
        </w:tc>
        <w:tc>
          <w:tcPr>
            <w:tcW w:w="1650" w:type="dxa"/>
            <w:hideMark/>
          </w:tcPr>
          <w:p w14:paraId="32554BFF" w14:textId="77777777" w:rsidR="009F01D8" w:rsidRPr="002B28C3" w:rsidRDefault="009F01D8" w:rsidP="009F01D8">
            <w:pPr>
              <w:rPr>
                <w:rFonts w:asciiTheme="majorBidi" w:hAnsiTheme="majorBidi" w:cstheme="majorBidi"/>
              </w:rPr>
            </w:pPr>
            <w:r w:rsidRPr="002B28C3">
              <w:rPr>
                <w:rFonts w:asciiTheme="majorBidi" w:hAnsiTheme="majorBidi" w:cstheme="majorBidi"/>
              </w:rPr>
              <w:t>374892</w:t>
            </w:r>
          </w:p>
        </w:tc>
      </w:tr>
      <w:tr w:rsidR="009F01D8" w:rsidRPr="00F63CD5" w14:paraId="12260120" w14:textId="77777777" w:rsidTr="009F01D8">
        <w:trPr>
          <w:trHeight w:val="279"/>
        </w:trPr>
        <w:tc>
          <w:tcPr>
            <w:tcW w:w="1129" w:type="dxa"/>
            <w:hideMark/>
          </w:tcPr>
          <w:p w14:paraId="7EF08034"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c>
          <w:tcPr>
            <w:tcW w:w="6237" w:type="dxa"/>
            <w:hideMark/>
          </w:tcPr>
          <w:p w14:paraId="6B7338F5"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(national health service* or </w:t>
            </w:r>
            <w:proofErr w:type="spellStart"/>
            <w:r w:rsidRPr="002B28C3">
              <w:rPr>
                <w:rFonts w:asciiTheme="majorBidi" w:hAnsiTheme="majorBidi" w:cstheme="majorBidi"/>
              </w:rPr>
              <w:t>nhs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hideMark/>
          </w:tcPr>
          <w:p w14:paraId="3E5D08C3" w14:textId="77777777" w:rsidR="009F01D8" w:rsidRPr="002B28C3" w:rsidRDefault="009F01D8" w:rsidP="009F01D8">
            <w:pPr>
              <w:rPr>
                <w:rFonts w:asciiTheme="majorBidi" w:hAnsiTheme="majorBidi" w:cstheme="majorBidi"/>
              </w:rPr>
            </w:pPr>
            <w:r w:rsidRPr="002B28C3">
              <w:rPr>
                <w:rFonts w:asciiTheme="majorBidi" w:hAnsiTheme="majorBidi" w:cstheme="majorBidi"/>
              </w:rPr>
              <w:t>220908</w:t>
            </w:r>
          </w:p>
        </w:tc>
      </w:tr>
      <w:tr w:rsidR="009F01D8" w:rsidRPr="00F63CD5" w14:paraId="6FFA527C" w14:textId="77777777" w:rsidTr="009F01D8">
        <w:trPr>
          <w:trHeight w:val="279"/>
        </w:trPr>
        <w:tc>
          <w:tcPr>
            <w:tcW w:w="1129" w:type="dxa"/>
            <w:hideMark/>
          </w:tcPr>
          <w:p w14:paraId="5705EBC2" w14:textId="77777777" w:rsidR="009F01D8" w:rsidRPr="002B28C3" w:rsidRDefault="009F01D8" w:rsidP="009F01D8">
            <w:pPr>
              <w:rPr>
                <w:rFonts w:asciiTheme="majorBidi" w:hAnsiTheme="majorBidi" w:cstheme="majorBidi"/>
              </w:rPr>
            </w:pPr>
            <w:r w:rsidRPr="002B28C3">
              <w:rPr>
                <w:rFonts w:asciiTheme="majorBidi" w:hAnsiTheme="majorBidi" w:cstheme="majorBidi"/>
              </w:rPr>
              <w:t>24</w:t>
            </w:r>
          </w:p>
        </w:tc>
        <w:tc>
          <w:tcPr>
            <w:tcW w:w="6237" w:type="dxa"/>
            <w:hideMark/>
          </w:tcPr>
          <w:p w14:paraId="19326817"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not ((published or publication* or </w:t>
            </w:r>
            <w:proofErr w:type="spellStart"/>
            <w:r w:rsidRPr="002B28C3">
              <w:rPr>
                <w:rFonts w:asciiTheme="majorBidi" w:hAnsiTheme="majorBidi" w:cstheme="majorBidi"/>
              </w:rPr>
              <w:t>translat</w:t>
            </w:r>
            <w:proofErr w:type="spellEnd"/>
            <w:r w:rsidRPr="002B28C3">
              <w:rPr>
                <w:rFonts w:asciiTheme="majorBidi" w:hAnsiTheme="majorBidi" w:cstheme="majorBidi"/>
              </w:rPr>
              <w:t xml:space="preserve">* or written or language* or speak* or literature or citation*) adj5 </w:t>
            </w:r>
            <w:proofErr w:type="spellStart"/>
            <w:r w:rsidRPr="002B28C3">
              <w:rPr>
                <w:rFonts w:asciiTheme="majorBidi" w:hAnsiTheme="majorBidi" w:cstheme="majorBidi"/>
              </w:rPr>
              <w:t>english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w:t>
            </w:r>
            <w:proofErr w:type="spellEnd"/>
            <w:r w:rsidRPr="002B28C3">
              <w:rPr>
                <w:rFonts w:asciiTheme="majorBidi" w:hAnsiTheme="majorBidi" w:cstheme="majorBidi"/>
              </w:rPr>
              <w:t>.</w:t>
            </w:r>
          </w:p>
        </w:tc>
        <w:tc>
          <w:tcPr>
            <w:tcW w:w="1650" w:type="dxa"/>
            <w:hideMark/>
          </w:tcPr>
          <w:p w14:paraId="3DD00270" w14:textId="77777777" w:rsidR="009F01D8" w:rsidRPr="002B28C3" w:rsidRDefault="009F01D8" w:rsidP="009F01D8">
            <w:pPr>
              <w:rPr>
                <w:rFonts w:asciiTheme="majorBidi" w:hAnsiTheme="majorBidi" w:cstheme="majorBidi"/>
              </w:rPr>
            </w:pPr>
            <w:r w:rsidRPr="002B28C3">
              <w:rPr>
                <w:rFonts w:asciiTheme="majorBidi" w:hAnsiTheme="majorBidi" w:cstheme="majorBidi"/>
              </w:rPr>
              <w:t>40760</w:t>
            </w:r>
          </w:p>
        </w:tc>
      </w:tr>
      <w:tr w:rsidR="009F01D8" w:rsidRPr="00F63CD5" w14:paraId="4B264E56" w14:textId="77777777" w:rsidTr="009F01D8">
        <w:trPr>
          <w:trHeight w:val="279"/>
        </w:trPr>
        <w:tc>
          <w:tcPr>
            <w:tcW w:w="1129" w:type="dxa"/>
            <w:hideMark/>
          </w:tcPr>
          <w:p w14:paraId="713B4A0B"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c>
          <w:tcPr>
            <w:tcW w:w="6237" w:type="dxa"/>
            <w:hideMark/>
          </w:tcPr>
          <w:p w14:paraId="0A94708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britain</w:t>
            </w:r>
            <w:proofErr w:type="spellEnd"/>
            <w:r w:rsidRPr="002B28C3">
              <w:rPr>
                <w:rFonts w:asciiTheme="majorBidi" w:hAnsiTheme="majorBidi" w:cstheme="majorBidi"/>
              </w:rPr>
              <w:t>* or (</w:t>
            </w:r>
            <w:proofErr w:type="spellStart"/>
            <w:r w:rsidRPr="002B28C3">
              <w:rPr>
                <w:rFonts w:asciiTheme="majorBidi" w:hAnsiTheme="majorBidi" w:cstheme="majorBidi"/>
              </w:rPr>
              <w:t>british</w:t>
            </w:r>
            <w:proofErr w:type="spellEnd"/>
            <w:r w:rsidRPr="002B28C3">
              <w:rPr>
                <w:rFonts w:asciiTheme="majorBidi" w:hAnsiTheme="majorBidi" w:cstheme="majorBidi"/>
              </w:rPr>
              <w:t>* not "</w:t>
            </w:r>
            <w:proofErr w:type="spellStart"/>
            <w:r w:rsidRPr="002B28C3">
              <w:rPr>
                <w:rFonts w:asciiTheme="majorBidi" w:hAnsiTheme="majorBidi" w:cstheme="majorBidi"/>
              </w:rPr>
              <w:t>british</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columbia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or united kingdom* or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ireland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irish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scottish</w:t>
            </w:r>
            <w:proofErr w:type="spellEnd"/>
            <w:r w:rsidRPr="002B28C3">
              <w:rPr>
                <w:rFonts w:asciiTheme="majorBidi" w:hAnsiTheme="majorBidi" w:cstheme="majorBidi"/>
              </w:rPr>
              <w:t>* or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welsh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,ab,jw,in</w:t>
            </w:r>
            <w:proofErr w:type="spellEnd"/>
            <w:r w:rsidRPr="002B28C3">
              <w:rPr>
                <w:rFonts w:asciiTheme="majorBidi" w:hAnsiTheme="majorBidi" w:cstheme="majorBidi"/>
              </w:rPr>
              <w:t>.</w:t>
            </w:r>
          </w:p>
        </w:tc>
        <w:tc>
          <w:tcPr>
            <w:tcW w:w="1650" w:type="dxa"/>
            <w:hideMark/>
          </w:tcPr>
          <w:p w14:paraId="7BAD8723" w14:textId="77777777" w:rsidR="009F01D8" w:rsidRPr="002B28C3" w:rsidRDefault="009F01D8" w:rsidP="009F01D8">
            <w:pPr>
              <w:rPr>
                <w:rFonts w:asciiTheme="majorBidi" w:hAnsiTheme="majorBidi" w:cstheme="majorBidi"/>
              </w:rPr>
            </w:pPr>
            <w:r w:rsidRPr="002B28C3">
              <w:rPr>
                <w:rFonts w:asciiTheme="majorBidi" w:hAnsiTheme="majorBidi" w:cstheme="majorBidi"/>
              </w:rPr>
              <w:t>2187630</w:t>
            </w:r>
          </w:p>
        </w:tc>
      </w:tr>
      <w:tr w:rsidR="009F01D8" w:rsidRPr="00F63CD5" w14:paraId="2ADE77BB" w14:textId="77777777" w:rsidTr="009F01D8">
        <w:trPr>
          <w:trHeight w:val="279"/>
        </w:trPr>
        <w:tc>
          <w:tcPr>
            <w:tcW w:w="1129" w:type="dxa"/>
            <w:hideMark/>
          </w:tcPr>
          <w:p w14:paraId="17982691" w14:textId="77777777" w:rsidR="009F01D8" w:rsidRPr="002B28C3" w:rsidRDefault="009F01D8" w:rsidP="009F01D8">
            <w:pPr>
              <w:rPr>
                <w:rFonts w:asciiTheme="majorBidi" w:hAnsiTheme="majorBidi" w:cstheme="majorBidi"/>
              </w:rPr>
            </w:pPr>
            <w:r w:rsidRPr="002B28C3">
              <w:rPr>
                <w:rFonts w:asciiTheme="majorBidi" w:hAnsiTheme="majorBidi" w:cstheme="majorBidi"/>
              </w:rPr>
              <w:t>26</w:t>
            </w:r>
          </w:p>
        </w:tc>
        <w:tc>
          <w:tcPr>
            <w:tcW w:w="6237" w:type="dxa"/>
            <w:hideMark/>
          </w:tcPr>
          <w:p w14:paraId="430C3CAD" w14:textId="77777777" w:rsidR="009F01D8" w:rsidRPr="002B28C3" w:rsidRDefault="009F01D8" w:rsidP="009F01D8">
            <w:pPr>
              <w:rPr>
                <w:rFonts w:asciiTheme="majorBidi" w:hAnsiTheme="majorBidi" w:cstheme="majorBidi"/>
              </w:rPr>
            </w:pPr>
            <w:r w:rsidRPr="002B28C3">
              <w:rPr>
                <w:rFonts w:asciiTheme="majorBidi" w:hAnsiTheme="majorBidi" w:cstheme="majorBidi"/>
              </w:rPr>
              <w:t>(bath or "bath's" or ((</w:t>
            </w:r>
            <w:proofErr w:type="spellStart"/>
            <w:r w:rsidRPr="002B28C3">
              <w:rPr>
                <w:rFonts w:asciiTheme="majorBidi" w:hAnsiTheme="majorBidi" w:cstheme="majorBidi"/>
              </w:rPr>
              <w:t>birmingham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or ("</w:t>
            </w:r>
            <w:proofErr w:type="spellStart"/>
            <w:r w:rsidRPr="002B28C3">
              <w:rPr>
                <w:rFonts w:asciiTheme="majorBidi" w:hAnsiTheme="majorBidi" w:cstheme="majorBidi"/>
              </w:rPr>
              <w:t>birmingham's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carlisle</w:t>
            </w:r>
            <w:proofErr w:type="spellEnd"/>
            <w:r w:rsidRPr="002B28C3">
              <w:rPr>
                <w:rFonts w:asciiTheme="majorBidi" w:hAnsiTheme="majorBidi" w:cstheme="majorBidi"/>
              </w:rPr>
              <w:t>* or "</w:t>
            </w:r>
            <w:proofErr w:type="spellStart"/>
            <w:r w:rsidRPr="002B28C3">
              <w:rPr>
                <w:rFonts w:asciiTheme="majorBidi" w:hAnsiTheme="majorBidi" w:cstheme="majorBidi"/>
              </w:rPr>
              <w:t>carlisle's</w:t>
            </w:r>
            <w:proofErr w:type="spellEnd"/>
            <w:r w:rsidRPr="002B28C3">
              <w:rPr>
                <w:rFonts w:asciiTheme="majorBidi" w:hAnsiTheme="majorBidi" w:cstheme="majorBidi"/>
              </w:rPr>
              <w:t>" or (</w:t>
            </w:r>
            <w:proofErr w:type="spellStart"/>
            <w:r w:rsidRPr="002B28C3">
              <w:rPr>
                <w:rFonts w:asciiTheme="majorBidi" w:hAnsiTheme="majorBidi" w:cstheme="majorBidi"/>
              </w:rPr>
              <w:t>cambridge</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cambridge's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xml:space="preserve">*)) or (canterbury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("canterbury's"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coventry's</w:t>
            </w:r>
            <w:proofErr w:type="spellEnd"/>
            <w:r w:rsidRPr="002B28C3">
              <w:rPr>
                <w:rFonts w:asciiTheme="majorBidi" w:hAnsiTheme="majorBidi" w:cstheme="majorBidi"/>
              </w:rPr>
              <w:t>" or derby or "derby's" or (</w:t>
            </w:r>
            <w:proofErr w:type="spellStart"/>
            <w:r w:rsidRPr="002B28C3">
              <w:rPr>
                <w:rFonts w:asciiTheme="majorBidi" w:hAnsiTheme="majorBidi" w:cstheme="majorBidi"/>
              </w:rPr>
              <w:t>durham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or ("</w:t>
            </w:r>
            <w:proofErr w:type="spellStart"/>
            <w:r w:rsidRPr="002B28C3">
              <w:rPr>
                <w:rFonts w:asciiTheme="majorBidi" w:hAnsiTheme="majorBidi" w:cstheme="majorBidi"/>
              </w:rPr>
              <w:t>durham's</w:t>
            </w:r>
            <w:proofErr w:type="spellEnd"/>
            <w:r w:rsidRPr="002B28C3">
              <w:rPr>
                <w:rFonts w:asciiTheme="majorBidi" w:hAnsiTheme="majorBidi" w:cstheme="majorBidi"/>
              </w:rPr>
              <w:t>"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hereford's</w:t>
            </w:r>
            <w:proofErr w:type="spellEnd"/>
            <w:r w:rsidRPr="002B28C3">
              <w:rPr>
                <w:rFonts w:asciiTheme="majorBidi" w:hAnsiTheme="majorBidi" w:cstheme="majorBidi"/>
              </w:rPr>
              <w:t xml:space="preserve">" or hull or "hull's" or </w:t>
            </w:r>
            <w:proofErr w:type="spellStart"/>
            <w:r w:rsidRPr="002B28C3">
              <w:rPr>
                <w:rFonts w:asciiTheme="majorBidi" w:hAnsiTheme="majorBidi" w:cstheme="majorBidi"/>
              </w:rPr>
              <w:t>lancaster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lancaster's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leeds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leicester's</w:t>
            </w:r>
            <w:proofErr w:type="spellEnd"/>
            <w:r w:rsidRPr="002B28C3">
              <w:rPr>
                <w:rFonts w:asciiTheme="majorBidi" w:hAnsiTheme="majorBidi" w:cstheme="majorBidi"/>
              </w:rPr>
              <w:t>" or (</w:t>
            </w:r>
            <w:proofErr w:type="spellStart"/>
            <w:r w:rsidRPr="002B28C3">
              <w:rPr>
                <w:rFonts w:asciiTheme="majorBidi" w:hAnsiTheme="majorBidi" w:cstheme="majorBidi"/>
              </w:rPr>
              <w:t>lincoln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lincoln's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liverpool</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liverpool's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london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or ("</w:t>
            </w:r>
            <w:proofErr w:type="spellStart"/>
            <w:r w:rsidRPr="002B28C3">
              <w:rPr>
                <w:rFonts w:asciiTheme="majorBidi" w:hAnsiTheme="majorBidi" w:cstheme="majorBidi"/>
              </w:rPr>
              <w:t>london's</w:t>
            </w:r>
            <w:proofErr w:type="spellEnd"/>
            <w:r w:rsidRPr="002B28C3">
              <w:rPr>
                <w:rFonts w:asciiTheme="majorBidi" w:hAnsiTheme="majorBidi" w:cstheme="majorBidi"/>
              </w:rPr>
              <w:t>"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manchester's</w:t>
            </w:r>
            <w:proofErr w:type="spellEnd"/>
            <w:r w:rsidRPr="002B28C3">
              <w:rPr>
                <w:rFonts w:asciiTheme="majorBidi" w:hAnsiTheme="majorBidi" w:cstheme="majorBidi"/>
              </w:rPr>
              <w:t>" or (</w:t>
            </w:r>
            <w:proofErr w:type="spellStart"/>
            <w:r w:rsidRPr="002B28C3">
              <w:rPr>
                <w:rFonts w:asciiTheme="majorBidi" w:hAnsiTheme="majorBidi" w:cstheme="majorBidi"/>
              </w:rPr>
              <w:t>newcastle</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newcastle's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nottingham's</w:t>
            </w:r>
            <w:proofErr w:type="spellEnd"/>
            <w:r w:rsidRPr="002B28C3">
              <w:rPr>
                <w:rFonts w:asciiTheme="majorBidi" w:hAnsiTheme="majorBidi" w:cstheme="majorBidi"/>
              </w:rPr>
              <w:t xml:space="preserve">" or oxford or "oxford's" or </w:t>
            </w:r>
            <w:proofErr w:type="spellStart"/>
            <w:r w:rsidRPr="002B28C3">
              <w:rPr>
                <w:rFonts w:asciiTheme="majorBidi" w:hAnsiTheme="majorBidi" w:cstheme="majorBidi"/>
              </w:rPr>
              <w:t>peterborough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peterborough's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albans</w:t>
            </w:r>
            <w:proofErr w:type="spellEnd"/>
            <w:r w:rsidRPr="002B28C3">
              <w:rPr>
                <w:rFonts w:asciiTheme="majorBidi" w:hAnsiTheme="majorBidi" w:cstheme="majorBidi"/>
              </w:rPr>
              <w:t xml:space="preserve"> or stoke or "</w:t>
            </w:r>
            <w:proofErr w:type="spellStart"/>
            <w:r w:rsidRPr="002B28C3">
              <w:rPr>
                <w:rFonts w:asciiTheme="majorBidi" w:hAnsiTheme="majorBidi" w:cstheme="majorBidi"/>
              </w:rPr>
              <w:t>stoke's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wakefield's</w:t>
            </w:r>
            <w:proofErr w:type="spellEnd"/>
            <w:r w:rsidRPr="002B28C3">
              <w:rPr>
                <w:rFonts w:asciiTheme="majorBidi" w:hAnsiTheme="majorBidi" w:cstheme="majorBidi"/>
              </w:rPr>
              <w:t xml:space="preserve">" or wells or </w:t>
            </w:r>
            <w:proofErr w:type="spellStart"/>
            <w:r w:rsidRPr="002B28C3">
              <w:rPr>
                <w:rFonts w:asciiTheme="majorBidi" w:hAnsiTheme="majorBidi" w:cstheme="majorBidi"/>
              </w:rPr>
              <w:t>westminster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westminster's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wolverhampton's</w:t>
            </w:r>
            <w:proofErr w:type="spellEnd"/>
            <w:r w:rsidRPr="002B28C3">
              <w:rPr>
                <w:rFonts w:asciiTheme="majorBidi" w:hAnsiTheme="majorBidi" w:cstheme="majorBidi"/>
              </w:rPr>
              <w:t>" or (</w:t>
            </w:r>
            <w:proofErr w:type="spellStart"/>
            <w:r w:rsidRPr="002B28C3">
              <w:rPr>
                <w:rFonts w:asciiTheme="majorBidi" w:hAnsiTheme="majorBidi" w:cstheme="majorBidi"/>
              </w:rPr>
              <w:t>worcester</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worcester's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lastRenderedPageBreak/>
              <w:t>toronto</w:t>
            </w:r>
            <w:proofErr w:type="spellEnd"/>
            <w:r w:rsidRPr="002B28C3">
              <w:rPr>
                <w:rFonts w:asciiTheme="majorBidi" w:hAnsiTheme="majorBidi" w:cstheme="majorBidi"/>
              </w:rPr>
              <w:t>*)) or ("</w:t>
            </w:r>
            <w:proofErr w:type="spellStart"/>
            <w:r w:rsidRPr="002B28C3">
              <w:rPr>
                <w:rFonts w:asciiTheme="majorBidi" w:hAnsiTheme="majorBidi" w:cstheme="majorBidi"/>
              </w:rPr>
              <w:t>york's</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w:t>
            </w:r>
            <w:proofErr w:type="spellStart"/>
            <w:r w:rsidRPr="002B28C3">
              <w:rPr>
                <w:rFonts w:asciiTheme="majorBidi" w:hAnsiTheme="majorBidi" w:cstheme="majorBidi"/>
              </w:rPr>
              <w:t>ti,ab,in</w:t>
            </w:r>
            <w:proofErr w:type="spellEnd"/>
            <w:r w:rsidRPr="002B28C3">
              <w:rPr>
                <w:rFonts w:asciiTheme="majorBidi" w:hAnsiTheme="majorBidi" w:cstheme="majorBidi"/>
              </w:rPr>
              <w:t>.</w:t>
            </w:r>
          </w:p>
        </w:tc>
        <w:tc>
          <w:tcPr>
            <w:tcW w:w="1650" w:type="dxa"/>
            <w:hideMark/>
          </w:tcPr>
          <w:p w14:paraId="478094EF"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1514463</w:t>
            </w:r>
          </w:p>
        </w:tc>
      </w:tr>
      <w:tr w:rsidR="009F01D8" w:rsidRPr="00F63CD5" w14:paraId="5AB8D922" w14:textId="77777777" w:rsidTr="009F01D8">
        <w:trPr>
          <w:trHeight w:val="279"/>
        </w:trPr>
        <w:tc>
          <w:tcPr>
            <w:tcW w:w="1129" w:type="dxa"/>
            <w:hideMark/>
          </w:tcPr>
          <w:p w14:paraId="33A411C8" w14:textId="77777777" w:rsidR="009F01D8" w:rsidRPr="002B28C3" w:rsidRDefault="009F01D8" w:rsidP="009F01D8">
            <w:pPr>
              <w:rPr>
                <w:rFonts w:asciiTheme="majorBidi" w:hAnsiTheme="majorBidi" w:cstheme="majorBidi"/>
              </w:rPr>
            </w:pPr>
            <w:r w:rsidRPr="002B28C3">
              <w:rPr>
                <w:rFonts w:asciiTheme="majorBidi" w:hAnsiTheme="majorBidi" w:cstheme="majorBidi"/>
              </w:rPr>
              <w:t>27</w:t>
            </w:r>
          </w:p>
        </w:tc>
        <w:tc>
          <w:tcPr>
            <w:tcW w:w="6237" w:type="dxa"/>
            <w:hideMark/>
          </w:tcPr>
          <w:p w14:paraId="384AFF1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bangor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bangor's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davids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hideMark/>
          </w:tcPr>
          <w:p w14:paraId="302A1D75" w14:textId="77777777" w:rsidR="009F01D8" w:rsidRPr="002B28C3" w:rsidRDefault="009F01D8" w:rsidP="009F01D8">
            <w:pPr>
              <w:rPr>
                <w:rFonts w:asciiTheme="majorBidi" w:hAnsiTheme="majorBidi" w:cstheme="majorBidi"/>
              </w:rPr>
            </w:pPr>
            <w:r w:rsidRPr="002B28C3">
              <w:rPr>
                <w:rFonts w:asciiTheme="majorBidi" w:hAnsiTheme="majorBidi" w:cstheme="majorBidi"/>
              </w:rPr>
              <w:t>60165</w:t>
            </w:r>
          </w:p>
        </w:tc>
      </w:tr>
      <w:tr w:rsidR="009F01D8" w:rsidRPr="00F63CD5" w14:paraId="24507657" w14:textId="77777777" w:rsidTr="009F01D8">
        <w:trPr>
          <w:trHeight w:val="279"/>
        </w:trPr>
        <w:tc>
          <w:tcPr>
            <w:tcW w:w="1129" w:type="dxa"/>
            <w:hideMark/>
          </w:tcPr>
          <w:p w14:paraId="006EE012" w14:textId="77777777" w:rsidR="009F01D8" w:rsidRPr="002B28C3" w:rsidRDefault="009F01D8" w:rsidP="009F01D8">
            <w:pPr>
              <w:rPr>
                <w:rFonts w:asciiTheme="majorBidi" w:hAnsiTheme="majorBidi" w:cstheme="majorBidi"/>
              </w:rPr>
            </w:pPr>
            <w:r w:rsidRPr="002B28C3">
              <w:rPr>
                <w:rFonts w:asciiTheme="majorBidi" w:hAnsiTheme="majorBidi" w:cstheme="majorBidi"/>
              </w:rPr>
              <w:t>28</w:t>
            </w:r>
          </w:p>
        </w:tc>
        <w:tc>
          <w:tcPr>
            <w:tcW w:w="6237" w:type="dxa"/>
            <w:hideMark/>
          </w:tcPr>
          <w:p w14:paraId="3896C98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aberdeen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aberdeen's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glasgow's</w:t>
            </w:r>
            <w:proofErr w:type="spellEnd"/>
            <w:r w:rsidRPr="002B28C3">
              <w:rPr>
                <w:rFonts w:asciiTheme="majorBidi" w:hAnsiTheme="majorBidi" w:cstheme="majorBidi"/>
              </w:rPr>
              <w:t>" or inverness or (</w:t>
            </w:r>
            <w:proofErr w:type="spellStart"/>
            <w:r w:rsidRPr="002B28C3">
              <w:rPr>
                <w:rFonts w:asciiTheme="majorBidi" w:hAnsiTheme="majorBidi" w:cstheme="majorBidi"/>
              </w:rPr>
              <w:t>perth</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or ("</w:t>
            </w:r>
            <w:proofErr w:type="spellStart"/>
            <w:r w:rsidRPr="002B28C3">
              <w:rPr>
                <w:rFonts w:asciiTheme="majorBidi" w:hAnsiTheme="majorBidi" w:cstheme="majorBidi"/>
              </w:rPr>
              <w:t>perth's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hideMark/>
          </w:tcPr>
          <w:p w14:paraId="0BBE730D" w14:textId="77777777" w:rsidR="009F01D8" w:rsidRPr="002B28C3" w:rsidRDefault="009F01D8" w:rsidP="009F01D8">
            <w:pPr>
              <w:rPr>
                <w:rFonts w:asciiTheme="majorBidi" w:hAnsiTheme="majorBidi" w:cstheme="majorBidi"/>
              </w:rPr>
            </w:pPr>
            <w:r w:rsidRPr="002B28C3">
              <w:rPr>
                <w:rFonts w:asciiTheme="majorBidi" w:hAnsiTheme="majorBidi" w:cstheme="majorBidi"/>
              </w:rPr>
              <w:t>223983</w:t>
            </w:r>
          </w:p>
        </w:tc>
      </w:tr>
      <w:tr w:rsidR="009F01D8" w:rsidRPr="00F63CD5" w14:paraId="52739D5A" w14:textId="77777777" w:rsidTr="009F01D8">
        <w:trPr>
          <w:trHeight w:val="279"/>
        </w:trPr>
        <w:tc>
          <w:tcPr>
            <w:tcW w:w="1129" w:type="dxa"/>
            <w:hideMark/>
          </w:tcPr>
          <w:p w14:paraId="3DD8BF6C" w14:textId="77777777" w:rsidR="009F01D8" w:rsidRPr="002B28C3" w:rsidRDefault="009F01D8" w:rsidP="009F01D8">
            <w:pPr>
              <w:rPr>
                <w:rFonts w:asciiTheme="majorBidi" w:hAnsiTheme="majorBidi" w:cstheme="majorBidi"/>
              </w:rPr>
            </w:pPr>
            <w:r w:rsidRPr="002B28C3">
              <w:rPr>
                <w:rFonts w:asciiTheme="majorBidi" w:hAnsiTheme="majorBidi" w:cstheme="majorBidi"/>
              </w:rPr>
              <w:t>29</w:t>
            </w:r>
          </w:p>
        </w:tc>
        <w:tc>
          <w:tcPr>
            <w:tcW w:w="6237" w:type="dxa"/>
            <w:hideMark/>
          </w:tcPr>
          <w:p w14:paraId="3F346794"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armagh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armagh's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londonderry's</w:t>
            </w:r>
            <w:proofErr w:type="spellEnd"/>
            <w:r w:rsidRPr="002B28C3">
              <w:rPr>
                <w:rFonts w:asciiTheme="majorBidi" w:hAnsiTheme="majorBidi" w:cstheme="majorBidi"/>
              </w:rPr>
              <w:t xml:space="preserve">" or derry or "derry's" or </w:t>
            </w:r>
            <w:proofErr w:type="spellStart"/>
            <w:r w:rsidRPr="002B28C3">
              <w:rPr>
                <w:rFonts w:asciiTheme="majorBidi" w:hAnsiTheme="majorBidi" w:cstheme="majorBidi"/>
              </w:rPr>
              <w:t>newry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newry's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hideMark/>
          </w:tcPr>
          <w:p w14:paraId="58766E55" w14:textId="77777777" w:rsidR="009F01D8" w:rsidRPr="002B28C3" w:rsidRDefault="009F01D8" w:rsidP="009F01D8">
            <w:pPr>
              <w:rPr>
                <w:rFonts w:asciiTheme="majorBidi" w:hAnsiTheme="majorBidi" w:cstheme="majorBidi"/>
              </w:rPr>
            </w:pPr>
            <w:r w:rsidRPr="002B28C3">
              <w:rPr>
                <w:rFonts w:asciiTheme="majorBidi" w:hAnsiTheme="majorBidi" w:cstheme="majorBidi"/>
              </w:rPr>
              <w:t>28507</w:t>
            </w:r>
          </w:p>
        </w:tc>
      </w:tr>
      <w:tr w:rsidR="009F01D8" w:rsidRPr="00F63CD5" w14:paraId="60C2FCD5" w14:textId="77777777" w:rsidTr="009F01D8">
        <w:trPr>
          <w:trHeight w:val="279"/>
        </w:trPr>
        <w:tc>
          <w:tcPr>
            <w:tcW w:w="1129" w:type="dxa"/>
            <w:hideMark/>
          </w:tcPr>
          <w:p w14:paraId="386863CE"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c>
          <w:tcPr>
            <w:tcW w:w="6237" w:type="dxa"/>
            <w:hideMark/>
          </w:tcPr>
          <w:p w14:paraId="17C9B513" w14:textId="77777777" w:rsidR="009F01D8" w:rsidRPr="002B28C3" w:rsidRDefault="009F01D8" w:rsidP="009F01D8">
            <w:pPr>
              <w:rPr>
                <w:rFonts w:asciiTheme="majorBidi" w:hAnsiTheme="majorBidi" w:cstheme="majorBidi"/>
              </w:rPr>
            </w:pPr>
            <w:r w:rsidRPr="002B28C3">
              <w:rPr>
                <w:rFonts w:asciiTheme="majorBidi" w:hAnsiTheme="majorBidi" w:cstheme="majorBidi"/>
              </w:rPr>
              <w:t>or/22-29</w:t>
            </w:r>
          </w:p>
        </w:tc>
        <w:tc>
          <w:tcPr>
            <w:tcW w:w="1650" w:type="dxa"/>
            <w:hideMark/>
          </w:tcPr>
          <w:p w14:paraId="30344836" w14:textId="77777777" w:rsidR="009F01D8" w:rsidRPr="002B28C3" w:rsidRDefault="009F01D8" w:rsidP="009F01D8">
            <w:pPr>
              <w:rPr>
                <w:rFonts w:asciiTheme="majorBidi" w:hAnsiTheme="majorBidi" w:cstheme="majorBidi"/>
              </w:rPr>
            </w:pPr>
            <w:r w:rsidRPr="002B28C3">
              <w:rPr>
                <w:rFonts w:asciiTheme="majorBidi" w:hAnsiTheme="majorBidi" w:cstheme="majorBidi"/>
              </w:rPr>
              <w:t>2749551</w:t>
            </w:r>
          </w:p>
        </w:tc>
      </w:tr>
      <w:tr w:rsidR="009F01D8" w:rsidRPr="00F63CD5" w14:paraId="1BF8CB43" w14:textId="77777777" w:rsidTr="009F01D8">
        <w:trPr>
          <w:trHeight w:val="279"/>
        </w:trPr>
        <w:tc>
          <w:tcPr>
            <w:tcW w:w="1129" w:type="dxa"/>
            <w:hideMark/>
          </w:tcPr>
          <w:p w14:paraId="336A6094" w14:textId="77777777" w:rsidR="009F01D8" w:rsidRPr="002B28C3" w:rsidRDefault="009F01D8" w:rsidP="009F01D8">
            <w:pPr>
              <w:rPr>
                <w:rFonts w:asciiTheme="majorBidi" w:hAnsiTheme="majorBidi" w:cstheme="majorBidi"/>
              </w:rPr>
            </w:pPr>
            <w:r w:rsidRPr="002B28C3">
              <w:rPr>
                <w:rFonts w:asciiTheme="majorBidi" w:hAnsiTheme="majorBidi" w:cstheme="majorBidi"/>
              </w:rPr>
              <w:t>31</w:t>
            </w:r>
          </w:p>
        </w:tc>
        <w:tc>
          <w:tcPr>
            <w:tcW w:w="6237" w:type="dxa"/>
            <w:hideMark/>
          </w:tcPr>
          <w:p w14:paraId="1307E882"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exp</w:t>
            </w:r>
            <w:proofErr w:type="gramEnd"/>
            <w:r w:rsidRPr="002B28C3">
              <w:rPr>
                <w:rFonts w:asciiTheme="majorBidi" w:hAnsiTheme="majorBidi" w:cstheme="majorBidi"/>
              </w:rPr>
              <w:t xml:space="preserve"> </w:t>
            </w:r>
            <w:proofErr w:type="spellStart"/>
            <w:r w:rsidRPr="002B28C3">
              <w:rPr>
                <w:rFonts w:asciiTheme="majorBidi" w:hAnsiTheme="majorBidi" w:cstheme="majorBidi"/>
              </w:rPr>
              <w:t>africa</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americas</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antarctic</w:t>
            </w:r>
            <w:proofErr w:type="spellEnd"/>
            <w:r w:rsidRPr="002B28C3">
              <w:rPr>
                <w:rFonts w:asciiTheme="majorBidi" w:hAnsiTheme="majorBidi" w:cstheme="majorBidi"/>
              </w:rPr>
              <w:t xml:space="preserve"> regions/ or exp arctic regions/ or exp </w:t>
            </w:r>
            <w:proofErr w:type="spellStart"/>
            <w:r w:rsidRPr="002B28C3">
              <w:rPr>
                <w:rFonts w:asciiTheme="majorBidi" w:hAnsiTheme="majorBidi" w:cstheme="majorBidi"/>
              </w:rPr>
              <w:t>asia</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oceania</w:t>
            </w:r>
            <w:proofErr w:type="spellEnd"/>
            <w:r w:rsidRPr="002B28C3">
              <w:rPr>
                <w:rFonts w:asciiTheme="majorBidi" w:hAnsiTheme="majorBidi" w:cstheme="majorBidi"/>
              </w:rPr>
              <w:t xml:space="preserve">/) not (exp great </w:t>
            </w:r>
            <w:proofErr w:type="spellStart"/>
            <w:r w:rsidRPr="002B28C3">
              <w:rPr>
                <w:rFonts w:asciiTheme="majorBidi" w:hAnsiTheme="majorBidi" w:cstheme="majorBidi"/>
              </w:rPr>
              <w:t>britain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europe</w:t>
            </w:r>
            <w:proofErr w:type="spellEnd"/>
            <w:r w:rsidRPr="002B28C3">
              <w:rPr>
                <w:rFonts w:asciiTheme="majorBidi" w:hAnsiTheme="majorBidi" w:cstheme="majorBidi"/>
              </w:rPr>
              <w:t>/)</w:t>
            </w:r>
          </w:p>
        </w:tc>
        <w:tc>
          <w:tcPr>
            <w:tcW w:w="1650" w:type="dxa"/>
            <w:hideMark/>
          </w:tcPr>
          <w:p w14:paraId="316F756E" w14:textId="77777777" w:rsidR="009F01D8" w:rsidRPr="002B28C3" w:rsidRDefault="009F01D8" w:rsidP="009F01D8">
            <w:pPr>
              <w:rPr>
                <w:rFonts w:asciiTheme="majorBidi" w:hAnsiTheme="majorBidi" w:cstheme="majorBidi"/>
              </w:rPr>
            </w:pPr>
            <w:r w:rsidRPr="002B28C3">
              <w:rPr>
                <w:rFonts w:asciiTheme="majorBidi" w:hAnsiTheme="majorBidi" w:cstheme="majorBidi"/>
              </w:rPr>
              <w:t>3021384</w:t>
            </w:r>
          </w:p>
        </w:tc>
      </w:tr>
      <w:tr w:rsidR="009F01D8" w:rsidRPr="00F63CD5" w14:paraId="10469864" w14:textId="77777777" w:rsidTr="009F01D8">
        <w:trPr>
          <w:trHeight w:val="279"/>
        </w:trPr>
        <w:tc>
          <w:tcPr>
            <w:tcW w:w="1129" w:type="dxa"/>
            <w:hideMark/>
          </w:tcPr>
          <w:p w14:paraId="329A9C10" w14:textId="77777777" w:rsidR="009F01D8" w:rsidRPr="002B28C3" w:rsidRDefault="009F01D8" w:rsidP="009F01D8">
            <w:pPr>
              <w:rPr>
                <w:rFonts w:asciiTheme="majorBidi" w:hAnsiTheme="majorBidi" w:cstheme="majorBidi"/>
              </w:rPr>
            </w:pPr>
            <w:r w:rsidRPr="002B28C3">
              <w:rPr>
                <w:rFonts w:asciiTheme="majorBidi" w:hAnsiTheme="majorBidi" w:cstheme="majorBidi"/>
              </w:rPr>
              <w:t>32</w:t>
            </w:r>
          </w:p>
        </w:tc>
        <w:tc>
          <w:tcPr>
            <w:tcW w:w="6237" w:type="dxa"/>
            <w:hideMark/>
          </w:tcPr>
          <w:p w14:paraId="7061D9AB" w14:textId="77777777" w:rsidR="009F01D8" w:rsidRPr="002B28C3" w:rsidRDefault="009F01D8" w:rsidP="009F01D8">
            <w:pPr>
              <w:rPr>
                <w:rFonts w:asciiTheme="majorBidi" w:hAnsiTheme="majorBidi" w:cstheme="majorBidi"/>
              </w:rPr>
            </w:pPr>
            <w:r w:rsidRPr="002B28C3">
              <w:rPr>
                <w:rFonts w:asciiTheme="majorBidi" w:hAnsiTheme="majorBidi" w:cstheme="majorBidi"/>
              </w:rPr>
              <w:t>30 not 31</w:t>
            </w:r>
          </w:p>
        </w:tc>
        <w:tc>
          <w:tcPr>
            <w:tcW w:w="1650" w:type="dxa"/>
            <w:hideMark/>
          </w:tcPr>
          <w:p w14:paraId="74E85660" w14:textId="77777777" w:rsidR="009F01D8" w:rsidRPr="002B28C3" w:rsidRDefault="009F01D8" w:rsidP="009F01D8">
            <w:pPr>
              <w:rPr>
                <w:rFonts w:asciiTheme="majorBidi" w:hAnsiTheme="majorBidi" w:cstheme="majorBidi"/>
              </w:rPr>
            </w:pPr>
            <w:r w:rsidRPr="002B28C3">
              <w:rPr>
                <w:rFonts w:asciiTheme="majorBidi" w:hAnsiTheme="majorBidi" w:cstheme="majorBidi"/>
              </w:rPr>
              <w:t>2615096</w:t>
            </w:r>
          </w:p>
        </w:tc>
      </w:tr>
      <w:tr w:rsidR="009F01D8" w:rsidRPr="00F63CD5" w14:paraId="63BD552A" w14:textId="77777777" w:rsidTr="009F01D8">
        <w:trPr>
          <w:trHeight w:val="279"/>
        </w:trPr>
        <w:tc>
          <w:tcPr>
            <w:tcW w:w="1129" w:type="dxa"/>
            <w:hideMark/>
          </w:tcPr>
          <w:p w14:paraId="7F50DD03" w14:textId="77777777" w:rsidR="009F01D8" w:rsidRPr="002B28C3" w:rsidRDefault="009F01D8" w:rsidP="009F01D8">
            <w:pPr>
              <w:rPr>
                <w:rFonts w:asciiTheme="majorBidi" w:hAnsiTheme="majorBidi" w:cstheme="majorBidi"/>
              </w:rPr>
            </w:pPr>
            <w:r w:rsidRPr="002B28C3">
              <w:rPr>
                <w:rFonts w:asciiTheme="majorBidi" w:hAnsiTheme="majorBidi" w:cstheme="majorBidi"/>
              </w:rPr>
              <w:t>33</w:t>
            </w:r>
          </w:p>
        </w:tc>
        <w:tc>
          <w:tcPr>
            <w:tcW w:w="6237" w:type="dxa"/>
            <w:hideMark/>
          </w:tcPr>
          <w:p w14:paraId="5C3BAE21" w14:textId="77777777" w:rsidR="009F01D8" w:rsidRPr="002B28C3" w:rsidRDefault="009F01D8" w:rsidP="009F01D8">
            <w:pPr>
              <w:rPr>
                <w:rFonts w:asciiTheme="majorBidi" w:hAnsiTheme="majorBidi" w:cstheme="majorBidi"/>
              </w:rPr>
            </w:pPr>
            <w:r w:rsidRPr="002B28C3">
              <w:rPr>
                <w:rFonts w:asciiTheme="majorBidi" w:hAnsiTheme="majorBidi" w:cstheme="majorBidi"/>
              </w:rPr>
              <w:t>21 and 32</w:t>
            </w:r>
          </w:p>
        </w:tc>
        <w:tc>
          <w:tcPr>
            <w:tcW w:w="1650" w:type="dxa"/>
            <w:hideMark/>
          </w:tcPr>
          <w:p w14:paraId="78941382" w14:textId="77777777" w:rsidR="009F01D8" w:rsidRPr="002B28C3" w:rsidRDefault="009F01D8" w:rsidP="009F01D8">
            <w:pPr>
              <w:rPr>
                <w:rFonts w:asciiTheme="majorBidi" w:hAnsiTheme="majorBidi" w:cstheme="majorBidi"/>
              </w:rPr>
            </w:pPr>
            <w:r w:rsidRPr="002B28C3">
              <w:rPr>
                <w:rFonts w:asciiTheme="majorBidi" w:hAnsiTheme="majorBidi" w:cstheme="majorBidi"/>
              </w:rPr>
              <w:t>10</w:t>
            </w:r>
          </w:p>
        </w:tc>
      </w:tr>
      <w:tr w:rsidR="009F01D8" w:rsidRPr="00F63CD5" w14:paraId="06B56457" w14:textId="77777777" w:rsidTr="009F01D8">
        <w:trPr>
          <w:trHeight w:val="279"/>
        </w:trPr>
        <w:tc>
          <w:tcPr>
            <w:tcW w:w="1129" w:type="dxa"/>
            <w:hideMark/>
          </w:tcPr>
          <w:p w14:paraId="71791EAC" w14:textId="77777777" w:rsidR="009F01D8" w:rsidRPr="002B28C3" w:rsidRDefault="009F01D8" w:rsidP="009F01D8">
            <w:pPr>
              <w:rPr>
                <w:rFonts w:asciiTheme="majorBidi" w:hAnsiTheme="majorBidi" w:cstheme="majorBidi"/>
              </w:rPr>
            </w:pPr>
            <w:r w:rsidRPr="002B28C3">
              <w:rPr>
                <w:rFonts w:asciiTheme="majorBidi" w:hAnsiTheme="majorBidi" w:cstheme="majorBidi"/>
              </w:rPr>
              <w:t>34</w:t>
            </w:r>
          </w:p>
        </w:tc>
        <w:tc>
          <w:tcPr>
            <w:tcW w:w="6237" w:type="dxa"/>
            <w:hideMark/>
          </w:tcPr>
          <w:p w14:paraId="4E9A945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europe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austria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belgium</w:t>
            </w:r>
            <w:proofErr w:type="spellEnd"/>
            <w:r w:rsidRPr="002B28C3">
              <w:rPr>
                <w:rFonts w:asciiTheme="majorBidi" w:hAnsiTheme="majorBidi" w:cstheme="majorBidi"/>
              </w:rPr>
              <w:t>* or "</w:t>
            </w:r>
            <w:proofErr w:type="spellStart"/>
            <w:r w:rsidRPr="002B28C3">
              <w:rPr>
                <w:rFonts w:asciiTheme="majorBidi" w:hAnsiTheme="majorBidi" w:cstheme="majorBidi"/>
              </w:rPr>
              <w:t>czech</w:t>
            </w:r>
            <w:proofErr w:type="spellEnd"/>
            <w:r w:rsidRPr="002B28C3">
              <w:rPr>
                <w:rFonts w:asciiTheme="majorBidi" w:hAnsiTheme="majorBidi" w:cstheme="majorBidi"/>
              </w:rPr>
              <w:t xml:space="preserve"> republic*" or </w:t>
            </w:r>
            <w:proofErr w:type="spellStart"/>
            <w:r w:rsidRPr="002B28C3">
              <w:rPr>
                <w:rFonts w:asciiTheme="majorBidi" w:hAnsiTheme="majorBidi" w:cstheme="majorBidi"/>
              </w:rPr>
              <w:t>france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paris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germany</w:t>
            </w:r>
            <w:proofErr w:type="spellEnd"/>
            <w:r w:rsidRPr="002B28C3">
              <w:rPr>
                <w:rFonts w:asciiTheme="majorBidi" w:hAnsiTheme="majorBidi" w:cstheme="majorBidi"/>
              </w:rPr>
              <w:t xml:space="preserve">* or berlin* or </w:t>
            </w:r>
            <w:proofErr w:type="spellStart"/>
            <w:r w:rsidRPr="002B28C3">
              <w:rPr>
                <w:rFonts w:asciiTheme="majorBidi" w:hAnsiTheme="majorBidi" w:cstheme="majorBidi"/>
              </w:rPr>
              <w:t>ireland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greece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athens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hungary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italy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rome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netherlands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luxembourg</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portugal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scandinav</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denmark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estonia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finland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iceland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norway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sweden</w:t>
            </w:r>
            <w:proofErr w:type="spellEnd"/>
            <w:r w:rsidRPr="002B28C3">
              <w:rPr>
                <w:rFonts w:asciiTheme="majorBidi" w:hAnsiTheme="majorBidi" w:cstheme="majorBidi"/>
              </w:rPr>
              <w:t>* or "</w:t>
            </w:r>
            <w:proofErr w:type="spellStart"/>
            <w:r w:rsidRPr="002B28C3">
              <w:rPr>
                <w:rFonts w:asciiTheme="majorBidi" w:hAnsiTheme="majorBidi" w:cstheme="majorBidi"/>
              </w:rPr>
              <w:t>slovak</w:t>
            </w:r>
            <w:proofErr w:type="spellEnd"/>
            <w:r w:rsidRPr="002B28C3">
              <w:rPr>
                <w:rFonts w:asciiTheme="majorBidi" w:hAnsiTheme="majorBidi" w:cstheme="majorBidi"/>
              </w:rPr>
              <w:t xml:space="preserve"> republic*" or </w:t>
            </w:r>
            <w:proofErr w:type="spellStart"/>
            <w:r w:rsidRPr="002B28C3">
              <w:rPr>
                <w:rFonts w:asciiTheme="majorBidi" w:hAnsiTheme="majorBidi" w:cstheme="majorBidi"/>
              </w:rPr>
              <w:t>slovenia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spain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switzerland</w:t>
            </w:r>
            <w:proofErr w:type="spellEnd"/>
            <w:r w:rsidRPr="002B28C3">
              <w:rPr>
                <w:rFonts w:asciiTheme="majorBidi" w:hAnsiTheme="majorBidi" w:cstheme="majorBidi"/>
              </w:rPr>
              <w:t xml:space="preserve">* or turkey* or </w:t>
            </w:r>
            <w:proofErr w:type="spellStart"/>
            <w:r w:rsidRPr="002B28C3">
              <w:rPr>
                <w:rFonts w:asciiTheme="majorBidi" w:hAnsiTheme="majorBidi" w:cstheme="majorBidi"/>
              </w:rPr>
              <w:t>israel</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,ab,tw</w:t>
            </w:r>
            <w:proofErr w:type="spellEnd"/>
            <w:r w:rsidRPr="002B28C3">
              <w:rPr>
                <w:rFonts w:asciiTheme="majorBidi" w:hAnsiTheme="majorBidi" w:cstheme="majorBidi"/>
              </w:rPr>
              <w:t>.</w:t>
            </w:r>
          </w:p>
        </w:tc>
        <w:tc>
          <w:tcPr>
            <w:tcW w:w="1650" w:type="dxa"/>
            <w:hideMark/>
          </w:tcPr>
          <w:p w14:paraId="1B3977CB" w14:textId="77777777" w:rsidR="009F01D8" w:rsidRPr="002B28C3" w:rsidRDefault="009F01D8" w:rsidP="009F01D8">
            <w:pPr>
              <w:rPr>
                <w:rFonts w:asciiTheme="majorBidi" w:hAnsiTheme="majorBidi" w:cstheme="majorBidi"/>
              </w:rPr>
            </w:pPr>
            <w:r w:rsidRPr="002B28C3">
              <w:rPr>
                <w:rFonts w:asciiTheme="majorBidi" w:hAnsiTheme="majorBidi" w:cstheme="majorBidi"/>
              </w:rPr>
              <w:t>905468</w:t>
            </w:r>
          </w:p>
        </w:tc>
      </w:tr>
      <w:tr w:rsidR="009F01D8" w:rsidRPr="00F63CD5" w14:paraId="4C21790C" w14:textId="77777777" w:rsidTr="009F01D8">
        <w:trPr>
          <w:trHeight w:val="279"/>
        </w:trPr>
        <w:tc>
          <w:tcPr>
            <w:tcW w:w="1129" w:type="dxa"/>
            <w:hideMark/>
          </w:tcPr>
          <w:p w14:paraId="77D71CEB" w14:textId="77777777" w:rsidR="009F01D8" w:rsidRPr="002B28C3" w:rsidRDefault="009F01D8" w:rsidP="009F01D8">
            <w:pPr>
              <w:rPr>
                <w:rFonts w:asciiTheme="majorBidi" w:hAnsiTheme="majorBidi" w:cstheme="majorBidi"/>
              </w:rPr>
            </w:pPr>
            <w:r w:rsidRPr="002B28C3">
              <w:rPr>
                <w:rFonts w:asciiTheme="majorBidi" w:hAnsiTheme="majorBidi" w:cstheme="majorBidi"/>
              </w:rPr>
              <w:t>35</w:t>
            </w:r>
          </w:p>
        </w:tc>
        <w:tc>
          <w:tcPr>
            <w:tcW w:w="6237" w:type="dxa"/>
            <w:hideMark/>
          </w:tcPr>
          <w:p w14:paraId="127D4FDF" w14:textId="77777777" w:rsidR="009F01D8" w:rsidRPr="002B28C3" w:rsidRDefault="009F01D8" w:rsidP="009F01D8">
            <w:pPr>
              <w:rPr>
                <w:rFonts w:asciiTheme="majorBidi" w:hAnsiTheme="majorBidi" w:cstheme="majorBidi"/>
              </w:rPr>
            </w:pPr>
            <w:r w:rsidRPr="002B28C3">
              <w:rPr>
                <w:rFonts w:asciiTheme="majorBidi" w:hAnsiTheme="majorBidi" w:cstheme="majorBidi"/>
              </w:rPr>
              <w:t>21 and 34</w:t>
            </w:r>
          </w:p>
        </w:tc>
        <w:tc>
          <w:tcPr>
            <w:tcW w:w="1650" w:type="dxa"/>
            <w:hideMark/>
          </w:tcPr>
          <w:p w14:paraId="6C6DD216"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r>
      <w:tr w:rsidR="009F01D8" w:rsidRPr="00F63CD5" w14:paraId="4E9F6962" w14:textId="77777777" w:rsidTr="009F01D8">
        <w:trPr>
          <w:trHeight w:val="279"/>
        </w:trPr>
        <w:tc>
          <w:tcPr>
            <w:tcW w:w="1129" w:type="dxa"/>
            <w:hideMark/>
          </w:tcPr>
          <w:p w14:paraId="3B2DA04B" w14:textId="77777777" w:rsidR="009F01D8" w:rsidRPr="002B28C3" w:rsidRDefault="009F01D8" w:rsidP="009F01D8">
            <w:pPr>
              <w:rPr>
                <w:rFonts w:asciiTheme="majorBidi" w:hAnsiTheme="majorBidi" w:cstheme="majorBidi"/>
              </w:rPr>
            </w:pPr>
            <w:r w:rsidRPr="002B28C3">
              <w:rPr>
                <w:rFonts w:asciiTheme="majorBidi" w:hAnsiTheme="majorBidi" w:cstheme="majorBidi"/>
              </w:rPr>
              <w:t>36</w:t>
            </w:r>
          </w:p>
        </w:tc>
        <w:tc>
          <w:tcPr>
            <w:tcW w:w="6237" w:type="dxa"/>
            <w:hideMark/>
          </w:tcPr>
          <w:p w14:paraId="606B3C67" w14:textId="77777777" w:rsidR="009F01D8" w:rsidRPr="002B28C3" w:rsidRDefault="009F01D8" w:rsidP="009F01D8">
            <w:pPr>
              <w:rPr>
                <w:rFonts w:asciiTheme="majorBidi" w:hAnsiTheme="majorBidi" w:cstheme="majorBidi"/>
              </w:rPr>
            </w:pPr>
            <w:r w:rsidRPr="002B28C3">
              <w:rPr>
                <w:rFonts w:asciiTheme="majorBidi" w:hAnsiTheme="majorBidi" w:cstheme="majorBidi"/>
              </w:rPr>
              <w:t>33 or 35</w:t>
            </w:r>
          </w:p>
        </w:tc>
        <w:tc>
          <w:tcPr>
            <w:tcW w:w="1650" w:type="dxa"/>
            <w:hideMark/>
          </w:tcPr>
          <w:p w14:paraId="0CF92F7C"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r>
    </w:tbl>
    <w:p w14:paraId="549ABD6D" w14:textId="77777777" w:rsidR="009F01D8" w:rsidRPr="00F63CD5" w:rsidRDefault="009F01D8" w:rsidP="009F01D8">
      <w:pPr>
        <w:rPr>
          <w:b/>
        </w:rPr>
      </w:pPr>
    </w:p>
    <w:p w14:paraId="4F61DCDB" w14:textId="77777777" w:rsidR="009F01D8" w:rsidRPr="00D76748" w:rsidRDefault="009F01D8" w:rsidP="009F01D8">
      <w:pPr>
        <w:spacing w:after="0"/>
        <w:rPr>
          <w:rFonts w:asciiTheme="majorBidi" w:eastAsia="Times New Roman" w:hAnsiTheme="majorBidi" w:cstheme="majorBidi"/>
          <w:b/>
          <w:bCs/>
          <w:color w:val="000000"/>
          <w:lang w:eastAsia="en-GB"/>
        </w:rPr>
      </w:pPr>
      <w:r w:rsidRPr="00D76748">
        <w:rPr>
          <w:rFonts w:asciiTheme="majorBidi" w:eastAsia="Times New Roman" w:hAnsiTheme="majorBidi" w:cstheme="majorBidi"/>
          <w:b/>
          <w:bCs/>
          <w:color w:val="000000"/>
          <w:lang w:eastAsia="en-GB"/>
        </w:rPr>
        <w:t xml:space="preserve">Embase 1974 to 2021 June 10 </w:t>
      </w:r>
      <w:r w:rsidRPr="00D76748">
        <w:rPr>
          <w:rFonts w:asciiTheme="majorBidi" w:hAnsiTheme="majorBidi" w:cstheme="majorBidi"/>
          <w:b/>
        </w:rPr>
        <w:t>(searched via the Ovid SP platform)</w:t>
      </w:r>
    </w:p>
    <w:p w14:paraId="7862AABA" w14:textId="77777777" w:rsidR="009F01D8" w:rsidRPr="00F63CD5" w:rsidRDefault="009F01D8" w:rsidP="009F01D8">
      <w:r w:rsidRPr="00D76748">
        <w:rPr>
          <w:rFonts w:asciiTheme="majorBidi" w:hAnsiTheme="majorBidi" w:cstheme="majorBidi"/>
        </w:rPr>
        <w:t>11</w:t>
      </w:r>
      <w:r w:rsidRPr="00D76748">
        <w:rPr>
          <w:rFonts w:asciiTheme="majorBidi" w:hAnsiTheme="majorBidi" w:cstheme="majorBidi"/>
          <w:vertAlign w:val="superscript"/>
        </w:rPr>
        <w:t>th</w:t>
      </w:r>
      <w:r w:rsidRPr="00D76748">
        <w:rPr>
          <w:rFonts w:asciiTheme="majorBidi" w:hAnsiTheme="majorBidi" w:cstheme="majorBidi"/>
        </w:rPr>
        <w:t xml:space="preserve"> June 2021</w:t>
      </w:r>
    </w:p>
    <w:tbl>
      <w:tblPr>
        <w:tblStyle w:val="TableGrid"/>
        <w:tblW w:w="0" w:type="auto"/>
        <w:tblLook w:val="04A0" w:firstRow="1" w:lastRow="0" w:firstColumn="1" w:lastColumn="0" w:noHBand="0" w:noVBand="1"/>
      </w:tblPr>
      <w:tblGrid>
        <w:gridCol w:w="1070"/>
        <w:gridCol w:w="6296"/>
        <w:gridCol w:w="1650"/>
      </w:tblGrid>
      <w:tr w:rsidR="009F01D8" w:rsidRPr="00F63CD5" w14:paraId="7197E00A" w14:textId="77777777" w:rsidTr="009F01D8">
        <w:trPr>
          <w:trHeight w:val="279"/>
        </w:trPr>
        <w:tc>
          <w:tcPr>
            <w:tcW w:w="1070" w:type="dxa"/>
            <w:hideMark/>
          </w:tcPr>
          <w:p w14:paraId="7C3C945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96" w:type="dxa"/>
            <w:hideMark/>
          </w:tcPr>
          <w:p w14:paraId="3B1471C0"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1A5CB4FC"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F63CD5" w14:paraId="148C5036" w14:textId="77777777" w:rsidTr="009F01D8">
        <w:trPr>
          <w:trHeight w:val="279"/>
        </w:trPr>
        <w:tc>
          <w:tcPr>
            <w:tcW w:w="1070" w:type="dxa"/>
            <w:noWrap/>
            <w:hideMark/>
          </w:tcPr>
          <w:p w14:paraId="6A7ADE2F"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96" w:type="dxa"/>
            <w:noWrap/>
            <w:hideMark/>
          </w:tcPr>
          <w:p w14:paraId="06AAA957"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carbapenem</w:t>
            </w:r>
            <w:proofErr w:type="gramEnd"/>
            <w:r w:rsidRPr="002B28C3">
              <w:rPr>
                <w:rFonts w:asciiTheme="majorBidi" w:hAnsiTheme="majorBidi" w:cstheme="majorBidi"/>
              </w:rPr>
              <w:t>-</w:t>
            </w:r>
            <w:proofErr w:type="spellStart"/>
            <w:r w:rsidRPr="002B28C3">
              <w:rPr>
                <w:rFonts w:asciiTheme="majorBidi" w:hAnsiTheme="majorBidi" w:cstheme="majorBidi"/>
              </w:rPr>
              <w:t>resistan</w:t>
            </w:r>
            <w:proofErr w:type="spellEnd"/>
            <w:r w:rsidRPr="002B28C3">
              <w:rPr>
                <w:rFonts w:asciiTheme="majorBidi" w:hAnsiTheme="majorBidi" w:cstheme="majorBidi"/>
              </w:rPr>
              <w:t xml:space="preserve">* or "carbapenem </w:t>
            </w:r>
            <w:proofErr w:type="spellStart"/>
            <w:r w:rsidRPr="002B28C3">
              <w:rPr>
                <w:rFonts w:asciiTheme="majorBidi" w:hAnsiTheme="majorBidi" w:cstheme="majorBidi"/>
              </w:rPr>
              <w:t>resistan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carbapenemase</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5C2F102C" w14:textId="77777777" w:rsidR="009F01D8" w:rsidRPr="002B28C3" w:rsidRDefault="009F01D8" w:rsidP="009F01D8">
            <w:pPr>
              <w:rPr>
                <w:rFonts w:asciiTheme="majorBidi" w:hAnsiTheme="majorBidi" w:cstheme="majorBidi"/>
              </w:rPr>
            </w:pPr>
            <w:r w:rsidRPr="002B28C3">
              <w:rPr>
                <w:rFonts w:asciiTheme="majorBidi" w:hAnsiTheme="majorBidi" w:cstheme="majorBidi"/>
              </w:rPr>
              <w:t>13503</w:t>
            </w:r>
          </w:p>
        </w:tc>
      </w:tr>
      <w:tr w:rsidR="009F01D8" w:rsidRPr="00F63CD5" w14:paraId="39D377CF" w14:textId="77777777" w:rsidTr="009F01D8">
        <w:trPr>
          <w:trHeight w:val="279"/>
        </w:trPr>
        <w:tc>
          <w:tcPr>
            <w:tcW w:w="1070" w:type="dxa"/>
            <w:noWrap/>
            <w:hideMark/>
          </w:tcPr>
          <w:p w14:paraId="65EDF47E"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96" w:type="dxa"/>
            <w:noWrap/>
            <w:hideMark/>
          </w:tcPr>
          <w:p w14:paraId="74C96D8C" w14:textId="77777777" w:rsidR="009F01D8" w:rsidRPr="002B28C3" w:rsidRDefault="009F01D8" w:rsidP="009F01D8">
            <w:pPr>
              <w:rPr>
                <w:rFonts w:asciiTheme="majorBidi" w:hAnsiTheme="majorBidi" w:cstheme="majorBidi"/>
              </w:rPr>
            </w:pPr>
            <w:r w:rsidRPr="002B28C3">
              <w:rPr>
                <w:rFonts w:asciiTheme="majorBidi" w:hAnsiTheme="majorBidi" w:cstheme="majorBidi"/>
              </w:rPr>
              <w:t>(carbapenem* and (non-</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or "non </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nonsusceptib</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6E7C83A6" w14:textId="77777777" w:rsidR="009F01D8" w:rsidRPr="002B28C3" w:rsidRDefault="009F01D8" w:rsidP="009F01D8">
            <w:pPr>
              <w:rPr>
                <w:rFonts w:asciiTheme="majorBidi" w:hAnsiTheme="majorBidi" w:cstheme="majorBidi"/>
              </w:rPr>
            </w:pPr>
            <w:r w:rsidRPr="002B28C3">
              <w:rPr>
                <w:rFonts w:asciiTheme="majorBidi" w:hAnsiTheme="majorBidi" w:cstheme="majorBidi"/>
              </w:rPr>
              <w:t>1006</w:t>
            </w:r>
          </w:p>
        </w:tc>
      </w:tr>
      <w:tr w:rsidR="009F01D8" w:rsidRPr="00F63CD5" w14:paraId="6A1DE6F9" w14:textId="77777777" w:rsidTr="009F01D8">
        <w:trPr>
          <w:trHeight w:val="279"/>
        </w:trPr>
        <w:tc>
          <w:tcPr>
            <w:tcW w:w="1070" w:type="dxa"/>
            <w:noWrap/>
            <w:hideMark/>
          </w:tcPr>
          <w:p w14:paraId="00A80776"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296" w:type="dxa"/>
            <w:noWrap/>
            <w:hideMark/>
          </w:tcPr>
          <w:p w14:paraId="4932E361"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oxa</w:t>
            </w:r>
            <w:proofErr w:type="gramEnd"/>
            <w:r w:rsidRPr="002B28C3">
              <w:rPr>
                <w:rFonts w:asciiTheme="majorBidi" w:hAnsiTheme="majorBidi" w:cstheme="majorBidi"/>
              </w:rPr>
              <w:t>-48* or "</w:t>
            </w:r>
            <w:proofErr w:type="spellStart"/>
            <w:r w:rsidRPr="002B28C3">
              <w:rPr>
                <w:rFonts w:asciiTheme="majorBidi" w:hAnsiTheme="majorBidi" w:cstheme="majorBidi"/>
              </w:rPr>
              <w:t>oxa</w:t>
            </w:r>
            <w:proofErr w:type="spellEnd"/>
            <w:r w:rsidRPr="002B28C3">
              <w:rPr>
                <w:rFonts w:asciiTheme="majorBidi" w:hAnsiTheme="majorBidi" w:cstheme="majorBidi"/>
              </w:rPr>
              <w:t xml:space="preserve"> 48*" or oxacillinase-48* or "oxacillinase 48*" or blaoxa-48* or "</w:t>
            </w:r>
            <w:proofErr w:type="spellStart"/>
            <w:r w:rsidRPr="002B28C3">
              <w:rPr>
                <w:rFonts w:asciiTheme="majorBidi" w:hAnsiTheme="majorBidi" w:cstheme="majorBidi"/>
              </w:rPr>
              <w:t>blaoxa</w:t>
            </w:r>
            <w:proofErr w:type="spellEnd"/>
            <w:r w:rsidRPr="002B28C3">
              <w:rPr>
                <w:rFonts w:asciiTheme="majorBidi" w:hAnsiTheme="majorBidi" w:cstheme="majorBidi"/>
              </w:rPr>
              <w:t xml:space="preserve"> 48*").</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4049CBD8" w14:textId="77777777" w:rsidR="009F01D8" w:rsidRPr="002B28C3" w:rsidRDefault="009F01D8" w:rsidP="009F01D8">
            <w:pPr>
              <w:rPr>
                <w:rFonts w:asciiTheme="majorBidi" w:hAnsiTheme="majorBidi" w:cstheme="majorBidi"/>
              </w:rPr>
            </w:pPr>
            <w:r w:rsidRPr="002B28C3">
              <w:rPr>
                <w:rFonts w:asciiTheme="majorBidi" w:hAnsiTheme="majorBidi" w:cstheme="majorBidi"/>
              </w:rPr>
              <w:t>2084</w:t>
            </w:r>
          </w:p>
        </w:tc>
      </w:tr>
      <w:tr w:rsidR="009F01D8" w:rsidRPr="00F63CD5" w14:paraId="25B498E8" w14:textId="77777777" w:rsidTr="009F01D8">
        <w:trPr>
          <w:trHeight w:val="279"/>
        </w:trPr>
        <w:tc>
          <w:tcPr>
            <w:tcW w:w="1070" w:type="dxa"/>
            <w:noWrap/>
            <w:hideMark/>
          </w:tcPr>
          <w:p w14:paraId="1832BF91"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296" w:type="dxa"/>
            <w:noWrap/>
            <w:hideMark/>
          </w:tcPr>
          <w:p w14:paraId="6DEBE0BC"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(("new </w:t>
            </w:r>
            <w:proofErr w:type="spellStart"/>
            <w:r w:rsidRPr="002B28C3">
              <w:rPr>
                <w:rFonts w:asciiTheme="majorBidi" w:hAnsiTheme="majorBidi" w:cstheme="majorBidi"/>
              </w:rPr>
              <w:t>delhi</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ndm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verona</w:t>
            </w:r>
            <w:proofErr w:type="spellEnd"/>
            <w:r w:rsidRPr="002B28C3">
              <w:rPr>
                <w:rFonts w:asciiTheme="majorBidi" w:hAnsiTheme="majorBidi" w:cstheme="majorBidi"/>
              </w:rPr>
              <w:t xml:space="preserve"> integrated-encoded" or vim or </w:t>
            </w:r>
            <w:proofErr w:type="spellStart"/>
            <w:r w:rsidRPr="002B28C3">
              <w:rPr>
                <w:rFonts w:asciiTheme="majorBidi" w:hAnsiTheme="majorBidi" w:cstheme="majorBidi"/>
              </w:rPr>
              <w:t>imipenemase</w:t>
            </w:r>
            <w:proofErr w:type="spellEnd"/>
            <w:r w:rsidRPr="002B28C3">
              <w:rPr>
                <w:rFonts w:asciiTheme="majorBidi" w:hAnsiTheme="majorBidi" w:cstheme="majorBidi"/>
              </w:rPr>
              <w:t xml:space="preserve"> or imp) and (</w:t>
            </w:r>
            <w:proofErr w:type="spellStart"/>
            <w:r w:rsidRPr="002B28C3">
              <w:rPr>
                <w:rFonts w:asciiTheme="majorBidi" w:hAnsiTheme="majorBidi" w:cstheme="majorBidi"/>
              </w:rPr>
              <w:t>mbl</w:t>
            </w:r>
            <w:proofErr w:type="spellEnd"/>
            <w:r w:rsidRPr="002B28C3">
              <w:rPr>
                <w:rFonts w:asciiTheme="majorBidi" w:hAnsiTheme="majorBidi" w:cstheme="majorBidi"/>
              </w:rPr>
              <w:t xml:space="preserve"> or "metallo-beta-lactamase" or "</w:t>
            </w:r>
            <w:proofErr w:type="spellStart"/>
            <w:r w:rsidRPr="002B28C3">
              <w:rPr>
                <w:rFonts w:asciiTheme="majorBidi" w:hAnsiTheme="majorBidi" w:cstheme="majorBidi"/>
              </w:rPr>
              <w:t>metallo</w:t>
            </w:r>
            <w:proofErr w:type="spellEnd"/>
            <w:r w:rsidRPr="002B28C3">
              <w:rPr>
                <w:rFonts w:asciiTheme="majorBidi" w:hAnsiTheme="majorBidi" w:cstheme="majorBidi"/>
              </w:rPr>
              <w:t xml:space="preserve"> beta lactamase")).</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0D197BF2" w14:textId="77777777" w:rsidR="009F01D8" w:rsidRPr="002B28C3" w:rsidRDefault="009F01D8" w:rsidP="009F01D8">
            <w:pPr>
              <w:rPr>
                <w:rFonts w:asciiTheme="majorBidi" w:hAnsiTheme="majorBidi" w:cstheme="majorBidi"/>
              </w:rPr>
            </w:pPr>
            <w:r w:rsidRPr="002B28C3">
              <w:rPr>
                <w:rFonts w:asciiTheme="majorBidi" w:hAnsiTheme="majorBidi" w:cstheme="majorBidi"/>
              </w:rPr>
              <w:t>2210</w:t>
            </w:r>
          </w:p>
        </w:tc>
      </w:tr>
      <w:tr w:rsidR="009F01D8" w:rsidRPr="00F63CD5" w14:paraId="4D2AF3EB" w14:textId="77777777" w:rsidTr="009F01D8">
        <w:trPr>
          <w:trHeight w:val="279"/>
        </w:trPr>
        <w:tc>
          <w:tcPr>
            <w:tcW w:w="1070" w:type="dxa"/>
            <w:noWrap/>
            <w:hideMark/>
          </w:tcPr>
          <w:p w14:paraId="1C5AB348"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296" w:type="dxa"/>
            <w:noWrap/>
            <w:hideMark/>
          </w:tcPr>
          <w:p w14:paraId="5E9C9112" w14:textId="77777777" w:rsidR="009F01D8" w:rsidRPr="002B28C3" w:rsidRDefault="009F01D8" w:rsidP="009F01D8">
            <w:pPr>
              <w:rPr>
                <w:rFonts w:asciiTheme="majorBidi" w:hAnsiTheme="majorBidi" w:cstheme="majorBidi"/>
              </w:rPr>
            </w:pPr>
            <w:r w:rsidRPr="002B28C3">
              <w:rPr>
                <w:rFonts w:asciiTheme="majorBidi" w:hAnsiTheme="majorBidi" w:cstheme="majorBidi"/>
              </w:rPr>
              <w:t>or/1-4</w:t>
            </w:r>
          </w:p>
        </w:tc>
        <w:tc>
          <w:tcPr>
            <w:tcW w:w="1650" w:type="dxa"/>
            <w:noWrap/>
            <w:hideMark/>
          </w:tcPr>
          <w:p w14:paraId="3776370E" w14:textId="77777777" w:rsidR="009F01D8" w:rsidRPr="002B28C3" w:rsidRDefault="009F01D8" w:rsidP="009F01D8">
            <w:pPr>
              <w:rPr>
                <w:rFonts w:asciiTheme="majorBidi" w:hAnsiTheme="majorBidi" w:cstheme="majorBidi"/>
              </w:rPr>
            </w:pPr>
            <w:r w:rsidRPr="002B28C3">
              <w:rPr>
                <w:rFonts w:asciiTheme="majorBidi" w:hAnsiTheme="majorBidi" w:cstheme="majorBidi"/>
              </w:rPr>
              <w:t>15369</w:t>
            </w:r>
          </w:p>
        </w:tc>
      </w:tr>
      <w:tr w:rsidR="009F01D8" w:rsidRPr="00F63CD5" w14:paraId="647E35B4" w14:textId="77777777" w:rsidTr="009F01D8">
        <w:trPr>
          <w:trHeight w:val="279"/>
        </w:trPr>
        <w:tc>
          <w:tcPr>
            <w:tcW w:w="1070" w:type="dxa"/>
            <w:noWrap/>
            <w:hideMark/>
          </w:tcPr>
          <w:p w14:paraId="03DC646D"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296" w:type="dxa"/>
            <w:noWrap/>
            <w:hideMark/>
          </w:tcPr>
          <w:p w14:paraId="39056C36" w14:textId="77777777" w:rsidR="009F01D8" w:rsidRPr="002B28C3" w:rsidRDefault="009F01D8" w:rsidP="009F01D8">
            <w:pPr>
              <w:rPr>
                <w:rFonts w:asciiTheme="majorBidi" w:hAnsiTheme="majorBidi" w:cstheme="majorBidi"/>
              </w:rPr>
            </w:pPr>
            <w:r w:rsidRPr="002B28C3">
              <w:rPr>
                <w:rFonts w:asciiTheme="majorBidi" w:hAnsiTheme="majorBidi" w:cstheme="majorBidi"/>
              </w:rPr>
              <w:t>(cohort* or longitudinal or prospective or retrospective or follow-up or "follow up" or long-term or "long term" or year).</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20151974" w14:textId="77777777" w:rsidR="009F01D8" w:rsidRPr="002B28C3" w:rsidRDefault="009F01D8" w:rsidP="009F01D8">
            <w:pPr>
              <w:rPr>
                <w:rFonts w:asciiTheme="majorBidi" w:hAnsiTheme="majorBidi" w:cstheme="majorBidi"/>
              </w:rPr>
            </w:pPr>
            <w:r w:rsidRPr="002B28C3">
              <w:rPr>
                <w:rFonts w:asciiTheme="majorBidi" w:hAnsiTheme="majorBidi" w:cstheme="majorBidi"/>
              </w:rPr>
              <w:t>6159657</w:t>
            </w:r>
          </w:p>
        </w:tc>
      </w:tr>
      <w:tr w:rsidR="009F01D8" w:rsidRPr="00F63CD5" w14:paraId="36372E4D" w14:textId="77777777" w:rsidTr="009F01D8">
        <w:trPr>
          <w:trHeight w:val="279"/>
        </w:trPr>
        <w:tc>
          <w:tcPr>
            <w:tcW w:w="1070" w:type="dxa"/>
            <w:noWrap/>
            <w:hideMark/>
          </w:tcPr>
          <w:p w14:paraId="58DF2DEE" w14:textId="77777777" w:rsidR="009F01D8" w:rsidRPr="002B28C3" w:rsidRDefault="009F01D8" w:rsidP="009F01D8">
            <w:pPr>
              <w:rPr>
                <w:rFonts w:asciiTheme="majorBidi" w:hAnsiTheme="majorBidi" w:cstheme="majorBidi"/>
              </w:rPr>
            </w:pPr>
            <w:r w:rsidRPr="002B28C3">
              <w:rPr>
                <w:rFonts w:asciiTheme="majorBidi" w:hAnsiTheme="majorBidi" w:cstheme="majorBidi"/>
              </w:rPr>
              <w:t>7</w:t>
            </w:r>
          </w:p>
        </w:tc>
        <w:tc>
          <w:tcPr>
            <w:tcW w:w="6296" w:type="dxa"/>
            <w:noWrap/>
            <w:hideMark/>
          </w:tcPr>
          <w:p w14:paraId="04F1E0C0"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mortality</w:t>
            </w:r>
            <w:proofErr w:type="gramEnd"/>
            <w:r w:rsidRPr="002B28C3">
              <w:rPr>
                <w:rFonts w:asciiTheme="majorBidi" w:hAnsiTheme="majorBidi" w:cstheme="majorBidi"/>
              </w:rPr>
              <w:t xml:space="preserve"> or death* or survival).</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4E47DEB2" w14:textId="77777777" w:rsidR="009F01D8" w:rsidRPr="002B28C3" w:rsidRDefault="009F01D8" w:rsidP="009F01D8">
            <w:pPr>
              <w:rPr>
                <w:rFonts w:asciiTheme="majorBidi" w:hAnsiTheme="majorBidi" w:cstheme="majorBidi"/>
              </w:rPr>
            </w:pPr>
            <w:r w:rsidRPr="002B28C3">
              <w:rPr>
                <w:rFonts w:asciiTheme="majorBidi" w:hAnsiTheme="majorBidi" w:cstheme="majorBidi"/>
              </w:rPr>
              <w:t>3257266</w:t>
            </w:r>
          </w:p>
        </w:tc>
      </w:tr>
      <w:tr w:rsidR="009F01D8" w:rsidRPr="00F63CD5" w14:paraId="1DFE9BBE" w14:textId="77777777" w:rsidTr="009F01D8">
        <w:trPr>
          <w:trHeight w:val="279"/>
        </w:trPr>
        <w:tc>
          <w:tcPr>
            <w:tcW w:w="1070" w:type="dxa"/>
            <w:noWrap/>
            <w:hideMark/>
          </w:tcPr>
          <w:p w14:paraId="7DF81F6E"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c>
          <w:tcPr>
            <w:tcW w:w="6296" w:type="dxa"/>
            <w:noWrap/>
            <w:hideMark/>
          </w:tcPr>
          <w:p w14:paraId="32DAA889"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w:t>
            </w:r>
          </w:p>
        </w:tc>
        <w:tc>
          <w:tcPr>
            <w:tcW w:w="1650" w:type="dxa"/>
            <w:noWrap/>
            <w:hideMark/>
          </w:tcPr>
          <w:p w14:paraId="09806711" w14:textId="77777777" w:rsidR="009F01D8" w:rsidRPr="002B28C3" w:rsidRDefault="009F01D8" w:rsidP="009F01D8">
            <w:pPr>
              <w:rPr>
                <w:rFonts w:asciiTheme="majorBidi" w:hAnsiTheme="majorBidi" w:cstheme="majorBidi"/>
              </w:rPr>
            </w:pPr>
            <w:r w:rsidRPr="002B28C3">
              <w:rPr>
                <w:rFonts w:asciiTheme="majorBidi" w:hAnsiTheme="majorBidi" w:cstheme="majorBidi"/>
              </w:rPr>
              <w:t>108436</w:t>
            </w:r>
          </w:p>
        </w:tc>
      </w:tr>
      <w:tr w:rsidR="009F01D8" w:rsidRPr="00F63CD5" w14:paraId="3D3F679C" w14:textId="77777777" w:rsidTr="009F01D8">
        <w:trPr>
          <w:trHeight w:val="279"/>
        </w:trPr>
        <w:tc>
          <w:tcPr>
            <w:tcW w:w="1070" w:type="dxa"/>
            <w:noWrap/>
            <w:hideMark/>
          </w:tcPr>
          <w:p w14:paraId="4BA99413" w14:textId="77777777" w:rsidR="009F01D8" w:rsidRPr="002B28C3" w:rsidRDefault="009F01D8" w:rsidP="009F01D8">
            <w:pPr>
              <w:rPr>
                <w:rFonts w:asciiTheme="majorBidi" w:hAnsiTheme="majorBidi" w:cstheme="majorBidi"/>
              </w:rPr>
            </w:pPr>
            <w:r w:rsidRPr="002B28C3">
              <w:rPr>
                <w:rFonts w:asciiTheme="majorBidi" w:hAnsiTheme="majorBidi" w:cstheme="majorBidi"/>
              </w:rPr>
              <w:t>9</w:t>
            </w:r>
          </w:p>
        </w:tc>
        <w:tc>
          <w:tcPr>
            <w:tcW w:w="6296" w:type="dxa"/>
            <w:noWrap/>
            <w:hideMark/>
          </w:tcPr>
          <w:p w14:paraId="43A284C1"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4CCBB083" w14:textId="77777777" w:rsidR="009F01D8" w:rsidRPr="002B28C3" w:rsidRDefault="009F01D8" w:rsidP="009F01D8">
            <w:pPr>
              <w:rPr>
                <w:rFonts w:asciiTheme="majorBidi" w:hAnsiTheme="majorBidi" w:cstheme="majorBidi"/>
              </w:rPr>
            </w:pPr>
            <w:r w:rsidRPr="002B28C3">
              <w:rPr>
                <w:rFonts w:asciiTheme="majorBidi" w:hAnsiTheme="majorBidi" w:cstheme="majorBidi"/>
              </w:rPr>
              <w:t>63504</w:t>
            </w:r>
          </w:p>
        </w:tc>
      </w:tr>
      <w:tr w:rsidR="009F01D8" w:rsidRPr="00F63CD5" w14:paraId="48095DAF" w14:textId="77777777" w:rsidTr="009F01D8">
        <w:trPr>
          <w:trHeight w:val="279"/>
        </w:trPr>
        <w:tc>
          <w:tcPr>
            <w:tcW w:w="1070" w:type="dxa"/>
            <w:noWrap/>
            <w:hideMark/>
          </w:tcPr>
          <w:p w14:paraId="4476933A" w14:textId="77777777" w:rsidR="009F01D8" w:rsidRPr="002B28C3" w:rsidRDefault="009F01D8" w:rsidP="009F01D8">
            <w:pPr>
              <w:rPr>
                <w:rFonts w:asciiTheme="majorBidi" w:hAnsiTheme="majorBidi" w:cstheme="majorBidi"/>
              </w:rPr>
            </w:pPr>
            <w:r w:rsidRPr="002B28C3">
              <w:rPr>
                <w:rFonts w:asciiTheme="majorBidi" w:hAnsiTheme="majorBidi" w:cstheme="majorBidi"/>
              </w:rPr>
              <w:t>10</w:t>
            </w:r>
          </w:p>
        </w:tc>
        <w:tc>
          <w:tcPr>
            <w:tcW w:w="6296" w:type="dxa"/>
            <w:noWrap/>
            <w:hideMark/>
          </w:tcPr>
          <w:p w14:paraId="13FB03D2"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proofErr w:type="gramStart"/>
            <w:r w:rsidRPr="002B28C3">
              <w:rPr>
                <w:rFonts w:asciiTheme="majorBidi" w:hAnsiTheme="majorBidi" w:cstheme="majorBidi"/>
              </w:rPr>
              <w:t>uti</w:t>
            </w:r>
            <w:proofErr w:type="spellEnd"/>
            <w:proofErr w:type="gramEnd"/>
            <w:r w:rsidRPr="002B28C3">
              <w:rPr>
                <w:rFonts w:asciiTheme="majorBidi" w:hAnsiTheme="majorBidi" w:cstheme="majorBidi"/>
              </w:rPr>
              <w:t xml:space="preserve"> or </w:t>
            </w:r>
            <w:proofErr w:type="spellStart"/>
            <w:r w:rsidRPr="002B28C3">
              <w:rPr>
                <w:rFonts w:asciiTheme="majorBidi" w:hAnsiTheme="majorBidi" w:cstheme="majorBidi"/>
              </w:rPr>
              <w:t>utis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cuti</w:t>
            </w:r>
            <w:proofErr w:type="spellEnd"/>
            <w:r w:rsidRPr="002B28C3">
              <w:rPr>
                <w:rFonts w:asciiTheme="majorBidi" w:hAnsiTheme="majorBidi" w:cstheme="majorBidi"/>
              </w:rPr>
              <w:t xml:space="preserve"> or cutis).</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1FCE4A69" w14:textId="77777777" w:rsidR="009F01D8" w:rsidRPr="002B28C3" w:rsidRDefault="009F01D8" w:rsidP="009F01D8">
            <w:pPr>
              <w:rPr>
                <w:rFonts w:asciiTheme="majorBidi" w:hAnsiTheme="majorBidi" w:cstheme="majorBidi"/>
              </w:rPr>
            </w:pPr>
            <w:r w:rsidRPr="002B28C3">
              <w:rPr>
                <w:rFonts w:asciiTheme="majorBidi" w:hAnsiTheme="majorBidi" w:cstheme="majorBidi"/>
              </w:rPr>
              <w:t>29713</w:t>
            </w:r>
          </w:p>
        </w:tc>
      </w:tr>
      <w:tr w:rsidR="009F01D8" w:rsidRPr="00F63CD5" w14:paraId="464E5CEA" w14:textId="77777777" w:rsidTr="009F01D8">
        <w:trPr>
          <w:trHeight w:val="279"/>
        </w:trPr>
        <w:tc>
          <w:tcPr>
            <w:tcW w:w="1070" w:type="dxa"/>
            <w:noWrap/>
            <w:hideMark/>
          </w:tcPr>
          <w:p w14:paraId="2A5BDD9D" w14:textId="77777777" w:rsidR="009F01D8" w:rsidRPr="002B28C3" w:rsidRDefault="009F01D8" w:rsidP="009F01D8">
            <w:pPr>
              <w:rPr>
                <w:rFonts w:asciiTheme="majorBidi" w:hAnsiTheme="majorBidi" w:cstheme="majorBidi"/>
              </w:rPr>
            </w:pPr>
            <w:r w:rsidRPr="002B28C3">
              <w:rPr>
                <w:rFonts w:asciiTheme="majorBidi" w:hAnsiTheme="majorBidi" w:cstheme="majorBidi"/>
              </w:rPr>
              <w:t>11</w:t>
            </w:r>
          </w:p>
        </w:tc>
        <w:tc>
          <w:tcPr>
            <w:tcW w:w="6296" w:type="dxa"/>
            <w:noWrap/>
            <w:hideMark/>
          </w:tcPr>
          <w:p w14:paraId="21519E1D"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pneumonia/</w:t>
            </w:r>
          </w:p>
        </w:tc>
        <w:tc>
          <w:tcPr>
            <w:tcW w:w="1650" w:type="dxa"/>
            <w:noWrap/>
            <w:hideMark/>
          </w:tcPr>
          <w:p w14:paraId="532B7C5A" w14:textId="77777777" w:rsidR="009F01D8" w:rsidRPr="002B28C3" w:rsidRDefault="009F01D8" w:rsidP="009F01D8">
            <w:pPr>
              <w:rPr>
                <w:rFonts w:asciiTheme="majorBidi" w:hAnsiTheme="majorBidi" w:cstheme="majorBidi"/>
              </w:rPr>
            </w:pPr>
            <w:r w:rsidRPr="002B28C3">
              <w:rPr>
                <w:rFonts w:asciiTheme="majorBidi" w:hAnsiTheme="majorBidi" w:cstheme="majorBidi"/>
              </w:rPr>
              <w:t>330487</w:t>
            </w:r>
          </w:p>
        </w:tc>
      </w:tr>
      <w:tr w:rsidR="009F01D8" w:rsidRPr="00F63CD5" w14:paraId="0C78C6E0" w14:textId="77777777" w:rsidTr="009F01D8">
        <w:trPr>
          <w:trHeight w:val="279"/>
        </w:trPr>
        <w:tc>
          <w:tcPr>
            <w:tcW w:w="1070" w:type="dxa"/>
            <w:noWrap/>
            <w:hideMark/>
          </w:tcPr>
          <w:p w14:paraId="474F5D24" w14:textId="77777777" w:rsidR="009F01D8" w:rsidRPr="002B28C3" w:rsidRDefault="009F01D8" w:rsidP="009F01D8">
            <w:pPr>
              <w:rPr>
                <w:rFonts w:asciiTheme="majorBidi" w:hAnsiTheme="majorBidi" w:cstheme="majorBidi"/>
              </w:rPr>
            </w:pPr>
            <w:r w:rsidRPr="002B28C3">
              <w:rPr>
                <w:rFonts w:asciiTheme="majorBidi" w:hAnsiTheme="majorBidi" w:cstheme="majorBidi"/>
              </w:rPr>
              <w:t>12</w:t>
            </w:r>
          </w:p>
        </w:tc>
        <w:tc>
          <w:tcPr>
            <w:tcW w:w="6296" w:type="dxa"/>
            <w:noWrap/>
            <w:hideMark/>
          </w:tcPr>
          <w:p w14:paraId="4AB509A4"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pneumon</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1E3FB112" w14:textId="77777777" w:rsidR="009F01D8" w:rsidRPr="002B28C3" w:rsidRDefault="009F01D8" w:rsidP="009F01D8">
            <w:pPr>
              <w:rPr>
                <w:rFonts w:asciiTheme="majorBidi" w:hAnsiTheme="majorBidi" w:cstheme="majorBidi"/>
              </w:rPr>
            </w:pPr>
            <w:r w:rsidRPr="002B28C3">
              <w:rPr>
                <w:rFonts w:asciiTheme="majorBidi" w:hAnsiTheme="majorBidi" w:cstheme="majorBidi"/>
              </w:rPr>
              <w:t>280722</w:t>
            </w:r>
          </w:p>
        </w:tc>
      </w:tr>
      <w:tr w:rsidR="009F01D8" w:rsidRPr="00F63CD5" w14:paraId="7DE401BE" w14:textId="77777777" w:rsidTr="009F01D8">
        <w:trPr>
          <w:trHeight w:val="279"/>
        </w:trPr>
        <w:tc>
          <w:tcPr>
            <w:tcW w:w="1070" w:type="dxa"/>
            <w:noWrap/>
            <w:hideMark/>
          </w:tcPr>
          <w:p w14:paraId="10722FDB" w14:textId="77777777" w:rsidR="009F01D8" w:rsidRPr="002B28C3" w:rsidRDefault="009F01D8" w:rsidP="009F01D8">
            <w:pPr>
              <w:rPr>
                <w:rFonts w:asciiTheme="majorBidi" w:hAnsiTheme="majorBidi" w:cstheme="majorBidi"/>
              </w:rPr>
            </w:pPr>
            <w:r w:rsidRPr="002B28C3">
              <w:rPr>
                <w:rFonts w:asciiTheme="majorBidi" w:hAnsiTheme="majorBidi" w:cstheme="majorBidi"/>
              </w:rPr>
              <w:t>13</w:t>
            </w:r>
          </w:p>
        </w:tc>
        <w:tc>
          <w:tcPr>
            <w:tcW w:w="6296" w:type="dxa"/>
            <w:noWrap/>
            <w:hideMark/>
          </w:tcPr>
          <w:p w14:paraId="07A2AC0B"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intensive care unit/</w:t>
            </w:r>
          </w:p>
        </w:tc>
        <w:tc>
          <w:tcPr>
            <w:tcW w:w="1650" w:type="dxa"/>
            <w:noWrap/>
            <w:hideMark/>
          </w:tcPr>
          <w:p w14:paraId="06AEE06A" w14:textId="77777777" w:rsidR="009F01D8" w:rsidRPr="002B28C3" w:rsidRDefault="009F01D8" w:rsidP="009F01D8">
            <w:pPr>
              <w:rPr>
                <w:rFonts w:asciiTheme="majorBidi" w:hAnsiTheme="majorBidi" w:cstheme="majorBidi"/>
              </w:rPr>
            </w:pPr>
            <w:r w:rsidRPr="002B28C3">
              <w:rPr>
                <w:rFonts w:asciiTheme="majorBidi" w:hAnsiTheme="majorBidi" w:cstheme="majorBidi"/>
              </w:rPr>
              <w:t>217620</w:t>
            </w:r>
          </w:p>
        </w:tc>
      </w:tr>
      <w:tr w:rsidR="009F01D8" w:rsidRPr="00F63CD5" w14:paraId="7BD30440" w14:textId="77777777" w:rsidTr="009F01D8">
        <w:trPr>
          <w:trHeight w:val="279"/>
        </w:trPr>
        <w:tc>
          <w:tcPr>
            <w:tcW w:w="1070" w:type="dxa"/>
            <w:noWrap/>
            <w:hideMark/>
          </w:tcPr>
          <w:p w14:paraId="2F23E1EA"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14</w:t>
            </w:r>
          </w:p>
        </w:tc>
        <w:tc>
          <w:tcPr>
            <w:tcW w:w="6296" w:type="dxa"/>
            <w:noWrap/>
            <w:hideMark/>
          </w:tcPr>
          <w:p w14:paraId="0E9EACA5"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((hospital* or ventilator* or </w:t>
            </w:r>
            <w:proofErr w:type="spellStart"/>
            <w:r w:rsidRPr="002B28C3">
              <w:rPr>
                <w:rFonts w:asciiTheme="majorBidi" w:hAnsiTheme="majorBidi" w:cstheme="majorBidi"/>
              </w:rPr>
              <w:t>icu</w:t>
            </w:r>
            <w:proofErr w:type="spellEnd"/>
            <w:r w:rsidRPr="002B28C3">
              <w:rPr>
                <w:rFonts w:asciiTheme="majorBidi" w:hAnsiTheme="majorBidi" w:cstheme="majorBidi"/>
              </w:rPr>
              <w:t xml:space="preserve"> or intensive care) adj3 (acquired or </w:t>
            </w:r>
            <w:proofErr w:type="spellStart"/>
            <w:r w:rsidRPr="002B28C3">
              <w:rPr>
                <w:rFonts w:asciiTheme="majorBidi" w:hAnsiTheme="majorBidi" w:cstheme="majorBidi"/>
              </w:rPr>
              <w:t>associat</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7851F939" w14:textId="77777777" w:rsidR="009F01D8" w:rsidRPr="002B28C3" w:rsidRDefault="009F01D8" w:rsidP="009F01D8">
            <w:pPr>
              <w:rPr>
                <w:rFonts w:asciiTheme="majorBidi" w:hAnsiTheme="majorBidi" w:cstheme="majorBidi"/>
              </w:rPr>
            </w:pPr>
            <w:r w:rsidRPr="002B28C3">
              <w:rPr>
                <w:rFonts w:asciiTheme="majorBidi" w:hAnsiTheme="majorBidi" w:cstheme="majorBidi"/>
              </w:rPr>
              <w:t>75142</w:t>
            </w:r>
          </w:p>
        </w:tc>
      </w:tr>
      <w:tr w:rsidR="009F01D8" w:rsidRPr="00F63CD5" w14:paraId="5831806A" w14:textId="77777777" w:rsidTr="009F01D8">
        <w:trPr>
          <w:trHeight w:val="279"/>
        </w:trPr>
        <w:tc>
          <w:tcPr>
            <w:tcW w:w="1070" w:type="dxa"/>
            <w:noWrap/>
            <w:hideMark/>
          </w:tcPr>
          <w:p w14:paraId="695717E3" w14:textId="77777777" w:rsidR="009F01D8" w:rsidRPr="002B28C3" w:rsidRDefault="009F01D8" w:rsidP="009F01D8">
            <w:pPr>
              <w:rPr>
                <w:rFonts w:asciiTheme="majorBidi" w:hAnsiTheme="majorBidi" w:cstheme="majorBidi"/>
              </w:rPr>
            </w:pPr>
            <w:r w:rsidRPr="002B28C3">
              <w:rPr>
                <w:rFonts w:asciiTheme="majorBidi" w:hAnsiTheme="majorBidi" w:cstheme="majorBidi"/>
              </w:rPr>
              <w:t>15</w:t>
            </w:r>
          </w:p>
        </w:tc>
        <w:tc>
          <w:tcPr>
            <w:tcW w:w="6296" w:type="dxa"/>
            <w:noWrap/>
            <w:hideMark/>
          </w:tcPr>
          <w:p w14:paraId="4D3C5D6B" w14:textId="77777777" w:rsidR="009F01D8" w:rsidRPr="002B28C3" w:rsidRDefault="009F01D8" w:rsidP="009F01D8">
            <w:pPr>
              <w:rPr>
                <w:rFonts w:asciiTheme="majorBidi" w:hAnsiTheme="majorBidi" w:cstheme="majorBidi"/>
              </w:rPr>
            </w:pPr>
            <w:r w:rsidRPr="002B28C3">
              <w:rPr>
                <w:rFonts w:asciiTheme="majorBidi" w:hAnsiTheme="majorBidi" w:cstheme="majorBidi"/>
              </w:rPr>
              <w:t>ventilator associated pneumonia/</w:t>
            </w:r>
          </w:p>
        </w:tc>
        <w:tc>
          <w:tcPr>
            <w:tcW w:w="1650" w:type="dxa"/>
            <w:noWrap/>
            <w:hideMark/>
          </w:tcPr>
          <w:p w14:paraId="1FD8B8AD" w14:textId="77777777" w:rsidR="009F01D8" w:rsidRPr="002B28C3" w:rsidRDefault="009F01D8" w:rsidP="009F01D8">
            <w:pPr>
              <w:rPr>
                <w:rFonts w:asciiTheme="majorBidi" w:hAnsiTheme="majorBidi" w:cstheme="majorBidi"/>
              </w:rPr>
            </w:pPr>
            <w:r w:rsidRPr="002B28C3">
              <w:rPr>
                <w:rFonts w:asciiTheme="majorBidi" w:hAnsiTheme="majorBidi" w:cstheme="majorBidi"/>
              </w:rPr>
              <w:t>11398</w:t>
            </w:r>
          </w:p>
        </w:tc>
      </w:tr>
      <w:tr w:rsidR="009F01D8" w:rsidRPr="00F63CD5" w14:paraId="4FDEAB2E" w14:textId="77777777" w:rsidTr="009F01D8">
        <w:trPr>
          <w:trHeight w:val="279"/>
        </w:trPr>
        <w:tc>
          <w:tcPr>
            <w:tcW w:w="1070" w:type="dxa"/>
            <w:noWrap/>
            <w:hideMark/>
          </w:tcPr>
          <w:p w14:paraId="7E184BDB" w14:textId="77777777" w:rsidR="009F01D8" w:rsidRPr="002B28C3" w:rsidRDefault="009F01D8" w:rsidP="009F01D8">
            <w:pPr>
              <w:rPr>
                <w:rFonts w:asciiTheme="majorBidi" w:hAnsiTheme="majorBidi" w:cstheme="majorBidi"/>
              </w:rPr>
            </w:pPr>
            <w:r w:rsidRPr="002B28C3">
              <w:rPr>
                <w:rFonts w:asciiTheme="majorBidi" w:hAnsiTheme="majorBidi" w:cstheme="majorBidi"/>
              </w:rPr>
              <w:t>16</w:t>
            </w:r>
          </w:p>
        </w:tc>
        <w:tc>
          <w:tcPr>
            <w:tcW w:w="6296" w:type="dxa"/>
            <w:noWrap/>
            <w:hideMark/>
          </w:tcPr>
          <w:p w14:paraId="0522F93D"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hap</w:t>
            </w:r>
            <w:proofErr w:type="gramEnd"/>
            <w:r w:rsidRPr="002B28C3">
              <w:rPr>
                <w:rFonts w:asciiTheme="majorBidi" w:hAnsiTheme="majorBidi" w:cstheme="majorBidi"/>
              </w:rPr>
              <w:t xml:space="preserve"> or </w:t>
            </w:r>
            <w:proofErr w:type="spellStart"/>
            <w:r w:rsidRPr="002B28C3">
              <w:rPr>
                <w:rFonts w:asciiTheme="majorBidi" w:hAnsiTheme="majorBidi" w:cstheme="majorBidi"/>
              </w:rPr>
              <w:t>vap</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29C04332" w14:textId="77777777" w:rsidR="009F01D8" w:rsidRPr="002B28C3" w:rsidRDefault="009F01D8" w:rsidP="009F01D8">
            <w:pPr>
              <w:rPr>
                <w:rFonts w:asciiTheme="majorBidi" w:hAnsiTheme="majorBidi" w:cstheme="majorBidi"/>
              </w:rPr>
            </w:pPr>
            <w:r w:rsidRPr="002B28C3">
              <w:rPr>
                <w:rFonts w:asciiTheme="majorBidi" w:hAnsiTheme="majorBidi" w:cstheme="majorBidi"/>
              </w:rPr>
              <w:t>14412</w:t>
            </w:r>
          </w:p>
        </w:tc>
      </w:tr>
      <w:tr w:rsidR="009F01D8" w:rsidRPr="00F63CD5" w14:paraId="141FADB3" w14:textId="77777777" w:rsidTr="009F01D8">
        <w:trPr>
          <w:trHeight w:val="279"/>
        </w:trPr>
        <w:tc>
          <w:tcPr>
            <w:tcW w:w="1070" w:type="dxa"/>
            <w:noWrap/>
            <w:hideMark/>
          </w:tcPr>
          <w:p w14:paraId="2C59F1A2"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c>
          <w:tcPr>
            <w:tcW w:w="6296" w:type="dxa"/>
            <w:noWrap/>
            <w:hideMark/>
          </w:tcPr>
          <w:p w14:paraId="1197993D" w14:textId="77777777" w:rsidR="009F01D8" w:rsidRPr="002B28C3" w:rsidRDefault="009F01D8" w:rsidP="009F01D8">
            <w:pPr>
              <w:rPr>
                <w:rFonts w:asciiTheme="majorBidi" w:hAnsiTheme="majorBidi" w:cstheme="majorBidi"/>
              </w:rPr>
            </w:pPr>
            <w:r w:rsidRPr="002B28C3">
              <w:rPr>
                <w:rFonts w:asciiTheme="majorBidi" w:hAnsiTheme="majorBidi" w:cstheme="majorBidi"/>
              </w:rPr>
              <w:t>(11 or 12) and (13 or 14)</w:t>
            </w:r>
          </w:p>
        </w:tc>
        <w:tc>
          <w:tcPr>
            <w:tcW w:w="1650" w:type="dxa"/>
            <w:noWrap/>
            <w:hideMark/>
          </w:tcPr>
          <w:p w14:paraId="7FDE7446" w14:textId="77777777" w:rsidR="009F01D8" w:rsidRPr="002B28C3" w:rsidRDefault="009F01D8" w:rsidP="009F01D8">
            <w:pPr>
              <w:rPr>
                <w:rFonts w:asciiTheme="majorBidi" w:hAnsiTheme="majorBidi" w:cstheme="majorBidi"/>
              </w:rPr>
            </w:pPr>
            <w:r w:rsidRPr="002B28C3">
              <w:rPr>
                <w:rFonts w:asciiTheme="majorBidi" w:hAnsiTheme="majorBidi" w:cstheme="majorBidi"/>
              </w:rPr>
              <w:t>37422</w:t>
            </w:r>
          </w:p>
        </w:tc>
      </w:tr>
      <w:tr w:rsidR="009F01D8" w:rsidRPr="00F63CD5" w14:paraId="2896E45E" w14:textId="77777777" w:rsidTr="009F01D8">
        <w:trPr>
          <w:trHeight w:val="279"/>
        </w:trPr>
        <w:tc>
          <w:tcPr>
            <w:tcW w:w="1070" w:type="dxa"/>
            <w:noWrap/>
            <w:hideMark/>
          </w:tcPr>
          <w:p w14:paraId="1E5760B4"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c>
          <w:tcPr>
            <w:tcW w:w="6296" w:type="dxa"/>
            <w:noWrap/>
            <w:hideMark/>
          </w:tcPr>
          <w:p w14:paraId="1925A778" w14:textId="77777777" w:rsidR="009F01D8" w:rsidRPr="002B28C3" w:rsidRDefault="009F01D8" w:rsidP="009F01D8">
            <w:pPr>
              <w:rPr>
                <w:rFonts w:asciiTheme="majorBidi" w:hAnsiTheme="majorBidi" w:cstheme="majorBidi"/>
              </w:rPr>
            </w:pPr>
            <w:r w:rsidRPr="002B28C3">
              <w:rPr>
                <w:rFonts w:asciiTheme="majorBidi" w:hAnsiTheme="majorBidi" w:cstheme="majorBidi"/>
              </w:rPr>
              <w:t>8 or 9 or 10 or 15 or 16 or 17</w:t>
            </w:r>
          </w:p>
        </w:tc>
        <w:tc>
          <w:tcPr>
            <w:tcW w:w="1650" w:type="dxa"/>
            <w:noWrap/>
            <w:hideMark/>
          </w:tcPr>
          <w:p w14:paraId="54966469" w14:textId="77777777" w:rsidR="009F01D8" w:rsidRPr="002B28C3" w:rsidRDefault="009F01D8" w:rsidP="009F01D8">
            <w:pPr>
              <w:rPr>
                <w:rFonts w:asciiTheme="majorBidi" w:hAnsiTheme="majorBidi" w:cstheme="majorBidi"/>
              </w:rPr>
            </w:pPr>
            <w:r w:rsidRPr="002B28C3">
              <w:rPr>
                <w:rFonts w:asciiTheme="majorBidi" w:hAnsiTheme="majorBidi" w:cstheme="majorBidi"/>
              </w:rPr>
              <w:t>175174</w:t>
            </w:r>
          </w:p>
        </w:tc>
      </w:tr>
      <w:tr w:rsidR="009F01D8" w:rsidRPr="00F63CD5" w14:paraId="680EA0C1" w14:textId="77777777" w:rsidTr="009F01D8">
        <w:trPr>
          <w:trHeight w:val="279"/>
        </w:trPr>
        <w:tc>
          <w:tcPr>
            <w:tcW w:w="1070" w:type="dxa"/>
            <w:noWrap/>
            <w:hideMark/>
          </w:tcPr>
          <w:p w14:paraId="3FC3A3EB" w14:textId="77777777" w:rsidR="009F01D8" w:rsidRPr="002B28C3" w:rsidRDefault="009F01D8" w:rsidP="009F01D8">
            <w:pPr>
              <w:rPr>
                <w:rFonts w:asciiTheme="majorBidi" w:hAnsiTheme="majorBidi" w:cstheme="majorBidi"/>
              </w:rPr>
            </w:pPr>
            <w:r w:rsidRPr="002B28C3">
              <w:rPr>
                <w:rFonts w:asciiTheme="majorBidi" w:hAnsiTheme="majorBidi" w:cstheme="majorBidi"/>
              </w:rPr>
              <w:t>19</w:t>
            </w:r>
          </w:p>
        </w:tc>
        <w:tc>
          <w:tcPr>
            <w:tcW w:w="6296" w:type="dxa"/>
            <w:noWrap/>
            <w:hideMark/>
          </w:tcPr>
          <w:p w14:paraId="4F7449EF" w14:textId="77777777" w:rsidR="009F01D8" w:rsidRPr="002B28C3" w:rsidRDefault="009F01D8" w:rsidP="009F01D8">
            <w:pPr>
              <w:rPr>
                <w:rFonts w:asciiTheme="majorBidi" w:hAnsiTheme="majorBidi" w:cstheme="majorBidi"/>
              </w:rPr>
            </w:pPr>
            <w:r w:rsidRPr="002B28C3">
              <w:rPr>
                <w:rFonts w:asciiTheme="majorBidi" w:hAnsiTheme="majorBidi" w:cstheme="majorBidi"/>
              </w:rPr>
              <w:t>5 and 6 and 7 and 18</w:t>
            </w:r>
          </w:p>
        </w:tc>
        <w:tc>
          <w:tcPr>
            <w:tcW w:w="1650" w:type="dxa"/>
            <w:noWrap/>
            <w:hideMark/>
          </w:tcPr>
          <w:p w14:paraId="3B452E51" w14:textId="77777777" w:rsidR="009F01D8" w:rsidRPr="002B28C3" w:rsidRDefault="009F01D8" w:rsidP="009F01D8">
            <w:pPr>
              <w:rPr>
                <w:rFonts w:asciiTheme="majorBidi" w:hAnsiTheme="majorBidi" w:cstheme="majorBidi"/>
              </w:rPr>
            </w:pPr>
            <w:r w:rsidRPr="002B28C3">
              <w:rPr>
                <w:rFonts w:asciiTheme="majorBidi" w:hAnsiTheme="majorBidi" w:cstheme="majorBidi"/>
              </w:rPr>
              <w:t>413</w:t>
            </w:r>
          </w:p>
        </w:tc>
      </w:tr>
      <w:tr w:rsidR="009F01D8" w:rsidRPr="00F63CD5" w14:paraId="03C53913" w14:textId="77777777" w:rsidTr="009F01D8">
        <w:trPr>
          <w:trHeight w:val="279"/>
        </w:trPr>
        <w:tc>
          <w:tcPr>
            <w:tcW w:w="1070" w:type="dxa"/>
            <w:noWrap/>
            <w:hideMark/>
          </w:tcPr>
          <w:p w14:paraId="143A0952" w14:textId="77777777" w:rsidR="009F01D8" w:rsidRPr="002B28C3" w:rsidRDefault="009F01D8" w:rsidP="009F01D8">
            <w:pPr>
              <w:rPr>
                <w:rFonts w:asciiTheme="majorBidi" w:hAnsiTheme="majorBidi" w:cstheme="majorBidi"/>
              </w:rPr>
            </w:pPr>
            <w:r w:rsidRPr="002B28C3">
              <w:rPr>
                <w:rFonts w:asciiTheme="majorBidi" w:hAnsiTheme="majorBidi" w:cstheme="majorBidi"/>
              </w:rPr>
              <w:t>20</w:t>
            </w:r>
          </w:p>
        </w:tc>
        <w:tc>
          <w:tcPr>
            <w:tcW w:w="6296" w:type="dxa"/>
            <w:noWrap/>
            <w:hideMark/>
          </w:tcPr>
          <w:p w14:paraId="11845646"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19 to </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language</w:t>
            </w:r>
          </w:p>
        </w:tc>
        <w:tc>
          <w:tcPr>
            <w:tcW w:w="1650" w:type="dxa"/>
            <w:noWrap/>
            <w:hideMark/>
          </w:tcPr>
          <w:p w14:paraId="1CEE79D9" w14:textId="77777777" w:rsidR="009F01D8" w:rsidRPr="002B28C3" w:rsidRDefault="009F01D8" w:rsidP="009F01D8">
            <w:pPr>
              <w:rPr>
                <w:rFonts w:asciiTheme="majorBidi" w:hAnsiTheme="majorBidi" w:cstheme="majorBidi"/>
              </w:rPr>
            </w:pPr>
            <w:r w:rsidRPr="002B28C3">
              <w:rPr>
                <w:rFonts w:asciiTheme="majorBidi" w:hAnsiTheme="majorBidi" w:cstheme="majorBidi"/>
              </w:rPr>
              <w:t>400</w:t>
            </w:r>
          </w:p>
        </w:tc>
      </w:tr>
      <w:tr w:rsidR="009F01D8" w:rsidRPr="00F63CD5" w14:paraId="538D2A20" w14:textId="77777777" w:rsidTr="009F01D8">
        <w:trPr>
          <w:trHeight w:val="279"/>
        </w:trPr>
        <w:tc>
          <w:tcPr>
            <w:tcW w:w="1070" w:type="dxa"/>
            <w:noWrap/>
            <w:hideMark/>
          </w:tcPr>
          <w:p w14:paraId="402B4D11" w14:textId="77777777" w:rsidR="009F01D8" w:rsidRPr="002B28C3" w:rsidRDefault="009F01D8" w:rsidP="009F01D8">
            <w:pPr>
              <w:rPr>
                <w:rFonts w:asciiTheme="majorBidi" w:hAnsiTheme="majorBidi" w:cstheme="majorBidi"/>
              </w:rPr>
            </w:pPr>
            <w:r w:rsidRPr="002B28C3">
              <w:rPr>
                <w:rFonts w:asciiTheme="majorBidi" w:hAnsiTheme="majorBidi" w:cstheme="majorBidi"/>
              </w:rPr>
              <w:t>21</w:t>
            </w:r>
          </w:p>
        </w:tc>
        <w:tc>
          <w:tcPr>
            <w:tcW w:w="6296" w:type="dxa"/>
            <w:noWrap/>
            <w:hideMark/>
          </w:tcPr>
          <w:p w14:paraId="583863BC"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20 to </w:t>
            </w:r>
            <w:proofErr w:type="spellStart"/>
            <w:r w:rsidRPr="002B28C3">
              <w:rPr>
                <w:rFonts w:asciiTheme="majorBidi" w:hAnsiTheme="majorBidi" w:cstheme="majorBidi"/>
              </w:rPr>
              <w:t>yr</w:t>
            </w:r>
            <w:proofErr w:type="spellEnd"/>
            <w:r w:rsidRPr="002B28C3">
              <w:rPr>
                <w:rFonts w:asciiTheme="majorBidi" w:hAnsiTheme="majorBidi" w:cstheme="majorBidi"/>
              </w:rPr>
              <w:t>="2010 -Current"</w:t>
            </w:r>
          </w:p>
        </w:tc>
        <w:tc>
          <w:tcPr>
            <w:tcW w:w="1650" w:type="dxa"/>
            <w:noWrap/>
            <w:hideMark/>
          </w:tcPr>
          <w:p w14:paraId="065705FB" w14:textId="77777777" w:rsidR="009F01D8" w:rsidRPr="002B28C3" w:rsidRDefault="009F01D8" w:rsidP="009F01D8">
            <w:pPr>
              <w:rPr>
                <w:rFonts w:asciiTheme="majorBidi" w:hAnsiTheme="majorBidi" w:cstheme="majorBidi"/>
              </w:rPr>
            </w:pPr>
            <w:r w:rsidRPr="002B28C3">
              <w:rPr>
                <w:rFonts w:asciiTheme="majorBidi" w:hAnsiTheme="majorBidi" w:cstheme="majorBidi"/>
              </w:rPr>
              <w:t>386</w:t>
            </w:r>
          </w:p>
        </w:tc>
      </w:tr>
      <w:tr w:rsidR="009F01D8" w:rsidRPr="00F63CD5" w14:paraId="6DB6D95D" w14:textId="77777777" w:rsidTr="009F01D8">
        <w:trPr>
          <w:trHeight w:val="279"/>
        </w:trPr>
        <w:tc>
          <w:tcPr>
            <w:tcW w:w="1070" w:type="dxa"/>
            <w:noWrap/>
            <w:hideMark/>
          </w:tcPr>
          <w:p w14:paraId="6995F373" w14:textId="77777777" w:rsidR="009F01D8" w:rsidRPr="002B28C3" w:rsidRDefault="009F01D8" w:rsidP="009F01D8">
            <w:pPr>
              <w:rPr>
                <w:rFonts w:asciiTheme="majorBidi" w:hAnsiTheme="majorBidi" w:cstheme="majorBidi"/>
              </w:rPr>
            </w:pPr>
            <w:r w:rsidRPr="002B28C3">
              <w:rPr>
                <w:rFonts w:asciiTheme="majorBidi" w:hAnsiTheme="majorBidi" w:cstheme="majorBidi"/>
              </w:rPr>
              <w:t>22</w:t>
            </w:r>
          </w:p>
        </w:tc>
        <w:tc>
          <w:tcPr>
            <w:tcW w:w="6296" w:type="dxa"/>
            <w:noWrap/>
            <w:hideMark/>
          </w:tcPr>
          <w:p w14:paraId="38A97D36" w14:textId="77777777" w:rsidR="009F01D8" w:rsidRPr="002B28C3" w:rsidRDefault="009F01D8" w:rsidP="009F01D8">
            <w:pPr>
              <w:rPr>
                <w:rFonts w:asciiTheme="majorBidi" w:hAnsiTheme="majorBidi" w:cstheme="majorBidi"/>
              </w:rPr>
            </w:pPr>
            <w:r w:rsidRPr="002B28C3">
              <w:rPr>
                <w:rFonts w:asciiTheme="majorBidi" w:hAnsiTheme="majorBidi" w:cstheme="majorBidi"/>
              </w:rPr>
              <w:t>United Kingdom/</w:t>
            </w:r>
          </w:p>
        </w:tc>
        <w:tc>
          <w:tcPr>
            <w:tcW w:w="1650" w:type="dxa"/>
            <w:noWrap/>
            <w:hideMark/>
          </w:tcPr>
          <w:p w14:paraId="593552D0" w14:textId="77777777" w:rsidR="009F01D8" w:rsidRPr="002B28C3" w:rsidRDefault="009F01D8" w:rsidP="009F01D8">
            <w:pPr>
              <w:rPr>
                <w:rFonts w:asciiTheme="majorBidi" w:hAnsiTheme="majorBidi" w:cstheme="majorBidi"/>
              </w:rPr>
            </w:pPr>
            <w:r w:rsidRPr="002B28C3">
              <w:rPr>
                <w:rFonts w:asciiTheme="majorBidi" w:hAnsiTheme="majorBidi" w:cstheme="majorBidi"/>
              </w:rPr>
              <w:t>391825</w:t>
            </w:r>
          </w:p>
        </w:tc>
      </w:tr>
      <w:tr w:rsidR="009F01D8" w:rsidRPr="00F63CD5" w14:paraId="683C60E7" w14:textId="77777777" w:rsidTr="009F01D8">
        <w:trPr>
          <w:trHeight w:val="279"/>
        </w:trPr>
        <w:tc>
          <w:tcPr>
            <w:tcW w:w="1070" w:type="dxa"/>
            <w:noWrap/>
            <w:hideMark/>
          </w:tcPr>
          <w:p w14:paraId="1ABDC2E4"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c>
          <w:tcPr>
            <w:tcW w:w="6296" w:type="dxa"/>
            <w:noWrap/>
            <w:hideMark/>
          </w:tcPr>
          <w:p w14:paraId="7CEA734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not ((published or publication* or </w:t>
            </w:r>
            <w:proofErr w:type="spellStart"/>
            <w:r w:rsidRPr="002B28C3">
              <w:rPr>
                <w:rFonts w:asciiTheme="majorBidi" w:hAnsiTheme="majorBidi" w:cstheme="majorBidi"/>
              </w:rPr>
              <w:t>translat</w:t>
            </w:r>
            <w:proofErr w:type="spellEnd"/>
            <w:r w:rsidRPr="002B28C3">
              <w:rPr>
                <w:rFonts w:asciiTheme="majorBidi" w:hAnsiTheme="majorBidi" w:cstheme="majorBidi"/>
              </w:rPr>
              <w:t xml:space="preserve">* or written or language* or speak* or literature or citation*) adj5 </w:t>
            </w:r>
            <w:proofErr w:type="spellStart"/>
            <w:r w:rsidRPr="002B28C3">
              <w:rPr>
                <w:rFonts w:asciiTheme="majorBidi" w:hAnsiTheme="majorBidi" w:cstheme="majorBidi"/>
              </w:rPr>
              <w:t>english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w:t>
            </w:r>
            <w:proofErr w:type="spellEnd"/>
            <w:r w:rsidRPr="002B28C3">
              <w:rPr>
                <w:rFonts w:asciiTheme="majorBidi" w:hAnsiTheme="majorBidi" w:cstheme="majorBidi"/>
              </w:rPr>
              <w:t>.</w:t>
            </w:r>
          </w:p>
        </w:tc>
        <w:tc>
          <w:tcPr>
            <w:tcW w:w="1650" w:type="dxa"/>
            <w:noWrap/>
            <w:hideMark/>
          </w:tcPr>
          <w:p w14:paraId="49554B73" w14:textId="77777777" w:rsidR="009F01D8" w:rsidRPr="002B28C3" w:rsidRDefault="009F01D8" w:rsidP="009F01D8">
            <w:pPr>
              <w:rPr>
                <w:rFonts w:asciiTheme="majorBidi" w:hAnsiTheme="majorBidi" w:cstheme="majorBidi"/>
              </w:rPr>
            </w:pPr>
            <w:r w:rsidRPr="002B28C3">
              <w:rPr>
                <w:rFonts w:asciiTheme="majorBidi" w:hAnsiTheme="majorBidi" w:cstheme="majorBidi"/>
              </w:rPr>
              <w:t>48212</w:t>
            </w:r>
          </w:p>
        </w:tc>
      </w:tr>
      <w:tr w:rsidR="009F01D8" w:rsidRPr="00F63CD5" w14:paraId="716DCE13" w14:textId="77777777" w:rsidTr="009F01D8">
        <w:trPr>
          <w:trHeight w:val="279"/>
        </w:trPr>
        <w:tc>
          <w:tcPr>
            <w:tcW w:w="1070" w:type="dxa"/>
            <w:noWrap/>
            <w:hideMark/>
          </w:tcPr>
          <w:p w14:paraId="6F5E6DDC" w14:textId="77777777" w:rsidR="009F01D8" w:rsidRPr="002B28C3" w:rsidRDefault="009F01D8" w:rsidP="009F01D8">
            <w:pPr>
              <w:rPr>
                <w:rFonts w:asciiTheme="majorBidi" w:hAnsiTheme="majorBidi" w:cstheme="majorBidi"/>
              </w:rPr>
            </w:pPr>
            <w:r w:rsidRPr="002B28C3">
              <w:rPr>
                <w:rFonts w:asciiTheme="majorBidi" w:hAnsiTheme="majorBidi" w:cstheme="majorBidi"/>
              </w:rPr>
              <w:t>24</w:t>
            </w:r>
          </w:p>
        </w:tc>
        <w:tc>
          <w:tcPr>
            <w:tcW w:w="6296" w:type="dxa"/>
            <w:noWrap/>
            <w:hideMark/>
          </w:tcPr>
          <w:p w14:paraId="14A97900"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britain</w:t>
            </w:r>
            <w:proofErr w:type="spellEnd"/>
            <w:r w:rsidRPr="002B28C3">
              <w:rPr>
                <w:rFonts w:asciiTheme="majorBidi" w:hAnsiTheme="majorBidi" w:cstheme="majorBidi"/>
              </w:rPr>
              <w:t>* or (</w:t>
            </w:r>
            <w:proofErr w:type="spellStart"/>
            <w:r w:rsidRPr="002B28C3">
              <w:rPr>
                <w:rFonts w:asciiTheme="majorBidi" w:hAnsiTheme="majorBidi" w:cstheme="majorBidi"/>
              </w:rPr>
              <w:t>british</w:t>
            </w:r>
            <w:proofErr w:type="spellEnd"/>
            <w:r w:rsidRPr="002B28C3">
              <w:rPr>
                <w:rFonts w:asciiTheme="majorBidi" w:hAnsiTheme="majorBidi" w:cstheme="majorBidi"/>
              </w:rPr>
              <w:t>* not "</w:t>
            </w:r>
            <w:proofErr w:type="spellStart"/>
            <w:r w:rsidRPr="002B28C3">
              <w:rPr>
                <w:rFonts w:asciiTheme="majorBidi" w:hAnsiTheme="majorBidi" w:cstheme="majorBidi"/>
              </w:rPr>
              <w:t>british</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columbia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or united kingdom* or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ireland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irish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scottish</w:t>
            </w:r>
            <w:proofErr w:type="spellEnd"/>
            <w:r w:rsidRPr="002B28C3">
              <w:rPr>
                <w:rFonts w:asciiTheme="majorBidi" w:hAnsiTheme="majorBidi" w:cstheme="majorBidi"/>
              </w:rPr>
              <w:t>* or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welsh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,ab,jx,in,ad</w:t>
            </w:r>
            <w:proofErr w:type="spellEnd"/>
            <w:r w:rsidRPr="002B28C3">
              <w:rPr>
                <w:rFonts w:asciiTheme="majorBidi" w:hAnsiTheme="majorBidi" w:cstheme="majorBidi"/>
              </w:rPr>
              <w:t>.</w:t>
            </w:r>
          </w:p>
        </w:tc>
        <w:tc>
          <w:tcPr>
            <w:tcW w:w="1650" w:type="dxa"/>
            <w:noWrap/>
            <w:hideMark/>
          </w:tcPr>
          <w:p w14:paraId="4493B404" w14:textId="77777777" w:rsidR="009F01D8" w:rsidRPr="002B28C3" w:rsidRDefault="009F01D8" w:rsidP="009F01D8">
            <w:pPr>
              <w:rPr>
                <w:rFonts w:asciiTheme="majorBidi" w:hAnsiTheme="majorBidi" w:cstheme="majorBidi"/>
              </w:rPr>
            </w:pPr>
            <w:r w:rsidRPr="002B28C3">
              <w:rPr>
                <w:rFonts w:asciiTheme="majorBidi" w:hAnsiTheme="majorBidi" w:cstheme="majorBidi"/>
              </w:rPr>
              <w:t>3336942</w:t>
            </w:r>
          </w:p>
        </w:tc>
      </w:tr>
      <w:tr w:rsidR="009F01D8" w:rsidRPr="00F63CD5" w14:paraId="427F2F6F" w14:textId="77777777" w:rsidTr="009F01D8">
        <w:trPr>
          <w:trHeight w:val="279"/>
        </w:trPr>
        <w:tc>
          <w:tcPr>
            <w:tcW w:w="1070" w:type="dxa"/>
            <w:noWrap/>
            <w:hideMark/>
          </w:tcPr>
          <w:p w14:paraId="1C8799D4"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c>
          <w:tcPr>
            <w:tcW w:w="6296" w:type="dxa"/>
            <w:noWrap/>
            <w:hideMark/>
          </w:tcPr>
          <w:p w14:paraId="19251549" w14:textId="77777777" w:rsidR="009F01D8" w:rsidRPr="002B28C3" w:rsidRDefault="009F01D8" w:rsidP="009F01D8">
            <w:pPr>
              <w:rPr>
                <w:rFonts w:asciiTheme="majorBidi" w:hAnsiTheme="majorBidi" w:cstheme="majorBidi"/>
              </w:rPr>
            </w:pPr>
            <w:r w:rsidRPr="002B28C3">
              <w:rPr>
                <w:rFonts w:asciiTheme="majorBidi" w:hAnsiTheme="majorBidi" w:cstheme="majorBidi"/>
              </w:rPr>
              <w:t>(bath or "bath's" or ((</w:t>
            </w:r>
            <w:proofErr w:type="spellStart"/>
            <w:r w:rsidRPr="002B28C3">
              <w:rPr>
                <w:rFonts w:asciiTheme="majorBidi" w:hAnsiTheme="majorBidi" w:cstheme="majorBidi"/>
              </w:rPr>
              <w:t>birmingham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or ("</w:t>
            </w:r>
            <w:proofErr w:type="spellStart"/>
            <w:r w:rsidRPr="002B28C3">
              <w:rPr>
                <w:rFonts w:asciiTheme="majorBidi" w:hAnsiTheme="majorBidi" w:cstheme="majorBidi"/>
              </w:rPr>
              <w:t>birmingham's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carlisle</w:t>
            </w:r>
            <w:proofErr w:type="spellEnd"/>
            <w:r w:rsidRPr="002B28C3">
              <w:rPr>
                <w:rFonts w:asciiTheme="majorBidi" w:hAnsiTheme="majorBidi" w:cstheme="majorBidi"/>
              </w:rPr>
              <w:t>* or "</w:t>
            </w:r>
            <w:proofErr w:type="spellStart"/>
            <w:r w:rsidRPr="002B28C3">
              <w:rPr>
                <w:rFonts w:asciiTheme="majorBidi" w:hAnsiTheme="majorBidi" w:cstheme="majorBidi"/>
              </w:rPr>
              <w:t>carlisle's</w:t>
            </w:r>
            <w:proofErr w:type="spellEnd"/>
            <w:r w:rsidRPr="002B28C3">
              <w:rPr>
                <w:rFonts w:asciiTheme="majorBidi" w:hAnsiTheme="majorBidi" w:cstheme="majorBidi"/>
              </w:rPr>
              <w:t>" or (</w:t>
            </w:r>
            <w:proofErr w:type="spellStart"/>
            <w:r w:rsidRPr="002B28C3">
              <w:rPr>
                <w:rFonts w:asciiTheme="majorBidi" w:hAnsiTheme="majorBidi" w:cstheme="majorBidi"/>
              </w:rPr>
              <w:t>cambridge</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cambridge's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xml:space="preserve">*)) or (canterbury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("canterbury's"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coventry's</w:t>
            </w:r>
            <w:proofErr w:type="spellEnd"/>
            <w:r w:rsidRPr="002B28C3">
              <w:rPr>
                <w:rFonts w:asciiTheme="majorBidi" w:hAnsiTheme="majorBidi" w:cstheme="majorBidi"/>
              </w:rPr>
              <w:t>" or derby or "derby's" or (</w:t>
            </w:r>
            <w:proofErr w:type="spellStart"/>
            <w:r w:rsidRPr="002B28C3">
              <w:rPr>
                <w:rFonts w:asciiTheme="majorBidi" w:hAnsiTheme="majorBidi" w:cstheme="majorBidi"/>
              </w:rPr>
              <w:t>durham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or ("</w:t>
            </w:r>
            <w:proofErr w:type="spellStart"/>
            <w:r w:rsidRPr="002B28C3">
              <w:rPr>
                <w:rFonts w:asciiTheme="majorBidi" w:hAnsiTheme="majorBidi" w:cstheme="majorBidi"/>
              </w:rPr>
              <w:t>durham's</w:t>
            </w:r>
            <w:proofErr w:type="spellEnd"/>
            <w:r w:rsidRPr="002B28C3">
              <w:rPr>
                <w:rFonts w:asciiTheme="majorBidi" w:hAnsiTheme="majorBidi" w:cstheme="majorBidi"/>
              </w:rPr>
              <w:t>"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hereford's</w:t>
            </w:r>
            <w:proofErr w:type="spellEnd"/>
            <w:r w:rsidRPr="002B28C3">
              <w:rPr>
                <w:rFonts w:asciiTheme="majorBidi" w:hAnsiTheme="majorBidi" w:cstheme="majorBidi"/>
              </w:rPr>
              <w:t xml:space="preserve">" or hull or "hull's" or </w:t>
            </w:r>
            <w:proofErr w:type="spellStart"/>
            <w:r w:rsidRPr="002B28C3">
              <w:rPr>
                <w:rFonts w:asciiTheme="majorBidi" w:hAnsiTheme="majorBidi" w:cstheme="majorBidi"/>
              </w:rPr>
              <w:t>lancaster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lancaster's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leeds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leicester's</w:t>
            </w:r>
            <w:proofErr w:type="spellEnd"/>
            <w:r w:rsidRPr="002B28C3">
              <w:rPr>
                <w:rFonts w:asciiTheme="majorBidi" w:hAnsiTheme="majorBidi" w:cstheme="majorBidi"/>
              </w:rPr>
              <w:t>" or (</w:t>
            </w:r>
            <w:proofErr w:type="spellStart"/>
            <w:r w:rsidRPr="002B28C3">
              <w:rPr>
                <w:rFonts w:asciiTheme="majorBidi" w:hAnsiTheme="majorBidi" w:cstheme="majorBidi"/>
              </w:rPr>
              <w:t>lincoln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lincoln's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liverpool</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liverpool's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london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or ("</w:t>
            </w:r>
            <w:proofErr w:type="spellStart"/>
            <w:r w:rsidRPr="002B28C3">
              <w:rPr>
                <w:rFonts w:asciiTheme="majorBidi" w:hAnsiTheme="majorBidi" w:cstheme="majorBidi"/>
              </w:rPr>
              <w:t>london's</w:t>
            </w:r>
            <w:proofErr w:type="spellEnd"/>
            <w:r w:rsidRPr="002B28C3">
              <w:rPr>
                <w:rFonts w:asciiTheme="majorBidi" w:hAnsiTheme="majorBidi" w:cstheme="majorBidi"/>
              </w:rPr>
              <w:t>"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manchester's</w:t>
            </w:r>
            <w:proofErr w:type="spellEnd"/>
            <w:r w:rsidRPr="002B28C3">
              <w:rPr>
                <w:rFonts w:asciiTheme="majorBidi" w:hAnsiTheme="majorBidi" w:cstheme="majorBidi"/>
              </w:rPr>
              <w:t>" or (</w:t>
            </w:r>
            <w:proofErr w:type="spellStart"/>
            <w:r w:rsidRPr="002B28C3">
              <w:rPr>
                <w:rFonts w:asciiTheme="majorBidi" w:hAnsiTheme="majorBidi" w:cstheme="majorBidi"/>
              </w:rPr>
              <w:t>newcastle</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newcastle's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nottingham's</w:t>
            </w:r>
            <w:proofErr w:type="spellEnd"/>
            <w:r w:rsidRPr="002B28C3">
              <w:rPr>
                <w:rFonts w:asciiTheme="majorBidi" w:hAnsiTheme="majorBidi" w:cstheme="majorBidi"/>
              </w:rPr>
              <w:t xml:space="preserve">" or oxford or "oxford's" or </w:t>
            </w:r>
            <w:proofErr w:type="spellStart"/>
            <w:r w:rsidRPr="002B28C3">
              <w:rPr>
                <w:rFonts w:asciiTheme="majorBidi" w:hAnsiTheme="majorBidi" w:cstheme="majorBidi"/>
              </w:rPr>
              <w:t>peterborough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peterborough's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albans</w:t>
            </w:r>
            <w:proofErr w:type="spellEnd"/>
            <w:r w:rsidRPr="002B28C3">
              <w:rPr>
                <w:rFonts w:asciiTheme="majorBidi" w:hAnsiTheme="majorBidi" w:cstheme="majorBidi"/>
              </w:rPr>
              <w:t xml:space="preserve"> or stoke or "</w:t>
            </w:r>
            <w:proofErr w:type="spellStart"/>
            <w:r w:rsidRPr="002B28C3">
              <w:rPr>
                <w:rFonts w:asciiTheme="majorBidi" w:hAnsiTheme="majorBidi" w:cstheme="majorBidi"/>
              </w:rPr>
              <w:t>stoke's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wakefield's</w:t>
            </w:r>
            <w:proofErr w:type="spellEnd"/>
            <w:r w:rsidRPr="002B28C3">
              <w:rPr>
                <w:rFonts w:asciiTheme="majorBidi" w:hAnsiTheme="majorBidi" w:cstheme="majorBidi"/>
              </w:rPr>
              <w:t xml:space="preserve">" or wells or </w:t>
            </w:r>
            <w:proofErr w:type="spellStart"/>
            <w:r w:rsidRPr="002B28C3">
              <w:rPr>
                <w:rFonts w:asciiTheme="majorBidi" w:hAnsiTheme="majorBidi" w:cstheme="majorBidi"/>
              </w:rPr>
              <w:t>westminster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westminster's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wolverhampton's</w:t>
            </w:r>
            <w:proofErr w:type="spellEnd"/>
            <w:r w:rsidRPr="002B28C3">
              <w:rPr>
                <w:rFonts w:asciiTheme="majorBidi" w:hAnsiTheme="majorBidi" w:cstheme="majorBidi"/>
              </w:rPr>
              <w:t>" or (</w:t>
            </w:r>
            <w:proofErr w:type="spellStart"/>
            <w:r w:rsidRPr="002B28C3">
              <w:rPr>
                <w:rFonts w:asciiTheme="majorBidi" w:hAnsiTheme="majorBidi" w:cstheme="majorBidi"/>
              </w:rPr>
              <w:t>worcester</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worcester's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or ("</w:t>
            </w:r>
            <w:proofErr w:type="spellStart"/>
            <w:r w:rsidRPr="002B28C3">
              <w:rPr>
                <w:rFonts w:asciiTheme="majorBidi" w:hAnsiTheme="majorBidi" w:cstheme="majorBidi"/>
              </w:rPr>
              <w:t>york's</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w:t>
            </w:r>
            <w:proofErr w:type="spellStart"/>
            <w:r w:rsidRPr="002B28C3">
              <w:rPr>
                <w:rFonts w:asciiTheme="majorBidi" w:hAnsiTheme="majorBidi" w:cstheme="majorBidi"/>
              </w:rPr>
              <w:t>ti,ab,in,ad</w:t>
            </w:r>
            <w:proofErr w:type="spellEnd"/>
            <w:r w:rsidRPr="002B28C3">
              <w:rPr>
                <w:rFonts w:asciiTheme="majorBidi" w:hAnsiTheme="majorBidi" w:cstheme="majorBidi"/>
              </w:rPr>
              <w:t>.</w:t>
            </w:r>
          </w:p>
        </w:tc>
        <w:tc>
          <w:tcPr>
            <w:tcW w:w="1650" w:type="dxa"/>
            <w:noWrap/>
            <w:hideMark/>
          </w:tcPr>
          <w:p w14:paraId="3EAE5EFF" w14:textId="77777777" w:rsidR="009F01D8" w:rsidRPr="002B28C3" w:rsidRDefault="009F01D8" w:rsidP="009F01D8">
            <w:pPr>
              <w:rPr>
                <w:rFonts w:asciiTheme="majorBidi" w:hAnsiTheme="majorBidi" w:cstheme="majorBidi"/>
              </w:rPr>
            </w:pPr>
            <w:r w:rsidRPr="002B28C3">
              <w:rPr>
                <w:rFonts w:asciiTheme="majorBidi" w:hAnsiTheme="majorBidi" w:cstheme="majorBidi"/>
              </w:rPr>
              <w:t>2582812</w:t>
            </w:r>
          </w:p>
        </w:tc>
      </w:tr>
      <w:tr w:rsidR="009F01D8" w:rsidRPr="00F63CD5" w14:paraId="264BC99E" w14:textId="77777777" w:rsidTr="009F01D8">
        <w:trPr>
          <w:trHeight w:val="279"/>
        </w:trPr>
        <w:tc>
          <w:tcPr>
            <w:tcW w:w="1070" w:type="dxa"/>
            <w:noWrap/>
            <w:hideMark/>
          </w:tcPr>
          <w:p w14:paraId="244B8427" w14:textId="77777777" w:rsidR="009F01D8" w:rsidRPr="002B28C3" w:rsidRDefault="009F01D8" w:rsidP="009F01D8">
            <w:pPr>
              <w:rPr>
                <w:rFonts w:asciiTheme="majorBidi" w:hAnsiTheme="majorBidi" w:cstheme="majorBidi"/>
              </w:rPr>
            </w:pPr>
            <w:r w:rsidRPr="002B28C3">
              <w:rPr>
                <w:rFonts w:asciiTheme="majorBidi" w:hAnsiTheme="majorBidi" w:cstheme="majorBidi"/>
              </w:rPr>
              <w:t>26</w:t>
            </w:r>
          </w:p>
        </w:tc>
        <w:tc>
          <w:tcPr>
            <w:tcW w:w="6296" w:type="dxa"/>
            <w:noWrap/>
            <w:hideMark/>
          </w:tcPr>
          <w:p w14:paraId="001982F2"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bangor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bangor's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davids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,ab,in,ad</w:t>
            </w:r>
            <w:proofErr w:type="spellEnd"/>
            <w:r w:rsidRPr="002B28C3">
              <w:rPr>
                <w:rFonts w:asciiTheme="majorBidi" w:hAnsiTheme="majorBidi" w:cstheme="majorBidi"/>
              </w:rPr>
              <w:t>.</w:t>
            </w:r>
          </w:p>
        </w:tc>
        <w:tc>
          <w:tcPr>
            <w:tcW w:w="1650" w:type="dxa"/>
            <w:noWrap/>
            <w:hideMark/>
          </w:tcPr>
          <w:p w14:paraId="6DC128EC" w14:textId="77777777" w:rsidR="009F01D8" w:rsidRPr="002B28C3" w:rsidRDefault="009F01D8" w:rsidP="009F01D8">
            <w:pPr>
              <w:rPr>
                <w:rFonts w:asciiTheme="majorBidi" w:hAnsiTheme="majorBidi" w:cstheme="majorBidi"/>
              </w:rPr>
            </w:pPr>
            <w:r w:rsidRPr="002B28C3">
              <w:rPr>
                <w:rFonts w:asciiTheme="majorBidi" w:hAnsiTheme="majorBidi" w:cstheme="majorBidi"/>
              </w:rPr>
              <w:t>105817</w:t>
            </w:r>
          </w:p>
        </w:tc>
      </w:tr>
      <w:tr w:rsidR="009F01D8" w:rsidRPr="00F63CD5" w14:paraId="35DDEB43" w14:textId="77777777" w:rsidTr="009F01D8">
        <w:trPr>
          <w:trHeight w:val="279"/>
        </w:trPr>
        <w:tc>
          <w:tcPr>
            <w:tcW w:w="1070" w:type="dxa"/>
            <w:noWrap/>
            <w:hideMark/>
          </w:tcPr>
          <w:p w14:paraId="44827875"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27</w:t>
            </w:r>
          </w:p>
        </w:tc>
        <w:tc>
          <w:tcPr>
            <w:tcW w:w="6296" w:type="dxa"/>
            <w:noWrap/>
            <w:hideMark/>
          </w:tcPr>
          <w:p w14:paraId="5C53F3F9"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aberdeen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aberdeen's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glasgow's</w:t>
            </w:r>
            <w:proofErr w:type="spellEnd"/>
            <w:r w:rsidRPr="002B28C3">
              <w:rPr>
                <w:rFonts w:asciiTheme="majorBidi" w:hAnsiTheme="majorBidi" w:cstheme="majorBidi"/>
              </w:rPr>
              <w:t>" or inverness or (</w:t>
            </w:r>
            <w:proofErr w:type="spellStart"/>
            <w:r w:rsidRPr="002B28C3">
              <w:rPr>
                <w:rFonts w:asciiTheme="majorBidi" w:hAnsiTheme="majorBidi" w:cstheme="majorBidi"/>
              </w:rPr>
              <w:t>perth</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or ("</w:t>
            </w:r>
            <w:proofErr w:type="spellStart"/>
            <w:r w:rsidRPr="002B28C3">
              <w:rPr>
                <w:rFonts w:asciiTheme="majorBidi" w:hAnsiTheme="majorBidi" w:cstheme="majorBidi"/>
              </w:rPr>
              <w:t>perth's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,ab,in,ad</w:t>
            </w:r>
            <w:proofErr w:type="spellEnd"/>
            <w:r w:rsidRPr="002B28C3">
              <w:rPr>
                <w:rFonts w:asciiTheme="majorBidi" w:hAnsiTheme="majorBidi" w:cstheme="majorBidi"/>
              </w:rPr>
              <w:t>.</w:t>
            </w:r>
          </w:p>
        </w:tc>
        <w:tc>
          <w:tcPr>
            <w:tcW w:w="1650" w:type="dxa"/>
            <w:noWrap/>
            <w:hideMark/>
          </w:tcPr>
          <w:p w14:paraId="1BC37EA3" w14:textId="77777777" w:rsidR="009F01D8" w:rsidRPr="002B28C3" w:rsidRDefault="009F01D8" w:rsidP="009F01D8">
            <w:pPr>
              <w:rPr>
                <w:rFonts w:asciiTheme="majorBidi" w:hAnsiTheme="majorBidi" w:cstheme="majorBidi"/>
              </w:rPr>
            </w:pPr>
            <w:r w:rsidRPr="002B28C3">
              <w:rPr>
                <w:rFonts w:asciiTheme="majorBidi" w:hAnsiTheme="majorBidi" w:cstheme="majorBidi"/>
              </w:rPr>
              <w:t>355745</w:t>
            </w:r>
          </w:p>
        </w:tc>
      </w:tr>
      <w:tr w:rsidR="009F01D8" w:rsidRPr="00F63CD5" w14:paraId="3D422DB6" w14:textId="77777777" w:rsidTr="009F01D8">
        <w:trPr>
          <w:trHeight w:val="279"/>
        </w:trPr>
        <w:tc>
          <w:tcPr>
            <w:tcW w:w="1070" w:type="dxa"/>
            <w:noWrap/>
            <w:hideMark/>
          </w:tcPr>
          <w:p w14:paraId="1D973E16" w14:textId="77777777" w:rsidR="009F01D8" w:rsidRPr="002B28C3" w:rsidRDefault="009F01D8" w:rsidP="009F01D8">
            <w:pPr>
              <w:rPr>
                <w:rFonts w:asciiTheme="majorBidi" w:hAnsiTheme="majorBidi" w:cstheme="majorBidi"/>
              </w:rPr>
            </w:pPr>
            <w:r w:rsidRPr="002B28C3">
              <w:rPr>
                <w:rFonts w:asciiTheme="majorBidi" w:hAnsiTheme="majorBidi" w:cstheme="majorBidi"/>
              </w:rPr>
              <w:t>28</w:t>
            </w:r>
          </w:p>
        </w:tc>
        <w:tc>
          <w:tcPr>
            <w:tcW w:w="6296" w:type="dxa"/>
            <w:noWrap/>
            <w:hideMark/>
          </w:tcPr>
          <w:p w14:paraId="4E35962D"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armagh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armagh's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londonderry's</w:t>
            </w:r>
            <w:proofErr w:type="spellEnd"/>
            <w:r w:rsidRPr="002B28C3">
              <w:rPr>
                <w:rFonts w:asciiTheme="majorBidi" w:hAnsiTheme="majorBidi" w:cstheme="majorBidi"/>
              </w:rPr>
              <w:t xml:space="preserve">" or derry or "derry's" or </w:t>
            </w:r>
            <w:proofErr w:type="spellStart"/>
            <w:r w:rsidRPr="002B28C3">
              <w:rPr>
                <w:rFonts w:asciiTheme="majorBidi" w:hAnsiTheme="majorBidi" w:cstheme="majorBidi"/>
              </w:rPr>
              <w:t>newry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newry's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,ab,in,ad</w:t>
            </w:r>
            <w:proofErr w:type="spellEnd"/>
            <w:r w:rsidRPr="002B28C3">
              <w:rPr>
                <w:rFonts w:asciiTheme="majorBidi" w:hAnsiTheme="majorBidi" w:cstheme="majorBidi"/>
              </w:rPr>
              <w:t>.</w:t>
            </w:r>
          </w:p>
        </w:tc>
        <w:tc>
          <w:tcPr>
            <w:tcW w:w="1650" w:type="dxa"/>
            <w:noWrap/>
            <w:hideMark/>
          </w:tcPr>
          <w:p w14:paraId="78CF216C" w14:textId="77777777" w:rsidR="009F01D8" w:rsidRPr="002B28C3" w:rsidRDefault="009F01D8" w:rsidP="009F01D8">
            <w:pPr>
              <w:rPr>
                <w:rFonts w:asciiTheme="majorBidi" w:hAnsiTheme="majorBidi" w:cstheme="majorBidi"/>
              </w:rPr>
            </w:pPr>
            <w:r w:rsidRPr="002B28C3">
              <w:rPr>
                <w:rFonts w:asciiTheme="majorBidi" w:hAnsiTheme="majorBidi" w:cstheme="majorBidi"/>
              </w:rPr>
              <w:t>48430</w:t>
            </w:r>
          </w:p>
        </w:tc>
      </w:tr>
      <w:tr w:rsidR="009F01D8" w:rsidRPr="00F63CD5" w14:paraId="79E9F37B" w14:textId="77777777" w:rsidTr="009F01D8">
        <w:trPr>
          <w:trHeight w:val="279"/>
        </w:trPr>
        <w:tc>
          <w:tcPr>
            <w:tcW w:w="1070" w:type="dxa"/>
            <w:noWrap/>
            <w:hideMark/>
          </w:tcPr>
          <w:p w14:paraId="2EE0742A" w14:textId="77777777" w:rsidR="009F01D8" w:rsidRPr="002B28C3" w:rsidRDefault="009F01D8" w:rsidP="009F01D8">
            <w:pPr>
              <w:rPr>
                <w:rFonts w:asciiTheme="majorBidi" w:hAnsiTheme="majorBidi" w:cstheme="majorBidi"/>
              </w:rPr>
            </w:pPr>
            <w:r w:rsidRPr="002B28C3">
              <w:rPr>
                <w:rFonts w:asciiTheme="majorBidi" w:hAnsiTheme="majorBidi" w:cstheme="majorBidi"/>
              </w:rPr>
              <w:t>29</w:t>
            </w:r>
          </w:p>
        </w:tc>
        <w:tc>
          <w:tcPr>
            <w:tcW w:w="6296" w:type="dxa"/>
            <w:noWrap/>
            <w:hideMark/>
          </w:tcPr>
          <w:p w14:paraId="73D528F3" w14:textId="77777777" w:rsidR="009F01D8" w:rsidRPr="002B28C3" w:rsidRDefault="009F01D8" w:rsidP="009F01D8">
            <w:pPr>
              <w:rPr>
                <w:rFonts w:asciiTheme="majorBidi" w:hAnsiTheme="majorBidi" w:cstheme="majorBidi"/>
              </w:rPr>
            </w:pPr>
            <w:r w:rsidRPr="002B28C3">
              <w:rPr>
                <w:rFonts w:asciiTheme="majorBidi" w:hAnsiTheme="majorBidi" w:cstheme="majorBidi"/>
              </w:rPr>
              <w:t>or/22-28</w:t>
            </w:r>
          </w:p>
        </w:tc>
        <w:tc>
          <w:tcPr>
            <w:tcW w:w="1650" w:type="dxa"/>
            <w:noWrap/>
            <w:hideMark/>
          </w:tcPr>
          <w:p w14:paraId="5390ED3C" w14:textId="77777777" w:rsidR="009F01D8" w:rsidRPr="002B28C3" w:rsidRDefault="009F01D8" w:rsidP="009F01D8">
            <w:pPr>
              <w:rPr>
                <w:rFonts w:asciiTheme="majorBidi" w:hAnsiTheme="majorBidi" w:cstheme="majorBidi"/>
              </w:rPr>
            </w:pPr>
            <w:r w:rsidRPr="002B28C3">
              <w:rPr>
                <w:rFonts w:asciiTheme="majorBidi" w:hAnsiTheme="majorBidi" w:cstheme="majorBidi"/>
              </w:rPr>
              <w:t>4048950</w:t>
            </w:r>
          </w:p>
        </w:tc>
      </w:tr>
      <w:tr w:rsidR="009F01D8" w:rsidRPr="00F63CD5" w14:paraId="71E350CB" w14:textId="77777777" w:rsidTr="009F01D8">
        <w:trPr>
          <w:trHeight w:val="279"/>
        </w:trPr>
        <w:tc>
          <w:tcPr>
            <w:tcW w:w="1070" w:type="dxa"/>
            <w:noWrap/>
            <w:hideMark/>
          </w:tcPr>
          <w:p w14:paraId="1F2EA9FA"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c>
          <w:tcPr>
            <w:tcW w:w="6296" w:type="dxa"/>
            <w:noWrap/>
            <w:hideMark/>
          </w:tcPr>
          <w:p w14:paraId="5C3B8BB3"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(exp "arctic and </w:t>
            </w:r>
            <w:proofErr w:type="spellStart"/>
            <w:r w:rsidRPr="002B28C3">
              <w:rPr>
                <w:rFonts w:asciiTheme="majorBidi" w:hAnsiTheme="majorBidi" w:cstheme="majorBidi"/>
              </w:rPr>
              <w:t>antarctic</w:t>
            </w:r>
            <w:proofErr w:type="spellEnd"/>
            <w:r w:rsidRPr="002B28C3">
              <w:rPr>
                <w:rFonts w:asciiTheme="majorBidi" w:hAnsiTheme="majorBidi" w:cstheme="majorBidi"/>
              </w:rPr>
              <w:t xml:space="preserve">"/ or exp oceanic regions/ or exp western hemisphere/ or exp </w:t>
            </w:r>
            <w:proofErr w:type="spellStart"/>
            <w:r w:rsidRPr="002B28C3">
              <w:rPr>
                <w:rFonts w:asciiTheme="majorBidi" w:hAnsiTheme="majorBidi" w:cstheme="majorBidi"/>
              </w:rPr>
              <w:t>africa</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asia</w:t>
            </w:r>
            <w:proofErr w:type="spellEnd"/>
            <w:r w:rsidRPr="002B28C3">
              <w:rPr>
                <w:rFonts w:asciiTheme="majorBidi" w:hAnsiTheme="majorBidi" w:cstheme="majorBidi"/>
              </w:rPr>
              <w:t>/) not (</w:t>
            </w:r>
            <w:proofErr w:type="gramStart"/>
            <w:r w:rsidRPr="002B28C3">
              <w:rPr>
                <w:rFonts w:asciiTheme="majorBidi" w:hAnsiTheme="majorBidi" w:cstheme="majorBidi"/>
              </w:rPr>
              <w:t>united kingdom</w:t>
            </w:r>
            <w:proofErr w:type="gramEnd"/>
            <w:r w:rsidRPr="002B28C3">
              <w:rPr>
                <w:rFonts w:asciiTheme="majorBidi" w:hAnsiTheme="majorBidi" w:cstheme="majorBidi"/>
              </w:rPr>
              <w:t xml:space="preserve">/ or </w:t>
            </w:r>
            <w:proofErr w:type="spellStart"/>
            <w:r w:rsidRPr="002B28C3">
              <w:rPr>
                <w:rFonts w:asciiTheme="majorBidi" w:hAnsiTheme="majorBidi" w:cstheme="majorBidi"/>
              </w:rPr>
              <w:t>europe</w:t>
            </w:r>
            <w:proofErr w:type="spellEnd"/>
            <w:r w:rsidRPr="002B28C3">
              <w:rPr>
                <w:rFonts w:asciiTheme="majorBidi" w:hAnsiTheme="majorBidi" w:cstheme="majorBidi"/>
              </w:rPr>
              <w:t>/)</w:t>
            </w:r>
          </w:p>
        </w:tc>
        <w:tc>
          <w:tcPr>
            <w:tcW w:w="1650" w:type="dxa"/>
            <w:noWrap/>
            <w:hideMark/>
          </w:tcPr>
          <w:p w14:paraId="736B2E7C" w14:textId="77777777" w:rsidR="009F01D8" w:rsidRPr="002B28C3" w:rsidRDefault="009F01D8" w:rsidP="009F01D8">
            <w:pPr>
              <w:rPr>
                <w:rFonts w:asciiTheme="majorBidi" w:hAnsiTheme="majorBidi" w:cstheme="majorBidi"/>
              </w:rPr>
            </w:pPr>
            <w:r w:rsidRPr="002B28C3">
              <w:rPr>
                <w:rFonts w:asciiTheme="majorBidi" w:hAnsiTheme="majorBidi" w:cstheme="majorBidi"/>
              </w:rPr>
              <w:t>3102680</w:t>
            </w:r>
          </w:p>
        </w:tc>
      </w:tr>
      <w:tr w:rsidR="009F01D8" w:rsidRPr="00F63CD5" w14:paraId="723C7958" w14:textId="77777777" w:rsidTr="009F01D8">
        <w:trPr>
          <w:trHeight w:val="279"/>
        </w:trPr>
        <w:tc>
          <w:tcPr>
            <w:tcW w:w="1070" w:type="dxa"/>
            <w:noWrap/>
            <w:hideMark/>
          </w:tcPr>
          <w:p w14:paraId="389F5E6D" w14:textId="77777777" w:rsidR="009F01D8" w:rsidRPr="002B28C3" w:rsidRDefault="009F01D8" w:rsidP="009F01D8">
            <w:pPr>
              <w:rPr>
                <w:rFonts w:asciiTheme="majorBidi" w:hAnsiTheme="majorBidi" w:cstheme="majorBidi"/>
              </w:rPr>
            </w:pPr>
            <w:r w:rsidRPr="002B28C3">
              <w:rPr>
                <w:rFonts w:asciiTheme="majorBidi" w:hAnsiTheme="majorBidi" w:cstheme="majorBidi"/>
              </w:rPr>
              <w:t>31</w:t>
            </w:r>
          </w:p>
        </w:tc>
        <w:tc>
          <w:tcPr>
            <w:tcW w:w="6296" w:type="dxa"/>
            <w:noWrap/>
            <w:hideMark/>
          </w:tcPr>
          <w:p w14:paraId="54F65DFA" w14:textId="77777777" w:rsidR="009F01D8" w:rsidRPr="002B28C3" w:rsidRDefault="009F01D8" w:rsidP="009F01D8">
            <w:pPr>
              <w:rPr>
                <w:rFonts w:asciiTheme="majorBidi" w:hAnsiTheme="majorBidi" w:cstheme="majorBidi"/>
              </w:rPr>
            </w:pPr>
            <w:r w:rsidRPr="002B28C3">
              <w:rPr>
                <w:rFonts w:asciiTheme="majorBidi" w:hAnsiTheme="majorBidi" w:cstheme="majorBidi"/>
              </w:rPr>
              <w:t>29 not 30</w:t>
            </w:r>
          </w:p>
        </w:tc>
        <w:tc>
          <w:tcPr>
            <w:tcW w:w="1650" w:type="dxa"/>
            <w:noWrap/>
            <w:hideMark/>
          </w:tcPr>
          <w:p w14:paraId="0A802C9F" w14:textId="77777777" w:rsidR="009F01D8" w:rsidRPr="002B28C3" w:rsidRDefault="009F01D8" w:rsidP="009F01D8">
            <w:pPr>
              <w:rPr>
                <w:rFonts w:asciiTheme="majorBidi" w:hAnsiTheme="majorBidi" w:cstheme="majorBidi"/>
              </w:rPr>
            </w:pPr>
            <w:r w:rsidRPr="002B28C3">
              <w:rPr>
                <w:rFonts w:asciiTheme="majorBidi" w:hAnsiTheme="majorBidi" w:cstheme="majorBidi"/>
              </w:rPr>
              <w:t>3833270</w:t>
            </w:r>
          </w:p>
        </w:tc>
      </w:tr>
      <w:tr w:rsidR="009F01D8" w:rsidRPr="00F63CD5" w14:paraId="6C46C5B8" w14:textId="77777777" w:rsidTr="009F01D8">
        <w:trPr>
          <w:trHeight w:val="279"/>
        </w:trPr>
        <w:tc>
          <w:tcPr>
            <w:tcW w:w="1070" w:type="dxa"/>
            <w:noWrap/>
            <w:hideMark/>
          </w:tcPr>
          <w:p w14:paraId="15081DE8" w14:textId="77777777" w:rsidR="009F01D8" w:rsidRPr="002B28C3" w:rsidRDefault="009F01D8" w:rsidP="009F01D8">
            <w:pPr>
              <w:rPr>
                <w:rFonts w:asciiTheme="majorBidi" w:hAnsiTheme="majorBidi" w:cstheme="majorBidi"/>
              </w:rPr>
            </w:pPr>
            <w:r w:rsidRPr="002B28C3">
              <w:rPr>
                <w:rFonts w:asciiTheme="majorBidi" w:hAnsiTheme="majorBidi" w:cstheme="majorBidi"/>
              </w:rPr>
              <w:t>32</w:t>
            </w:r>
          </w:p>
        </w:tc>
        <w:tc>
          <w:tcPr>
            <w:tcW w:w="6296" w:type="dxa"/>
            <w:noWrap/>
            <w:hideMark/>
          </w:tcPr>
          <w:p w14:paraId="73700759" w14:textId="77777777" w:rsidR="009F01D8" w:rsidRPr="002B28C3" w:rsidRDefault="009F01D8" w:rsidP="009F01D8">
            <w:pPr>
              <w:rPr>
                <w:rFonts w:asciiTheme="majorBidi" w:hAnsiTheme="majorBidi" w:cstheme="majorBidi"/>
              </w:rPr>
            </w:pPr>
            <w:r w:rsidRPr="002B28C3">
              <w:rPr>
                <w:rFonts w:asciiTheme="majorBidi" w:hAnsiTheme="majorBidi" w:cstheme="majorBidi"/>
              </w:rPr>
              <w:t>21 and 31</w:t>
            </w:r>
          </w:p>
        </w:tc>
        <w:tc>
          <w:tcPr>
            <w:tcW w:w="1650" w:type="dxa"/>
            <w:noWrap/>
            <w:hideMark/>
          </w:tcPr>
          <w:p w14:paraId="2BD6D8C5"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r>
      <w:tr w:rsidR="009F01D8" w:rsidRPr="00F63CD5" w14:paraId="281E2B2D" w14:textId="77777777" w:rsidTr="009F01D8">
        <w:trPr>
          <w:trHeight w:val="279"/>
        </w:trPr>
        <w:tc>
          <w:tcPr>
            <w:tcW w:w="1070" w:type="dxa"/>
            <w:noWrap/>
            <w:hideMark/>
          </w:tcPr>
          <w:p w14:paraId="721C20F9" w14:textId="77777777" w:rsidR="009F01D8" w:rsidRPr="002B28C3" w:rsidRDefault="009F01D8" w:rsidP="009F01D8">
            <w:pPr>
              <w:rPr>
                <w:rFonts w:asciiTheme="majorBidi" w:hAnsiTheme="majorBidi" w:cstheme="majorBidi"/>
              </w:rPr>
            </w:pPr>
            <w:r w:rsidRPr="002B28C3">
              <w:rPr>
                <w:rFonts w:asciiTheme="majorBidi" w:hAnsiTheme="majorBidi" w:cstheme="majorBidi"/>
              </w:rPr>
              <w:t>33</w:t>
            </w:r>
          </w:p>
        </w:tc>
        <w:tc>
          <w:tcPr>
            <w:tcW w:w="6296" w:type="dxa"/>
            <w:noWrap/>
            <w:hideMark/>
          </w:tcPr>
          <w:p w14:paraId="3C29D77C"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europe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austria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belgium</w:t>
            </w:r>
            <w:proofErr w:type="spellEnd"/>
            <w:r w:rsidRPr="002B28C3">
              <w:rPr>
                <w:rFonts w:asciiTheme="majorBidi" w:hAnsiTheme="majorBidi" w:cstheme="majorBidi"/>
              </w:rPr>
              <w:t>* or "</w:t>
            </w:r>
            <w:proofErr w:type="spellStart"/>
            <w:r w:rsidRPr="002B28C3">
              <w:rPr>
                <w:rFonts w:asciiTheme="majorBidi" w:hAnsiTheme="majorBidi" w:cstheme="majorBidi"/>
              </w:rPr>
              <w:t>czech</w:t>
            </w:r>
            <w:proofErr w:type="spellEnd"/>
            <w:r w:rsidRPr="002B28C3">
              <w:rPr>
                <w:rFonts w:asciiTheme="majorBidi" w:hAnsiTheme="majorBidi" w:cstheme="majorBidi"/>
              </w:rPr>
              <w:t xml:space="preserve"> republic*" or </w:t>
            </w:r>
            <w:proofErr w:type="spellStart"/>
            <w:r w:rsidRPr="002B28C3">
              <w:rPr>
                <w:rFonts w:asciiTheme="majorBidi" w:hAnsiTheme="majorBidi" w:cstheme="majorBidi"/>
              </w:rPr>
              <w:t>france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paris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germany</w:t>
            </w:r>
            <w:proofErr w:type="spellEnd"/>
            <w:r w:rsidRPr="002B28C3">
              <w:rPr>
                <w:rFonts w:asciiTheme="majorBidi" w:hAnsiTheme="majorBidi" w:cstheme="majorBidi"/>
              </w:rPr>
              <w:t xml:space="preserve">* or berlin* or </w:t>
            </w:r>
            <w:proofErr w:type="spellStart"/>
            <w:r w:rsidRPr="002B28C3">
              <w:rPr>
                <w:rFonts w:asciiTheme="majorBidi" w:hAnsiTheme="majorBidi" w:cstheme="majorBidi"/>
              </w:rPr>
              <w:t>ireland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greece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athens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hungary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italy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rome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netherlands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luxembourg</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portugal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scandinav</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denmark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estonia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finland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iceland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norway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sweden</w:t>
            </w:r>
            <w:proofErr w:type="spellEnd"/>
            <w:r w:rsidRPr="002B28C3">
              <w:rPr>
                <w:rFonts w:asciiTheme="majorBidi" w:hAnsiTheme="majorBidi" w:cstheme="majorBidi"/>
              </w:rPr>
              <w:t>* or "</w:t>
            </w:r>
            <w:proofErr w:type="spellStart"/>
            <w:r w:rsidRPr="002B28C3">
              <w:rPr>
                <w:rFonts w:asciiTheme="majorBidi" w:hAnsiTheme="majorBidi" w:cstheme="majorBidi"/>
              </w:rPr>
              <w:t>slovak</w:t>
            </w:r>
            <w:proofErr w:type="spellEnd"/>
            <w:r w:rsidRPr="002B28C3">
              <w:rPr>
                <w:rFonts w:asciiTheme="majorBidi" w:hAnsiTheme="majorBidi" w:cstheme="majorBidi"/>
              </w:rPr>
              <w:t xml:space="preserve"> republic*" or </w:t>
            </w:r>
            <w:proofErr w:type="spellStart"/>
            <w:r w:rsidRPr="002B28C3">
              <w:rPr>
                <w:rFonts w:asciiTheme="majorBidi" w:hAnsiTheme="majorBidi" w:cstheme="majorBidi"/>
              </w:rPr>
              <w:t>slovenia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spain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switzerland</w:t>
            </w:r>
            <w:proofErr w:type="spellEnd"/>
            <w:r w:rsidRPr="002B28C3">
              <w:rPr>
                <w:rFonts w:asciiTheme="majorBidi" w:hAnsiTheme="majorBidi" w:cstheme="majorBidi"/>
              </w:rPr>
              <w:t xml:space="preserve">* or turkey* or </w:t>
            </w:r>
            <w:proofErr w:type="spellStart"/>
            <w:r w:rsidRPr="002B28C3">
              <w:rPr>
                <w:rFonts w:asciiTheme="majorBidi" w:hAnsiTheme="majorBidi" w:cstheme="majorBidi"/>
              </w:rPr>
              <w:t>israel</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,ab,tw</w:t>
            </w:r>
            <w:proofErr w:type="spellEnd"/>
            <w:r w:rsidRPr="002B28C3">
              <w:rPr>
                <w:rFonts w:asciiTheme="majorBidi" w:hAnsiTheme="majorBidi" w:cstheme="majorBidi"/>
              </w:rPr>
              <w:t>.</w:t>
            </w:r>
          </w:p>
        </w:tc>
        <w:tc>
          <w:tcPr>
            <w:tcW w:w="1650" w:type="dxa"/>
            <w:noWrap/>
            <w:hideMark/>
          </w:tcPr>
          <w:p w14:paraId="2C3C8099" w14:textId="77777777" w:rsidR="009F01D8" w:rsidRPr="002B28C3" w:rsidRDefault="009F01D8" w:rsidP="009F01D8">
            <w:pPr>
              <w:rPr>
                <w:rFonts w:asciiTheme="majorBidi" w:hAnsiTheme="majorBidi" w:cstheme="majorBidi"/>
              </w:rPr>
            </w:pPr>
            <w:r w:rsidRPr="002B28C3">
              <w:rPr>
                <w:rFonts w:asciiTheme="majorBidi" w:hAnsiTheme="majorBidi" w:cstheme="majorBidi"/>
              </w:rPr>
              <w:t>1633082</w:t>
            </w:r>
          </w:p>
        </w:tc>
      </w:tr>
      <w:tr w:rsidR="009F01D8" w:rsidRPr="00F63CD5" w14:paraId="106BE7C3" w14:textId="77777777" w:rsidTr="009F01D8">
        <w:trPr>
          <w:trHeight w:val="279"/>
        </w:trPr>
        <w:tc>
          <w:tcPr>
            <w:tcW w:w="1070" w:type="dxa"/>
            <w:noWrap/>
            <w:hideMark/>
          </w:tcPr>
          <w:p w14:paraId="286B1CAA" w14:textId="77777777" w:rsidR="009F01D8" w:rsidRPr="002B28C3" w:rsidRDefault="009F01D8" w:rsidP="009F01D8">
            <w:pPr>
              <w:rPr>
                <w:rFonts w:asciiTheme="majorBidi" w:hAnsiTheme="majorBidi" w:cstheme="majorBidi"/>
              </w:rPr>
            </w:pPr>
            <w:r w:rsidRPr="002B28C3">
              <w:rPr>
                <w:rFonts w:asciiTheme="majorBidi" w:hAnsiTheme="majorBidi" w:cstheme="majorBidi"/>
              </w:rPr>
              <w:t>34</w:t>
            </w:r>
          </w:p>
        </w:tc>
        <w:tc>
          <w:tcPr>
            <w:tcW w:w="6296" w:type="dxa"/>
            <w:noWrap/>
            <w:hideMark/>
          </w:tcPr>
          <w:p w14:paraId="30376BE4" w14:textId="77777777" w:rsidR="009F01D8" w:rsidRPr="002B28C3" w:rsidRDefault="009F01D8" w:rsidP="009F01D8">
            <w:pPr>
              <w:rPr>
                <w:rFonts w:asciiTheme="majorBidi" w:hAnsiTheme="majorBidi" w:cstheme="majorBidi"/>
              </w:rPr>
            </w:pPr>
            <w:r w:rsidRPr="002B28C3">
              <w:rPr>
                <w:rFonts w:asciiTheme="majorBidi" w:hAnsiTheme="majorBidi" w:cstheme="majorBidi"/>
              </w:rPr>
              <w:t>21 and 33</w:t>
            </w:r>
          </w:p>
        </w:tc>
        <w:tc>
          <w:tcPr>
            <w:tcW w:w="1650" w:type="dxa"/>
            <w:noWrap/>
            <w:hideMark/>
          </w:tcPr>
          <w:p w14:paraId="5932E444" w14:textId="77777777" w:rsidR="009F01D8" w:rsidRPr="002B28C3" w:rsidRDefault="009F01D8" w:rsidP="009F01D8">
            <w:pPr>
              <w:rPr>
                <w:rFonts w:asciiTheme="majorBidi" w:hAnsiTheme="majorBidi" w:cstheme="majorBidi"/>
              </w:rPr>
            </w:pPr>
            <w:r w:rsidRPr="002B28C3">
              <w:rPr>
                <w:rFonts w:asciiTheme="majorBidi" w:hAnsiTheme="majorBidi" w:cstheme="majorBidi"/>
              </w:rPr>
              <w:t>52</w:t>
            </w:r>
          </w:p>
        </w:tc>
      </w:tr>
      <w:tr w:rsidR="009F01D8" w:rsidRPr="00F63CD5" w14:paraId="3D166591" w14:textId="77777777" w:rsidTr="009F01D8">
        <w:trPr>
          <w:trHeight w:val="279"/>
        </w:trPr>
        <w:tc>
          <w:tcPr>
            <w:tcW w:w="1070" w:type="dxa"/>
            <w:noWrap/>
            <w:hideMark/>
          </w:tcPr>
          <w:p w14:paraId="16A6DC44" w14:textId="77777777" w:rsidR="009F01D8" w:rsidRPr="002B28C3" w:rsidRDefault="009F01D8" w:rsidP="009F01D8">
            <w:pPr>
              <w:rPr>
                <w:rFonts w:asciiTheme="majorBidi" w:hAnsiTheme="majorBidi" w:cstheme="majorBidi"/>
              </w:rPr>
            </w:pPr>
            <w:r w:rsidRPr="002B28C3">
              <w:rPr>
                <w:rFonts w:asciiTheme="majorBidi" w:hAnsiTheme="majorBidi" w:cstheme="majorBidi"/>
              </w:rPr>
              <w:t>35</w:t>
            </w:r>
          </w:p>
        </w:tc>
        <w:tc>
          <w:tcPr>
            <w:tcW w:w="6296" w:type="dxa"/>
            <w:noWrap/>
            <w:hideMark/>
          </w:tcPr>
          <w:p w14:paraId="1A5CC791" w14:textId="77777777" w:rsidR="009F01D8" w:rsidRPr="002B28C3" w:rsidRDefault="009F01D8" w:rsidP="009F01D8">
            <w:pPr>
              <w:rPr>
                <w:rFonts w:asciiTheme="majorBidi" w:hAnsiTheme="majorBidi" w:cstheme="majorBidi"/>
              </w:rPr>
            </w:pPr>
            <w:r w:rsidRPr="002B28C3">
              <w:rPr>
                <w:rFonts w:asciiTheme="majorBidi" w:hAnsiTheme="majorBidi" w:cstheme="majorBidi"/>
              </w:rPr>
              <w:t>32 or 34</w:t>
            </w:r>
          </w:p>
        </w:tc>
        <w:tc>
          <w:tcPr>
            <w:tcW w:w="1650" w:type="dxa"/>
            <w:noWrap/>
            <w:hideMark/>
          </w:tcPr>
          <w:p w14:paraId="7460B541" w14:textId="77777777" w:rsidR="009F01D8" w:rsidRPr="002B28C3" w:rsidRDefault="009F01D8" w:rsidP="009F01D8">
            <w:pPr>
              <w:rPr>
                <w:rFonts w:asciiTheme="majorBidi" w:hAnsiTheme="majorBidi" w:cstheme="majorBidi"/>
              </w:rPr>
            </w:pPr>
            <w:r w:rsidRPr="002B28C3">
              <w:rPr>
                <w:rFonts w:asciiTheme="majorBidi" w:hAnsiTheme="majorBidi" w:cstheme="majorBidi"/>
              </w:rPr>
              <w:t>72</w:t>
            </w:r>
          </w:p>
        </w:tc>
      </w:tr>
    </w:tbl>
    <w:p w14:paraId="1F433555" w14:textId="77777777" w:rsidR="009F01D8" w:rsidRPr="00F63CD5" w:rsidRDefault="009F01D8" w:rsidP="009F01D8"/>
    <w:p w14:paraId="7061C68F" w14:textId="77777777" w:rsidR="009F01D8" w:rsidRPr="00D76748" w:rsidRDefault="009F01D8" w:rsidP="009F01D8">
      <w:pPr>
        <w:spacing w:after="0"/>
        <w:rPr>
          <w:rFonts w:asciiTheme="majorBidi" w:eastAsia="Times New Roman" w:hAnsiTheme="majorBidi" w:cstheme="majorBidi"/>
          <w:b/>
          <w:bCs/>
          <w:color w:val="000000"/>
          <w:lang w:eastAsia="en-GB"/>
        </w:rPr>
      </w:pPr>
      <w:r w:rsidRPr="00D76748">
        <w:rPr>
          <w:rFonts w:asciiTheme="majorBidi" w:eastAsia="Times New Roman" w:hAnsiTheme="majorBidi" w:cstheme="majorBidi"/>
          <w:b/>
          <w:bCs/>
          <w:color w:val="000000"/>
          <w:lang w:eastAsia="en-GB"/>
        </w:rPr>
        <w:t>CRD database (searched via the University of York CRD platform)</w:t>
      </w:r>
    </w:p>
    <w:p w14:paraId="720B3D21" w14:textId="77777777" w:rsidR="009F01D8" w:rsidRPr="00D76748" w:rsidRDefault="009F01D8" w:rsidP="009F01D8">
      <w:pPr>
        <w:spacing w:after="0"/>
        <w:rPr>
          <w:rFonts w:asciiTheme="majorBidi" w:eastAsia="Times New Roman" w:hAnsiTheme="majorBidi" w:cstheme="majorBidi"/>
          <w:bCs/>
          <w:color w:val="000000"/>
          <w:lang w:eastAsia="en-GB"/>
        </w:rPr>
      </w:pPr>
      <w:r w:rsidRPr="00D76748">
        <w:rPr>
          <w:rFonts w:asciiTheme="majorBidi" w:eastAsia="Times New Roman" w:hAnsiTheme="majorBidi" w:cstheme="majorBidi"/>
          <w:bCs/>
          <w:color w:val="000000"/>
          <w:lang w:eastAsia="en-GB"/>
        </w:rPr>
        <w:t>11</w:t>
      </w:r>
      <w:r w:rsidRPr="00D76748">
        <w:rPr>
          <w:rFonts w:asciiTheme="majorBidi" w:eastAsia="Times New Roman" w:hAnsiTheme="majorBidi" w:cstheme="majorBidi"/>
          <w:bCs/>
          <w:color w:val="000000"/>
          <w:vertAlign w:val="superscript"/>
          <w:lang w:eastAsia="en-GB"/>
        </w:rPr>
        <w:t>th</w:t>
      </w:r>
      <w:r w:rsidRPr="00D76748">
        <w:rPr>
          <w:rFonts w:asciiTheme="majorBidi" w:eastAsia="Times New Roman" w:hAnsiTheme="majorBidi" w:cstheme="majorBidi"/>
          <w:bCs/>
          <w:color w:val="000000"/>
          <w:lang w:eastAsia="en-GB"/>
        </w:rPr>
        <w:t xml:space="preserve"> June 2021</w:t>
      </w:r>
    </w:p>
    <w:p w14:paraId="34350B75" w14:textId="77777777" w:rsidR="009F01D8" w:rsidRPr="00F63CD5" w:rsidRDefault="009F01D8" w:rsidP="009F01D8">
      <w:pPr>
        <w:spacing w:after="0"/>
        <w:rPr>
          <w:rFonts w:eastAsia="Times New Roman"/>
          <w:b/>
          <w:bCs/>
          <w:color w:val="000000"/>
          <w:lang w:eastAsia="en-GB"/>
        </w:rPr>
      </w:pPr>
    </w:p>
    <w:tbl>
      <w:tblPr>
        <w:tblStyle w:val="TableGrid"/>
        <w:tblW w:w="0" w:type="auto"/>
        <w:tblLook w:val="04A0" w:firstRow="1" w:lastRow="0" w:firstColumn="1" w:lastColumn="0" w:noHBand="0" w:noVBand="1"/>
      </w:tblPr>
      <w:tblGrid>
        <w:gridCol w:w="1099"/>
        <w:gridCol w:w="6267"/>
        <w:gridCol w:w="1650"/>
      </w:tblGrid>
      <w:tr w:rsidR="009F01D8" w:rsidRPr="002B28C3" w14:paraId="479BDD6A" w14:textId="77777777" w:rsidTr="009F01D8">
        <w:trPr>
          <w:trHeight w:val="279"/>
        </w:trPr>
        <w:tc>
          <w:tcPr>
            <w:tcW w:w="1099" w:type="dxa"/>
            <w:hideMark/>
          </w:tcPr>
          <w:p w14:paraId="720553B4" w14:textId="77777777" w:rsidR="009F01D8" w:rsidRPr="002B28C3" w:rsidRDefault="009F01D8" w:rsidP="009F01D8">
            <w:pPr>
              <w:rPr>
                <w:rFonts w:asciiTheme="majorBidi" w:eastAsia="Times New Roman" w:hAnsiTheme="majorBidi" w:cstheme="majorBidi"/>
                <w:b/>
                <w:bCs/>
                <w:color w:val="000000"/>
              </w:rPr>
            </w:pPr>
            <w:r w:rsidRPr="002B28C3">
              <w:rPr>
                <w:rFonts w:asciiTheme="majorBidi" w:eastAsia="Times New Roman" w:hAnsiTheme="majorBidi" w:cstheme="majorBidi"/>
                <w:b/>
                <w:bCs/>
                <w:color w:val="000000"/>
              </w:rPr>
              <w:t>#</w:t>
            </w:r>
          </w:p>
        </w:tc>
        <w:tc>
          <w:tcPr>
            <w:tcW w:w="6267" w:type="dxa"/>
            <w:hideMark/>
          </w:tcPr>
          <w:p w14:paraId="5169162D" w14:textId="77777777" w:rsidR="009F01D8" w:rsidRPr="002B28C3" w:rsidRDefault="009F01D8" w:rsidP="009F01D8">
            <w:pPr>
              <w:rPr>
                <w:rFonts w:asciiTheme="majorBidi" w:eastAsia="Times New Roman" w:hAnsiTheme="majorBidi" w:cstheme="majorBidi"/>
                <w:b/>
                <w:bCs/>
                <w:color w:val="000000"/>
              </w:rPr>
            </w:pPr>
            <w:r w:rsidRPr="002B28C3">
              <w:rPr>
                <w:rFonts w:asciiTheme="majorBidi" w:eastAsia="Times New Roman" w:hAnsiTheme="majorBidi" w:cstheme="majorBidi"/>
                <w:b/>
                <w:bCs/>
                <w:color w:val="000000"/>
              </w:rPr>
              <w:t>Searches</w:t>
            </w:r>
          </w:p>
        </w:tc>
        <w:tc>
          <w:tcPr>
            <w:tcW w:w="1650" w:type="dxa"/>
            <w:hideMark/>
          </w:tcPr>
          <w:p w14:paraId="4784AADE" w14:textId="77777777" w:rsidR="009F01D8" w:rsidRPr="002B28C3" w:rsidRDefault="009F01D8" w:rsidP="009F01D8">
            <w:pPr>
              <w:rPr>
                <w:rFonts w:asciiTheme="majorBidi" w:eastAsia="Times New Roman" w:hAnsiTheme="majorBidi" w:cstheme="majorBidi"/>
                <w:b/>
                <w:bCs/>
                <w:color w:val="000000"/>
              </w:rPr>
            </w:pPr>
            <w:r w:rsidRPr="002B28C3">
              <w:rPr>
                <w:rFonts w:asciiTheme="majorBidi" w:eastAsia="Times New Roman" w:hAnsiTheme="majorBidi" w:cstheme="majorBidi"/>
                <w:b/>
                <w:bCs/>
                <w:color w:val="000000"/>
              </w:rPr>
              <w:t>Results</w:t>
            </w:r>
          </w:p>
        </w:tc>
      </w:tr>
      <w:tr w:rsidR="009F01D8" w:rsidRPr="002B28C3" w14:paraId="4446619F" w14:textId="77777777" w:rsidTr="009F01D8">
        <w:trPr>
          <w:trHeight w:val="279"/>
        </w:trPr>
        <w:tc>
          <w:tcPr>
            <w:tcW w:w="1099" w:type="dxa"/>
            <w:noWrap/>
            <w:hideMark/>
          </w:tcPr>
          <w:p w14:paraId="418A1262"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1</w:t>
            </w:r>
          </w:p>
        </w:tc>
        <w:tc>
          <w:tcPr>
            <w:tcW w:w="6267" w:type="dxa"/>
            <w:noWrap/>
            <w:hideMark/>
          </w:tcPr>
          <w:p w14:paraId="68F02280"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((carbapenem-</w:t>
            </w:r>
            <w:proofErr w:type="spellStart"/>
            <w:r w:rsidRPr="002B28C3">
              <w:rPr>
                <w:rFonts w:asciiTheme="majorBidi" w:eastAsia="Times New Roman" w:hAnsiTheme="majorBidi" w:cstheme="majorBidi"/>
                <w:bCs/>
                <w:color w:val="000000"/>
              </w:rPr>
              <w:t>resistan</w:t>
            </w:r>
            <w:proofErr w:type="spellEnd"/>
            <w:r w:rsidRPr="002B28C3">
              <w:rPr>
                <w:rFonts w:asciiTheme="majorBidi" w:eastAsia="Times New Roman" w:hAnsiTheme="majorBidi" w:cstheme="majorBidi"/>
                <w:bCs/>
                <w:color w:val="000000"/>
              </w:rPr>
              <w:t xml:space="preserve">* or "carbapenem </w:t>
            </w:r>
            <w:proofErr w:type="spellStart"/>
            <w:r w:rsidRPr="002B28C3">
              <w:rPr>
                <w:rFonts w:asciiTheme="majorBidi" w:eastAsia="Times New Roman" w:hAnsiTheme="majorBidi" w:cstheme="majorBidi"/>
                <w:bCs/>
                <w:color w:val="000000"/>
              </w:rPr>
              <w:t>resistan</w:t>
            </w:r>
            <w:proofErr w:type="spellEnd"/>
            <w:r w:rsidRPr="002B28C3">
              <w:rPr>
                <w:rFonts w:asciiTheme="majorBidi" w:eastAsia="Times New Roman" w:hAnsiTheme="majorBidi" w:cstheme="majorBidi"/>
                <w:bCs/>
                <w:color w:val="000000"/>
              </w:rPr>
              <w:t xml:space="preserve">*" or </w:t>
            </w:r>
            <w:proofErr w:type="spellStart"/>
            <w:r w:rsidRPr="002B28C3">
              <w:rPr>
                <w:rFonts w:asciiTheme="majorBidi" w:eastAsia="Times New Roman" w:hAnsiTheme="majorBidi" w:cstheme="majorBidi"/>
                <w:bCs/>
                <w:color w:val="000000"/>
              </w:rPr>
              <w:t>carbapenemase</w:t>
            </w:r>
            <w:proofErr w:type="spellEnd"/>
            <w:r w:rsidRPr="002B28C3">
              <w:rPr>
                <w:rFonts w:asciiTheme="majorBidi" w:eastAsia="Times New Roman" w:hAnsiTheme="majorBidi" w:cstheme="majorBidi"/>
                <w:bCs/>
                <w:color w:val="000000"/>
              </w:rPr>
              <w:t>))</w:t>
            </w:r>
          </w:p>
        </w:tc>
        <w:tc>
          <w:tcPr>
            <w:tcW w:w="1650" w:type="dxa"/>
            <w:noWrap/>
            <w:hideMark/>
          </w:tcPr>
          <w:p w14:paraId="5F686DBA"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5</w:t>
            </w:r>
          </w:p>
        </w:tc>
      </w:tr>
      <w:tr w:rsidR="009F01D8" w:rsidRPr="002B28C3" w14:paraId="44109D54" w14:textId="77777777" w:rsidTr="009F01D8">
        <w:trPr>
          <w:trHeight w:val="279"/>
        </w:trPr>
        <w:tc>
          <w:tcPr>
            <w:tcW w:w="1099" w:type="dxa"/>
            <w:noWrap/>
            <w:hideMark/>
          </w:tcPr>
          <w:p w14:paraId="5B1BDD90"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2</w:t>
            </w:r>
          </w:p>
        </w:tc>
        <w:tc>
          <w:tcPr>
            <w:tcW w:w="6267" w:type="dxa"/>
            <w:noWrap/>
            <w:hideMark/>
          </w:tcPr>
          <w:p w14:paraId="570FBE1E"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((carbapenem* and (non-</w:t>
            </w:r>
            <w:proofErr w:type="spellStart"/>
            <w:r w:rsidRPr="002B28C3">
              <w:rPr>
                <w:rFonts w:asciiTheme="majorBidi" w:eastAsia="Times New Roman" w:hAnsiTheme="majorBidi" w:cstheme="majorBidi"/>
                <w:bCs/>
                <w:color w:val="000000"/>
              </w:rPr>
              <w:t>susceptib</w:t>
            </w:r>
            <w:proofErr w:type="spellEnd"/>
            <w:r w:rsidRPr="002B28C3">
              <w:rPr>
                <w:rFonts w:asciiTheme="majorBidi" w:eastAsia="Times New Roman" w:hAnsiTheme="majorBidi" w:cstheme="majorBidi"/>
                <w:bCs/>
                <w:color w:val="000000"/>
              </w:rPr>
              <w:t xml:space="preserve">* or "non </w:t>
            </w:r>
            <w:proofErr w:type="spellStart"/>
            <w:r w:rsidRPr="002B28C3">
              <w:rPr>
                <w:rFonts w:asciiTheme="majorBidi" w:eastAsia="Times New Roman" w:hAnsiTheme="majorBidi" w:cstheme="majorBidi"/>
                <w:bCs/>
                <w:color w:val="000000"/>
              </w:rPr>
              <w:t>susceptib</w:t>
            </w:r>
            <w:proofErr w:type="spellEnd"/>
            <w:r w:rsidRPr="002B28C3">
              <w:rPr>
                <w:rFonts w:asciiTheme="majorBidi" w:eastAsia="Times New Roman" w:hAnsiTheme="majorBidi" w:cstheme="majorBidi"/>
                <w:bCs/>
                <w:color w:val="000000"/>
              </w:rPr>
              <w:t xml:space="preserve">*" or </w:t>
            </w:r>
            <w:proofErr w:type="spellStart"/>
            <w:r w:rsidRPr="002B28C3">
              <w:rPr>
                <w:rFonts w:asciiTheme="majorBidi" w:eastAsia="Times New Roman" w:hAnsiTheme="majorBidi" w:cstheme="majorBidi"/>
                <w:bCs/>
                <w:color w:val="000000"/>
              </w:rPr>
              <w:t>nonsusceptib</w:t>
            </w:r>
            <w:proofErr w:type="spellEnd"/>
            <w:r w:rsidRPr="002B28C3">
              <w:rPr>
                <w:rFonts w:asciiTheme="majorBidi" w:eastAsia="Times New Roman" w:hAnsiTheme="majorBidi" w:cstheme="majorBidi"/>
                <w:bCs/>
                <w:color w:val="000000"/>
              </w:rPr>
              <w:t>*)))</w:t>
            </w:r>
          </w:p>
        </w:tc>
        <w:tc>
          <w:tcPr>
            <w:tcW w:w="1650" w:type="dxa"/>
            <w:noWrap/>
            <w:hideMark/>
          </w:tcPr>
          <w:p w14:paraId="11FD78D1"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0</w:t>
            </w:r>
          </w:p>
        </w:tc>
      </w:tr>
      <w:tr w:rsidR="009F01D8" w:rsidRPr="002B28C3" w14:paraId="62F8696B" w14:textId="77777777" w:rsidTr="009F01D8">
        <w:trPr>
          <w:trHeight w:val="279"/>
        </w:trPr>
        <w:tc>
          <w:tcPr>
            <w:tcW w:w="1099" w:type="dxa"/>
            <w:noWrap/>
            <w:hideMark/>
          </w:tcPr>
          <w:p w14:paraId="4C706A38"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3</w:t>
            </w:r>
          </w:p>
        </w:tc>
        <w:tc>
          <w:tcPr>
            <w:tcW w:w="6267" w:type="dxa"/>
            <w:noWrap/>
            <w:hideMark/>
          </w:tcPr>
          <w:p w14:paraId="0FA7C3DC"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((oxa-48* or "</w:t>
            </w:r>
            <w:proofErr w:type="spellStart"/>
            <w:r w:rsidRPr="002B28C3">
              <w:rPr>
                <w:rFonts w:asciiTheme="majorBidi" w:eastAsia="Times New Roman" w:hAnsiTheme="majorBidi" w:cstheme="majorBidi"/>
                <w:bCs/>
                <w:color w:val="000000"/>
              </w:rPr>
              <w:t>oxa</w:t>
            </w:r>
            <w:proofErr w:type="spellEnd"/>
            <w:r w:rsidRPr="002B28C3">
              <w:rPr>
                <w:rFonts w:asciiTheme="majorBidi" w:eastAsia="Times New Roman" w:hAnsiTheme="majorBidi" w:cstheme="majorBidi"/>
                <w:bCs/>
                <w:color w:val="000000"/>
              </w:rPr>
              <w:t xml:space="preserve"> 48*" or oxacillinase-48* or "oxacillinase 48*" or blaoxa-48* or "</w:t>
            </w:r>
            <w:proofErr w:type="spellStart"/>
            <w:r w:rsidRPr="002B28C3">
              <w:rPr>
                <w:rFonts w:asciiTheme="majorBidi" w:eastAsia="Times New Roman" w:hAnsiTheme="majorBidi" w:cstheme="majorBidi"/>
                <w:bCs/>
                <w:color w:val="000000"/>
              </w:rPr>
              <w:t>blaoxa</w:t>
            </w:r>
            <w:proofErr w:type="spellEnd"/>
            <w:r w:rsidRPr="002B28C3">
              <w:rPr>
                <w:rFonts w:asciiTheme="majorBidi" w:eastAsia="Times New Roman" w:hAnsiTheme="majorBidi" w:cstheme="majorBidi"/>
                <w:bCs/>
                <w:color w:val="000000"/>
              </w:rPr>
              <w:t xml:space="preserve"> 48*"))</w:t>
            </w:r>
          </w:p>
        </w:tc>
        <w:tc>
          <w:tcPr>
            <w:tcW w:w="1650" w:type="dxa"/>
            <w:noWrap/>
            <w:hideMark/>
          </w:tcPr>
          <w:p w14:paraId="32117669"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0</w:t>
            </w:r>
          </w:p>
        </w:tc>
      </w:tr>
      <w:tr w:rsidR="009F01D8" w:rsidRPr="002B28C3" w14:paraId="5ABEC467" w14:textId="77777777" w:rsidTr="009F01D8">
        <w:trPr>
          <w:trHeight w:val="279"/>
        </w:trPr>
        <w:tc>
          <w:tcPr>
            <w:tcW w:w="1099" w:type="dxa"/>
            <w:noWrap/>
            <w:hideMark/>
          </w:tcPr>
          <w:p w14:paraId="6EF10E73"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4</w:t>
            </w:r>
          </w:p>
        </w:tc>
        <w:tc>
          <w:tcPr>
            <w:tcW w:w="6267" w:type="dxa"/>
            <w:noWrap/>
            <w:hideMark/>
          </w:tcPr>
          <w:p w14:paraId="30C45727"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 xml:space="preserve">((("new </w:t>
            </w:r>
            <w:proofErr w:type="spellStart"/>
            <w:r w:rsidRPr="002B28C3">
              <w:rPr>
                <w:rFonts w:asciiTheme="majorBidi" w:eastAsia="Times New Roman" w:hAnsiTheme="majorBidi" w:cstheme="majorBidi"/>
                <w:bCs/>
                <w:color w:val="000000"/>
              </w:rPr>
              <w:t>delhi</w:t>
            </w:r>
            <w:proofErr w:type="spellEnd"/>
            <w:r w:rsidRPr="002B28C3">
              <w:rPr>
                <w:rFonts w:asciiTheme="majorBidi" w:eastAsia="Times New Roman" w:hAnsiTheme="majorBidi" w:cstheme="majorBidi"/>
                <w:bCs/>
                <w:color w:val="000000"/>
              </w:rPr>
              <w:t xml:space="preserve">" or </w:t>
            </w:r>
            <w:proofErr w:type="spellStart"/>
            <w:r w:rsidRPr="002B28C3">
              <w:rPr>
                <w:rFonts w:asciiTheme="majorBidi" w:eastAsia="Times New Roman" w:hAnsiTheme="majorBidi" w:cstheme="majorBidi"/>
                <w:bCs/>
                <w:color w:val="000000"/>
              </w:rPr>
              <w:t>ndm</w:t>
            </w:r>
            <w:proofErr w:type="spellEnd"/>
            <w:r w:rsidRPr="002B28C3">
              <w:rPr>
                <w:rFonts w:asciiTheme="majorBidi" w:eastAsia="Times New Roman" w:hAnsiTheme="majorBidi" w:cstheme="majorBidi"/>
                <w:bCs/>
                <w:color w:val="000000"/>
              </w:rPr>
              <w:t xml:space="preserve"> or "</w:t>
            </w:r>
            <w:proofErr w:type="spellStart"/>
            <w:r w:rsidRPr="002B28C3">
              <w:rPr>
                <w:rFonts w:asciiTheme="majorBidi" w:eastAsia="Times New Roman" w:hAnsiTheme="majorBidi" w:cstheme="majorBidi"/>
                <w:bCs/>
                <w:color w:val="000000"/>
              </w:rPr>
              <w:t>verona</w:t>
            </w:r>
            <w:proofErr w:type="spellEnd"/>
            <w:r w:rsidRPr="002B28C3">
              <w:rPr>
                <w:rFonts w:asciiTheme="majorBidi" w:eastAsia="Times New Roman" w:hAnsiTheme="majorBidi" w:cstheme="majorBidi"/>
                <w:bCs/>
                <w:color w:val="000000"/>
              </w:rPr>
              <w:t xml:space="preserve"> integrated-encoded" or vim or </w:t>
            </w:r>
            <w:proofErr w:type="spellStart"/>
            <w:r w:rsidRPr="002B28C3">
              <w:rPr>
                <w:rFonts w:asciiTheme="majorBidi" w:eastAsia="Times New Roman" w:hAnsiTheme="majorBidi" w:cstheme="majorBidi"/>
                <w:bCs/>
                <w:color w:val="000000"/>
              </w:rPr>
              <w:t>imipenemase</w:t>
            </w:r>
            <w:proofErr w:type="spellEnd"/>
            <w:r w:rsidRPr="002B28C3">
              <w:rPr>
                <w:rFonts w:asciiTheme="majorBidi" w:eastAsia="Times New Roman" w:hAnsiTheme="majorBidi" w:cstheme="majorBidi"/>
                <w:bCs/>
                <w:color w:val="000000"/>
              </w:rPr>
              <w:t xml:space="preserve"> or imp) and (</w:t>
            </w:r>
            <w:proofErr w:type="spellStart"/>
            <w:r w:rsidRPr="002B28C3">
              <w:rPr>
                <w:rFonts w:asciiTheme="majorBidi" w:eastAsia="Times New Roman" w:hAnsiTheme="majorBidi" w:cstheme="majorBidi"/>
                <w:bCs/>
                <w:color w:val="000000"/>
              </w:rPr>
              <w:t>mbl</w:t>
            </w:r>
            <w:proofErr w:type="spellEnd"/>
            <w:r w:rsidRPr="002B28C3">
              <w:rPr>
                <w:rFonts w:asciiTheme="majorBidi" w:eastAsia="Times New Roman" w:hAnsiTheme="majorBidi" w:cstheme="majorBidi"/>
                <w:bCs/>
                <w:color w:val="000000"/>
              </w:rPr>
              <w:t xml:space="preserve"> or "metallo-beta-lactamase" or "</w:t>
            </w:r>
            <w:proofErr w:type="spellStart"/>
            <w:r w:rsidRPr="002B28C3">
              <w:rPr>
                <w:rFonts w:asciiTheme="majorBidi" w:eastAsia="Times New Roman" w:hAnsiTheme="majorBidi" w:cstheme="majorBidi"/>
                <w:bCs/>
                <w:color w:val="000000"/>
              </w:rPr>
              <w:t>metallo</w:t>
            </w:r>
            <w:proofErr w:type="spellEnd"/>
            <w:r w:rsidRPr="002B28C3">
              <w:rPr>
                <w:rFonts w:asciiTheme="majorBidi" w:eastAsia="Times New Roman" w:hAnsiTheme="majorBidi" w:cstheme="majorBidi"/>
                <w:bCs/>
                <w:color w:val="000000"/>
              </w:rPr>
              <w:t xml:space="preserve"> beta lactamase")))</w:t>
            </w:r>
          </w:p>
        </w:tc>
        <w:tc>
          <w:tcPr>
            <w:tcW w:w="1650" w:type="dxa"/>
            <w:noWrap/>
            <w:hideMark/>
          </w:tcPr>
          <w:p w14:paraId="775032EE"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0</w:t>
            </w:r>
          </w:p>
        </w:tc>
      </w:tr>
      <w:tr w:rsidR="009F01D8" w:rsidRPr="002B28C3" w14:paraId="403264E5" w14:textId="77777777" w:rsidTr="009F01D8">
        <w:trPr>
          <w:trHeight w:val="279"/>
        </w:trPr>
        <w:tc>
          <w:tcPr>
            <w:tcW w:w="1099" w:type="dxa"/>
            <w:noWrap/>
            <w:hideMark/>
          </w:tcPr>
          <w:p w14:paraId="63818BA4"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5</w:t>
            </w:r>
          </w:p>
        </w:tc>
        <w:tc>
          <w:tcPr>
            <w:tcW w:w="6267" w:type="dxa"/>
            <w:noWrap/>
            <w:hideMark/>
          </w:tcPr>
          <w:p w14:paraId="7BD705D1"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((cohort* or longitudinal or prospective or retrospective or follow-up or "follow up" or long-term or "long term" or year))</w:t>
            </w:r>
          </w:p>
        </w:tc>
        <w:tc>
          <w:tcPr>
            <w:tcW w:w="1650" w:type="dxa"/>
            <w:noWrap/>
            <w:hideMark/>
          </w:tcPr>
          <w:p w14:paraId="03070AB5"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29687</w:t>
            </w:r>
          </w:p>
        </w:tc>
      </w:tr>
      <w:tr w:rsidR="009F01D8" w:rsidRPr="002B28C3" w14:paraId="3D0A56DC" w14:textId="77777777" w:rsidTr="009F01D8">
        <w:trPr>
          <w:trHeight w:val="279"/>
        </w:trPr>
        <w:tc>
          <w:tcPr>
            <w:tcW w:w="1099" w:type="dxa"/>
            <w:noWrap/>
            <w:hideMark/>
          </w:tcPr>
          <w:p w14:paraId="6855864C"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6</w:t>
            </w:r>
          </w:p>
        </w:tc>
        <w:tc>
          <w:tcPr>
            <w:tcW w:w="6267" w:type="dxa"/>
            <w:noWrap/>
            <w:hideMark/>
          </w:tcPr>
          <w:p w14:paraId="340E120A"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((mortality or death* or survival))</w:t>
            </w:r>
          </w:p>
        </w:tc>
        <w:tc>
          <w:tcPr>
            <w:tcW w:w="1650" w:type="dxa"/>
            <w:noWrap/>
            <w:hideMark/>
          </w:tcPr>
          <w:p w14:paraId="1AD6C9D9"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16968</w:t>
            </w:r>
          </w:p>
        </w:tc>
      </w:tr>
      <w:tr w:rsidR="009F01D8" w:rsidRPr="002B28C3" w14:paraId="21FA0619" w14:textId="77777777" w:rsidTr="009F01D8">
        <w:trPr>
          <w:trHeight w:val="279"/>
        </w:trPr>
        <w:tc>
          <w:tcPr>
            <w:tcW w:w="1099" w:type="dxa"/>
            <w:noWrap/>
            <w:hideMark/>
          </w:tcPr>
          <w:p w14:paraId="50B30545"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7</w:t>
            </w:r>
          </w:p>
        </w:tc>
        <w:tc>
          <w:tcPr>
            <w:tcW w:w="6267" w:type="dxa"/>
            <w:noWrap/>
            <w:hideMark/>
          </w:tcPr>
          <w:p w14:paraId="7EDE0F9D"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#1 AND #5 AND #6</w:t>
            </w:r>
          </w:p>
        </w:tc>
        <w:tc>
          <w:tcPr>
            <w:tcW w:w="1650" w:type="dxa"/>
            <w:noWrap/>
            <w:hideMark/>
          </w:tcPr>
          <w:p w14:paraId="2809FB4A" w14:textId="77777777" w:rsidR="009F01D8" w:rsidRPr="002B28C3" w:rsidRDefault="009F01D8" w:rsidP="009F01D8">
            <w:pPr>
              <w:rPr>
                <w:rFonts w:asciiTheme="majorBidi" w:eastAsia="Times New Roman" w:hAnsiTheme="majorBidi" w:cstheme="majorBidi"/>
                <w:bCs/>
                <w:color w:val="000000"/>
              </w:rPr>
            </w:pPr>
            <w:r w:rsidRPr="002B28C3">
              <w:rPr>
                <w:rFonts w:asciiTheme="majorBidi" w:eastAsia="Times New Roman" w:hAnsiTheme="majorBidi" w:cstheme="majorBidi"/>
                <w:bCs/>
                <w:color w:val="000000"/>
              </w:rPr>
              <w:t>0</w:t>
            </w:r>
          </w:p>
        </w:tc>
      </w:tr>
    </w:tbl>
    <w:p w14:paraId="0FC8BA1D" w14:textId="6C062F0E" w:rsidR="009F01D8" w:rsidRDefault="009F01D8" w:rsidP="009F01D8"/>
    <w:p w14:paraId="4448295E" w14:textId="77777777" w:rsidR="002B28C3" w:rsidRPr="00F63CD5" w:rsidRDefault="002B28C3" w:rsidP="009F01D8"/>
    <w:p w14:paraId="22989386" w14:textId="5DC2D483" w:rsidR="009F01D8" w:rsidRPr="002E4F02" w:rsidRDefault="002E4F02" w:rsidP="00D76748">
      <w:pPr>
        <w:pStyle w:val="Heading4"/>
        <w:tabs>
          <w:tab w:val="left" w:pos="1276"/>
          <w:tab w:val="left" w:pos="1418"/>
        </w:tabs>
        <w:rPr>
          <w:rFonts w:asciiTheme="majorBidi" w:hAnsiTheme="majorBidi"/>
          <w:b/>
          <w:bCs/>
          <w:i w:val="0"/>
          <w:iCs w:val="0"/>
          <w:noProof/>
          <w:color w:val="auto"/>
          <w:sz w:val="26"/>
          <w:szCs w:val="26"/>
        </w:rPr>
      </w:pPr>
      <w:bookmarkStart w:id="604" w:name="_Toc77254199"/>
      <w:r>
        <w:rPr>
          <w:rFonts w:asciiTheme="majorBidi" w:hAnsiTheme="majorBidi"/>
          <w:b/>
          <w:bCs/>
          <w:i w:val="0"/>
          <w:iCs w:val="0"/>
          <w:noProof/>
          <w:color w:val="auto"/>
          <w:sz w:val="26"/>
          <w:szCs w:val="26"/>
        </w:rPr>
        <w:tab/>
      </w:r>
      <w:r>
        <w:rPr>
          <w:rFonts w:asciiTheme="majorBidi" w:hAnsiTheme="majorBidi"/>
          <w:b/>
          <w:bCs/>
          <w:i w:val="0"/>
          <w:iCs w:val="0"/>
          <w:noProof/>
          <w:color w:val="auto"/>
          <w:sz w:val="26"/>
          <w:szCs w:val="26"/>
        </w:rPr>
        <w:tab/>
      </w:r>
      <w:r w:rsidR="009F01D8" w:rsidRPr="002E4F02">
        <w:rPr>
          <w:rFonts w:asciiTheme="majorBidi" w:hAnsiTheme="majorBidi"/>
          <w:b/>
          <w:bCs/>
          <w:i w:val="0"/>
          <w:iCs w:val="0"/>
          <w:noProof/>
          <w:color w:val="auto"/>
          <w:sz w:val="26"/>
          <w:szCs w:val="26"/>
        </w:rPr>
        <w:t>A1.3.4.Focused medium outcomes search</w:t>
      </w:r>
      <w:bookmarkEnd w:id="604"/>
    </w:p>
    <w:p w14:paraId="52603CDE" w14:textId="77777777" w:rsidR="009F01D8" w:rsidRPr="002E4F02" w:rsidRDefault="009F01D8" w:rsidP="009F01D8">
      <w:pPr>
        <w:spacing w:after="0"/>
        <w:rPr>
          <w:rFonts w:asciiTheme="majorBidi" w:hAnsiTheme="majorBidi" w:cstheme="majorBidi"/>
          <w:b/>
          <w:bCs/>
          <w:sz w:val="26"/>
          <w:szCs w:val="26"/>
        </w:rPr>
      </w:pPr>
    </w:p>
    <w:p w14:paraId="510BEB89"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 xml:space="preserve">Search terms adapted from </w:t>
      </w:r>
      <w:proofErr w:type="spellStart"/>
      <w:r w:rsidRPr="00D76748">
        <w:rPr>
          <w:rFonts w:asciiTheme="majorBidi" w:hAnsiTheme="majorBidi" w:cstheme="majorBidi"/>
        </w:rPr>
        <w:t>Bassetti</w:t>
      </w:r>
      <w:proofErr w:type="spellEnd"/>
      <w:r w:rsidRPr="00D76748">
        <w:rPr>
          <w:rFonts w:asciiTheme="majorBidi" w:hAnsiTheme="majorBidi" w:cstheme="majorBidi"/>
        </w:rPr>
        <w:t xml:space="preserve"> et al., (2021): Sites (UTI/HAPVAP) AND (inappropriate OR appropriate antibiotics)/susceptibility AND hospitalisation AND filter</w:t>
      </w:r>
    </w:p>
    <w:p w14:paraId="5157CD45"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UK</w:t>
      </w:r>
    </w:p>
    <w:p w14:paraId="306ABC7D"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MEDLINE only, 2007-present</w:t>
      </w:r>
    </w:p>
    <w:p w14:paraId="09CDDAE2" w14:textId="77777777" w:rsidR="009F01D8" w:rsidRPr="00D76748" w:rsidRDefault="009F01D8" w:rsidP="009F01D8">
      <w:pPr>
        <w:rPr>
          <w:rFonts w:asciiTheme="majorBidi" w:hAnsiTheme="majorBidi" w:cstheme="majorBidi"/>
        </w:rPr>
      </w:pPr>
    </w:p>
    <w:p w14:paraId="3952D0EA" w14:textId="77777777" w:rsidR="009F01D8" w:rsidRPr="00D76748" w:rsidRDefault="009F01D8" w:rsidP="009F01D8">
      <w:pPr>
        <w:spacing w:after="0"/>
        <w:rPr>
          <w:rFonts w:asciiTheme="majorBidi" w:hAnsiTheme="majorBidi" w:cstheme="majorBidi"/>
          <w:b/>
          <w:bCs/>
        </w:rPr>
      </w:pPr>
      <w:r w:rsidRPr="00D76748">
        <w:rPr>
          <w:rFonts w:asciiTheme="majorBidi" w:hAnsiTheme="majorBidi" w:cstheme="majorBidi"/>
          <w:b/>
          <w:bCs/>
        </w:rPr>
        <w:lastRenderedPageBreak/>
        <w:t xml:space="preserve">Ovid MEDLINE(R) and </w:t>
      </w:r>
      <w:proofErr w:type="spellStart"/>
      <w:r w:rsidRPr="00D76748">
        <w:rPr>
          <w:rFonts w:asciiTheme="majorBidi" w:hAnsiTheme="majorBidi" w:cstheme="majorBidi"/>
          <w:b/>
          <w:bCs/>
        </w:rPr>
        <w:t>Epub</w:t>
      </w:r>
      <w:proofErr w:type="spellEnd"/>
      <w:r w:rsidRPr="00D76748">
        <w:rPr>
          <w:rFonts w:asciiTheme="majorBidi" w:hAnsiTheme="majorBidi" w:cstheme="majorBidi"/>
          <w:b/>
          <w:bCs/>
        </w:rPr>
        <w:t xml:space="preserve"> Ahead of Print, In-Process, In-Data-Review &amp; Other Non-Indexed Citations, Daily and Versions(R) 1946 to June 30, 2021 </w:t>
      </w:r>
      <w:r w:rsidRPr="00D76748">
        <w:rPr>
          <w:rFonts w:asciiTheme="majorBidi" w:hAnsiTheme="majorBidi" w:cstheme="majorBidi"/>
          <w:b/>
        </w:rPr>
        <w:t>(searched via the Ovid SP platform)</w:t>
      </w:r>
    </w:p>
    <w:p w14:paraId="39257F6B" w14:textId="77777777" w:rsidR="009F01D8" w:rsidRPr="00D76748" w:rsidRDefault="009F01D8" w:rsidP="009F01D8">
      <w:pPr>
        <w:spacing w:after="0"/>
        <w:rPr>
          <w:rFonts w:asciiTheme="majorBidi" w:hAnsiTheme="majorBidi" w:cstheme="majorBidi"/>
          <w:bCs/>
        </w:rPr>
      </w:pPr>
      <w:r w:rsidRPr="00D76748">
        <w:rPr>
          <w:rFonts w:asciiTheme="majorBidi" w:hAnsiTheme="majorBidi" w:cstheme="majorBidi"/>
          <w:bCs/>
        </w:rPr>
        <w:t>1</w:t>
      </w:r>
      <w:r w:rsidRPr="00D76748">
        <w:rPr>
          <w:rFonts w:asciiTheme="majorBidi" w:hAnsiTheme="majorBidi" w:cstheme="majorBidi"/>
          <w:bCs/>
          <w:vertAlign w:val="superscript"/>
        </w:rPr>
        <w:t>st</w:t>
      </w:r>
      <w:r w:rsidRPr="00D76748">
        <w:rPr>
          <w:rFonts w:asciiTheme="majorBidi" w:hAnsiTheme="majorBidi" w:cstheme="majorBidi"/>
          <w:bCs/>
        </w:rPr>
        <w:t xml:space="preserve"> July 2021</w:t>
      </w:r>
    </w:p>
    <w:p w14:paraId="6E96009D" w14:textId="77777777" w:rsidR="009F01D8" w:rsidRPr="00F63CD5" w:rsidRDefault="009F01D8" w:rsidP="009F01D8"/>
    <w:tbl>
      <w:tblPr>
        <w:tblStyle w:val="TableGrid"/>
        <w:tblW w:w="0" w:type="auto"/>
        <w:tblLook w:val="04A0" w:firstRow="1" w:lastRow="0" w:firstColumn="1" w:lastColumn="0" w:noHBand="0" w:noVBand="1"/>
      </w:tblPr>
      <w:tblGrid>
        <w:gridCol w:w="1129"/>
        <w:gridCol w:w="6237"/>
        <w:gridCol w:w="1650"/>
      </w:tblGrid>
      <w:tr w:rsidR="009F01D8" w:rsidRPr="00F63CD5" w14:paraId="00AED121" w14:textId="77777777" w:rsidTr="009F01D8">
        <w:trPr>
          <w:trHeight w:val="279"/>
        </w:trPr>
        <w:tc>
          <w:tcPr>
            <w:tcW w:w="1129" w:type="dxa"/>
            <w:hideMark/>
          </w:tcPr>
          <w:p w14:paraId="0BA27196"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37" w:type="dxa"/>
            <w:hideMark/>
          </w:tcPr>
          <w:p w14:paraId="71EC465B"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650" w:type="dxa"/>
            <w:hideMark/>
          </w:tcPr>
          <w:p w14:paraId="1053FA1C"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F63CD5" w14:paraId="21F1DCE5" w14:textId="77777777" w:rsidTr="009F01D8">
        <w:trPr>
          <w:trHeight w:val="279"/>
        </w:trPr>
        <w:tc>
          <w:tcPr>
            <w:tcW w:w="1129" w:type="dxa"/>
            <w:noWrap/>
            <w:hideMark/>
          </w:tcPr>
          <w:p w14:paraId="4D998101"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37" w:type="dxa"/>
            <w:noWrap/>
            <w:hideMark/>
          </w:tcPr>
          <w:p w14:paraId="14F6EF0A"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w:t>
            </w:r>
          </w:p>
        </w:tc>
        <w:tc>
          <w:tcPr>
            <w:tcW w:w="1650" w:type="dxa"/>
            <w:noWrap/>
            <w:hideMark/>
          </w:tcPr>
          <w:p w14:paraId="603D123F" w14:textId="77777777" w:rsidR="009F01D8" w:rsidRPr="002B28C3" w:rsidRDefault="009F01D8" w:rsidP="009F01D8">
            <w:pPr>
              <w:rPr>
                <w:rFonts w:asciiTheme="majorBidi" w:hAnsiTheme="majorBidi" w:cstheme="majorBidi"/>
              </w:rPr>
            </w:pPr>
            <w:r w:rsidRPr="002B28C3">
              <w:rPr>
                <w:rFonts w:asciiTheme="majorBidi" w:hAnsiTheme="majorBidi" w:cstheme="majorBidi"/>
              </w:rPr>
              <w:t>40171</w:t>
            </w:r>
          </w:p>
        </w:tc>
      </w:tr>
      <w:tr w:rsidR="009F01D8" w:rsidRPr="00F63CD5" w14:paraId="5A1583C5" w14:textId="77777777" w:rsidTr="009F01D8">
        <w:trPr>
          <w:trHeight w:val="279"/>
        </w:trPr>
        <w:tc>
          <w:tcPr>
            <w:tcW w:w="1129" w:type="dxa"/>
            <w:noWrap/>
            <w:hideMark/>
          </w:tcPr>
          <w:p w14:paraId="56B40725"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37" w:type="dxa"/>
            <w:noWrap/>
            <w:hideMark/>
          </w:tcPr>
          <w:p w14:paraId="5382FAFF" w14:textId="77777777" w:rsidR="009F01D8" w:rsidRPr="002B28C3" w:rsidRDefault="009F01D8" w:rsidP="009F01D8">
            <w:pPr>
              <w:rPr>
                <w:rFonts w:asciiTheme="majorBidi" w:hAnsiTheme="majorBidi" w:cstheme="majorBidi"/>
              </w:rPr>
            </w:pPr>
            <w:r w:rsidRPr="002B28C3">
              <w:rPr>
                <w:rFonts w:asciiTheme="majorBidi" w:hAnsiTheme="majorBidi" w:cstheme="majorBidi"/>
              </w:rPr>
              <w:t>urinary tract infection*.</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62E3D955" w14:textId="77777777" w:rsidR="009F01D8" w:rsidRPr="002B28C3" w:rsidRDefault="009F01D8" w:rsidP="009F01D8">
            <w:pPr>
              <w:rPr>
                <w:rFonts w:asciiTheme="majorBidi" w:hAnsiTheme="majorBidi" w:cstheme="majorBidi"/>
              </w:rPr>
            </w:pPr>
            <w:r w:rsidRPr="002B28C3">
              <w:rPr>
                <w:rFonts w:asciiTheme="majorBidi" w:hAnsiTheme="majorBidi" w:cstheme="majorBidi"/>
              </w:rPr>
              <w:t>42550</w:t>
            </w:r>
          </w:p>
        </w:tc>
      </w:tr>
      <w:tr w:rsidR="009F01D8" w:rsidRPr="00F63CD5" w14:paraId="2CD6555E" w14:textId="77777777" w:rsidTr="009F01D8">
        <w:trPr>
          <w:trHeight w:val="279"/>
        </w:trPr>
        <w:tc>
          <w:tcPr>
            <w:tcW w:w="1129" w:type="dxa"/>
            <w:noWrap/>
            <w:hideMark/>
          </w:tcPr>
          <w:p w14:paraId="066CFA01"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237" w:type="dxa"/>
            <w:noWrap/>
            <w:hideMark/>
          </w:tcPr>
          <w:p w14:paraId="1DBFBF3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proofErr w:type="gramStart"/>
            <w:r w:rsidRPr="002B28C3">
              <w:rPr>
                <w:rFonts w:asciiTheme="majorBidi" w:hAnsiTheme="majorBidi" w:cstheme="majorBidi"/>
              </w:rPr>
              <w:t>uti</w:t>
            </w:r>
            <w:proofErr w:type="spellEnd"/>
            <w:proofErr w:type="gramEnd"/>
            <w:r w:rsidRPr="002B28C3">
              <w:rPr>
                <w:rFonts w:asciiTheme="majorBidi" w:hAnsiTheme="majorBidi" w:cstheme="majorBidi"/>
              </w:rPr>
              <w:t xml:space="preserve"> or </w:t>
            </w:r>
            <w:proofErr w:type="spellStart"/>
            <w:r w:rsidRPr="002B28C3">
              <w:rPr>
                <w:rFonts w:asciiTheme="majorBidi" w:hAnsiTheme="majorBidi" w:cstheme="majorBidi"/>
              </w:rPr>
              <w:t>utis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cuti</w:t>
            </w:r>
            <w:proofErr w:type="spellEnd"/>
            <w:r w:rsidRPr="002B28C3">
              <w:rPr>
                <w:rFonts w:asciiTheme="majorBidi" w:hAnsiTheme="majorBidi" w:cstheme="majorBidi"/>
              </w:rPr>
              <w:t xml:space="preserve"> or cutis).</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6018A748" w14:textId="77777777" w:rsidR="009F01D8" w:rsidRPr="002B28C3" w:rsidRDefault="009F01D8" w:rsidP="009F01D8">
            <w:pPr>
              <w:rPr>
                <w:rFonts w:asciiTheme="majorBidi" w:hAnsiTheme="majorBidi" w:cstheme="majorBidi"/>
              </w:rPr>
            </w:pPr>
            <w:r w:rsidRPr="002B28C3">
              <w:rPr>
                <w:rFonts w:asciiTheme="majorBidi" w:hAnsiTheme="majorBidi" w:cstheme="majorBidi"/>
              </w:rPr>
              <w:t>17530</w:t>
            </w:r>
          </w:p>
        </w:tc>
      </w:tr>
      <w:tr w:rsidR="009F01D8" w:rsidRPr="00F63CD5" w14:paraId="6FDAE83E" w14:textId="77777777" w:rsidTr="009F01D8">
        <w:trPr>
          <w:trHeight w:val="279"/>
        </w:trPr>
        <w:tc>
          <w:tcPr>
            <w:tcW w:w="1129" w:type="dxa"/>
            <w:noWrap/>
            <w:hideMark/>
          </w:tcPr>
          <w:p w14:paraId="3595B351"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237" w:type="dxa"/>
            <w:noWrap/>
            <w:hideMark/>
          </w:tcPr>
          <w:p w14:paraId="4B0CFECB"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pneumonia/</w:t>
            </w:r>
          </w:p>
        </w:tc>
        <w:tc>
          <w:tcPr>
            <w:tcW w:w="1650" w:type="dxa"/>
            <w:noWrap/>
            <w:hideMark/>
          </w:tcPr>
          <w:p w14:paraId="4C979FD1" w14:textId="77777777" w:rsidR="009F01D8" w:rsidRPr="002B28C3" w:rsidRDefault="009F01D8" w:rsidP="009F01D8">
            <w:pPr>
              <w:rPr>
                <w:rFonts w:asciiTheme="majorBidi" w:hAnsiTheme="majorBidi" w:cstheme="majorBidi"/>
              </w:rPr>
            </w:pPr>
            <w:r w:rsidRPr="002B28C3">
              <w:rPr>
                <w:rFonts w:asciiTheme="majorBidi" w:hAnsiTheme="majorBidi" w:cstheme="majorBidi"/>
              </w:rPr>
              <w:t>182723</w:t>
            </w:r>
          </w:p>
        </w:tc>
      </w:tr>
      <w:tr w:rsidR="009F01D8" w:rsidRPr="00F63CD5" w14:paraId="503F5180" w14:textId="77777777" w:rsidTr="009F01D8">
        <w:trPr>
          <w:trHeight w:val="279"/>
        </w:trPr>
        <w:tc>
          <w:tcPr>
            <w:tcW w:w="1129" w:type="dxa"/>
            <w:noWrap/>
            <w:hideMark/>
          </w:tcPr>
          <w:p w14:paraId="3C0C9220"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237" w:type="dxa"/>
            <w:noWrap/>
            <w:hideMark/>
          </w:tcPr>
          <w:p w14:paraId="494EBC5A"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pneumon</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6C9CA3A8" w14:textId="77777777" w:rsidR="009F01D8" w:rsidRPr="002B28C3" w:rsidRDefault="009F01D8" w:rsidP="009F01D8">
            <w:pPr>
              <w:rPr>
                <w:rFonts w:asciiTheme="majorBidi" w:hAnsiTheme="majorBidi" w:cstheme="majorBidi"/>
              </w:rPr>
            </w:pPr>
            <w:r w:rsidRPr="002B28C3">
              <w:rPr>
                <w:rFonts w:asciiTheme="majorBidi" w:hAnsiTheme="majorBidi" w:cstheme="majorBidi"/>
              </w:rPr>
              <w:t>202985</w:t>
            </w:r>
          </w:p>
        </w:tc>
      </w:tr>
      <w:tr w:rsidR="009F01D8" w:rsidRPr="00F63CD5" w14:paraId="752345A2" w14:textId="77777777" w:rsidTr="009F01D8">
        <w:trPr>
          <w:trHeight w:val="279"/>
        </w:trPr>
        <w:tc>
          <w:tcPr>
            <w:tcW w:w="1129" w:type="dxa"/>
            <w:noWrap/>
            <w:hideMark/>
          </w:tcPr>
          <w:p w14:paraId="282683E0"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237" w:type="dxa"/>
            <w:noWrap/>
            <w:hideMark/>
          </w:tcPr>
          <w:p w14:paraId="689E0330"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intensive care unit/</w:t>
            </w:r>
          </w:p>
        </w:tc>
        <w:tc>
          <w:tcPr>
            <w:tcW w:w="1650" w:type="dxa"/>
            <w:noWrap/>
            <w:hideMark/>
          </w:tcPr>
          <w:p w14:paraId="10ED27F9" w14:textId="77777777" w:rsidR="009F01D8" w:rsidRPr="002B28C3" w:rsidRDefault="009F01D8" w:rsidP="009F01D8">
            <w:pPr>
              <w:rPr>
                <w:rFonts w:asciiTheme="majorBidi" w:hAnsiTheme="majorBidi" w:cstheme="majorBidi"/>
              </w:rPr>
            </w:pPr>
            <w:r w:rsidRPr="002B28C3">
              <w:rPr>
                <w:rFonts w:asciiTheme="majorBidi" w:hAnsiTheme="majorBidi" w:cstheme="majorBidi"/>
              </w:rPr>
              <w:t>91779</w:t>
            </w:r>
          </w:p>
        </w:tc>
      </w:tr>
      <w:tr w:rsidR="009F01D8" w:rsidRPr="00F63CD5" w14:paraId="6DF51B83" w14:textId="77777777" w:rsidTr="009F01D8">
        <w:trPr>
          <w:trHeight w:val="279"/>
        </w:trPr>
        <w:tc>
          <w:tcPr>
            <w:tcW w:w="1129" w:type="dxa"/>
            <w:noWrap/>
            <w:hideMark/>
          </w:tcPr>
          <w:p w14:paraId="6533514F" w14:textId="77777777" w:rsidR="009F01D8" w:rsidRPr="002B28C3" w:rsidRDefault="009F01D8" w:rsidP="009F01D8">
            <w:pPr>
              <w:rPr>
                <w:rFonts w:asciiTheme="majorBidi" w:hAnsiTheme="majorBidi" w:cstheme="majorBidi"/>
              </w:rPr>
            </w:pPr>
            <w:r w:rsidRPr="002B28C3">
              <w:rPr>
                <w:rFonts w:asciiTheme="majorBidi" w:hAnsiTheme="majorBidi" w:cstheme="majorBidi"/>
              </w:rPr>
              <w:t>7</w:t>
            </w:r>
          </w:p>
        </w:tc>
        <w:tc>
          <w:tcPr>
            <w:tcW w:w="6237" w:type="dxa"/>
            <w:noWrap/>
            <w:hideMark/>
          </w:tcPr>
          <w:p w14:paraId="7CC32E78"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((hospital* or ventilator* or </w:t>
            </w:r>
            <w:proofErr w:type="spellStart"/>
            <w:r w:rsidRPr="002B28C3">
              <w:rPr>
                <w:rFonts w:asciiTheme="majorBidi" w:hAnsiTheme="majorBidi" w:cstheme="majorBidi"/>
              </w:rPr>
              <w:t>icu</w:t>
            </w:r>
            <w:proofErr w:type="spellEnd"/>
            <w:r w:rsidRPr="002B28C3">
              <w:rPr>
                <w:rFonts w:asciiTheme="majorBidi" w:hAnsiTheme="majorBidi" w:cstheme="majorBidi"/>
              </w:rPr>
              <w:t xml:space="preserve"> or intensive care) adj3 (acquired or </w:t>
            </w:r>
            <w:proofErr w:type="spellStart"/>
            <w:r w:rsidRPr="002B28C3">
              <w:rPr>
                <w:rFonts w:asciiTheme="majorBidi" w:hAnsiTheme="majorBidi" w:cstheme="majorBidi"/>
              </w:rPr>
              <w:t>associat</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66DAAB93" w14:textId="77777777" w:rsidR="009F01D8" w:rsidRPr="002B28C3" w:rsidRDefault="009F01D8" w:rsidP="009F01D8">
            <w:pPr>
              <w:rPr>
                <w:rFonts w:asciiTheme="majorBidi" w:hAnsiTheme="majorBidi" w:cstheme="majorBidi"/>
              </w:rPr>
            </w:pPr>
            <w:r w:rsidRPr="002B28C3">
              <w:rPr>
                <w:rFonts w:asciiTheme="majorBidi" w:hAnsiTheme="majorBidi" w:cstheme="majorBidi"/>
              </w:rPr>
              <w:t>49262</w:t>
            </w:r>
          </w:p>
        </w:tc>
      </w:tr>
      <w:tr w:rsidR="009F01D8" w:rsidRPr="00F63CD5" w14:paraId="38746148" w14:textId="77777777" w:rsidTr="009F01D8">
        <w:trPr>
          <w:trHeight w:val="279"/>
        </w:trPr>
        <w:tc>
          <w:tcPr>
            <w:tcW w:w="1129" w:type="dxa"/>
            <w:noWrap/>
            <w:hideMark/>
          </w:tcPr>
          <w:p w14:paraId="6F2D6D1E"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c>
          <w:tcPr>
            <w:tcW w:w="6237" w:type="dxa"/>
            <w:noWrap/>
            <w:hideMark/>
          </w:tcPr>
          <w:p w14:paraId="3CC013E8" w14:textId="77777777" w:rsidR="009F01D8" w:rsidRPr="002B28C3" w:rsidRDefault="009F01D8" w:rsidP="009F01D8">
            <w:pPr>
              <w:rPr>
                <w:rFonts w:asciiTheme="majorBidi" w:hAnsiTheme="majorBidi" w:cstheme="majorBidi"/>
              </w:rPr>
            </w:pPr>
            <w:r w:rsidRPr="002B28C3">
              <w:rPr>
                <w:rFonts w:asciiTheme="majorBidi" w:hAnsiTheme="majorBidi" w:cstheme="majorBidi"/>
              </w:rPr>
              <w:t>ventilator associated pneumonia/</w:t>
            </w:r>
          </w:p>
        </w:tc>
        <w:tc>
          <w:tcPr>
            <w:tcW w:w="1650" w:type="dxa"/>
            <w:noWrap/>
            <w:hideMark/>
          </w:tcPr>
          <w:p w14:paraId="2FC87670" w14:textId="77777777" w:rsidR="009F01D8" w:rsidRPr="002B28C3" w:rsidRDefault="009F01D8" w:rsidP="009F01D8">
            <w:pPr>
              <w:rPr>
                <w:rFonts w:asciiTheme="majorBidi" w:hAnsiTheme="majorBidi" w:cstheme="majorBidi"/>
              </w:rPr>
            </w:pPr>
            <w:r w:rsidRPr="002B28C3">
              <w:rPr>
                <w:rFonts w:asciiTheme="majorBidi" w:hAnsiTheme="majorBidi" w:cstheme="majorBidi"/>
              </w:rPr>
              <w:t>3730</w:t>
            </w:r>
          </w:p>
        </w:tc>
      </w:tr>
      <w:tr w:rsidR="009F01D8" w:rsidRPr="00F63CD5" w14:paraId="4788BD0B" w14:textId="77777777" w:rsidTr="009F01D8">
        <w:trPr>
          <w:trHeight w:val="279"/>
        </w:trPr>
        <w:tc>
          <w:tcPr>
            <w:tcW w:w="1129" w:type="dxa"/>
            <w:noWrap/>
            <w:hideMark/>
          </w:tcPr>
          <w:p w14:paraId="63C4E2A4" w14:textId="77777777" w:rsidR="009F01D8" w:rsidRPr="002B28C3" w:rsidRDefault="009F01D8" w:rsidP="009F01D8">
            <w:pPr>
              <w:rPr>
                <w:rFonts w:asciiTheme="majorBidi" w:hAnsiTheme="majorBidi" w:cstheme="majorBidi"/>
              </w:rPr>
            </w:pPr>
            <w:r w:rsidRPr="002B28C3">
              <w:rPr>
                <w:rFonts w:asciiTheme="majorBidi" w:hAnsiTheme="majorBidi" w:cstheme="majorBidi"/>
              </w:rPr>
              <w:t>9</w:t>
            </w:r>
          </w:p>
        </w:tc>
        <w:tc>
          <w:tcPr>
            <w:tcW w:w="6237" w:type="dxa"/>
            <w:noWrap/>
            <w:hideMark/>
          </w:tcPr>
          <w:p w14:paraId="1337A577"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hap</w:t>
            </w:r>
            <w:proofErr w:type="gramEnd"/>
            <w:r w:rsidRPr="002B28C3">
              <w:rPr>
                <w:rFonts w:asciiTheme="majorBidi" w:hAnsiTheme="majorBidi" w:cstheme="majorBidi"/>
              </w:rPr>
              <w:t xml:space="preserve"> or </w:t>
            </w:r>
            <w:proofErr w:type="spellStart"/>
            <w:r w:rsidRPr="002B28C3">
              <w:rPr>
                <w:rFonts w:asciiTheme="majorBidi" w:hAnsiTheme="majorBidi" w:cstheme="majorBidi"/>
              </w:rPr>
              <w:t>vap</w:t>
            </w:r>
            <w:proofErr w:type="spellEnd"/>
            <w:r w:rsidRPr="002B28C3">
              <w:rPr>
                <w:rFonts w:asciiTheme="majorBidi" w:hAnsiTheme="majorBidi" w:cstheme="majorBidi"/>
              </w:rPr>
              <w:t>).</w:t>
            </w:r>
            <w:proofErr w:type="spellStart"/>
            <w:r w:rsidRPr="002B28C3">
              <w:rPr>
                <w:rFonts w:asciiTheme="majorBidi" w:hAnsiTheme="majorBidi" w:cstheme="majorBidi"/>
              </w:rPr>
              <w:t>tw</w:t>
            </w:r>
            <w:proofErr w:type="spellEnd"/>
            <w:r w:rsidRPr="002B28C3">
              <w:rPr>
                <w:rFonts w:asciiTheme="majorBidi" w:hAnsiTheme="majorBidi" w:cstheme="majorBidi"/>
              </w:rPr>
              <w:t>.</w:t>
            </w:r>
          </w:p>
        </w:tc>
        <w:tc>
          <w:tcPr>
            <w:tcW w:w="1650" w:type="dxa"/>
            <w:noWrap/>
            <w:hideMark/>
          </w:tcPr>
          <w:p w14:paraId="58D391AF" w14:textId="77777777" w:rsidR="009F01D8" w:rsidRPr="002B28C3" w:rsidRDefault="009F01D8" w:rsidP="009F01D8">
            <w:pPr>
              <w:rPr>
                <w:rFonts w:asciiTheme="majorBidi" w:hAnsiTheme="majorBidi" w:cstheme="majorBidi"/>
              </w:rPr>
            </w:pPr>
            <w:r w:rsidRPr="002B28C3">
              <w:rPr>
                <w:rFonts w:asciiTheme="majorBidi" w:hAnsiTheme="majorBidi" w:cstheme="majorBidi"/>
              </w:rPr>
              <w:t>10187</w:t>
            </w:r>
          </w:p>
        </w:tc>
      </w:tr>
      <w:tr w:rsidR="009F01D8" w:rsidRPr="00F63CD5" w14:paraId="145E2FA3" w14:textId="77777777" w:rsidTr="009F01D8">
        <w:trPr>
          <w:trHeight w:val="279"/>
        </w:trPr>
        <w:tc>
          <w:tcPr>
            <w:tcW w:w="1129" w:type="dxa"/>
            <w:noWrap/>
            <w:hideMark/>
          </w:tcPr>
          <w:p w14:paraId="63C919FF" w14:textId="77777777" w:rsidR="009F01D8" w:rsidRPr="002B28C3" w:rsidRDefault="009F01D8" w:rsidP="009F01D8">
            <w:pPr>
              <w:rPr>
                <w:rFonts w:asciiTheme="majorBidi" w:hAnsiTheme="majorBidi" w:cstheme="majorBidi"/>
              </w:rPr>
            </w:pPr>
            <w:r w:rsidRPr="002B28C3">
              <w:rPr>
                <w:rFonts w:asciiTheme="majorBidi" w:hAnsiTheme="majorBidi" w:cstheme="majorBidi"/>
              </w:rPr>
              <w:t>10</w:t>
            </w:r>
          </w:p>
        </w:tc>
        <w:tc>
          <w:tcPr>
            <w:tcW w:w="6237" w:type="dxa"/>
            <w:noWrap/>
            <w:hideMark/>
          </w:tcPr>
          <w:p w14:paraId="34F74506" w14:textId="77777777" w:rsidR="009F01D8" w:rsidRPr="002B28C3" w:rsidRDefault="009F01D8" w:rsidP="009F01D8">
            <w:pPr>
              <w:rPr>
                <w:rFonts w:asciiTheme="majorBidi" w:hAnsiTheme="majorBidi" w:cstheme="majorBidi"/>
              </w:rPr>
            </w:pPr>
            <w:r w:rsidRPr="002B28C3">
              <w:rPr>
                <w:rFonts w:asciiTheme="majorBidi" w:hAnsiTheme="majorBidi" w:cstheme="majorBidi"/>
              </w:rPr>
              <w:t>(4 or 5) and (6 or 7)</w:t>
            </w:r>
          </w:p>
        </w:tc>
        <w:tc>
          <w:tcPr>
            <w:tcW w:w="1650" w:type="dxa"/>
            <w:noWrap/>
            <w:hideMark/>
          </w:tcPr>
          <w:p w14:paraId="0D1FB48D" w14:textId="77777777" w:rsidR="009F01D8" w:rsidRPr="002B28C3" w:rsidRDefault="009F01D8" w:rsidP="009F01D8">
            <w:pPr>
              <w:rPr>
                <w:rFonts w:asciiTheme="majorBidi" w:hAnsiTheme="majorBidi" w:cstheme="majorBidi"/>
              </w:rPr>
            </w:pPr>
            <w:r w:rsidRPr="002B28C3">
              <w:rPr>
                <w:rFonts w:asciiTheme="majorBidi" w:hAnsiTheme="majorBidi" w:cstheme="majorBidi"/>
              </w:rPr>
              <w:t>17538</w:t>
            </w:r>
          </w:p>
        </w:tc>
      </w:tr>
      <w:tr w:rsidR="009F01D8" w:rsidRPr="00F63CD5" w14:paraId="3FEAD230" w14:textId="77777777" w:rsidTr="009F01D8">
        <w:trPr>
          <w:trHeight w:val="279"/>
        </w:trPr>
        <w:tc>
          <w:tcPr>
            <w:tcW w:w="1129" w:type="dxa"/>
            <w:noWrap/>
            <w:hideMark/>
          </w:tcPr>
          <w:p w14:paraId="7C562C58" w14:textId="77777777" w:rsidR="009F01D8" w:rsidRPr="002B28C3" w:rsidRDefault="009F01D8" w:rsidP="009F01D8">
            <w:pPr>
              <w:rPr>
                <w:rFonts w:asciiTheme="majorBidi" w:hAnsiTheme="majorBidi" w:cstheme="majorBidi"/>
              </w:rPr>
            </w:pPr>
            <w:r w:rsidRPr="002B28C3">
              <w:rPr>
                <w:rFonts w:asciiTheme="majorBidi" w:hAnsiTheme="majorBidi" w:cstheme="majorBidi"/>
              </w:rPr>
              <w:t>11</w:t>
            </w:r>
          </w:p>
        </w:tc>
        <w:tc>
          <w:tcPr>
            <w:tcW w:w="6237" w:type="dxa"/>
            <w:noWrap/>
            <w:hideMark/>
          </w:tcPr>
          <w:p w14:paraId="10F02BA6" w14:textId="77777777" w:rsidR="009F01D8" w:rsidRPr="002B28C3" w:rsidRDefault="009F01D8" w:rsidP="009F01D8">
            <w:pPr>
              <w:rPr>
                <w:rFonts w:asciiTheme="majorBidi" w:hAnsiTheme="majorBidi" w:cstheme="majorBidi"/>
              </w:rPr>
            </w:pPr>
            <w:r w:rsidRPr="002B28C3">
              <w:rPr>
                <w:rFonts w:asciiTheme="majorBidi" w:hAnsiTheme="majorBidi" w:cstheme="majorBidi"/>
              </w:rPr>
              <w:t>1 or 2 or 3 or 8 or 9 or 10</w:t>
            </w:r>
          </w:p>
        </w:tc>
        <w:tc>
          <w:tcPr>
            <w:tcW w:w="1650" w:type="dxa"/>
            <w:noWrap/>
            <w:hideMark/>
          </w:tcPr>
          <w:p w14:paraId="68C7468F" w14:textId="77777777" w:rsidR="009F01D8" w:rsidRPr="002B28C3" w:rsidRDefault="009F01D8" w:rsidP="009F01D8">
            <w:pPr>
              <w:rPr>
                <w:rFonts w:asciiTheme="majorBidi" w:hAnsiTheme="majorBidi" w:cstheme="majorBidi"/>
              </w:rPr>
            </w:pPr>
            <w:r w:rsidRPr="002B28C3">
              <w:rPr>
                <w:rFonts w:asciiTheme="majorBidi" w:hAnsiTheme="majorBidi" w:cstheme="majorBidi"/>
              </w:rPr>
              <w:t>91372</w:t>
            </w:r>
          </w:p>
        </w:tc>
      </w:tr>
      <w:tr w:rsidR="009F01D8" w:rsidRPr="00F63CD5" w14:paraId="1C75D777" w14:textId="77777777" w:rsidTr="009F01D8">
        <w:trPr>
          <w:trHeight w:val="279"/>
        </w:trPr>
        <w:tc>
          <w:tcPr>
            <w:tcW w:w="1129" w:type="dxa"/>
            <w:noWrap/>
            <w:hideMark/>
          </w:tcPr>
          <w:p w14:paraId="2E8E470B" w14:textId="77777777" w:rsidR="009F01D8" w:rsidRPr="002B28C3" w:rsidRDefault="009F01D8" w:rsidP="009F01D8">
            <w:pPr>
              <w:rPr>
                <w:rFonts w:asciiTheme="majorBidi" w:hAnsiTheme="majorBidi" w:cstheme="majorBidi"/>
              </w:rPr>
            </w:pPr>
            <w:r w:rsidRPr="002B28C3">
              <w:rPr>
                <w:rFonts w:asciiTheme="majorBidi" w:hAnsiTheme="majorBidi" w:cstheme="majorBidi"/>
              </w:rPr>
              <w:t>12</w:t>
            </w:r>
          </w:p>
        </w:tc>
        <w:tc>
          <w:tcPr>
            <w:tcW w:w="6237" w:type="dxa"/>
            <w:noWrap/>
            <w:hideMark/>
          </w:tcPr>
          <w:p w14:paraId="23482F0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inappropriat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inadequat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ineffectiv</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discordan</w:t>
            </w:r>
            <w:proofErr w:type="spellEnd"/>
            <w:r w:rsidRPr="002B28C3">
              <w:rPr>
                <w:rFonts w:asciiTheme="majorBidi" w:hAnsiTheme="majorBidi" w:cstheme="majorBidi"/>
              </w:rPr>
              <w:t xml:space="preserve">$ or incorrect$ or </w:t>
            </w:r>
            <w:proofErr w:type="spellStart"/>
            <w:r w:rsidRPr="002B28C3">
              <w:rPr>
                <w:rFonts w:asciiTheme="majorBidi" w:hAnsiTheme="majorBidi" w:cstheme="majorBidi"/>
              </w:rPr>
              <w:t>appropriat</w:t>
            </w:r>
            <w:proofErr w:type="spellEnd"/>
            <w:r w:rsidRPr="002B28C3">
              <w:rPr>
                <w:rFonts w:asciiTheme="majorBidi" w:hAnsiTheme="majorBidi" w:cstheme="majorBidi"/>
              </w:rPr>
              <w:t xml:space="preserve">$ or adequate$ or </w:t>
            </w:r>
            <w:proofErr w:type="spellStart"/>
            <w:r w:rsidRPr="002B28C3">
              <w:rPr>
                <w:rFonts w:asciiTheme="majorBidi" w:hAnsiTheme="majorBidi" w:cstheme="majorBidi"/>
              </w:rPr>
              <w:t>concordan</w:t>
            </w:r>
            <w:proofErr w:type="spellEnd"/>
            <w:r w:rsidRPr="002B28C3">
              <w:rPr>
                <w:rFonts w:asciiTheme="majorBidi" w:hAnsiTheme="majorBidi" w:cstheme="majorBidi"/>
              </w:rPr>
              <w:t xml:space="preserve">$) and (antibiotic$ or anti-biotic$ or antimicrobial$ or anti-microbial$ or antibacterial$ or anti-bacterial$ or </w:t>
            </w:r>
            <w:proofErr w:type="spellStart"/>
            <w:r w:rsidRPr="002B28C3">
              <w:rPr>
                <w:rFonts w:asciiTheme="majorBidi" w:hAnsiTheme="majorBidi" w:cstheme="majorBidi"/>
              </w:rPr>
              <w:t>bacteriocid</w:t>
            </w:r>
            <w:proofErr w:type="spellEnd"/>
            <w:r w:rsidRPr="002B28C3">
              <w:rPr>
                <w:rFonts w:asciiTheme="majorBidi" w:hAnsiTheme="majorBidi" w:cstheme="majorBidi"/>
              </w:rPr>
              <w:t>$ or antimycobacterial$ or anti-mycobacterial$)).</w:t>
            </w:r>
            <w:proofErr w:type="spellStart"/>
            <w:r w:rsidRPr="002B28C3">
              <w:rPr>
                <w:rFonts w:asciiTheme="majorBidi" w:hAnsiTheme="majorBidi" w:cstheme="majorBidi"/>
              </w:rPr>
              <w:t>ti</w:t>
            </w:r>
            <w:proofErr w:type="spellEnd"/>
            <w:r w:rsidRPr="002B28C3">
              <w:rPr>
                <w:rFonts w:asciiTheme="majorBidi" w:hAnsiTheme="majorBidi" w:cstheme="majorBidi"/>
              </w:rPr>
              <w:t>.</w:t>
            </w:r>
          </w:p>
        </w:tc>
        <w:tc>
          <w:tcPr>
            <w:tcW w:w="1650" w:type="dxa"/>
            <w:noWrap/>
            <w:hideMark/>
          </w:tcPr>
          <w:p w14:paraId="23415565" w14:textId="77777777" w:rsidR="009F01D8" w:rsidRPr="002B28C3" w:rsidRDefault="009F01D8" w:rsidP="009F01D8">
            <w:pPr>
              <w:rPr>
                <w:rFonts w:asciiTheme="majorBidi" w:hAnsiTheme="majorBidi" w:cstheme="majorBidi"/>
              </w:rPr>
            </w:pPr>
            <w:r w:rsidRPr="002B28C3">
              <w:rPr>
                <w:rFonts w:asciiTheme="majorBidi" w:hAnsiTheme="majorBidi" w:cstheme="majorBidi"/>
              </w:rPr>
              <w:t>1302</w:t>
            </w:r>
          </w:p>
        </w:tc>
      </w:tr>
      <w:tr w:rsidR="009F01D8" w:rsidRPr="00F63CD5" w14:paraId="64CBBDD7" w14:textId="77777777" w:rsidTr="009F01D8">
        <w:trPr>
          <w:trHeight w:val="279"/>
        </w:trPr>
        <w:tc>
          <w:tcPr>
            <w:tcW w:w="1129" w:type="dxa"/>
            <w:noWrap/>
            <w:hideMark/>
          </w:tcPr>
          <w:p w14:paraId="6FD7A68D" w14:textId="77777777" w:rsidR="009F01D8" w:rsidRPr="002B28C3" w:rsidRDefault="009F01D8" w:rsidP="009F01D8">
            <w:pPr>
              <w:rPr>
                <w:rFonts w:asciiTheme="majorBidi" w:hAnsiTheme="majorBidi" w:cstheme="majorBidi"/>
              </w:rPr>
            </w:pPr>
            <w:r w:rsidRPr="002B28C3">
              <w:rPr>
                <w:rFonts w:asciiTheme="majorBidi" w:hAnsiTheme="majorBidi" w:cstheme="majorBidi"/>
              </w:rPr>
              <w:t>13</w:t>
            </w:r>
          </w:p>
        </w:tc>
        <w:tc>
          <w:tcPr>
            <w:tcW w:w="6237" w:type="dxa"/>
            <w:noWrap/>
            <w:hideMark/>
          </w:tcPr>
          <w:p w14:paraId="3F1D6383"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inappropriat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inadequat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ineffectiv</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discordan</w:t>
            </w:r>
            <w:proofErr w:type="spellEnd"/>
            <w:r w:rsidRPr="002B28C3">
              <w:rPr>
                <w:rFonts w:asciiTheme="majorBidi" w:hAnsiTheme="majorBidi" w:cstheme="majorBidi"/>
              </w:rPr>
              <w:t xml:space="preserve">$ or incorrect$ or </w:t>
            </w:r>
            <w:proofErr w:type="spellStart"/>
            <w:r w:rsidRPr="002B28C3">
              <w:rPr>
                <w:rFonts w:asciiTheme="majorBidi" w:hAnsiTheme="majorBidi" w:cstheme="majorBidi"/>
              </w:rPr>
              <w:t>appropriat</w:t>
            </w:r>
            <w:proofErr w:type="spellEnd"/>
            <w:r w:rsidRPr="002B28C3">
              <w:rPr>
                <w:rFonts w:asciiTheme="majorBidi" w:hAnsiTheme="majorBidi" w:cstheme="majorBidi"/>
              </w:rPr>
              <w:t xml:space="preserve">$ or adequate$ or </w:t>
            </w:r>
            <w:proofErr w:type="spellStart"/>
            <w:r w:rsidRPr="002B28C3">
              <w:rPr>
                <w:rFonts w:asciiTheme="majorBidi" w:hAnsiTheme="majorBidi" w:cstheme="majorBidi"/>
              </w:rPr>
              <w:t>concordan</w:t>
            </w:r>
            <w:proofErr w:type="spellEnd"/>
            <w:r w:rsidRPr="002B28C3">
              <w:rPr>
                <w:rFonts w:asciiTheme="majorBidi" w:hAnsiTheme="majorBidi" w:cstheme="majorBidi"/>
              </w:rPr>
              <w:t xml:space="preserve">$) adj3 (antibiotic$ or anti-biotic$ or antimicrobial$ or anti-microbial$ or antibacterial$ or anti-bacterial$ or </w:t>
            </w:r>
            <w:proofErr w:type="spellStart"/>
            <w:r w:rsidRPr="002B28C3">
              <w:rPr>
                <w:rFonts w:asciiTheme="majorBidi" w:hAnsiTheme="majorBidi" w:cstheme="majorBidi"/>
              </w:rPr>
              <w:t>bacteriocid</w:t>
            </w:r>
            <w:proofErr w:type="spellEnd"/>
            <w:r w:rsidRPr="002B28C3">
              <w:rPr>
                <w:rFonts w:asciiTheme="majorBidi" w:hAnsiTheme="majorBidi" w:cstheme="majorBidi"/>
              </w:rPr>
              <w:t>$ or antimycobacterial$ or anti-mycobacterial$)</w:t>
            </w:r>
            <w:proofErr w:type="gramStart"/>
            <w:r w:rsidRPr="002B28C3">
              <w:rPr>
                <w:rFonts w:asciiTheme="majorBidi" w:hAnsiTheme="majorBidi" w:cstheme="majorBidi"/>
              </w:rPr>
              <w:t>).</w:t>
            </w:r>
            <w:proofErr w:type="spellStart"/>
            <w:r w:rsidRPr="002B28C3">
              <w:rPr>
                <w:rFonts w:asciiTheme="majorBidi" w:hAnsiTheme="majorBidi" w:cstheme="majorBidi"/>
              </w:rPr>
              <w:t>ab</w:t>
            </w:r>
            <w:proofErr w:type="gramEnd"/>
            <w:r w:rsidRPr="002B28C3">
              <w:rPr>
                <w:rFonts w:asciiTheme="majorBidi" w:hAnsiTheme="majorBidi" w:cstheme="majorBidi"/>
              </w:rPr>
              <w:t>,kf</w:t>
            </w:r>
            <w:proofErr w:type="spellEnd"/>
            <w:r w:rsidRPr="002B28C3">
              <w:rPr>
                <w:rFonts w:asciiTheme="majorBidi" w:hAnsiTheme="majorBidi" w:cstheme="majorBidi"/>
              </w:rPr>
              <w:t>.</w:t>
            </w:r>
          </w:p>
        </w:tc>
        <w:tc>
          <w:tcPr>
            <w:tcW w:w="1650" w:type="dxa"/>
            <w:noWrap/>
            <w:hideMark/>
          </w:tcPr>
          <w:p w14:paraId="657F6ED5" w14:textId="77777777" w:rsidR="009F01D8" w:rsidRPr="002B28C3" w:rsidRDefault="009F01D8" w:rsidP="009F01D8">
            <w:pPr>
              <w:rPr>
                <w:rFonts w:asciiTheme="majorBidi" w:hAnsiTheme="majorBidi" w:cstheme="majorBidi"/>
              </w:rPr>
            </w:pPr>
            <w:r w:rsidRPr="002B28C3">
              <w:rPr>
                <w:rFonts w:asciiTheme="majorBidi" w:hAnsiTheme="majorBidi" w:cstheme="majorBidi"/>
              </w:rPr>
              <w:t>16750</w:t>
            </w:r>
          </w:p>
        </w:tc>
      </w:tr>
      <w:tr w:rsidR="009F01D8" w:rsidRPr="00F63CD5" w14:paraId="0DF92156" w14:textId="77777777" w:rsidTr="009F01D8">
        <w:trPr>
          <w:trHeight w:val="279"/>
        </w:trPr>
        <w:tc>
          <w:tcPr>
            <w:tcW w:w="1129" w:type="dxa"/>
            <w:noWrap/>
            <w:hideMark/>
          </w:tcPr>
          <w:p w14:paraId="773EC07C" w14:textId="77777777" w:rsidR="009F01D8" w:rsidRPr="002B28C3" w:rsidRDefault="009F01D8" w:rsidP="009F01D8">
            <w:pPr>
              <w:rPr>
                <w:rFonts w:asciiTheme="majorBidi" w:hAnsiTheme="majorBidi" w:cstheme="majorBidi"/>
              </w:rPr>
            </w:pPr>
            <w:r w:rsidRPr="002B28C3">
              <w:rPr>
                <w:rFonts w:asciiTheme="majorBidi" w:hAnsiTheme="majorBidi" w:cstheme="majorBidi"/>
              </w:rPr>
              <w:t>14</w:t>
            </w:r>
          </w:p>
        </w:tc>
        <w:tc>
          <w:tcPr>
            <w:tcW w:w="6237" w:type="dxa"/>
            <w:noWrap/>
            <w:hideMark/>
          </w:tcPr>
          <w:p w14:paraId="3D6B5E04" w14:textId="77777777" w:rsidR="009F01D8" w:rsidRPr="002B28C3" w:rsidRDefault="009F01D8" w:rsidP="009F01D8">
            <w:pPr>
              <w:rPr>
                <w:rFonts w:asciiTheme="majorBidi" w:hAnsiTheme="majorBidi" w:cstheme="majorBidi"/>
              </w:rPr>
            </w:pPr>
            <w:r w:rsidRPr="002B28C3">
              <w:rPr>
                <w:rFonts w:asciiTheme="majorBidi" w:hAnsiTheme="majorBidi" w:cstheme="majorBidi"/>
              </w:rPr>
              <w:t>12 or 13</w:t>
            </w:r>
          </w:p>
        </w:tc>
        <w:tc>
          <w:tcPr>
            <w:tcW w:w="1650" w:type="dxa"/>
            <w:noWrap/>
            <w:hideMark/>
          </w:tcPr>
          <w:p w14:paraId="5B029ACA" w14:textId="77777777" w:rsidR="009F01D8" w:rsidRPr="002B28C3" w:rsidRDefault="009F01D8" w:rsidP="009F01D8">
            <w:pPr>
              <w:rPr>
                <w:rFonts w:asciiTheme="majorBidi" w:hAnsiTheme="majorBidi" w:cstheme="majorBidi"/>
              </w:rPr>
            </w:pPr>
            <w:r w:rsidRPr="002B28C3">
              <w:rPr>
                <w:rFonts w:asciiTheme="majorBidi" w:hAnsiTheme="majorBidi" w:cstheme="majorBidi"/>
              </w:rPr>
              <w:t>17382</w:t>
            </w:r>
          </w:p>
        </w:tc>
      </w:tr>
      <w:tr w:rsidR="009F01D8" w:rsidRPr="00F63CD5" w14:paraId="6B4E2D91" w14:textId="77777777" w:rsidTr="009F01D8">
        <w:trPr>
          <w:trHeight w:val="279"/>
        </w:trPr>
        <w:tc>
          <w:tcPr>
            <w:tcW w:w="1129" w:type="dxa"/>
            <w:noWrap/>
            <w:hideMark/>
          </w:tcPr>
          <w:p w14:paraId="29808D93" w14:textId="77777777" w:rsidR="009F01D8" w:rsidRPr="002B28C3" w:rsidRDefault="009F01D8" w:rsidP="009F01D8">
            <w:pPr>
              <w:rPr>
                <w:rFonts w:asciiTheme="majorBidi" w:hAnsiTheme="majorBidi" w:cstheme="majorBidi"/>
              </w:rPr>
            </w:pPr>
            <w:r w:rsidRPr="002B28C3">
              <w:rPr>
                <w:rFonts w:asciiTheme="majorBidi" w:hAnsiTheme="majorBidi" w:cstheme="majorBidi"/>
              </w:rPr>
              <w:t>15</w:t>
            </w:r>
          </w:p>
        </w:tc>
        <w:tc>
          <w:tcPr>
            <w:tcW w:w="6237" w:type="dxa"/>
            <w:noWrap/>
            <w:hideMark/>
          </w:tcPr>
          <w:p w14:paraId="43C4161F"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Hospitalization/</w:t>
            </w:r>
          </w:p>
        </w:tc>
        <w:tc>
          <w:tcPr>
            <w:tcW w:w="1650" w:type="dxa"/>
            <w:noWrap/>
            <w:hideMark/>
          </w:tcPr>
          <w:p w14:paraId="5491754F" w14:textId="77777777" w:rsidR="009F01D8" w:rsidRPr="002B28C3" w:rsidRDefault="009F01D8" w:rsidP="009F01D8">
            <w:pPr>
              <w:rPr>
                <w:rFonts w:asciiTheme="majorBidi" w:hAnsiTheme="majorBidi" w:cstheme="majorBidi"/>
              </w:rPr>
            </w:pPr>
            <w:r w:rsidRPr="002B28C3">
              <w:rPr>
                <w:rFonts w:asciiTheme="majorBidi" w:hAnsiTheme="majorBidi" w:cstheme="majorBidi"/>
              </w:rPr>
              <w:t>259764</w:t>
            </w:r>
          </w:p>
        </w:tc>
      </w:tr>
      <w:tr w:rsidR="009F01D8" w:rsidRPr="00F63CD5" w14:paraId="265319B3" w14:textId="77777777" w:rsidTr="009F01D8">
        <w:trPr>
          <w:trHeight w:val="279"/>
        </w:trPr>
        <w:tc>
          <w:tcPr>
            <w:tcW w:w="1129" w:type="dxa"/>
            <w:noWrap/>
            <w:hideMark/>
          </w:tcPr>
          <w:p w14:paraId="3136F3A9" w14:textId="77777777" w:rsidR="009F01D8" w:rsidRPr="002B28C3" w:rsidRDefault="009F01D8" w:rsidP="009F01D8">
            <w:pPr>
              <w:rPr>
                <w:rFonts w:asciiTheme="majorBidi" w:hAnsiTheme="majorBidi" w:cstheme="majorBidi"/>
              </w:rPr>
            </w:pPr>
            <w:r w:rsidRPr="002B28C3">
              <w:rPr>
                <w:rFonts w:asciiTheme="majorBidi" w:hAnsiTheme="majorBidi" w:cstheme="majorBidi"/>
              </w:rPr>
              <w:t>16</w:t>
            </w:r>
          </w:p>
        </w:tc>
        <w:tc>
          <w:tcPr>
            <w:tcW w:w="6237" w:type="dxa"/>
            <w:noWrap/>
            <w:hideMark/>
          </w:tcPr>
          <w:p w14:paraId="242E6819"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Hospitals/ or exp Hospital Units/</w:t>
            </w:r>
          </w:p>
        </w:tc>
        <w:tc>
          <w:tcPr>
            <w:tcW w:w="1650" w:type="dxa"/>
            <w:noWrap/>
            <w:hideMark/>
          </w:tcPr>
          <w:p w14:paraId="235C486C" w14:textId="77777777" w:rsidR="009F01D8" w:rsidRPr="002B28C3" w:rsidRDefault="009F01D8" w:rsidP="009F01D8">
            <w:pPr>
              <w:rPr>
                <w:rFonts w:asciiTheme="majorBidi" w:hAnsiTheme="majorBidi" w:cstheme="majorBidi"/>
              </w:rPr>
            </w:pPr>
            <w:r w:rsidRPr="002B28C3">
              <w:rPr>
                <w:rFonts w:asciiTheme="majorBidi" w:hAnsiTheme="majorBidi" w:cstheme="majorBidi"/>
              </w:rPr>
              <w:t>395569</w:t>
            </w:r>
          </w:p>
        </w:tc>
      </w:tr>
      <w:tr w:rsidR="009F01D8" w:rsidRPr="00F63CD5" w14:paraId="42D78915" w14:textId="77777777" w:rsidTr="009F01D8">
        <w:trPr>
          <w:trHeight w:val="279"/>
        </w:trPr>
        <w:tc>
          <w:tcPr>
            <w:tcW w:w="1129" w:type="dxa"/>
            <w:noWrap/>
            <w:hideMark/>
          </w:tcPr>
          <w:p w14:paraId="5D0D9FEC"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c>
          <w:tcPr>
            <w:tcW w:w="6237" w:type="dxa"/>
            <w:noWrap/>
            <w:hideMark/>
          </w:tcPr>
          <w:p w14:paraId="6EBD0DE7"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(hospital$ or </w:t>
            </w:r>
            <w:proofErr w:type="spellStart"/>
            <w:r w:rsidRPr="002B28C3">
              <w:rPr>
                <w:rFonts w:asciiTheme="majorBidi" w:hAnsiTheme="majorBidi" w:cstheme="majorBidi"/>
              </w:rPr>
              <w:t>inhospital</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,ab,kf,hw</w:t>
            </w:r>
            <w:proofErr w:type="spellEnd"/>
            <w:r w:rsidRPr="002B28C3">
              <w:rPr>
                <w:rFonts w:asciiTheme="majorBidi" w:hAnsiTheme="majorBidi" w:cstheme="majorBidi"/>
              </w:rPr>
              <w:t>.</w:t>
            </w:r>
          </w:p>
        </w:tc>
        <w:tc>
          <w:tcPr>
            <w:tcW w:w="1650" w:type="dxa"/>
            <w:noWrap/>
            <w:hideMark/>
          </w:tcPr>
          <w:p w14:paraId="65CB49B5" w14:textId="77777777" w:rsidR="009F01D8" w:rsidRPr="002B28C3" w:rsidRDefault="009F01D8" w:rsidP="009F01D8">
            <w:pPr>
              <w:rPr>
                <w:rFonts w:asciiTheme="majorBidi" w:hAnsiTheme="majorBidi" w:cstheme="majorBidi"/>
              </w:rPr>
            </w:pPr>
            <w:r w:rsidRPr="002B28C3">
              <w:rPr>
                <w:rFonts w:asciiTheme="majorBidi" w:hAnsiTheme="majorBidi" w:cstheme="majorBidi"/>
              </w:rPr>
              <w:t>1709507</w:t>
            </w:r>
          </w:p>
        </w:tc>
      </w:tr>
      <w:tr w:rsidR="009F01D8" w:rsidRPr="00F63CD5" w14:paraId="65279873" w14:textId="77777777" w:rsidTr="009F01D8">
        <w:trPr>
          <w:trHeight w:val="279"/>
        </w:trPr>
        <w:tc>
          <w:tcPr>
            <w:tcW w:w="1129" w:type="dxa"/>
            <w:noWrap/>
            <w:hideMark/>
          </w:tcPr>
          <w:p w14:paraId="61B2CCC9"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c>
          <w:tcPr>
            <w:tcW w:w="6237" w:type="dxa"/>
            <w:noWrap/>
            <w:hideMark/>
          </w:tcPr>
          <w:p w14:paraId="236712EA"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secondary care/ or tertiary healthcare/ or ((secondary or tertiary) </w:t>
            </w:r>
            <w:proofErr w:type="spellStart"/>
            <w:r w:rsidRPr="002B28C3">
              <w:rPr>
                <w:rFonts w:asciiTheme="majorBidi" w:hAnsiTheme="majorBidi" w:cstheme="majorBidi"/>
              </w:rPr>
              <w:t>adj</w:t>
            </w:r>
            <w:proofErr w:type="spellEnd"/>
            <w:r w:rsidRPr="002B28C3">
              <w:rPr>
                <w:rFonts w:asciiTheme="majorBidi" w:hAnsiTheme="majorBidi" w:cstheme="majorBidi"/>
              </w:rPr>
              <w:t xml:space="preserve"> (care or healthcare or health care)</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444D50F5" w14:textId="77777777" w:rsidR="009F01D8" w:rsidRPr="002B28C3" w:rsidRDefault="009F01D8" w:rsidP="009F01D8">
            <w:pPr>
              <w:rPr>
                <w:rFonts w:asciiTheme="majorBidi" w:hAnsiTheme="majorBidi" w:cstheme="majorBidi"/>
              </w:rPr>
            </w:pPr>
            <w:r w:rsidRPr="002B28C3">
              <w:rPr>
                <w:rFonts w:asciiTheme="majorBidi" w:hAnsiTheme="majorBidi" w:cstheme="majorBidi"/>
              </w:rPr>
              <w:t>61580</w:t>
            </w:r>
          </w:p>
        </w:tc>
      </w:tr>
      <w:tr w:rsidR="009F01D8" w:rsidRPr="00F63CD5" w14:paraId="08074DB8" w14:textId="77777777" w:rsidTr="009F01D8">
        <w:trPr>
          <w:trHeight w:val="279"/>
        </w:trPr>
        <w:tc>
          <w:tcPr>
            <w:tcW w:w="1129" w:type="dxa"/>
            <w:noWrap/>
            <w:hideMark/>
          </w:tcPr>
          <w:p w14:paraId="3B105EA0" w14:textId="77777777" w:rsidR="009F01D8" w:rsidRPr="002B28C3" w:rsidRDefault="009F01D8" w:rsidP="009F01D8">
            <w:pPr>
              <w:rPr>
                <w:rFonts w:asciiTheme="majorBidi" w:hAnsiTheme="majorBidi" w:cstheme="majorBidi"/>
              </w:rPr>
            </w:pPr>
            <w:r w:rsidRPr="002B28C3">
              <w:rPr>
                <w:rFonts w:asciiTheme="majorBidi" w:hAnsiTheme="majorBidi" w:cstheme="majorBidi"/>
              </w:rPr>
              <w:t>19</w:t>
            </w:r>
          </w:p>
        </w:tc>
        <w:tc>
          <w:tcPr>
            <w:tcW w:w="6237" w:type="dxa"/>
            <w:noWrap/>
            <w:hideMark/>
          </w:tcPr>
          <w:p w14:paraId="7E0AFAB6" w14:textId="77777777" w:rsidR="009F01D8" w:rsidRPr="002B28C3" w:rsidRDefault="009F01D8" w:rsidP="009F01D8">
            <w:pPr>
              <w:rPr>
                <w:rFonts w:asciiTheme="majorBidi" w:hAnsiTheme="majorBidi" w:cstheme="majorBidi"/>
              </w:rPr>
            </w:pPr>
            <w:r w:rsidRPr="002B28C3">
              <w:rPr>
                <w:rFonts w:asciiTheme="majorBidi" w:hAnsiTheme="majorBidi" w:cstheme="majorBidi"/>
              </w:rPr>
              <w:t>(ward or wards or infirmary or infirmaries</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0641091D" w14:textId="77777777" w:rsidR="009F01D8" w:rsidRPr="002B28C3" w:rsidRDefault="009F01D8" w:rsidP="009F01D8">
            <w:pPr>
              <w:rPr>
                <w:rFonts w:asciiTheme="majorBidi" w:hAnsiTheme="majorBidi" w:cstheme="majorBidi"/>
              </w:rPr>
            </w:pPr>
            <w:r w:rsidRPr="002B28C3">
              <w:rPr>
                <w:rFonts w:asciiTheme="majorBidi" w:hAnsiTheme="majorBidi" w:cstheme="majorBidi"/>
              </w:rPr>
              <w:t>67375</w:t>
            </w:r>
          </w:p>
        </w:tc>
      </w:tr>
      <w:tr w:rsidR="009F01D8" w:rsidRPr="00F63CD5" w14:paraId="6620A2E9" w14:textId="77777777" w:rsidTr="009F01D8">
        <w:trPr>
          <w:trHeight w:val="279"/>
        </w:trPr>
        <w:tc>
          <w:tcPr>
            <w:tcW w:w="1129" w:type="dxa"/>
            <w:noWrap/>
            <w:hideMark/>
          </w:tcPr>
          <w:p w14:paraId="1B3D3774" w14:textId="77777777" w:rsidR="009F01D8" w:rsidRPr="002B28C3" w:rsidRDefault="009F01D8" w:rsidP="009F01D8">
            <w:pPr>
              <w:rPr>
                <w:rFonts w:asciiTheme="majorBidi" w:hAnsiTheme="majorBidi" w:cstheme="majorBidi"/>
              </w:rPr>
            </w:pPr>
            <w:r w:rsidRPr="002B28C3">
              <w:rPr>
                <w:rFonts w:asciiTheme="majorBidi" w:hAnsiTheme="majorBidi" w:cstheme="majorBidi"/>
              </w:rPr>
              <w:t>20</w:t>
            </w:r>
          </w:p>
        </w:tc>
        <w:tc>
          <w:tcPr>
            <w:tcW w:w="6237" w:type="dxa"/>
            <w:noWrap/>
            <w:hideMark/>
          </w:tcPr>
          <w:p w14:paraId="16852C0B" w14:textId="77777777" w:rsidR="009F01D8" w:rsidRPr="002B28C3" w:rsidRDefault="009F01D8" w:rsidP="009F01D8">
            <w:pPr>
              <w:rPr>
                <w:rFonts w:asciiTheme="majorBidi" w:hAnsiTheme="majorBidi" w:cstheme="majorBidi"/>
              </w:rPr>
            </w:pPr>
            <w:r w:rsidRPr="002B28C3">
              <w:rPr>
                <w:rFonts w:asciiTheme="majorBidi" w:hAnsiTheme="majorBidi" w:cstheme="majorBidi"/>
              </w:rPr>
              <w:t>(inpatient$ or in-patient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0DF75FBE" w14:textId="77777777" w:rsidR="009F01D8" w:rsidRPr="002B28C3" w:rsidRDefault="009F01D8" w:rsidP="009F01D8">
            <w:pPr>
              <w:rPr>
                <w:rFonts w:asciiTheme="majorBidi" w:hAnsiTheme="majorBidi" w:cstheme="majorBidi"/>
              </w:rPr>
            </w:pPr>
            <w:r w:rsidRPr="002B28C3">
              <w:rPr>
                <w:rFonts w:asciiTheme="majorBidi" w:hAnsiTheme="majorBidi" w:cstheme="majorBidi"/>
              </w:rPr>
              <w:t>184282</w:t>
            </w:r>
          </w:p>
        </w:tc>
      </w:tr>
      <w:tr w:rsidR="009F01D8" w:rsidRPr="00F63CD5" w14:paraId="7E12C034" w14:textId="77777777" w:rsidTr="009F01D8">
        <w:trPr>
          <w:trHeight w:val="279"/>
        </w:trPr>
        <w:tc>
          <w:tcPr>
            <w:tcW w:w="1129" w:type="dxa"/>
            <w:noWrap/>
            <w:hideMark/>
          </w:tcPr>
          <w:p w14:paraId="0D16A8E7" w14:textId="77777777" w:rsidR="009F01D8" w:rsidRPr="002B28C3" w:rsidRDefault="009F01D8" w:rsidP="009F01D8">
            <w:pPr>
              <w:rPr>
                <w:rFonts w:asciiTheme="majorBidi" w:hAnsiTheme="majorBidi" w:cstheme="majorBidi"/>
              </w:rPr>
            </w:pPr>
            <w:r w:rsidRPr="002B28C3">
              <w:rPr>
                <w:rFonts w:asciiTheme="majorBidi" w:hAnsiTheme="majorBidi" w:cstheme="majorBidi"/>
              </w:rPr>
              <w:t>21</w:t>
            </w:r>
          </w:p>
        </w:tc>
        <w:tc>
          <w:tcPr>
            <w:tcW w:w="6237" w:type="dxa"/>
            <w:noWrap/>
            <w:hideMark/>
          </w:tcPr>
          <w:p w14:paraId="395A5ABE" w14:textId="77777777" w:rsidR="009F01D8" w:rsidRPr="002B28C3" w:rsidRDefault="009F01D8" w:rsidP="009F01D8">
            <w:pPr>
              <w:rPr>
                <w:rFonts w:asciiTheme="majorBidi" w:hAnsiTheme="majorBidi" w:cstheme="majorBidi"/>
              </w:rPr>
            </w:pPr>
            <w:r w:rsidRPr="002B28C3">
              <w:rPr>
                <w:rFonts w:asciiTheme="majorBidi" w:hAnsiTheme="majorBidi" w:cstheme="majorBidi"/>
              </w:rPr>
              <w:t>(ER or ERs or emergency room$1 or emergency department$1 or ED or EDs or casualty department$1 or "accident and emergency" or "A&amp;E" or "A &amp; E" or triage</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5A580709" w14:textId="77777777" w:rsidR="009F01D8" w:rsidRPr="002B28C3" w:rsidRDefault="009F01D8" w:rsidP="009F01D8">
            <w:pPr>
              <w:rPr>
                <w:rFonts w:asciiTheme="majorBidi" w:hAnsiTheme="majorBidi" w:cstheme="majorBidi"/>
              </w:rPr>
            </w:pPr>
            <w:r w:rsidRPr="002B28C3">
              <w:rPr>
                <w:rFonts w:asciiTheme="majorBidi" w:hAnsiTheme="majorBidi" w:cstheme="majorBidi"/>
              </w:rPr>
              <w:t>316488</w:t>
            </w:r>
          </w:p>
        </w:tc>
      </w:tr>
      <w:tr w:rsidR="009F01D8" w:rsidRPr="00F63CD5" w14:paraId="1FC329AC" w14:textId="77777777" w:rsidTr="009F01D8">
        <w:trPr>
          <w:trHeight w:val="279"/>
        </w:trPr>
        <w:tc>
          <w:tcPr>
            <w:tcW w:w="1129" w:type="dxa"/>
            <w:noWrap/>
            <w:hideMark/>
          </w:tcPr>
          <w:p w14:paraId="30648639" w14:textId="77777777" w:rsidR="009F01D8" w:rsidRPr="002B28C3" w:rsidRDefault="009F01D8" w:rsidP="009F01D8">
            <w:pPr>
              <w:rPr>
                <w:rFonts w:asciiTheme="majorBidi" w:hAnsiTheme="majorBidi" w:cstheme="majorBidi"/>
              </w:rPr>
            </w:pPr>
            <w:r w:rsidRPr="002B28C3">
              <w:rPr>
                <w:rFonts w:asciiTheme="majorBidi" w:hAnsiTheme="majorBidi" w:cstheme="majorBidi"/>
              </w:rPr>
              <w:t>22</w:t>
            </w:r>
          </w:p>
        </w:tc>
        <w:tc>
          <w:tcPr>
            <w:tcW w:w="6237" w:type="dxa"/>
            <w:noWrap/>
            <w:hideMark/>
          </w:tcPr>
          <w:p w14:paraId="1B7E11F3" w14:textId="77777777" w:rsidR="009F01D8" w:rsidRPr="002B28C3" w:rsidRDefault="009F01D8" w:rsidP="009F01D8">
            <w:pPr>
              <w:rPr>
                <w:rFonts w:asciiTheme="majorBidi" w:hAnsiTheme="majorBidi" w:cstheme="majorBidi"/>
              </w:rPr>
            </w:pPr>
            <w:r w:rsidRPr="002B28C3">
              <w:rPr>
                <w:rFonts w:asciiTheme="majorBidi" w:hAnsiTheme="majorBidi" w:cstheme="majorBidi"/>
              </w:rPr>
              <w:t>(admission$1 or admitted$1 or readmission$1 or readmitted$1</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4E835791" w14:textId="77777777" w:rsidR="009F01D8" w:rsidRPr="002B28C3" w:rsidRDefault="009F01D8" w:rsidP="009F01D8">
            <w:pPr>
              <w:rPr>
                <w:rFonts w:asciiTheme="majorBidi" w:hAnsiTheme="majorBidi" w:cstheme="majorBidi"/>
              </w:rPr>
            </w:pPr>
            <w:r w:rsidRPr="002B28C3">
              <w:rPr>
                <w:rFonts w:asciiTheme="majorBidi" w:hAnsiTheme="majorBidi" w:cstheme="majorBidi"/>
              </w:rPr>
              <w:t>424729</w:t>
            </w:r>
          </w:p>
        </w:tc>
      </w:tr>
      <w:tr w:rsidR="009F01D8" w:rsidRPr="00F63CD5" w14:paraId="244A96AF" w14:textId="77777777" w:rsidTr="009F01D8">
        <w:trPr>
          <w:trHeight w:val="279"/>
        </w:trPr>
        <w:tc>
          <w:tcPr>
            <w:tcW w:w="1129" w:type="dxa"/>
            <w:noWrap/>
            <w:hideMark/>
          </w:tcPr>
          <w:p w14:paraId="1D2276B7"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c>
          <w:tcPr>
            <w:tcW w:w="6237" w:type="dxa"/>
            <w:noWrap/>
            <w:hideMark/>
          </w:tcPr>
          <w:p w14:paraId="4E310C0B" w14:textId="77777777" w:rsidR="009F01D8" w:rsidRPr="002B28C3" w:rsidRDefault="009F01D8" w:rsidP="009F01D8">
            <w:pPr>
              <w:rPr>
                <w:rFonts w:asciiTheme="majorBidi" w:hAnsiTheme="majorBidi" w:cstheme="majorBidi"/>
              </w:rPr>
            </w:pPr>
            <w:r w:rsidRPr="002B28C3">
              <w:rPr>
                <w:rFonts w:asciiTheme="majorBidi" w:hAnsiTheme="majorBidi" w:cstheme="majorBidi"/>
              </w:rPr>
              <w:t>(nosocomial or healthcare associated or health care associated or ventilator associated</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4AA7D95D" w14:textId="77777777" w:rsidR="009F01D8" w:rsidRPr="002B28C3" w:rsidRDefault="009F01D8" w:rsidP="009F01D8">
            <w:pPr>
              <w:rPr>
                <w:rFonts w:asciiTheme="majorBidi" w:hAnsiTheme="majorBidi" w:cstheme="majorBidi"/>
              </w:rPr>
            </w:pPr>
            <w:r w:rsidRPr="002B28C3">
              <w:rPr>
                <w:rFonts w:asciiTheme="majorBidi" w:hAnsiTheme="majorBidi" w:cstheme="majorBidi"/>
              </w:rPr>
              <w:t>45058</w:t>
            </w:r>
          </w:p>
        </w:tc>
      </w:tr>
      <w:tr w:rsidR="009F01D8" w:rsidRPr="00F63CD5" w14:paraId="2C790236" w14:textId="77777777" w:rsidTr="009F01D8">
        <w:trPr>
          <w:trHeight w:val="279"/>
        </w:trPr>
        <w:tc>
          <w:tcPr>
            <w:tcW w:w="1129" w:type="dxa"/>
            <w:noWrap/>
            <w:hideMark/>
          </w:tcPr>
          <w:p w14:paraId="5C837F81" w14:textId="77777777" w:rsidR="009F01D8" w:rsidRPr="002B28C3" w:rsidRDefault="009F01D8" w:rsidP="009F01D8">
            <w:pPr>
              <w:rPr>
                <w:rFonts w:asciiTheme="majorBidi" w:hAnsiTheme="majorBidi" w:cstheme="majorBidi"/>
              </w:rPr>
            </w:pPr>
            <w:r w:rsidRPr="002B28C3">
              <w:rPr>
                <w:rFonts w:asciiTheme="majorBidi" w:hAnsiTheme="majorBidi" w:cstheme="majorBidi"/>
              </w:rPr>
              <w:t>24</w:t>
            </w:r>
          </w:p>
        </w:tc>
        <w:tc>
          <w:tcPr>
            <w:tcW w:w="6237" w:type="dxa"/>
            <w:noWrap/>
            <w:hideMark/>
          </w:tcPr>
          <w:p w14:paraId="3BBF6017"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Critical Care/</w:t>
            </w:r>
          </w:p>
        </w:tc>
        <w:tc>
          <w:tcPr>
            <w:tcW w:w="1650" w:type="dxa"/>
            <w:noWrap/>
            <w:hideMark/>
          </w:tcPr>
          <w:p w14:paraId="37D61F3C" w14:textId="77777777" w:rsidR="009F01D8" w:rsidRPr="002B28C3" w:rsidRDefault="009F01D8" w:rsidP="009F01D8">
            <w:pPr>
              <w:rPr>
                <w:rFonts w:asciiTheme="majorBidi" w:hAnsiTheme="majorBidi" w:cstheme="majorBidi"/>
              </w:rPr>
            </w:pPr>
            <w:r w:rsidRPr="002B28C3">
              <w:rPr>
                <w:rFonts w:asciiTheme="majorBidi" w:hAnsiTheme="majorBidi" w:cstheme="majorBidi"/>
              </w:rPr>
              <w:t>61100</w:t>
            </w:r>
          </w:p>
        </w:tc>
      </w:tr>
      <w:tr w:rsidR="009F01D8" w:rsidRPr="00F63CD5" w14:paraId="25F8607B" w14:textId="77777777" w:rsidTr="009F01D8">
        <w:trPr>
          <w:trHeight w:val="279"/>
        </w:trPr>
        <w:tc>
          <w:tcPr>
            <w:tcW w:w="1129" w:type="dxa"/>
            <w:noWrap/>
            <w:hideMark/>
          </w:tcPr>
          <w:p w14:paraId="39569B0C"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c>
          <w:tcPr>
            <w:tcW w:w="6237" w:type="dxa"/>
            <w:noWrap/>
            <w:hideMark/>
          </w:tcPr>
          <w:p w14:paraId="4A86F57F"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Intensive Care Units/</w:t>
            </w:r>
          </w:p>
        </w:tc>
        <w:tc>
          <w:tcPr>
            <w:tcW w:w="1650" w:type="dxa"/>
            <w:noWrap/>
            <w:hideMark/>
          </w:tcPr>
          <w:p w14:paraId="3684F6AF" w14:textId="77777777" w:rsidR="009F01D8" w:rsidRPr="002B28C3" w:rsidRDefault="009F01D8" w:rsidP="009F01D8">
            <w:pPr>
              <w:rPr>
                <w:rFonts w:asciiTheme="majorBidi" w:hAnsiTheme="majorBidi" w:cstheme="majorBidi"/>
              </w:rPr>
            </w:pPr>
            <w:r w:rsidRPr="002B28C3">
              <w:rPr>
                <w:rFonts w:asciiTheme="majorBidi" w:hAnsiTheme="majorBidi" w:cstheme="majorBidi"/>
              </w:rPr>
              <w:t>91779</w:t>
            </w:r>
          </w:p>
        </w:tc>
      </w:tr>
      <w:tr w:rsidR="009F01D8" w:rsidRPr="00F63CD5" w14:paraId="0E0C6AD9" w14:textId="77777777" w:rsidTr="009F01D8">
        <w:trPr>
          <w:trHeight w:val="279"/>
        </w:trPr>
        <w:tc>
          <w:tcPr>
            <w:tcW w:w="1129" w:type="dxa"/>
            <w:noWrap/>
            <w:hideMark/>
          </w:tcPr>
          <w:p w14:paraId="449A1E68" w14:textId="77777777" w:rsidR="009F01D8" w:rsidRPr="002B28C3" w:rsidRDefault="009F01D8" w:rsidP="009F01D8">
            <w:pPr>
              <w:rPr>
                <w:rFonts w:asciiTheme="majorBidi" w:hAnsiTheme="majorBidi" w:cstheme="majorBidi"/>
              </w:rPr>
            </w:pPr>
            <w:r w:rsidRPr="002B28C3">
              <w:rPr>
                <w:rFonts w:asciiTheme="majorBidi" w:hAnsiTheme="majorBidi" w:cstheme="majorBidi"/>
              </w:rPr>
              <w:t>26</w:t>
            </w:r>
          </w:p>
        </w:tc>
        <w:tc>
          <w:tcPr>
            <w:tcW w:w="6237" w:type="dxa"/>
            <w:noWrap/>
            <w:hideMark/>
          </w:tcPr>
          <w:p w14:paraId="678D5FCF" w14:textId="77777777" w:rsidR="009F01D8" w:rsidRPr="002B28C3" w:rsidRDefault="009F01D8" w:rsidP="009F01D8">
            <w:pPr>
              <w:rPr>
                <w:rFonts w:asciiTheme="majorBidi" w:hAnsiTheme="majorBidi" w:cstheme="majorBidi"/>
              </w:rPr>
            </w:pPr>
            <w:r w:rsidRPr="002B28C3">
              <w:rPr>
                <w:rFonts w:asciiTheme="majorBidi" w:hAnsiTheme="majorBidi" w:cstheme="majorBidi"/>
              </w:rPr>
              <w:t>(acute care or critical care or critically ill or critical illness$</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35A174D9" w14:textId="77777777" w:rsidR="009F01D8" w:rsidRPr="002B28C3" w:rsidRDefault="009F01D8" w:rsidP="009F01D8">
            <w:pPr>
              <w:rPr>
                <w:rFonts w:asciiTheme="majorBidi" w:hAnsiTheme="majorBidi" w:cstheme="majorBidi"/>
              </w:rPr>
            </w:pPr>
            <w:r w:rsidRPr="002B28C3">
              <w:rPr>
                <w:rFonts w:asciiTheme="majorBidi" w:hAnsiTheme="majorBidi" w:cstheme="majorBidi"/>
              </w:rPr>
              <w:t>106880</w:t>
            </w:r>
          </w:p>
        </w:tc>
      </w:tr>
      <w:tr w:rsidR="009F01D8" w:rsidRPr="00F63CD5" w14:paraId="30D2A9EE" w14:textId="77777777" w:rsidTr="009F01D8">
        <w:trPr>
          <w:trHeight w:val="279"/>
        </w:trPr>
        <w:tc>
          <w:tcPr>
            <w:tcW w:w="1129" w:type="dxa"/>
            <w:noWrap/>
            <w:hideMark/>
          </w:tcPr>
          <w:p w14:paraId="0D6BBB49" w14:textId="77777777" w:rsidR="009F01D8" w:rsidRPr="002B28C3" w:rsidRDefault="009F01D8" w:rsidP="009F01D8">
            <w:pPr>
              <w:rPr>
                <w:rFonts w:asciiTheme="majorBidi" w:hAnsiTheme="majorBidi" w:cstheme="majorBidi"/>
              </w:rPr>
            </w:pPr>
            <w:r w:rsidRPr="002B28C3">
              <w:rPr>
                <w:rFonts w:asciiTheme="majorBidi" w:hAnsiTheme="majorBidi" w:cstheme="majorBidi"/>
              </w:rPr>
              <w:t>27</w:t>
            </w:r>
          </w:p>
        </w:tc>
        <w:tc>
          <w:tcPr>
            <w:tcW w:w="6237" w:type="dxa"/>
            <w:noWrap/>
            <w:hideMark/>
          </w:tcPr>
          <w:p w14:paraId="78FC98B0" w14:textId="77777777" w:rsidR="009F01D8" w:rsidRPr="002B28C3" w:rsidRDefault="009F01D8" w:rsidP="009F01D8">
            <w:pPr>
              <w:rPr>
                <w:rFonts w:asciiTheme="majorBidi" w:hAnsiTheme="majorBidi" w:cstheme="majorBidi"/>
              </w:rPr>
            </w:pPr>
            <w:r w:rsidRPr="002B28C3">
              <w:rPr>
                <w:rFonts w:asciiTheme="majorBidi" w:hAnsiTheme="majorBidi" w:cstheme="majorBidi"/>
              </w:rPr>
              <w:t>(high dependency adj2 (care or unit$1)</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0D7A887C" w14:textId="77777777" w:rsidR="009F01D8" w:rsidRPr="002B28C3" w:rsidRDefault="009F01D8" w:rsidP="009F01D8">
            <w:pPr>
              <w:rPr>
                <w:rFonts w:asciiTheme="majorBidi" w:hAnsiTheme="majorBidi" w:cstheme="majorBidi"/>
              </w:rPr>
            </w:pPr>
            <w:r w:rsidRPr="002B28C3">
              <w:rPr>
                <w:rFonts w:asciiTheme="majorBidi" w:hAnsiTheme="majorBidi" w:cstheme="majorBidi"/>
              </w:rPr>
              <w:t>955</w:t>
            </w:r>
          </w:p>
        </w:tc>
      </w:tr>
      <w:tr w:rsidR="009F01D8" w:rsidRPr="00F63CD5" w14:paraId="5DD24DA0" w14:textId="77777777" w:rsidTr="009F01D8">
        <w:trPr>
          <w:trHeight w:val="279"/>
        </w:trPr>
        <w:tc>
          <w:tcPr>
            <w:tcW w:w="1129" w:type="dxa"/>
            <w:noWrap/>
            <w:hideMark/>
          </w:tcPr>
          <w:p w14:paraId="1CCDE1BC" w14:textId="77777777" w:rsidR="009F01D8" w:rsidRPr="002B28C3" w:rsidRDefault="009F01D8" w:rsidP="009F01D8">
            <w:pPr>
              <w:rPr>
                <w:rFonts w:asciiTheme="majorBidi" w:hAnsiTheme="majorBidi" w:cstheme="majorBidi"/>
              </w:rPr>
            </w:pPr>
            <w:r w:rsidRPr="002B28C3">
              <w:rPr>
                <w:rFonts w:asciiTheme="majorBidi" w:hAnsiTheme="majorBidi" w:cstheme="majorBidi"/>
              </w:rPr>
              <w:t>28</w:t>
            </w:r>
          </w:p>
        </w:tc>
        <w:tc>
          <w:tcPr>
            <w:tcW w:w="6237" w:type="dxa"/>
            <w:noWrap/>
            <w:hideMark/>
          </w:tcPr>
          <w:p w14:paraId="2159ADB5" w14:textId="77777777" w:rsidR="009F01D8" w:rsidRPr="002B28C3" w:rsidRDefault="009F01D8" w:rsidP="009F01D8">
            <w:pPr>
              <w:rPr>
                <w:rFonts w:asciiTheme="majorBidi" w:hAnsiTheme="majorBidi" w:cstheme="majorBidi"/>
                <w:lang w:val="it-IT"/>
              </w:rPr>
            </w:pPr>
            <w:r w:rsidRPr="002B28C3">
              <w:rPr>
                <w:rFonts w:asciiTheme="majorBidi" w:hAnsiTheme="majorBidi" w:cstheme="majorBidi"/>
                <w:lang w:val="it-IT"/>
              </w:rPr>
              <w:t>intensive care.ti,ab,kf.</w:t>
            </w:r>
          </w:p>
        </w:tc>
        <w:tc>
          <w:tcPr>
            <w:tcW w:w="1650" w:type="dxa"/>
            <w:noWrap/>
            <w:hideMark/>
          </w:tcPr>
          <w:p w14:paraId="0869CC61" w14:textId="77777777" w:rsidR="009F01D8" w:rsidRPr="002B28C3" w:rsidRDefault="009F01D8" w:rsidP="009F01D8">
            <w:pPr>
              <w:rPr>
                <w:rFonts w:asciiTheme="majorBidi" w:hAnsiTheme="majorBidi" w:cstheme="majorBidi"/>
              </w:rPr>
            </w:pPr>
            <w:r w:rsidRPr="002B28C3">
              <w:rPr>
                <w:rFonts w:asciiTheme="majorBidi" w:hAnsiTheme="majorBidi" w:cstheme="majorBidi"/>
              </w:rPr>
              <w:t>161143</w:t>
            </w:r>
          </w:p>
        </w:tc>
      </w:tr>
      <w:tr w:rsidR="009F01D8" w:rsidRPr="00F63CD5" w14:paraId="2023DA7E" w14:textId="77777777" w:rsidTr="009F01D8">
        <w:trPr>
          <w:trHeight w:val="279"/>
        </w:trPr>
        <w:tc>
          <w:tcPr>
            <w:tcW w:w="1129" w:type="dxa"/>
            <w:noWrap/>
            <w:hideMark/>
          </w:tcPr>
          <w:p w14:paraId="67F8C94A"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29</w:t>
            </w:r>
          </w:p>
        </w:tc>
        <w:tc>
          <w:tcPr>
            <w:tcW w:w="6237" w:type="dxa"/>
            <w:noWrap/>
            <w:hideMark/>
          </w:tcPr>
          <w:p w14:paraId="4E4F17BD"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intensive therapy </w:t>
            </w:r>
            <w:proofErr w:type="gramStart"/>
            <w:r w:rsidRPr="002B28C3">
              <w:rPr>
                <w:rFonts w:asciiTheme="majorBidi" w:hAnsiTheme="majorBidi" w:cstheme="majorBidi"/>
              </w:rPr>
              <w:t>unit$1.ti,ab</w:t>
            </w:r>
            <w:proofErr w:type="gramEnd"/>
            <w:r w:rsidRPr="002B28C3">
              <w:rPr>
                <w:rFonts w:asciiTheme="majorBidi" w:hAnsiTheme="majorBidi" w:cstheme="majorBidi"/>
              </w:rPr>
              <w:t>,kf.</w:t>
            </w:r>
          </w:p>
        </w:tc>
        <w:tc>
          <w:tcPr>
            <w:tcW w:w="1650" w:type="dxa"/>
            <w:noWrap/>
            <w:hideMark/>
          </w:tcPr>
          <w:p w14:paraId="4B4E912A" w14:textId="77777777" w:rsidR="009F01D8" w:rsidRPr="002B28C3" w:rsidRDefault="009F01D8" w:rsidP="009F01D8">
            <w:pPr>
              <w:rPr>
                <w:rFonts w:asciiTheme="majorBidi" w:hAnsiTheme="majorBidi" w:cstheme="majorBidi"/>
              </w:rPr>
            </w:pPr>
            <w:r w:rsidRPr="002B28C3">
              <w:rPr>
                <w:rFonts w:asciiTheme="majorBidi" w:hAnsiTheme="majorBidi" w:cstheme="majorBidi"/>
              </w:rPr>
              <w:t>646</w:t>
            </w:r>
          </w:p>
        </w:tc>
      </w:tr>
      <w:tr w:rsidR="009F01D8" w:rsidRPr="00F63CD5" w14:paraId="55191D70" w14:textId="77777777" w:rsidTr="009F01D8">
        <w:trPr>
          <w:trHeight w:val="279"/>
        </w:trPr>
        <w:tc>
          <w:tcPr>
            <w:tcW w:w="1129" w:type="dxa"/>
            <w:noWrap/>
            <w:hideMark/>
          </w:tcPr>
          <w:p w14:paraId="1A81CC46"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c>
          <w:tcPr>
            <w:tcW w:w="6237" w:type="dxa"/>
            <w:noWrap/>
            <w:hideMark/>
          </w:tcPr>
          <w:p w14:paraId="00864B43" w14:textId="77777777" w:rsidR="009F01D8" w:rsidRPr="002B28C3" w:rsidRDefault="009F01D8" w:rsidP="009F01D8">
            <w:pPr>
              <w:rPr>
                <w:rFonts w:asciiTheme="majorBidi" w:hAnsiTheme="majorBidi" w:cstheme="majorBidi"/>
              </w:rPr>
            </w:pPr>
            <w:r w:rsidRPr="002B28C3">
              <w:rPr>
                <w:rFonts w:asciiTheme="majorBidi" w:hAnsiTheme="majorBidi" w:cstheme="majorBidi"/>
              </w:rPr>
              <w:t>recovery room</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3B01F4CD" w14:textId="77777777" w:rsidR="009F01D8" w:rsidRPr="002B28C3" w:rsidRDefault="009F01D8" w:rsidP="009F01D8">
            <w:pPr>
              <w:rPr>
                <w:rFonts w:asciiTheme="majorBidi" w:hAnsiTheme="majorBidi" w:cstheme="majorBidi"/>
              </w:rPr>
            </w:pPr>
            <w:r w:rsidRPr="002B28C3">
              <w:rPr>
                <w:rFonts w:asciiTheme="majorBidi" w:hAnsiTheme="majorBidi" w:cstheme="majorBidi"/>
              </w:rPr>
              <w:t>3442</w:t>
            </w:r>
          </w:p>
        </w:tc>
      </w:tr>
      <w:tr w:rsidR="009F01D8" w:rsidRPr="00F63CD5" w14:paraId="10C87688" w14:textId="77777777" w:rsidTr="009F01D8">
        <w:trPr>
          <w:trHeight w:val="279"/>
        </w:trPr>
        <w:tc>
          <w:tcPr>
            <w:tcW w:w="1129" w:type="dxa"/>
            <w:noWrap/>
            <w:hideMark/>
          </w:tcPr>
          <w:p w14:paraId="3F8B2323" w14:textId="77777777" w:rsidR="009F01D8" w:rsidRPr="002B28C3" w:rsidRDefault="009F01D8" w:rsidP="009F01D8">
            <w:pPr>
              <w:rPr>
                <w:rFonts w:asciiTheme="majorBidi" w:hAnsiTheme="majorBidi" w:cstheme="majorBidi"/>
              </w:rPr>
            </w:pPr>
            <w:r w:rsidRPr="002B28C3">
              <w:rPr>
                <w:rFonts w:asciiTheme="majorBidi" w:hAnsiTheme="majorBidi" w:cstheme="majorBidi"/>
              </w:rPr>
              <w:t>31</w:t>
            </w:r>
          </w:p>
        </w:tc>
        <w:tc>
          <w:tcPr>
            <w:tcW w:w="6237" w:type="dxa"/>
            <w:noWrap/>
            <w:hideMark/>
          </w:tcPr>
          <w:p w14:paraId="57CFBA33" w14:textId="77777777" w:rsidR="009F01D8" w:rsidRPr="002B28C3" w:rsidRDefault="009F01D8" w:rsidP="009F01D8">
            <w:pPr>
              <w:rPr>
                <w:rFonts w:asciiTheme="majorBidi" w:hAnsiTheme="majorBidi" w:cstheme="majorBidi"/>
              </w:rPr>
            </w:pPr>
            <w:r w:rsidRPr="002B28C3">
              <w:rPr>
                <w:rFonts w:asciiTheme="majorBidi" w:hAnsiTheme="majorBidi" w:cstheme="majorBidi"/>
              </w:rPr>
              <w:t>(ITU or ICU or CCU or CICU or CITU or HDU or ITUs or ICUs or CCUs or CICUs or CITUs or HDUs</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5727111D" w14:textId="77777777" w:rsidR="009F01D8" w:rsidRPr="002B28C3" w:rsidRDefault="009F01D8" w:rsidP="009F01D8">
            <w:pPr>
              <w:rPr>
                <w:rFonts w:asciiTheme="majorBidi" w:hAnsiTheme="majorBidi" w:cstheme="majorBidi"/>
              </w:rPr>
            </w:pPr>
            <w:r w:rsidRPr="002B28C3">
              <w:rPr>
                <w:rFonts w:asciiTheme="majorBidi" w:hAnsiTheme="majorBidi" w:cstheme="majorBidi"/>
              </w:rPr>
              <w:t>71336</w:t>
            </w:r>
          </w:p>
        </w:tc>
      </w:tr>
      <w:tr w:rsidR="009F01D8" w:rsidRPr="00F63CD5" w14:paraId="0E7380D6" w14:textId="77777777" w:rsidTr="009F01D8">
        <w:trPr>
          <w:trHeight w:val="279"/>
        </w:trPr>
        <w:tc>
          <w:tcPr>
            <w:tcW w:w="1129" w:type="dxa"/>
            <w:noWrap/>
            <w:hideMark/>
          </w:tcPr>
          <w:p w14:paraId="7577EF95" w14:textId="77777777" w:rsidR="009F01D8" w:rsidRPr="002B28C3" w:rsidRDefault="009F01D8" w:rsidP="009F01D8">
            <w:pPr>
              <w:rPr>
                <w:rFonts w:asciiTheme="majorBidi" w:hAnsiTheme="majorBidi" w:cstheme="majorBidi"/>
              </w:rPr>
            </w:pPr>
            <w:r w:rsidRPr="002B28C3">
              <w:rPr>
                <w:rFonts w:asciiTheme="majorBidi" w:hAnsiTheme="majorBidi" w:cstheme="majorBidi"/>
              </w:rPr>
              <w:t>32</w:t>
            </w:r>
          </w:p>
        </w:tc>
        <w:tc>
          <w:tcPr>
            <w:tcW w:w="6237" w:type="dxa"/>
            <w:noWrap/>
            <w:hideMark/>
          </w:tcPr>
          <w:p w14:paraId="152F1F77" w14:textId="77777777" w:rsidR="009F01D8" w:rsidRPr="002B28C3" w:rsidRDefault="009F01D8" w:rsidP="009F01D8">
            <w:pPr>
              <w:rPr>
                <w:rFonts w:asciiTheme="majorBidi" w:hAnsiTheme="majorBidi" w:cstheme="majorBidi"/>
              </w:rPr>
            </w:pPr>
            <w:r w:rsidRPr="002B28C3">
              <w:rPr>
                <w:rFonts w:asciiTheme="majorBidi" w:hAnsiTheme="majorBidi" w:cstheme="majorBidi"/>
              </w:rPr>
              <w:t>(level 2 care or level 3 care or level two care or level three care</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650" w:type="dxa"/>
            <w:noWrap/>
            <w:hideMark/>
          </w:tcPr>
          <w:p w14:paraId="4BD6E748" w14:textId="77777777" w:rsidR="009F01D8" w:rsidRPr="002B28C3" w:rsidRDefault="009F01D8" w:rsidP="009F01D8">
            <w:pPr>
              <w:rPr>
                <w:rFonts w:asciiTheme="majorBidi" w:hAnsiTheme="majorBidi" w:cstheme="majorBidi"/>
              </w:rPr>
            </w:pPr>
            <w:r w:rsidRPr="002B28C3">
              <w:rPr>
                <w:rFonts w:asciiTheme="majorBidi" w:hAnsiTheme="majorBidi" w:cstheme="majorBidi"/>
              </w:rPr>
              <w:t>41</w:t>
            </w:r>
          </w:p>
        </w:tc>
      </w:tr>
      <w:tr w:rsidR="009F01D8" w:rsidRPr="00F63CD5" w14:paraId="4DD5B387" w14:textId="77777777" w:rsidTr="009F01D8">
        <w:trPr>
          <w:trHeight w:val="279"/>
        </w:trPr>
        <w:tc>
          <w:tcPr>
            <w:tcW w:w="1129" w:type="dxa"/>
            <w:noWrap/>
            <w:hideMark/>
          </w:tcPr>
          <w:p w14:paraId="002256C1" w14:textId="77777777" w:rsidR="009F01D8" w:rsidRPr="002B28C3" w:rsidRDefault="009F01D8" w:rsidP="009F01D8">
            <w:pPr>
              <w:rPr>
                <w:rFonts w:asciiTheme="majorBidi" w:hAnsiTheme="majorBidi" w:cstheme="majorBidi"/>
              </w:rPr>
            </w:pPr>
            <w:r w:rsidRPr="002B28C3">
              <w:rPr>
                <w:rFonts w:asciiTheme="majorBidi" w:hAnsiTheme="majorBidi" w:cstheme="majorBidi"/>
              </w:rPr>
              <w:t>33</w:t>
            </w:r>
          </w:p>
        </w:tc>
        <w:tc>
          <w:tcPr>
            <w:tcW w:w="6237" w:type="dxa"/>
            <w:noWrap/>
            <w:hideMark/>
          </w:tcPr>
          <w:p w14:paraId="4066E8C1" w14:textId="77777777" w:rsidR="009F01D8" w:rsidRPr="002B28C3" w:rsidRDefault="009F01D8" w:rsidP="009F01D8">
            <w:pPr>
              <w:rPr>
                <w:rFonts w:asciiTheme="majorBidi" w:hAnsiTheme="majorBidi" w:cstheme="majorBidi"/>
              </w:rPr>
            </w:pPr>
            <w:r w:rsidRPr="002B28C3">
              <w:rPr>
                <w:rFonts w:asciiTheme="majorBidi" w:hAnsiTheme="majorBidi" w:cstheme="majorBidi"/>
              </w:rPr>
              <w:t>or/15-32</w:t>
            </w:r>
          </w:p>
        </w:tc>
        <w:tc>
          <w:tcPr>
            <w:tcW w:w="1650" w:type="dxa"/>
            <w:noWrap/>
            <w:hideMark/>
          </w:tcPr>
          <w:p w14:paraId="46FC0842" w14:textId="77777777" w:rsidR="009F01D8" w:rsidRPr="002B28C3" w:rsidRDefault="009F01D8" w:rsidP="009F01D8">
            <w:pPr>
              <w:rPr>
                <w:rFonts w:asciiTheme="majorBidi" w:hAnsiTheme="majorBidi" w:cstheme="majorBidi"/>
              </w:rPr>
            </w:pPr>
            <w:r w:rsidRPr="002B28C3">
              <w:rPr>
                <w:rFonts w:asciiTheme="majorBidi" w:hAnsiTheme="majorBidi" w:cstheme="majorBidi"/>
              </w:rPr>
              <w:t>2397151</w:t>
            </w:r>
          </w:p>
        </w:tc>
      </w:tr>
      <w:tr w:rsidR="009F01D8" w:rsidRPr="00F63CD5" w14:paraId="1911B9DB" w14:textId="77777777" w:rsidTr="009F01D8">
        <w:trPr>
          <w:trHeight w:val="279"/>
        </w:trPr>
        <w:tc>
          <w:tcPr>
            <w:tcW w:w="1129" w:type="dxa"/>
            <w:noWrap/>
            <w:hideMark/>
          </w:tcPr>
          <w:p w14:paraId="1A551CEF" w14:textId="77777777" w:rsidR="009F01D8" w:rsidRPr="002B28C3" w:rsidRDefault="009F01D8" w:rsidP="009F01D8">
            <w:pPr>
              <w:rPr>
                <w:rFonts w:asciiTheme="majorBidi" w:hAnsiTheme="majorBidi" w:cstheme="majorBidi"/>
              </w:rPr>
            </w:pPr>
            <w:r w:rsidRPr="002B28C3">
              <w:rPr>
                <w:rFonts w:asciiTheme="majorBidi" w:hAnsiTheme="majorBidi" w:cstheme="majorBidi"/>
              </w:rPr>
              <w:t>34</w:t>
            </w:r>
          </w:p>
        </w:tc>
        <w:tc>
          <w:tcPr>
            <w:tcW w:w="6237" w:type="dxa"/>
            <w:noWrap/>
            <w:hideMark/>
          </w:tcPr>
          <w:p w14:paraId="4E43BCF6" w14:textId="77777777" w:rsidR="009F01D8" w:rsidRPr="002B28C3" w:rsidRDefault="009F01D8" w:rsidP="009F01D8">
            <w:pPr>
              <w:rPr>
                <w:rFonts w:asciiTheme="majorBidi" w:hAnsiTheme="majorBidi" w:cstheme="majorBidi"/>
              </w:rPr>
            </w:pPr>
            <w:r w:rsidRPr="002B28C3">
              <w:rPr>
                <w:rFonts w:asciiTheme="majorBidi" w:hAnsiTheme="majorBidi" w:cstheme="majorBidi"/>
              </w:rPr>
              <w:t>11 and 14 and 33</w:t>
            </w:r>
          </w:p>
        </w:tc>
        <w:tc>
          <w:tcPr>
            <w:tcW w:w="1650" w:type="dxa"/>
            <w:noWrap/>
            <w:hideMark/>
          </w:tcPr>
          <w:p w14:paraId="17B515CB" w14:textId="77777777" w:rsidR="009F01D8" w:rsidRPr="002B28C3" w:rsidRDefault="009F01D8" w:rsidP="009F01D8">
            <w:pPr>
              <w:rPr>
                <w:rFonts w:asciiTheme="majorBidi" w:hAnsiTheme="majorBidi" w:cstheme="majorBidi"/>
              </w:rPr>
            </w:pPr>
            <w:r w:rsidRPr="002B28C3">
              <w:rPr>
                <w:rFonts w:asciiTheme="majorBidi" w:hAnsiTheme="majorBidi" w:cstheme="majorBidi"/>
              </w:rPr>
              <w:t>1226</w:t>
            </w:r>
          </w:p>
        </w:tc>
      </w:tr>
      <w:tr w:rsidR="009F01D8" w:rsidRPr="00F63CD5" w14:paraId="0461A9DF" w14:textId="77777777" w:rsidTr="009F01D8">
        <w:trPr>
          <w:trHeight w:val="279"/>
        </w:trPr>
        <w:tc>
          <w:tcPr>
            <w:tcW w:w="1129" w:type="dxa"/>
            <w:noWrap/>
            <w:hideMark/>
          </w:tcPr>
          <w:p w14:paraId="5813C75F" w14:textId="77777777" w:rsidR="009F01D8" w:rsidRPr="002B28C3" w:rsidRDefault="009F01D8" w:rsidP="009F01D8">
            <w:pPr>
              <w:rPr>
                <w:rFonts w:asciiTheme="majorBidi" w:hAnsiTheme="majorBidi" w:cstheme="majorBidi"/>
              </w:rPr>
            </w:pPr>
            <w:r w:rsidRPr="002B28C3">
              <w:rPr>
                <w:rFonts w:asciiTheme="majorBidi" w:hAnsiTheme="majorBidi" w:cstheme="majorBidi"/>
              </w:rPr>
              <w:t>35</w:t>
            </w:r>
          </w:p>
        </w:tc>
        <w:tc>
          <w:tcPr>
            <w:tcW w:w="6237" w:type="dxa"/>
            <w:noWrap/>
            <w:hideMark/>
          </w:tcPr>
          <w:p w14:paraId="09D465ED"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34 to </w:t>
            </w:r>
            <w:proofErr w:type="spellStart"/>
            <w:r w:rsidRPr="002B28C3">
              <w:rPr>
                <w:rFonts w:asciiTheme="majorBidi" w:hAnsiTheme="majorBidi" w:cstheme="majorBidi"/>
              </w:rPr>
              <w:t>yr</w:t>
            </w:r>
            <w:proofErr w:type="spellEnd"/>
            <w:r w:rsidRPr="002B28C3">
              <w:rPr>
                <w:rFonts w:asciiTheme="majorBidi" w:hAnsiTheme="majorBidi" w:cstheme="majorBidi"/>
              </w:rPr>
              <w:t>="2007 -Current"</w:t>
            </w:r>
          </w:p>
        </w:tc>
        <w:tc>
          <w:tcPr>
            <w:tcW w:w="1650" w:type="dxa"/>
            <w:noWrap/>
            <w:hideMark/>
          </w:tcPr>
          <w:p w14:paraId="3456E37B" w14:textId="77777777" w:rsidR="009F01D8" w:rsidRPr="002B28C3" w:rsidRDefault="009F01D8" w:rsidP="009F01D8">
            <w:pPr>
              <w:rPr>
                <w:rFonts w:asciiTheme="majorBidi" w:hAnsiTheme="majorBidi" w:cstheme="majorBidi"/>
              </w:rPr>
            </w:pPr>
            <w:r w:rsidRPr="002B28C3">
              <w:rPr>
                <w:rFonts w:asciiTheme="majorBidi" w:hAnsiTheme="majorBidi" w:cstheme="majorBidi"/>
              </w:rPr>
              <w:t>889</w:t>
            </w:r>
          </w:p>
        </w:tc>
      </w:tr>
      <w:tr w:rsidR="009F01D8" w:rsidRPr="00F63CD5" w14:paraId="505D7388" w14:textId="77777777" w:rsidTr="009F01D8">
        <w:trPr>
          <w:trHeight w:val="279"/>
        </w:trPr>
        <w:tc>
          <w:tcPr>
            <w:tcW w:w="1129" w:type="dxa"/>
            <w:noWrap/>
            <w:hideMark/>
          </w:tcPr>
          <w:p w14:paraId="31BE8EBA" w14:textId="77777777" w:rsidR="009F01D8" w:rsidRPr="002B28C3" w:rsidRDefault="009F01D8" w:rsidP="009F01D8">
            <w:pPr>
              <w:rPr>
                <w:rFonts w:asciiTheme="majorBidi" w:hAnsiTheme="majorBidi" w:cstheme="majorBidi"/>
              </w:rPr>
            </w:pPr>
            <w:r w:rsidRPr="002B28C3">
              <w:rPr>
                <w:rFonts w:asciiTheme="majorBidi" w:hAnsiTheme="majorBidi" w:cstheme="majorBidi"/>
              </w:rPr>
              <w:t>36</w:t>
            </w:r>
          </w:p>
        </w:tc>
        <w:tc>
          <w:tcPr>
            <w:tcW w:w="6237" w:type="dxa"/>
            <w:noWrap/>
            <w:hideMark/>
          </w:tcPr>
          <w:p w14:paraId="767650AE" w14:textId="77777777" w:rsidR="009F01D8" w:rsidRPr="002B28C3" w:rsidRDefault="009F01D8" w:rsidP="009F01D8">
            <w:pPr>
              <w:rPr>
                <w:rFonts w:asciiTheme="majorBidi" w:hAnsiTheme="majorBidi" w:cstheme="majorBidi"/>
              </w:rPr>
            </w:pPr>
            <w:r w:rsidRPr="002B28C3">
              <w:rPr>
                <w:rFonts w:asciiTheme="majorBidi" w:hAnsiTheme="majorBidi" w:cstheme="majorBidi"/>
              </w:rPr>
              <w:t>exp Great Britain/</w:t>
            </w:r>
          </w:p>
        </w:tc>
        <w:tc>
          <w:tcPr>
            <w:tcW w:w="1650" w:type="dxa"/>
            <w:noWrap/>
            <w:hideMark/>
          </w:tcPr>
          <w:p w14:paraId="34021E9E" w14:textId="77777777" w:rsidR="009F01D8" w:rsidRPr="002B28C3" w:rsidRDefault="009F01D8" w:rsidP="009F01D8">
            <w:pPr>
              <w:rPr>
                <w:rFonts w:asciiTheme="majorBidi" w:hAnsiTheme="majorBidi" w:cstheme="majorBidi"/>
              </w:rPr>
            </w:pPr>
            <w:r w:rsidRPr="002B28C3">
              <w:rPr>
                <w:rFonts w:asciiTheme="majorBidi" w:hAnsiTheme="majorBidi" w:cstheme="majorBidi"/>
              </w:rPr>
              <w:t>375996</w:t>
            </w:r>
          </w:p>
        </w:tc>
      </w:tr>
      <w:tr w:rsidR="009F01D8" w:rsidRPr="00F63CD5" w14:paraId="7E74B37E" w14:textId="77777777" w:rsidTr="009F01D8">
        <w:trPr>
          <w:trHeight w:val="279"/>
        </w:trPr>
        <w:tc>
          <w:tcPr>
            <w:tcW w:w="1129" w:type="dxa"/>
            <w:noWrap/>
            <w:hideMark/>
          </w:tcPr>
          <w:p w14:paraId="2C2603F8" w14:textId="77777777" w:rsidR="009F01D8" w:rsidRPr="002B28C3" w:rsidRDefault="009F01D8" w:rsidP="009F01D8">
            <w:pPr>
              <w:rPr>
                <w:rFonts w:asciiTheme="majorBidi" w:hAnsiTheme="majorBidi" w:cstheme="majorBidi"/>
              </w:rPr>
            </w:pPr>
            <w:r w:rsidRPr="002B28C3">
              <w:rPr>
                <w:rFonts w:asciiTheme="majorBidi" w:hAnsiTheme="majorBidi" w:cstheme="majorBidi"/>
              </w:rPr>
              <w:t>37</w:t>
            </w:r>
          </w:p>
        </w:tc>
        <w:tc>
          <w:tcPr>
            <w:tcW w:w="6237" w:type="dxa"/>
            <w:noWrap/>
            <w:hideMark/>
          </w:tcPr>
          <w:p w14:paraId="49731995"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(national health service* or </w:t>
            </w:r>
            <w:proofErr w:type="spellStart"/>
            <w:r w:rsidRPr="002B28C3">
              <w:rPr>
                <w:rFonts w:asciiTheme="majorBidi" w:hAnsiTheme="majorBidi" w:cstheme="majorBidi"/>
              </w:rPr>
              <w:t>nhs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noWrap/>
            <w:hideMark/>
          </w:tcPr>
          <w:p w14:paraId="5FA956D3" w14:textId="77777777" w:rsidR="009F01D8" w:rsidRPr="002B28C3" w:rsidRDefault="009F01D8" w:rsidP="009F01D8">
            <w:pPr>
              <w:rPr>
                <w:rFonts w:asciiTheme="majorBidi" w:hAnsiTheme="majorBidi" w:cstheme="majorBidi"/>
              </w:rPr>
            </w:pPr>
            <w:r w:rsidRPr="002B28C3">
              <w:rPr>
                <w:rFonts w:asciiTheme="majorBidi" w:hAnsiTheme="majorBidi" w:cstheme="majorBidi"/>
              </w:rPr>
              <w:t>222142</w:t>
            </w:r>
          </w:p>
        </w:tc>
      </w:tr>
      <w:tr w:rsidR="009F01D8" w:rsidRPr="00F63CD5" w14:paraId="05352A97" w14:textId="77777777" w:rsidTr="009F01D8">
        <w:trPr>
          <w:trHeight w:val="279"/>
        </w:trPr>
        <w:tc>
          <w:tcPr>
            <w:tcW w:w="1129" w:type="dxa"/>
            <w:noWrap/>
            <w:hideMark/>
          </w:tcPr>
          <w:p w14:paraId="5E16D69E" w14:textId="77777777" w:rsidR="009F01D8" w:rsidRPr="002B28C3" w:rsidRDefault="009F01D8" w:rsidP="009F01D8">
            <w:pPr>
              <w:rPr>
                <w:rFonts w:asciiTheme="majorBidi" w:hAnsiTheme="majorBidi" w:cstheme="majorBidi"/>
              </w:rPr>
            </w:pPr>
            <w:r w:rsidRPr="002B28C3">
              <w:rPr>
                <w:rFonts w:asciiTheme="majorBidi" w:hAnsiTheme="majorBidi" w:cstheme="majorBidi"/>
              </w:rPr>
              <w:t>38</w:t>
            </w:r>
          </w:p>
        </w:tc>
        <w:tc>
          <w:tcPr>
            <w:tcW w:w="6237" w:type="dxa"/>
            <w:noWrap/>
            <w:hideMark/>
          </w:tcPr>
          <w:p w14:paraId="2D345054"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not ((published or publication* or </w:t>
            </w:r>
            <w:proofErr w:type="spellStart"/>
            <w:r w:rsidRPr="002B28C3">
              <w:rPr>
                <w:rFonts w:asciiTheme="majorBidi" w:hAnsiTheme="majorBidi" w:cstheme="majorBidi"/>
              </w:rPr>
              <w:t>translat</w:t>
            </w:r>
            <w:proofErr w:type="spellEnd"/>
            <w:r w:rsidRPr="002B28C3">
              <w:rPr>
                <w:rFonts w:asciiTheme="majorBidi" w:hAnsiTheme="majorBidi" w:cstheme="majorBidi"/>
              </w:rPr>
              <w:t xml:space="preserve">* or written or language* or speak* or literature or citation*) adj5 </w:t>
            </w:r>
            <w:proofErr w:type="spellStart"/>
            <w:r w:rsidRPr="002B28C3">
              <w:rPr>
                <w:rFonts w:asciiTheme="majorBidi" w:hAnsiTheme="majorBidi" w:cstheme="majorBidi"/>
              </w:rPr>
              <w:t>english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w:t>
            </w:r>
            <w:proofErr w:type="spellEnd"/>
            <w:r w:rsidRPr="002B28C3">
              <w:rPr>
                <w:rFonts w:asciiTheme="majorBidi" w:hAnsiTheme="majorBidi" w:cstheme="majorBidi"/>
              </w:rPr>
              <w:t>.</w:t>
            </w:r>
          </w:p>
        </w:tc>
        <w:tc>
          <w:tcPr>
            <w:tcW w:w="1650" w:type="dxa"/>
            <w:noWrap/>
            <w:hideMark/>
          </w:tcPr>
          <w:p w14:paraId="4AFA73B1" w14:textId="77777777" w:rsidR="009F01D8" w:rsidRPr="002B28C3" w:rsidRDefault="009F01D8" w:rsidP="009F01D8">
            <w:pPr>
              <w:rPr>
                <w:rFonts w:asciiTheme="majorBidi" w:hAnsiTheme="majorBidi" w:cstheme="majorBidi"/>
              </w:rPr>
            </w:pPr>
            <w:r w:rsidRPr="002B28C3">
              <w:rPr>
                <w:rFonts w:asciiTheme="majorBidi" w:hAnsiTheme="majorBidi" w:cstheme="majorBidi"/>
              </w:rPr>
              <w:t>40948</w:t>
            </w:r>
          </w:p>
        </w:tc>
      </w:tr>
      <w:tr w:rsidR="009F01D8" w:rsidRPr="00F63CD5" w14:paraId="4ADF7210" w14:textId="77777777" w:rsidTr="009F01D8">
        <w:trPr>
          <w:trHeight w:val="279"/>
        </w:trPr>
        <w:tc>
          <w:tcPr>
            <w:tcW w:w="1129" w:type="dxa"/>
            <w:noWrap/>
            <w:hideMark/>
          </w:tcPr>
          <w:p w14:paraId="63AF9BCD" w14:textId="77777777" w:rsidR="009F01D8" w:rsidRPr="002B28C3" w:rsidRDefault="009F01D8" w:rsidP="009F01D8">
            <w:pPr>
              <w:rPr>
                <w:rFonts w:asciiTheme="majorBidi" w:hAnsiTheme="majorBidi" w:cstheme="majorBidi"/>
              </w:rPr>
            </w:pPr>
            <w:r w:rsidRPr="002B28C3">
              <w:rPr>
                <w:rFonts w:asciiTheme="majorBidi" w:hAnsiTheme="majorBidi" w:cstheme="majorBidi"/>
              </w:rPr>
              <w:t>39</w:t>
            </w:r>
          </w:p>
        </w:tc>
        <w:tc>
          <w:tcPr>
            <w:tcW w:w="6237" w:type="dxa"/>
            <w:noWrap/>
            <w:hideMark/>
          </w:tcPr>
          <w:p w14:paraId="62F8E31C"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g.b.</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britain</w:t>
            </w:r>
            <w:proofErr w:type="spellEnd"/>
            <w:r w:rsidRPr="002B28C3">
              <w:rPr>
                <w:rFonts w:asciiTheme="majorBidi" w:hAnsiTheme="majorBidi" w:cstheme="majorBidi"/>
              </w:rPr>
              <w:t>* or (</w:t>
            </w:r>
            <w:proofErr w:type="spellStart"/>
            <w:r w:rsidRPr="002B28C3">
              <w:rPr>
                <w:rFonts w:asciiTheme="majorBidi" w:hAnsiTheme="majorBidi" w:cstheme="majorBidi"/>
              </w:rPr>
              <w:t>british</w:t>
            </w:r>
            <w:proofErr w:type="spellEnd"/>
            <w:r w:rsidRPr="002B28C3">
              <w:rPr>
                <w:rFonts w:asciiTheme="majorBidi" w:hAnsiTheme="majorBidi" w:cstheme="majorBidi"/>
              </w:rPr>
              <w:t>* not "</w:t>
            </w:r>
            <w:proofErr w:type="spellStart"/>
            <w:r w:rsidRPr="002B28C3">
              <w:rPr>
                <w:rFonts w:asciiTheme="majorBidi" w:hAnsiTheme="majorBidi" w:cstheme="majorBidi"/>
              </w:rPr>
              <w:t>british</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columbia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u.k.</w:t>
            </w:r>
            <w:proofErr w:type="spellEnd"/>
            <w:r w:rsidRPr="002B28C3">
              <w:rPr>
                <w:rFonts w:asciiTheme="majorBidi" w:hAnsiTheme="majorBidi" w:cstheme="majorBidi"/>
              </w:rPr>
              <w:t>" or united kingdom* or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england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ireland</w:t>
            </w:r>
            <w:proofErr w:type="spellEnd"/>
            <w:r w:rsidRPr="002B28C3">
              <w:rPr>
                <w:rFonts w:asciiTheme="majorBidi" w:hAnsiTheme="majorBidi" w:cstheme="majorBidi"/>
              </w:rPr>
              <w:t xml:space="preserve">* or northern </w:t>
            </w:r>
            <w:proofErr w:type="spellStart"/>
            <w:r w:rsidRPr="002B28C3">
              <w:rPr>
                <w:rFonts w:asciiTheme="majorBidi" w:hAnsiTheme="majorBidi" w:cstheme="majorBidi"/>
              </w:rPr>
              <w:t>irish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scottish</w:t>
            </w:r>
            <w:proofErr w:type="spellEnd"/>
            <w:r w:rsidRPr="002B28C3">
              <w:rPr>
                <w:rFonts w:asciiTheme="majorBidi" w:hAnsiTheme="majorBidi" w:cstheme="majorBidi"/>
              </w:rPr>
              <w:t>* or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welsh</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,ab,jw,in</w:t>
            </w:r>
            <w:proofErr w:type="spellEnd"/>
            <w:r w:rsidRPr="002B28C3">
              <w:rPr>
                <w:rFonts w:asciiTheme="majorBidi" w:hAnsiTheme="majorBidi" w:cstheme="majorBidi"/>
              </w:rPr>
              <w:t>.</w:t>
            </w:r>
          </w:p>
        </w:tc>
        <w:tc>
          <w:tcPr>
            <w:tcW w:w="1650" w:type="dxa"/>
            <w:noWrap/>
            <w:hideMark/>
          </w:tcPr>
          <w:p w14:paraId="012D88A2" w14:textId="77777777" w:rsidR="009F01D8" w:rsidRPr="002B28C3" w:rsidRDefault="009F01D8" w:rsidP="009F01D8">
            <w:pPr>
              <w:rPr>
                <w:rFonts w:asciiTheme="majorBidi" w:hAnsiTheme="majorBidi" w:cstheme="majorBidi"/>
              </w:rPr>
            </w:pPr>
            <w:r w:rsidRPr="002B28C3">
              <w:rPr>
                <w:rFonts w:asciiTheme="majorBidi" w:hAnsiTheme="majorBidi" w:cstheme="majorBidi"/>
              </w:rPr>
              <w:t>2194256</w:t>
            </w:r>
          </w:p>
        </w:tc>
      </w:tr>
      <w:tr w:rsidR="009F01D8" w:rsidRPr="00F63CD5" w14:paraId="4DC9560A" w14:textId="77777777" w:rsidTr="009F01D8">
        <w:trPr>
          <w:trHeight w:val="279"/>
        </w:trPr>
        <w:tc>
          <w:tcPr>
            <w:tcW w:w="1129" w:type="dxa"/>
            <w:noWrap/>
            <w:hideMark/>
          </w:tcPr>
          <w:p w14:paraId="7927A707" w14:textId="77777777" w:rsidR="009F01D8" w:rsidRPr="002B28C3" w:rsidRDefault="009F01D8" w:rsidP="009F01D8">
            <w:pPr>
              <w:rPr>
                <w:rFonts w:asciiTheme="majorBidi" w:hAnsiTheme="majorBidi" w:cstheme="majorBidi"/>
              </w:rPr>
            </w:pPr>
            <w:r w:rsidRPr="002B28C3">
              <w:rPr>
                <w:rFonts w:asciiTheme="majorBidi" w:hAnsiTheme="majorBidi" w:cstheme="majorBidi"/>
              </w:rPr>
              <w:t>40</w:t>
            </w:r>
          </w:p>
        </w:tc>
        <w:tc>
          <w:tcPr>
            <w:tcW w:w="6237" w:type="dxa"/>
            <w:noWrap/>
            <w:hideMark/>
          </w:tcPr>
          <w:p w14:paraId="013FAD56" w14:textId="77777777" w:rsidR="009F01D8" w:rsidRPr="002B28C3" w:rsidRDefault="009F01D8" w:rsidP="009F01D8">
            <w:pPr>
              <w:rPr>
                <w:rFonts w:asciiTheme="majorBidi" w:hAnsiTheme="majorBidi" w:cstheme="majorBidi"/>
              </w:rPr>
            </w:pPr>
            <w:r w:rsidRPr="002B28C3">
              <w:rPr>
                <w:rFonts w:asciiTheme="majorBidi" w:hAnsiTheme="majorBidi" w:cstheme="majorBidi"/>
              </w:rPr>
              <w:t>(bath or "bath's" or ((</w:t>
            </w:r>
            <w:proofErr w:type="spellStart"/>
            <w:r w:rsidRPr="002B28C3">
              <w:rPr>
                <w:rFonts w:asciiTheme="majorBidi" w:hAnsiTheme="majorBidi" w:cstheme="majorBidi"/>
              </w:rPr>
              <w:t>birmingham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or ("</w:t>
            </w:r>
            <w:proofErr w:type="spellStart"/>
            <w:r w:rsidRPr="002B28C3">
              <w:rPr>
                <w:rFonts w:asciiTheme="majorBidi" w:hAnsiTheme="majorBidi" w:cstheme="majorBidi"/>
              </w:rPr>
              <w:t>birmingham's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alabama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bradford's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brighton's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bristol's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carlisle</w:t>
            </w:r>
            <w:proofErr w:type="spellEnd"/>
            <w:r w:rsidRPr="002B28C3">
              <w:rPr>
                <w:rFonts w:asciiTheme="majorBidi" w:hAnsiTheme="majorBidi" w:cstheme="majorBidi"/>
              </w:rPr>
              <w:t>* or "</w:t>
            </w:r>
            <w:proofErr w:type="spellStart"/>
            <w:r w:rsidRPr="002B28C3">
              <w:rPr>
                <w:rFonts w:asciiTheme="majorBidi" w:hAnsiTheme="majorBidi" w:cstheme="majorBidi"/>
              </w:rPr>
              <w:t>carlisle's</w:t>
            </w:r>
            <w:proofErr w:type="spellEnd"/>
            <w:r w:rsidRPr="002B28C3">
              <w:rPr>
                <w:rFonts w:asciiTheme="majorBidi" w:hAnsiTheme="majorBidi" w:cstheme="majorBidi"/>
              </w:rPr>
              <w:t>" or (</w:t>
            </w:r>
            <w:proofErr w:type="spellStart"/>
            <w:r w:rsidRPr="002B28C3">
              <w:rPr>
                <w:rFonts w:asciiTheme="majorBidi" w:hAnsiTheme="majorBidi" w:cstheme="majorBidi"/>
              </w:rPr>
              <w:t>cambridge</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cambridge's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xml:space="preserve">*)) or (canterbury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("canterbury's" not </w:t>
            </w:r>
            <w:proofErr w:type="spellStart"/>
            <w:r w:rsidRPr="002B28C3">
              <w:rPr>
                <w:rFonts w:asciiTheme="majorBidi" w:hAnsiTheme="majorBidi" w:cstheme="majorBidi"/>
              </w:rPr>
              <w:t>zealand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chelmsford's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chichester's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coventry's</w:t>
            </w:r>
            <w:proofErr w:type="spellEnd"/>
            <w:r w:rsidRPr="002B28C3">
              <w:rPr>
                <w:rFonts w:asciiTheme="majorBidi" w:hAnsiTheme="majorBidi" w:cstheme="majorBidi"/>
              </w:rPr>
              <w:t>" or derby or "derby's" or (</w:t>
            </w:r>
            <w:proofErr w:type="spellStart"/>
            <w:r w:rsidRPr="002B28C3">
              <w:rPr>
                <w:rFonts w:asciiTheme="majorBidi" w:hAnsiTheme="majorBidi" w:cstheme="majorBidi"/>
              </w:rPr>
              <w:t>durham</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or ("</w:t>
            </w:r>
            <w:proofErr w:type="spellStart"/>
            <w:r w:rsidRPr="002B28C3">
              <w:rPr>
                <w:rFonts w:asciiTheme="majorBidi" w:hAnsiTheme="majorBidi" w:cstheme="majorBidi"/>
              </w:rPr>
              <w:t>durham's</w:t>
            </w:r>
            <w:proofErr w:type="spellEnd"/>
            <w:r w:rsidRPr="002B28C3">
              <w:rPr>
                <w:rFonts w:asciiTheme="majorBidi" w:hAnsiTheme="majorBidi" w:cstheme="majorBidi"/>
              </w:rPr>
              <w:t>" not (</w:t>
            </w:r>
            <w:proofErr w:type="spellStart"/>
            <w:r w:rsidRPr="002B28C3">
              <w:rPr>
                <w:rFonts w:asciiTheme="majorBidi" w:hAnsiTheme="majorBidi" w:cstheme="majorBidi"/>
              </w:rPr>
              <w:t>carolina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nc</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ely's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exeter's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gloucester's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hereford's</w:t>
            </w:r>
            <w:proofErr w:type="spellEnd"/>
            <w:r w:rsidRPr="002B28C3">
              <w:rPr>
                <w:rFonts w:asciiTheme="majorBidi" w:hAnsiTheme="majorBidi" w:cstheme="majorBidi"/>
              </w:rPr>
              <w:t xml:space="preserve">" or hull or "hull's" or </w:t>
            </w:r>
            <w:proofErr w:type="spellStart"/>
            <w:r w:rsidRPr="002B28C3">
              <w:rPr>
                <w:rFonts w:asciiTheme="majorBidi" w:hAnsiTheme="majorBidi" w:cstheme="majorBidi"/>
              </w:rPr>
              <w:t>lancaster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lancaster's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leeds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leicester's</w:t>
            </w:r>
            <w:proofErr w:type="spellEnd"/>
            <w:r w:rsidRPr="002B28C3">
              <w:rPr>
                <w:rFonts w:asciiTheme="majorBidi" w:hAnsiTheme="majorBidi" w:cstheme="majorBidi"/>
              </w:rPr>
              <w:t>" or (</w:t>
            </w:r>
            <w:proofErr w:type="spellStart"/>
            <w:r w:rsidRPr="002B28C3">
              <w:rPr>
                <w:rFonts w:asciiTheme="majorBidi" w:hAnsiTheme="majorBidi" w:cstheme="majorBidi"/>
              </w:rPr>
              <w:t>lincoln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lincoln's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nebraska</w:t>
            </w:r>
            <w:proofErr w:type="spellEnd"/>
            <w:r w:rsidRPr="002B28C3">
              <w:rPr>
                <w:rFonts w:asciiTheme="majorBidi" w:hAnsiTheme="majorBidi" w:cstheme="majorBidi"/>
              </w:rPr>
              <w:t>*) or (</w:t>
            </w:r>
            <w:proofErr w:type="spellStart"/>
            <w:r w:rsidRPr="002B28C3">
              <w:rPr>
                <w:rFonts w:asciiTheme="majorBidi" w:hAnsiTheme="majorBidi" w:cstheme="majorBidi"/>
              </w:rPr>
              <w:t>liverpool</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liverpool's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london</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or ("</w:t>
            </w:r>
            <w:proofErr w:type="spellStart"/>
            <w:r w:rsidRPr="002B28C3">
              <w:rPr>
                <w:rFonts w:asciiTheme="majorBidi" w:hAnsiTheme="majorBidi" w:cstheme="majorBidi"/>
              </w:rPr>
              <w:t>london's</w:t>
            </w:r>
            <w:proofErr w:type="spellEnd"/>
            <w:r w:rsidRPr="002B28C3">
              <w:rPr>
                <w:rFonts w:asciiTheme="majorBidi" w:hAnsiTheme="majorBidi" w:cstheme="majorBidi"/>
              </w:rPr>
              <w:t>" not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manchester's</w:t>
            </w:r>
            <w:proofErr w:type="spellEnd"/>
            <w:r w:rsidRPr="002B28C3">
              <w:rPr>
                <w:rFonts w:asciiTheme="majorBidi" w:hAnsiTheme="majorBidi" w:cstheme="majorBidi"/>
              </w:rPr>
              <w:t>" or (</w:t>
            </w:r>
            <w:proofErr w:type="spellStart"/>
            <w:r w:rsidRPr="002B28C3">
              <w:rPr>
                <w:rFonts w:asciiTheme="majorBidi" w:hAnsiTheme="majorBidi" w:cstheme="majorBidi"/>
              </w:rPr>
              <w:t>newcastle</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or ("</w:t>
            </w:r>
            <w:proofErr w:type="spellStart"/>
            <w:r w:rsidRPr="002B28C3">
              <w:rPr>
                <w:rFonts w:asciiTheme="majorBidi" w:hAnsiTheme="majorBidi" w:cstheme="majorBidi"/>
              </w:rPr>
              <w:t>newcastle's</w:t>
            </w:r>
            <w:proofErr w:type="spellEnd"/>
            <w:r w:rsidRPr="002B28C3">
              <w:rPr>
                <w:rFonts w:asciiTheme="majorBidi" w:hAnsiTheme="majorBidi" w:cstheme="majorBidi"/>
              </w:rPr>
              <w:t xml:space="preserve">" not (new south </w:t>
            </w:r>
            <w:proofErr w:type="spellStart"/>
            <w:r w:rsidRPr="002B28C3">
              <w:rPr>
                <w:rFonts w:asciiTheme="majorBidi" w:hAnsiTheme="majorBidi" w:cstheme="majorBidi"/>
              </w:rPr>
              <w:t>wales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nsw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norwich's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nottingham's</w:t>
            </w:r>
            <w:proofErr w:type="spellEnd"/>
            <w:r w:rsidRPr="002B28C3">
              <w:rPr>
                <w:rFonts w:asciiTheme="majorBidi" w:hAnsiTheme="majorBidi" w:cstheme="majorBidi"/>
              </w:rPr>
              <w:t xml:space="preserve">" or oxford or "oxford's" or </w:t>
            </w:r>
            <w:proofErr w:type="spellStart"/>
            <w:r w:rsidRPr="002B28C3">
              <w:rPr>
                <w:rFonts w:asciiTheme="majorBidi" w:hAnsiTheme="majorBidi" w:cstheme="majorBidi"/>
              </w:rPr>
              <w:t>peterborough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peterborough's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plymouth's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portsmouth's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preston's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ripon's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salford's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salisbury's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sheffield's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southampton's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albans</w:t>
            </w:r>
            <w:proofErr w:type="spellEnd"/>
            <w:r w:rsidRPr="002B28C3">
              <w:rPr>
                <w:rFonts w:asciiTheme="majorBidi" w:hAnsiTheme="majorBidi" w:cstheme="majorBidi"/>
              </w:rPr>
              <w:t xml:space="preserve"> or stoke or "</w:t>
            </w:r>
            <w:proofErr w:type="spellStart"/>
            <w:r w:rsidRPr="002B28C3">
              <w:rPr>
                <w:rFonts w:asciiTheme="majorBidi" w:hAnsiTheme="majorBidi" w:cstheme="majorBidi"/>
              </w:rPr>
              <w:t>stoke's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sunderland's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truro's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wakefield's</w:t>
            </w:r>
            <w:proofErr w:type="spellEnd"/>
            <w:r w:rsidRPr="002B28C3">
              <w:rPr>
                <w:rFonts w:asciiTheme="majorBidi" w:hAnsiTheme="majorBidi" w:cstheme="majorBidi"/>
              </w:rPr>
              <w:t xml:space="preserve">" or wells or </w:t>
            </w:r>
            <w:proofErr w:type="spellStart"/>
            <w:r w:rsidRPr="002B28C3">
              <w:rPr>
                <w:rFonts w:asciiTheme="majorBidi" w:hAnsiTheme="majorBidi" w:cstheme="majorBidi"/>
              </w:rPr>
              <w:t>westminster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westminster's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winchester's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wolverhampton's</w:t>
            </w:r>
            <w:proofErr w:type="spellEnd"/>
            <w:r w:rsidRPr="002B28C3">
              <w:rPr>
                <w:rFonts w:asciiTheme="majorBidi" w:hAnsiTheme="majorBidi" w:cstheme="majorBidi"/>
              </w:rPr>
              <w:t>" or (</w:t>
            </w:r>
            <w:proofErr w:type="spellStart"/>
            <w:r w:rsidRPr="002B28C3">
              <w:rPr>
                <w:rFonts w:asciiTheme="majorBidi" w:hAnsiTheme="majorBidi" w:cstheme="majorBidi"/>
              </w:rPr>
              <w:t>worcester</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worcester's</w:t>
            </w:r>
            <w:proofErr w:type="spellEnd"/>
            <w:r w:rsidRPr="002B28C3">
              <w:rPr>
                <w:rFonts w:asciiTheme="majorBidi" w:hAnsiTheme="majorBidi" w:cstheme="majorBidi"/>
              </w:rPr>
              <w:t>" not (</w:t>
            </w:r>
            <w:proofErr w:type="spellStart"/>
            <w:r w:rsidRPr="002B28C3">
              <w:rPr>
                <w:rFonts w:asciiTheme="majorBidi" w:hAnsiTheme="majorBidi" w:cstheme="majorBidi"/>
              </w:rPr>
              <w:t>massachusetts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boston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harvard</w:t>
            </w:r>
            <w:proofErr w:type="spellEnd"/>
            <w:r w:rsidRPr="002B28C3">
              <w:rPr>
                <w:rFonts w:asciiTheme="majorBidi" w:hAnsiTheme="majorBidi" w:cstheme="majorBidi"/>
              </w:rPr>
              <w:t>*)) or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 or ("</w:t>
            </w:r>
            <w:proofErr w:type="spellStart"/>
            <w:r w:rsidRPr="002B28C3">
              <w:rPr>
                <w:rFonts w:asciiTheme="majorBidi" w:hAnsiTheme="majorBidi" w:cstheme="majorBidi"/>
              </w:rPr>
              <w:t>york's</w:t>
            </w:r>
            <w:proofErr w:type="spellEnd"/>
            <w:r w:rsidRPr="002B28C3">
              <w:rPr>
                <w:rFonts w:asciiTheme="majorBidi" w:hAnsiTheme="majorBidi" w:cstheme="majorBidi"/>
              </w:rPr>
              <w:t xml:space="preserve">" not ("new </w:t>
            </w:r>
            <w:proofErr w:type="spellStart"/>
            <w:r w:rsidRPr="002B28C3">
              <w:rPr>
                <w:rFonts w:asciiTheme="majorBidi" w:hAnsiTheme="majorBidi" w:cstheme="majorBidi"/>
              </w:rPr>
              <w:t>york</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ontario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ont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toronto</w:t>
            </w:r>
            <w:proofErr w:type="spellEnd"/>
            <w:r w:rsidRPr="002B28C3">
              <w:rPr>
                <w:rFonts w:asciiTheme="majorBidi" w:hAnsiTheme="majorBidi" w:cstheme="majorBidi"/>
              </w:rPr>
              <w:t>*))))).</w:t>
            </w:r>
            <w:proofErr w:type="spellStart"/>
            <w:r w:rsidRPr="002B28C3">
              <w:rPr>
                <w:rFonts w:asciiTheme="majorBidi" w:hAnsiTheme="majorBidi" w:cstheme="majorBidi"/>
              </w:rPr>
              <w:t>ti,ab,in</w:t>
            </w:r>
            <w:proofErr w:type="spellEnd"/>
            <w:r w:rsidRPr="002B28C3">
              <w:rPr>
                <w:rFonts w:asciiTheme="majorBidi" w:hAnsiTheme="majorBidi" w:cstheme="majorBidi"/>
              </w:rPr>
              <w:t>.</w:t>
            </w:r>
          </w:p>
        </w:tc>
        <w:tc>
          <w:tcPr>
            <w:tcW w:w="1650" w:type="dxa"/>
            <w:noWrap/>
            <w:hideMark/>
          </w:tcPr>
          <w:p w14:paraId="02E95E0A" w14:textId="77777777" w:rsidR="009F01D8" w:rsidRPr="002B28C3" w:rsidRDefault="009F01D8" w:rsidP="009F01D8">
            <w:pPr>
              <w:rPr>
                <w:rFonts w:asciiTheme="majorBidi" w:hAnsiTheme="majorBidi" w:cstheme="majorBidi"/>
              </w:rPr>
            </w:pPr>
            <w:r w:rsidRPr="002B28C3">
              <w:rPr>
                <w:rFonts w:asciiTheme="majorBidi" w:hAnsiTheme="majorBidi" w:cstheme="majorBidi"/>
              </w:rPr>
              <w:t>1520233</w:t>
            </w:r>
          </w:p>
        </w:tc>
      </w:tr>
      <w:tr w:rsidR="009F01D8" w:rsidRPr="00F63CD5" w14:paraId="19422411" w14:textId="77777777" w:rsidTr="009F01D8">
        <w:trPr>
          <w:trHeight w:val="279"/>
        </w:trPr>
        <w:tc>
          <w:tcPr>
            <w:tcW w:w="1129" w:type="dxa"/>
            <w:noWrap/>
            <w:hideMark/>
          </w:tcPr>
          <w:p w14:paraId="3FF689A5" w14:textId="77777777" w:rsidR="009F01D8" w:rsidRPr="002B28C3" w:rsidRDefault="009F01D8" w:rsidP="009F01D8">
            <w:pPr>
              <w:rPr>
                <w:rFonts w:asciiTheme="majorBidi" w:hAnsiTheme="majorBidi" w:cstheme="majorBidi"/>
              </w:rPr>
            </w:pPr>
            <w:r w:rsidRPr="002B28C3">
              <w:rPr>
                <w:rFonts w:asciiTheme="majorBidi" w:hAnsiTheme="majorBidi" w:cstheme="majorBidi"/>
              </w:rPr>
              <w:t>41</w:t>
            </w:r>
          </w:p>
        </w:tc>
        <w:tc>
          <w:tcPr>
            <w:tcW w:w="6237" w:type="dxa"/>
            <w:noWrap/>
            <w:hideMark/>
          </w:tcPr>
          <w:p w14:paraId="700B5F85"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bangor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bangor's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cardiff's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newport's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asaph's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w:t>
            </w:r>
            <w:proofErr w:type="spellEnd"/>
            <w:r w:rsidRPr="002B28C3">
              <w:rPr>
                <w:rFonts w:asciiTheme="majorBidi" w:hAnsiTheme="majorBidi" w:cstheme="majorBidi"/>
              </w:rPr>
              <w:t xml:space="preserve"> </w:t>
            </w:r>
            <w:proofErr w:type="spellStart"/>
            <w:r w:rsidRPr="002B28C3">
              <w:rPr>
                <w:rFonts w:asciiTheme="majorBidi" w:hAnsiTheme="majorBidi" w:cstheme="majorBidi"/>
              </w:rPr>
              <w:t>davids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swansea's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noWrap/>
            <w:hideMark/>
          </w:tcPr>
          <w:p w14:paraId="7F5C76AF" w14:textId="77777777" w:rsidR="009F01D8" w:rsidRPr="002B28C3" w:rsidRDefault="009F01D8" w:rsidP="009F01D8">
            <w:pPr>
              <w:rPr>
                <w:rFonts w:asciiTheme="majorBidi" w:hAnsiTheme="majorBidi" w:cstheme="majorBidi"/>
              </w:rPr>
            </w:pPr>
            <w:r w:rsidRPr="002B28C3">
              <w:rPr>
                <w:rFonts w:asciiTheme="majorBidi" w:hAnsiTheme="majorBidi" w:cstheme="majorBidi"/>
              </w:rPr>
              <w:t>60441</w:t>
            </w:r>
          </w:p>
        </w:tc>
      </w:tr>
      <w:tr w:rsidR="009F01D8" w:rsidRPr="00F63CD5" w14:paraId="1D9111E2" w14:textId="77777777" w:rsidTr="009F01D8">
        <w:trPr>
          <w:trHeight w:val="279"/>
        </w:trPr>
        <w:tc>
          <w:tcPr>
            <w:tcW w:w="1129" w:type="dxa"/>
            <w:noWrap/>
            <w:hideMark/>
          </w:tcPr>
          <w:p w14:paraId="196E69D5"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42</w:t>
            </w:r>
          </w:p>
        </w:tc>
        <w:tc>
          <w:tcPr>
            <w:tcW w:w="6237" w:type="dxa"/>
            <w:noWrap/>
            <w:hideMark/>
          </w:tcPr>
          <w:p w14:paraId="3BDED90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aberdeen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aberdeen's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dundee's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edinburgh's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glasgow's</w:t>
            </w:r>
            <w:proofErr w:type="spellEnd"/>
            <w:r w:rsidRPr="002B28C3">
              <w:rPr>
                <w:rFonts w:asciiTheme="majorBidi" w:hAnsiTheme="majorBidi" w:cstheme="majorBidi"/>
              </w:rPr>
              <w:t>" or inverness or (</w:t>
            </w:r>
            <w:proofErr w:type="spellStart"/>
            <w:r w:rsidRPr="002B28C3">
              <w:rPr>
                <w:rFonts w:asciiTheme="majorBidi" w:hAnsiTheme="majorBidi" w:cstheme="majorBidi"/>
              </w:rPr>
              <w:t>perth</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or ("</w:t>
            </w:r>
            <w:proofErr w:type="spellStart"/>
            <w:r w:rsidRPr="002B28C3">
              <w:rPr>
                <w:rFonts w:asciiTheme="majorBidi" w:hAnsiTheme="majorBidi" w:cstheme="majorBidi"/>
              </w:rPr>
              <w:t>perth's</w:t>
            </w:r>
            <w:proofErr w:type="spellEnd"/>
            <w:r w:rsidRPr="002B28C3">
              <w:rPr>
                <w:rFonts w:asciiTheme="majorBidi" w:hAnsiTheme="majorBidi" w:cstheme="majorBidi"/>
              </w:rPr>
              <w:t xml:space="preserve">" not </w:t>
            </w:r>
            <w:proofErr w:type="spellStart"/>
            <w:r w:rsidRPr="002B28C3">
              <w:rPr>
                <w:rFonts w:asciiTheme="majorBidi" w:hAnsiTheme="majorBidi" w:cstheme="majorBidi"/>
              </w:rPr>
              <w:t>australia</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stirling's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noWrap/>
            <w:hideMark/>
          </w:tcPr>
          <w:p w14:paraId="6F39F5A1" w14:textId="77777777" w:rsidR="009F01D8" w:rsidRPr="002B28C3" w:rsidRDefault="009F01D8" w:rsidP="009F01D8">
            <w:pPr>
              <w:rPr>
                <w:rFonts w:asciiTheme="majorBidi" w:hAnsiTheme="majorBidi" w:cstheme="majorBidi"/>
              </w:rPr>
            </w:pPr>
            <w:r w:rsidRPr="002B28C3">
              <w:rPr>
                <w:rFonts w:asciiTheme="majorBidi" w:hAnsiTheme="majorBidi" w:cstheme="majorBidi"/>
              </w:rPr>
              <w:t>224761</w:t>
            </w:r>
          </w:p>
        </w:tc>
      </w:tr>
      <w:tr w:rsidR="009F01D8" w:rsidRPr="00F63CD5" w14:paraId="586D8458" w14:textId="77777777" w:rsidTr="009F01D8">
        <w:trPr>
          <w:trHeight w:val="279"/>
        </w:trPr>
        <w:tc>
          <w:tcPr>
            <w:tcW w:w="1129" w:type="dxa"/>
            <w:noWrap/>
            <w:hideMark/>
          </w:tcPr>
          <w:p w14:paraId="6167D042" w14:textId="77777777" w:rsidR="009F01D8" w:rsidRPr="002B28C3" w:rsidRDefault="009F01D8" w:rsidP="009F01D8">
            <w:pPr>
              <w:rPr>
                <w:rFonts w:asciiTheme="majorBidi" w:hAnsiTheme="majorBidi" w:cstheme="majorBidi"/>
              </w:rPr>
            </w:pPr>
            <w:r w:rsidRPr="002B28C3">
              <w:rPr>
                <w:rFonts w:asciiTheme="majorBidi" w:hAnsiTheme="majorBidi" w:cstheme="majorBidi"/>
              </w:rPr>
              <w:t>43</w:t>
            </w:r>
          </w:p>
        </w:tc>
        <w:tc>
          <w:tcPr>
            <w:tcW w:w="6237" w:type="dxa"/>
            <w:noWrap/>
            <w:hideMark/>
          </w:tcPr>
          <w:p w14:paraId="66AD66E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armagh</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armagh's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belfast's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lisburn's</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londonderry's</w:t>
            </w:r>
            <w:proofErr w:type="spellEnd"/>
            <w:r w:rsidRPr="002B28C3">
              <w:rPr>
                <w:rFonts w:asciiTheme="majorBidi" w:hAnsiTheme="majorBidi" w:cstheme="majorBidi"/>
              </w:rPr>
              <w:t xml:space="preserve">" or derry or "derry's" or </w:t>
            </w:r>
            <w:proofErr w:type="spellStart"/>
            <w:r w:rsidRPr="002B28C3">
              <w:rPr>
                <w:rFonts w:asciiTheme="majorBidi" w:hAnsiTheme="majorBidi" w:cstheme="majorBidi"/>
              </w:rPr>
              <w:t>newry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newry's</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,ab,in</w:t>
            </w:r>
            <w:proofErr w:type="spellEnd"/>
            <w:r w:rsidRPr="002B28C3">
              <w:rPr>
                <w:rFonts w:asciiTheme="majorBidi" w:hAnsiTheme="majorBidi" w:cstheme="majorBidi"/>
              </w:rPr>
              <w:t>.</w:t>
            </w:r>
          </w:p>
        </w:tc>
        <w:tc>
          <w:tcPr>
            <w:tcW w:w="1650" w:type="dxa"/>
            <w:noWrap/>
            <w:hideMark/>
          </w:tcPr>
          <w:p w14:paraId="25521147" w14:textId="77777777" w:rsidR="009F01D8" w:rsidRPr="002B28C3" w:rsidRDefault="009F01D8" w:rsidP="009F01D8">
            <w:pPr>
              <w:rPr>
                <w:rFonts w:asciiTheme="majorBidi" w:hAnsiTheme="majorBidi" w:cstheme="majorBidi"/>
              </w:rPr>
            </w:pPr>
            <w:r w:rsidRPr="002B28C3">
              <w:rPr>
                <w:rFonts w:asciiTheme="majorBidi" w:hAnsiTheme="majorBidi" w:cstheme="majorBidi"/>
              </w:rPr>
              <w:t>28660</w:t>
            </w:r>
          </w:p>
        </w:tc>
      </w:tr>
      <w:tr w:rsidR="009F01D8" w:rsidRPr="00F63CD5" w14:paraId="0BBBA525" w14:textId="77777777" w:rsidTr="009F01D8">
        <w:trPr>
          <w:trHeight w:val="279"/>
        </w:trPr>
        <w:tc>
          <w:tcPr>
            <w:tcW w:w="1129" w:type="dxa"/>
            <w:noWrap/>
            <w:hideMark/>
          </w:tcPr>
          <w:p w14:paraId="7C7AFC9B" w14:textId="77777777" w:rsidR="009F01D8" w:rsidRPr="002B28C3" w:rsidRDefault="009F01D8" w:rsidP="009F01D8">
            <w:pPr>
              <w:rPr>
                <w:rFonts w:asciiTheme="majorBidi" w:hAnsiTheme="majorBidi" w:cstheme="majorBidi"/>
              </w:rPr>
            </w:pPr>
            <w:r w:rsidRPr="002B28C3">
              <w:rPr>
                <w:rFonts w:asciiTheme="majorBidi" w:hAnsiTheme="majorBidi" w:cstheme="majorBidi"/>
              </w:rPr>
              <w:t>44</w:t>
            </w:r>
          </w:p>
        </w:tc>
        <w:tc>
          <w:tcPr>
            <w:tcW w:w="6237" w:type="dxa"/>
            <w:noWrap/>
            <w:hideMark/>
          </w:tcPr>
          <w:p w14:paraId="1539C1F1" w14:textId="77777777" w:rsidR="009F01D8" w:rsidRPr="002B28C3" w:rsidRDefault="009F01D8" w:rsidP="009F01D8">
            <w:pPr>
              <w:rPr>
                <w:rFonts w:asciiTheme="majorBidi" w:hAnsiTheme="majorBidi" w:cstheme="majorBidi"/>
              </w:rPr>
            </w:pPr>
            <w:r w:rsidRPr="002B28C3">
              <w:rPr>
                <w:rFonts w:asciiTheme="majorBidi" w:hAnsiTheme="majorBidi" w:cstheme="majorBidi"/>
              </w:rPr>
              <w:t>or/36-43</w:t>
            </w:r>
          </w:p>
        </w:tc>
        <w:tc>
          <w:tcPr>
            <w:tcW w:w="1650" w:type="dxa"/>
            <w:noWrap/>
            <w:hideMark/>
          </w:tcPr>
          <w:p w14:paraId="63D2094C" w14:textId="77777777" w:rsidR="009F01D8" w:rsidRPr="002B28C3" w:rsidRDefault="009F01D8" w:rsidP="009F01D8">
            <w:pPr>
              <w:rPr>
                <w:rFonts w:asciiTheme="majorBidi" w:hAnsiTheme="majorBidi" w:cstheme="majorBidi"/>
              </w:rPr>
            </w:pPr>
            <w:r w:rsidRPr="002B28C3">
              <w:rPr>
                <w:rFonts w:asciiTheme="majorBidi" w:hAnsiTheme="majorBidi" w:cstheme="majorBidi"/>
              </w:rPr>
              <w:t>2757556</w:t>
            </w:r>
          </w:p>
        </w:tc>
      </w:tr>
      <w:tr w:rsidR="009F01D8" w:rsidRPr="00F63CD5" w14:paraId="72AB9780" w14:textId="77777777" w:rsidTr="009F01D8">
        <w:trPr>
          <w:trHeight w:val="279"/>
        </w:trPr>
        <w:tc>
          <w:tcPr>
            <w:tcW w:w="1129" w:type="dxa"/>
            <w:noWrap/>
            <w:hideMark/>
          </w:tcPr>
          <w:p w14:paraId="38BB2B92" w14:textId="77777777" w:rsidR="009F01D8" w:rsidRPr="002B28C3" w:rsidRDefault="009F01D8" w:rsidP="009F01D8">
            <w:pPr>
              <w:rPr>
                <w:rFonts w:asciiTheme="majorBidi" w:hAnsiTheme="majorBidi" w:cstheme="majorBidi"/>
              </w:rPr>
            </w:pPr>
            <w:r w:rsidRPr="002B28C3">
              <w:rPr>
                <w:rFonts w:asciiTheme="majorBidi" w:hAnsiTheme="majorBidi" w:cstheme="majorBidi"/>
              </w:rPr>
              <w:t>45</w:t>
            </w:r>
          </w:p>
        </w:tc>
        <w:tc>
          <w:tcPr>
            <w:tcW w:w="6237" w:type="dxa"/>
            <w:noWrap/>
            <w:hideMark/>
          </w:tcPr>
          <w:p w14:paraId="7F83638A"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gramStart"/>
            <w:r w:rsidRPr="002B28C3">
              <w:rPr>
                <w:rFonts w:asciiTheme="majorBidi" w:hAnsiTheme="majorBidi" w:cstheme="majorBidi"/>
              </w:rPr>
              <w:t>exp</w:t>
            </w:r>
            <w:proofErr w:type="gramEnd"/>
            <w:r w:rsidRPr="002B28C3">
              <w:rPr>
                <w:rFonts w:asciiTheme="majorBidi" w:hAnsiTheme="majorBidi" w:cstheme="majorBidi"/>
              </w:rPr>
              <w:t xml:space="preserve"> </w:t>
            </w:r>
            <w:proofErr w:type="spellStart"/>
            <w:r w:rsidRPr="002B28C3">
              <w:rPr>
                <w:rFonts w:asciiTheme="majorBidi" w:hAnsiTheme="majorBidi" w:cstheme="majorBidi"/>
              </w:rPr>
              <w:t>africa</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americas</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antarctic</w:t>
            </w:r>
            <w:proofErr w:type="spellEnd"/>
            <w:r w:rsidRPr="002B28C3">
              <w:rPr>
                <w:rFonts w:asciiTheme="majorBidi" w:hAnsiTheme="majorBidi" w:cstheme="majorBidi"/>
              </w:rPr>
              <w:t xml:space="preserve"> regions/ or exp arctic regions/ or exp </w:t>
            </w:r>
            <w:proofErr w:type="spellStart"/>
            <w:r w:rsidRPr="002B28C3">
              <w:rPr>
                <w:rFonts w:asciiTheme="majorBidi" w:hAnsiTheme="majorBidi" w:cstheme="majorBidi"/>
              </w:rPr>
              <w:t>asia</w:t>
            </w:r>
            <w:proofErr w:type="spellEnd"/>
            <w:r w:rsidRPr="002B28C3">
              <w:rPr>
                <w:rFonts w:asciiTheme="majorBidi" w:hAnsiTheme="majorBidi" w:cstheme="majorBidi"/>
              </w:rPr>
              <w:t xml:space="preserve">/ or exp </w:t>
            </w:r>
            <w:proofErr w:type="spellStart"/>
            <w:r w:rsidRPr="002B28C3">
              <w:rPr>
                <w:rFonts w:asciiTheme="majorBidi" w:hAnsiTheme="majorBidi" w:cstheme="majorBidi"/>
              </w:rPr>
              <w:t>oceania</w:t>
            </w:r>
            <w:proofErr w:type="spellEnd"/>
            <w:r w:rsidRPr="002B28C3">
              <w:rPr>
                <w:rFonts w:asciiTheme="majorBidi" w:hAnsiTheme="majorBidi" w:cstheme="majorBidi"/>
              </w:rPr>
              <w:t xml:space="preserve">/) not (exp great </w:t>
            </w:r>
            <w:proofErr w:type="spellStart"/>
            <w:r w:rsidRPr="002B28C3">
              <w:rPr>
                <w:rFonts w:asciiTheme="majorBidi" w:hAnsiTheme="majorBidi" w:cstheme="majorBidi"/>
              </w:rPr>
              <w:t>britain</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europe</w:t>
            </w:r>
            <w:proofErr w:type="spellEnd"/>
            <w:r w:rsidRPr="002B28C3">
              <w:rPr>
                <w:rFonts w:asciiTheme="majorBidi" w:hAnsiTheme="majorBidi" w:cstheme="majorBidi"/>
              </w:rPr>
              <w:t>/)</w:t>
            </w:r>
          </w:p>
        </w:tc>
        <w:tc>
          <w:tcPr>
            <w:tcW w:w="1650" w:type="dxa"/>
            <w:noWrap/>
            <w:hideMark/>
          </w:tcPr>
          <w:p w14:paraId="6E8EADB9" w14:textId="77777777" w:rsidR="009F01D8" w:rsidRPr="002B28C3" w:rsidRDefault="009F01D8" w:rsidP="009F01D8">
            <w:pPr>
              <w:rPr>
                <w:rFonts w:asciiTheme="majorBidi" w:hAnsiTheme="majorBidi" w:cstheme="majorBidi"/>
              </w:rPr>
            </w:pPr>
            <w:r w:rsidRPr="002B28C3">
              <w:rPr>
                <w:rFonts w:asciiTheme="majorBidi" w:hAnsiTheme="majorBidi" w:cstheme="majorBidi"/>
              </w:rPr>
              <w:t>3038160</w:t>
            </w:r>
          </w:p>
        </w:tc>
      </w:tr>
      <w:tr w:rsidR="009F01D8" w:rsidRPr="00F63CD5" w14:paraId="543B049B" w14:textId="77777777" w:rsidTr="009F01D8">
        <w:trPr>
          <w:trHeight w:val="279"/>
        </w:trPr>
        <w:tc>
          <w:tcPr>
            <w:tcW w:w="1129" w:type="dxa"/>
            <w:noWrap/>
            <w:hideMark/>
          </w:tcPr>
          <w:p w14:paraId="3BE00F19" w14:textId="77777777" w:rsidR="009F01D8" w:rsidRPr="002B28C3" w:rsidRDefault="009F01D8" w:rsidP="009F01D8">
            <w:pPr>
              <w:rPr>
                <w:rFonts w:asciiTheme="majorBidi" w:hAnsiTheme="majorBidi" w:cstheme="majorBidi"/>
              </w:rPr>
            </w:pPr>
            <w:r w:rsidRPr="002B28C3">
              <w:rPr>
                <w:rFonts w:asciiTheme="majorBidi" w:hAnsiTheme="majorBidi" w:cstheme="majorBidi"/>
              </w:rPr>
              <w:t>46</w:t>
            </w:r>
          </w:p>
        </w:tc>
        <w:tc>
          <w:tcPr>
            <w:tcW w:w="6237" w:type="dxa"/>
            <w:noWrap/>
            <w:hideMark/>
          </w:tcPr>
          <w:p w14:paraId="1DB006D4" w14:textId="77777777" w:rsidR="009F01D8" w:rsidRPr="002B28C3" w:rsidRDefault="009F01D8" w:rsidP="009F01D8">
            <w:pPr>
              <w:rPr>
                <w:rFonts w:asciiTheme="majorBidi" w:hAnsiTheme="majorBidi" w:cstheme="majorBidi"/>
              </w:rPr>
            </w:pPr>
            <w:r w:rsidRPr="002B28C3">
              <w:rPr>
                <w:rFonts w:asciiTheme="majorBidi" w:hAnsiTheme="majorBidi" w:cstheme="majorBidi"/>
              </w:rPr>
              <w:t>45 not 44</w:t>
            </w:r>
          </w:p>
        </w:tc>
        <w:tc>
          <w:tcPr>
            <w:tcW w:w="1650" w:type="dxa"/>
            <w:noWrap/>
            <w:hideMark/>
          </w:tcPr>
          <w:p w14:paraId="0502B734" w14:textId="77777777" w:rsidR="009F01D8" w:rsidRPr="002B28C3" w:rsidRDefault="009F01D8" w:rsidP="009F01D8">
            <w:pPr>
              <w:rPr>
                <w:rFonts w:asciiTheme="majorBidi" w:hAnsiTheme="majorBidi" w:cstheme="majorBidi"/>
              </w:rPr>
            </w:pPr>
            <w:r w:rsidRPr="002B28C3">
              <w:rPr>
                <w:rFonts w:asciiTheme="majorBidi" w:hAnsiTheme="majorBidi" w:cstheme="majorBidi"/>
              </w:rPr>
              <w:t>2902099</w:t>
            </w:r>
          </w:p>
        </w:tc>
      </w:tr>
      <w:tr w:rsidR="009F01D8" w:rsidRPr="00F63CD5" w14:paraId="2BCFC7AA" w14:textId="77777777" w:rsidTr="009F01D8">
        <w:trPr>
          <w:trHeight w:val="279"/>
        </w:trPr>
        <w:tc>
          <w:tcPr>
            <w:tcW w:w="1129" w:type="dxa"/>
            <w:noWrap/>
            <w:hideMark/>
          </w:tcPr>
          <w:p w14:paraId="772C896B" w14:textId="77777777" w:rsidR="009F01D8" w:rsidRPr="002B28C3" w:rsidRDefault="009F01D8" w:rsidP="009F01D8">
            <w:pPr>
              <w:rPr>
                <w:rFonts w:asciiTheme="majorBidi" w:hAnsiTheme="majorBidi" w:cstheme="majorBidi"/>
              </w:rPr>
            </w:pPr>
            <w:r w:rsidRPr="002B28C3">
              <w:rPr>
                <w:rFonts w:asciiTheme="majorBidi" w:hAnsiTheme="majorBidi" w:cstheme="majorBidi"/>
              </w:rPr>
              <w:t>47</w:t>
            </w:r>
          </w:p>
        </w:tc>
        <w:tc>
          <w:tcPr>
            <w:tcW w:w="6237" w:type="dxa"/>
            <w:noWrap/>
            <w:hideMark/>
          </w:tcPr>
          <w:p w14:paraId="02A0C948" w14:textId="77777777" w:rsidR="009F01D8" w:rsidRPr="002B28C3" w:rsidRDefault="009F01D8" w:rsidP="009F01D8">
            <w:pPr>
              <w:rPr>
                <w:rFonts w:asciiTheme="majorBidi" w:hAnsiTheme="majorBidi" w:cstheme="majorBidi"/>
              </w:rPr>
            </w:pPr>
            <w:r w:rsidRPr="002B28C3">
              <w:rPr>
                <w:rFonts w:asciiTheme="majorBidi" w:hAnsiTheme="majorBidi" w:cstheme="majorBidi"/>
              </w:rPr>
              <w:t>35 and 46</w:t>
            </w:r>
          </w:p>
        </w:tc>
        <w:tc>
          <w:tcPr>
            <w:tcW w:w="1650" w:type="dxa"/>
            <w:noWrap/>
            <w:hideMark/>
          </w:tcPr>
          <w:p w14:paraId="6D5688EC" w14:textId="77777777" w:rsidR="009F01D8" w:rsidRPr="002B28C3" w:rsidRDefault="009F01D8" w:rsidP="009F01D8">
            <w:pPr>
              <w:rPr>
                <w:rFonts w:asciiTheme="majorBidi" w:hAnsiTheme="majorBidi" w:cstheme="majorBidi"/>
              </w:rPr>
            </w:pPr>
            <w:r w:rsidRPr="002B28C3">
              <w:rPr>
                <w:rFonts w:asciiTheme="majorBidi" w:hAnsiTheme="majorBidi" w:cstheme="majorBidi"/>
              </w:rPr>
              <w:t>172</w:t>
            </w:r>
          </w:p>
        </w:tc>
      </w:tr>
      <w:tr w:rsidR="009F01D8" w:rsidRPr="00F63CD5" w14:paraId="43DC4FA6" w14:textId="77777777" w:rsidTr="009F01D8">
        <w:trPr>
          <w:trHeight w:val="279"/>
        </w:trPr>
        <w:tc>
          <w:tcPr>
            <w:tcW w:w="1129" w:type="dxa"/>
            <w:noWrap/>
            <w:hideMark/>
          </w:tcPr>
          <w:p w14:paraId="5D2B8DF6" w14:textId="77777777" w:rsidR="009F01D8" w:rsidRPr="002B28C3" w:rsidRDefault="009F01D8" w:rsidP="009F01D8">
            <w:pPr>
              <w:rPr>
                <w:rFonts w:asciiTheme="majorBidi" w:hAnsiTheme="majorBidi" w:cstheme="majorBidi"/>
              </w:rPr>
            </w:pPr>
            <w:r w:rsidRPr="002B28C3">
              <w:rPr>
                <w:rFonts w:asciiTheme="majorBidi" w:hAnsiTheme="majorBidi" w:cstheme="majorBidi"/>
              </w:rPr>
              <w:t>48</w:t>
            </w:r>
          </w:p>
        </w:tc>
        <w:tc>
          <w:tcPr>
            <w:tcW w:w="6237" w:type="dxa"/>
            <w:noWrap/>
            <w:hideMark/>
          </w:tcPr>
          <w:p w14:paraId="6AF201F6"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and (antibiotic$ or anti-biotic$ or antimicrobial$ or anti-microbial$ or antibacterial$ or anti-bacterial$ or </w:t>
            </w:r>
            <w:proofErr w:type="spellStart"/>
            <w:r w:rsidRPr="002B28C3">
              <w:rPr>
                <w:rFonts w:asciiTheme="majorBidi" w:hAnsiTheme="majorBidi" w:cstheme="majorBidi"/>
              </w:rPr>
              <w:t>bacteriocid</w:t>
            </w:r>
            <w:proofErr w:type="spellEnd"/>
            <w:r w:rsidRPr="002B28C3">
              <w:rPr>
                <w:rFonts w:asciiTheme="majorBidi" w:hAnsiTheme="majorBidi" w:cstheme="majorBidi"/>
              </w:rPr>
              <w:t>$ or antimycobacterial$ or anti-mycobacterial$)).</w:t>
            </w:r>
            <w:proofErr w:type="spellStart"/>
            <w:r w:rsidRPr="002B28C3">
              <w:rPr>
                <w:rFonts w:asciiTheme="majorBidi" w:hAnsiTheme="majorBidi" w:cstheme="majorBidi"/>
              </w:rPr>
              <w:t>ti</w:t>
            </w:r>
            <w:proofErr w:type="spellEnd"/>
            <w:r w:rsidRPr="002B28C3">
              <w:rPr>
                <w:rFonts w:asciiTheme="majorBidi" w:hAnsiTheme="majorBidi" w:cstheme="majorBidi"/>
              </w:rPr>
              <w:t>.</w:t>
            </w:r>
          </w:p>
        </w:tc>
        <w:tc>
          <w:tcPr>
            <w:tcW w:w="1650" w:type="dxa"/>
            <w:noWrap/>
            <w:hideMark/>
          </w:tcPr>
          <w:p w14:paraId="61423446" w14:textId="77777777" w:rsidR="009F01D8" w:rsidRPr="002B28C3" w:rsidRDefault="009F01D8" w:rsidP="009F01D8">
            <w:pPr>
              <w:rPr>
                <w:rFonts w:asciiTheme="majorBidi" w:hAnsiTheme="majorBidi" w:cstheme="majorBidi"/>
              </w:rPr>
            </w:pPr>
            <w:r w:rsidRPr="002B28C3">
              <w:rPr>
                <w:rFonts w:asciiTheme="majorBidi" w:hAnsiTheme="majorBidi" w:cstheme="majorBidi"/>
              </w:rPr>
              <w:t>10075</w:t>
            </w:r>
          </w:p>
        </w:tc>
      </w:tr>
      <w:tr w:rsidR="009F01D8" w:rsidRPr="00F63CD5" w14:paraId="31012958" w14:textId="77777777" w:rsidTr="009F01D8">
        <w:trPr>
          <w:trHeight w:val="279"/>
        </w:trPr>
        <w:tc>
          <w:tcPr>
            <w:tcW w:w="1129" w:type="dxa"/>
            <w:noWrap/>
            <w:hideMark/>
          </w:tcPr>
          <w:p w14:paraId="75E8748F" w14:textId="77777777" w:rsidR="009F01D8" w:rsidRPr="002B28C3" w:rsidRDefault="009F01D8" w:rsidP="009F01D8">
            <w:pPr>
              <w:rPr>
                <w:rFonts w:asciiTheme="majorBidi" w:hAnsiTheme="majorBidi" w:cstheme="majorBidi"/>
              </w:rPr>
            </w:pPr>
            <w:r w:rsidRPr="002B28C3">
              <w:rPr>
                <w:rFonts w:asciiTheme="majorBidi" w:hAnsiTheme="majorBidi" w:cstheme="majorBidi"/>
              </w:rPr>
              <w:t>49</w:t>
            </w:r>
          </w:p>
        </w:tc>
        <w:tc>
          <w:tcPr>
            <w:tcW w:w="6237" w:type="dxa"/>
            <w:noWrap/>
            <w:hideMark/>
          </w:tcPr>
          <w:p w14:paraId="71CC894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susceptib</w:t>
            </w:r>
            <w:proofErr w:type="spellEnd"/>
            <w:r w:rsidRPr="002B28C3">
              <w:rPr>
                <w:rFonts w:asciiTheme="majorBidi" w:hAnsiTheme="majorBidi" w:cstheme="majorBidi"/>
              </w:rPr>
              <w:t xml:space="preserve">$ adj3 (antibiotic$ or anti-biotic$ or antimicrobial$ or anti-microbial$ or antibacterial$ or anti-bacterial$ or </w:t>
            </w:r>
            <w:proofErr w:type="spellStart"/>
            <w:r w:rsidRPr="002B28C3">
              <w:rPr>
                <w:rFonts w:asciiTheme="majorBidi" w:hAnsiTheme="majorBidi" w:cstheme="majorBidi"/>
              </w:rPr>
              <w:t>bacteriocid</w:t>
            </w:r>
            <w:proofErr w:type="spellEnd"/>
            <w:r w:rsidRPr="002B28C3">
              <w:rPr>
                <w:rFonts w:asciiTheme="majorBidi" w:hAnsiTheme="majorBidi" w:cstheme="majorBidi"/>
              </w:rPr>
              <w:t>$ or antimycobacterial$ or anti-mycobacterial$)</w:t>
            </w:r>
            <w:proofErr w:type="gramStart"/>
            <w:r w:rsidRPr="002B28C3">
              <w:rPr>
                <w:rFonts w:asciiTheme="majorBidi" w:hAnsiTheme="majorBidi" w:cstheme="majorBidi"/>
              </w:rPr>
              <w:t>).</w:t>
            </w:r>
            <w:proofErr w:type="spellStart"/>
            <w:r w:rsidRPr="002B28C3">
              <w:rPr>
                <w:rFonts w:asciiTheme="majorBidi" w:hAnsiTheme="majorBidi" w:cstheme="majorBidi"/>
              </w:rPr>
              <w:t>ab</w:t>
            </w:r>
            <w:proofErr w:type="gramEnd"/>
            <w:r w:rsidRPr="002B28C3">
              <w:rPr>
                <w:rFonts w:asciiTheme="majorBidi" w:hAnsiTheme="majorBidi" w:cstheme="majorBidi"/>
              </w:rPr>
              <w:t>,kf</w:t>
            </w:r>
            <w:proofErr w:type="spellEnd"/>
            <w:r w:rsidRPr="002B28C3">
              <w:rPr>
                <w:rFonts w:asciiTheme="majorBidi" w:hAnsiTheme="majorBidi" w:cstheme="majorBidi"/>
              </w:rPr>
              <w:t>.</w:t>
            </w:r>
          </w:p>
        </w:tc>
        <w:tc>
          <w:tcPr>
            <w:tcW w:w="1650" w:type="dxa"/>
            <w:noWrap/>
            <w:hideMark/>
          </w:tcPr>
          <w:p w14:paraId="4EBC832D" w14:textId="77777777" w:rsidR="009F01D8" w:rsidRPr="002B28C3" w:rsidRDefault="009F01D8" w:rsidP="009F01D8">
            <w:pPr>
              <w:rPr>
                <w:rFonts w:asciiTheme="majorBidi" w:hAnsiTheme="majorBidi" w:cstheme="majorBidi"/>
              </w:rPr>
            </w:pPr>
            <w:r w:rsidRPr="002B28C3">
              <w:rPr>
                <w:rFonts w:asciiTheme="majorBidi" w:hAnsiTheme="majorBidi" w:cstheme="majorBidi"/>
              </w:rPr>
              <w:t>27690</w:t>
            </w:r>
          </w:p>
        </w:tc>
      </w:tr>
      <w:tr w:rsidR="009F01D8" w:rsidRPr="00F63CD5" w14:paraId="1546861B" w14:textId="77777777" w:rsidTr="009F01D8">
        <w:trPr>
          <w:trHeight w:val="279"/>
        </w:trPr>
        <w:tc>
          <w:tcPr>
            <w:tcW w:w="1129" w:type="dxa"/>
            <w:noWrap/>
            <w:hideMark/>
          </w:tcPr>
          <w:p w14:paraId="149BE033" w14:textId="77777777" w:rsidR="009F01D8" w:rsidRPr="002B28C3" w:rsidRDefault="009F01D8" w:rsidP="009F01D8">
            <w:pPr>
              <w:rPr>
                <w:rFonts w:asciiTheme="majorBidi" w:hAnsiTheme="majorBidi" w:cstheme="majorBidi"/>
              </w:rPr>
            </w:pPr>
            <w:r w:rsidRPr="002B28C3">
              <w:rPr>
                <w:rFonts w:asciiTheme="majorBidi" w:hAnsiTheme="majorBidi" w:cstheme="majorBidi"/>
              </w:rPr>
              <w:t>50</w:t>
            </w:r>
          </w:p>
        </w:tc>
        <w:tc>
          <w:tcPr>
            <w:tcW w:w="6237" w:type="dxa"/>
            <w:noWrap/>
            <w:hideMark/>
          </w:tcPr>
          <w:p w14:paraId="3AF4C617" w14:textId="77777777" w:rsidR="009F01D8" w:rsidRPr="002B28C3" w:rsidRDefault="009F01D8" w:rsidP="009F01D8">
            <w:pPr>
              <w:rPr>
                <w:rFonts w:asciiTheme="majorBidi" w:hAnsiTheme="majorBidi" w:cstheme="majorBidi"/>
              </w:rPr>
            </w:pPr>
            <w:r w:rsidRPr="002B28C3">
              <w:rPr>
                <w:rFonts w:asciiTheme="majorBidi" w:hAnsiTheme="majorBidi" w:cstheme="majorBidi"/>
              </w:rPr>
              <w:t>48 or 49</w:t>
            </w:r>
          </w:p>
        </w:tc>
        <w:tc>
          <w:tcPr>
            <w:tcW w:w="1650" w:type="dxa"/>
            <w:noWrap/>
            <w:hideMark/>
          </w:tcPr>
          <w:p w14:paraId="5B6037B8" w14:textId="77777777" w:rsidR="009F01D8" w:rsidRPr="002B28C3" w:rsidRDefault="009F01D8" w:rsidP="009F01D8">
            <w:pPr>
              <w:rPr>
                <w:rFonts w:asciiTheme="majorBidi" w:hAnsiTheme="majorBidi" w:cstheme="majorBidi"/>
              </w:rPr>
            </w:pPr>
            <w:r w:rsidRPr="002B28C3">
              <w:rPr>
                <w:rFonts w:asciiTheme="majorBidi" w:hAnsiTheme="majorBidi" w:cstheme="majorBidi"/>
              </w:rPr>
              <w:t>32247</w:t>
            </w:r>
          </w:p>
        </w:tc>
      </w:tr>
      <w:tr w:rsidR="009F01D8" w:rsidRPr="00F63CD5" w14:paraId="0AFBED62" w14:textId="77777777" w:rsidTr="009F01D8">
        <w:trPr>
          <w:trHeight w:val="279"/>
        </w:trPr>
        <w:tc>
          <w:tcPr>
            <w:tcW w:w="1129" w:type="dxa"/>
            <w:noWrap/>
            <w:hideMark/>
          </w:tcPr>
          <w:p w14:paraId="4D9381BD" w14:textId="77777777" w:rsidR="009F01D8" w:rsidRPr="002B28C3" w:rsidRDefault="009F01D8" w:rsidP="009F01D8">
            <w:pPr>
              <w:rPr>
                <w:rFonts w:asciiTheme="majorBidi" w:hAnsiTheme="majorBidi" w:cstheme="majorBidi"/>
              </w:rPr>
            </w:pPr>
            <w:r w:rsidRPr="002B28C3">
              <w:rPr>
                <w:rFonts w:asciiTheme="majorBidi" w:hAnsiTheme="majorBidi" w:cstheme="majorBidi"/>
              </w:rPr>
              <w:t>51</w:t>
            </w:r>
          </w:p>
        </w:tc>
        <w:tc>
          <w:tcPr>
            <w:tcW w:w="6237" w:type="dxa"/>
            <w:noWrap/>
            <w:hideMark/>
          </w:tcPr>
          <w:p w14:paraId="2EE517E3" w14:textId="77777777" w:rsidR="009F01D8" w:rsidRPr="002B28C3" w:rsidRDefault="009F01D8" w:rsidP="009F01D8">
            <w:pPr>
              <w:rPr>
                <w:rFonts w:asciiTheme="majorBidi" w:hAnsiTheme="majorBidi" w:cstheme="majorBidi"/>
              </w:rPr>
            </w:pPr>
            <w:r w:rsidRPr="002B28C3">
              <w:rPr>
                <w:rFonts w:asciiTheme="majorBidi" w:hAnsiTheme="majorBidi" w:cstheme="majorBidi"/>
              </w:rPr>
              <w:t>11 and 33 and 50</w:t>
            </w:r>
          </w:p>
        </w:tc>
        <w:tc>
          <w:tcPr>
            <w:tcW w:w="1650" w:type="dxa"/>
            <w:noWrap/>
            <w:hideMark/>
          </w:tcPr>
          <w:p w14:paraId="25D22C58" w14:textId="77777777" w:rsidR="009F01D8" w:rsidRPr="002B28C3" w:rsidRDefault="009F01D8" w:rsidP="009F01D8">
            <w:pPr>
              <w:rPr>
                <w:rFonts w:asciiTheme="majorBidi" w:hAnsiTheme="majorBidi" w:cstheme="majorBidi"/>
              </w:rPr>
            </w:pPr>
            <w:r w:rsidRPr="002B28C3">
              <w:rPr>
                <w:rFonts w:asciiTheme="majorBidi" w:hAnsiTheme="majorBidi" w:cstheme="majorBidi"/>
              </w:rPr>
              <w:t>1563</w:t>
            </w:r>
          </w:p>
        </w:tc>
      </w:tr>
      <w:tr w:rsidR="009F01D8" w:rsidRPr="00F63CD5" w14:paraId="16FBF35A" w14:textId="77777777" w:rsidTr="009F01D8">
        <w:trPr>
          <w:trHeight w:val="279"/>
        </w:trPr>
        <w:tc>
          <w:tcPr>
            <w:tcW w:w="1129" w:type="dxa"/>
            <w:noWrap/>
            <w:hideMark/>
          </w:tcPr>
          <w:p w14:paraId="7DCE9207" w14:textId="77777777" w:rsidR="009F01D8" w:rsidRPr="002B28C3" w:rsidRDefault="009F01D8" w:rsidP="009F01D8">
            <w:pPr>
              <w:rPr>
                <w:rFonts w:asciiTheme="majorBidi" w:hAnsiTheme="majorBidi" w:cstheme="majorBidi"/>
              </w:rPr>
            </w:pPr>
            <w:r w:rsidRPr="002B28C3">
              <w:rPr>
                <w:rFonts w:asciiTheme="majorBidi" w:hAnsiTheme="majorBidi" w:cstheme="majorBidi"/>
              </w:rPr>
              <w:t>52</w:t>
            </w:r>
          </w:p>
        </w:tc>
        <w:tc>
          <w:tcPr>
            <w:tcW w:w="6237" w:type="dxa"/>
            <w:noWrap/>
            <w:hideMark/>
          </w:tcPr>
          <w:p w14:paraId="78C5170B" w14:textId="77777777" w:rsidR="009F01D8" w:rsidRPr="002B28C3" w:rsidRDefault="009F01D8" w:rsidP="009F01D8">
            <w:pPr>
              <w:rPr>
                <w:rFonts w:asciiTheme="majorBidi" w:hAnsiTheme="majorBidi" w:cstheme="majorBidi"/>
              </w:rPr>
            </w:pPr>
            <w:r w:rsidRPr="002B28C3">
              <w:rPr>
                <w:rFonts w:asciiTheme="majorBidi" w:hAnsiTheme="majorBidi" w:cstheme="majorBidi"/>
              </w:rPr>
              <w:t>46 and 51</w:t>
            </w:r>
          </w:p>
        </w:tc>
        <w:tc>
          <w:tcPr>
            <w:tcW w:w="1650" w:type="dxa"/>
            <w:noWrap/>
            <w:hideMark/>
          </w:tcPr>
          <w:p w14:paraId="3C11EE9E" w14:textId="77777777" w:rsidR="009F01D8" w:rsidRPr="002B28C3" w:rsidRDefault="009F01D8" w:rsidP="009F01D8">
            <w:pPr>
              <w:rPr>
                <w:rFonts w:asciiTheme="majorBidi" w:hAnsiTheme="majorBidi" w:cstheme="majorBidi"/>
              </w:rPr>
            </w:pPr>
            <w:r w:rsidRPr="002B28C3">
              <w:rPr>
                <w:rFonts w:asciiTheme="majorBidi" w:hAnsiTheme="majorBidi" w:cstheme="majorBidi"/>
              </w:rPr>
              <w:t>520</w:t>
            </w:r>
          </w:p>
        </w:tc>
      </w:tr>
      <w:tr w:rsidR="009F01D8" w:rsidRPr="00F63CD5" w14:paraId="5A228BCA" w14:textId="77777777" w:rsidTr="009F01D8">
        <w:trPr>
          <w:trHeight w:val="279"/>
        </w:trPr>
        <w:tc>
          <w:tcPr>
            <w:tcW w:w="1129" w:type="dxa"/>
            <w:noWrap/>
            <w:hideMark/>
          </w:tcPr>
          <w:p w14:paraId="5AB36FE7" w14:textId="77777777" w:rsidR="009F01D8" w:rsidRPr="002B28C3" w:rsidRDefault="009F01D8" w:rsidP="009F01D8">
            <w:pPr>
              <w:rPr>
                <w:rFonts w:asciiTheme="majorBidi" w:hAnsiTheme="majorBidi" w:cstheme="majorBidi"/>
              </w:rPr>
            </w:pPr>
            <w:r w:rsidRPr="002B28C3">
              <w:rPr>
                <w:rFonts w:asciiTheme="majorBidi" w:hAnsiTheme="majorBidi" w:cstheme="majorBidi"/>
              </w:rPr>
              <w:t>53</w:t>
            </w:r>
          </w:p>
        </w:tc>
        <w:tc>
          <w:tcPr>
            <w:tcW w:w="6237" w:type="dxa"/>
            <w:noWrap/>
            <w:hideMark/>
          </w:tcPr>
          <w:p w14:paraId="30D8D134"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52 to </w:t>
            </w:r>
            <w:proofErr w:type="spellStart"/>
            <w:r w:rsidRPr="002B28C3">
              <w:rPr>
                <w:rFonts w:asciiTheme="majorBidi" w:hAnsiTheme="majorBidi" w:cstheme="majorBidi"/>
              </w:rPr>
              <w:t>yr</w:t>
            </w:r>
            <w:proofErr w:type="spellEnd"/>
            <w:r w:rsidRPr="002B28C3">
              <w:rPr>
                <w:rFonts w:asciiTheme="majorBidi" w:hAnsiTheme="majorBidi" w:cstheme="majorBidi"/>
              </w:rPr>
              <w:t>="2007 -Current"</w:t>
            </w:r>
          </w:p>
        </w:tc>
        <w:tc>
          <w:tcPr>
            <w:tcW w:w="1650" w:type="dxa"/>
            <w:noWrap/>
            <w:hideMark/>
          </w:tcPr>
          <w:p w14:paraId="08DE7B08" w14:textId="77777777" w:rsidR="009F01D8" w:rsidRPr="002B28C3" w:rsidRDefault="009F01D8" w:rsidP="009F01D8">
            <w:pPr>
              <w:rPr>
                <w:rFonts w:asciiTheme="majorBidi" w:hAnsiTheme="majorBidi" w:cstheme="majorBidi"/>
              </w:rPr>
            </w:pPr>
            <w:r w:rsidRPr="002B28C3">
              <w:rPr>
                <w:rFonts w:asciiTheme="majorBidi" w:hAnsiTheme="majorBidi" w:cstheme="majorBidi"/>
              </w:rPr>
              <w:t>425</w:t>
            </w:r>
          </w:p>
        </w:tc>
      </w:tr>
    </w:tbl>
    <w:p w14:paraId="7A59B2D3" w14:textId="77777777" w:rsidR="009F01D8" w:rsidRPr="00D76748" w:rsidRDefault="009F01D8" w:rsidP="009F01D8">
      <w:pPr>
        <w:jc w:val="both"/>
        <w:rPr>
          <w:rFonts w:asciiTheme="majorBidi" w:hAnsiTheme="majorBidi" w:cstheme="majorBidi"/>
          <w:sz w:val="20"/>
          <w:szCs w:val="20"/>
        </w:rPr>
      </w:pPr>
      <w:r w:rsidRPr="00D76748">
        <w:rPr>
          <w:rFonts w:asciiTheme="majorBidi" w:hAnsiTheme="majorBidi" w:cstheme="majorBidi"/>
          <w:sz w:val="20"/>
          <w:szCs w:val="20"/>
        </w:rPr>
        <w:t xml:space="preserve">Strategy adapted from: </w:t>
      </w:r>
      <w:proofErr w:type="spellStart"/>
      <w:r w:rsidRPr="00D76748">
        <w:rPr>
          <w:rFonts w:asciiTheme="majorBidi" w:hAnsiTheme="majorBidi" w:cstheme="majorBidi"/>
          <w:sz w:val="20"/>
          <w:szCs w:val="20"/>
        </w:rPr>
        <w:t>Bassetti</w:t>
      </w:r>
      <w:proofErr w:type="spellEnd"/>
      <w:r w:rsidRPr="00D76748">
        <w:rPr>
          <w:rFonts w:asciiTheme="majorBidi" w:hAnsiTheme="majorBidi" w:cstheme="majorBidi"/>
          <w:sz w:val="20"/>
          <w:szCs w:val="20"/>
        </w:rPr>
        <w:t xml:space="preserve"> M, </w:t>
      </w:r>
      <w:proofErr w:type="spellStart"/>
      <w:r w:rsidRPr="00D76748">
        <w:rPr>
          <w:rFonts w:asciiTheme="majorBidi" w:hAnsiTheme="majorBidi" w:cstheme="majorBidi"/>
          <w:sz w:val="20"/>
          <w:szCs w:val="20"/>
        </w:rPr>
        <w:t>Rello</w:t>
      </w:r>
      <w:proofErr w:type="spellEnd"/>
      <w:r w:rsidRPr="00D76748">
        <w:rPr>
          <w:rFonts w:asciiTheme="majorBidi" w:hAnsiTheme="majorBidi" w:cstheme="majorBidi"/>
          <w:sz w:val="20"/>
          <w:szCs w:val="20"/>
        </w:rPr>
        <w:t xml:space="preserve"> J, Blasi F, </w:t>
      </w:r>
      <w:proofErr w:type="spellStart"/>
      <w:r w:rsidRPr="00D76748">
        <w:rPr>
          <w:rFonts w:asciiTheme="majorBidi" w:hAnsiTheme="majorBidi" w:cstheme="majorBidi"/>
          <w:sz w:val="20"/>
          <w:szCs w:val="20"/>
        </w:rPr>
        <w:t>Goossens</w:t>
      </w:r>
      <w:proofErr w:type="spellEnd"/>
      <w:r w:rsidRPr="00D76748">
        <w:rPr>
          <w:rFonts w:asciiTheme="majorBidi" w:hAnsiTheme="majorBidi" w:cstheme="majorBidi"/>
          <w:sz w:val="20"/>
          <w:szCs w:val="20"/>
        </w:rPr>
        <w:t xml:space="preserve"> H, </w:t>
      </w:r>
      <w:proofErr w:type="spellStart"/>
      <w:r w:rsidRPr="00D76748">
        <w:rPr>
          <w:rFonts w:asciiTheme="majorBidi" w:hAnsiTheme="majorBidi" w:cstheme="majorBidi"/>
          <w:sz w:val="20"/>
          <w:szCs w:val="20"/>
        </w:rPr>
        <w:t>Sotgiu</w:t>
      </w:r>
      <w:proofErr w:type="spellEnd"/>
      <w:r w:rsidRPr="00D76748">
        <w:rPr>
          <w:rFonts w:asciiTheme="majorBidi" w:hAnsiTheme="majorBidi" w:cstheme="majorBidi"/>
          <w:sz w:val="20"/>
          <w:szCs w:val="20"/>
        </w:rPr>
        <w:t xml:space="preserve"> G, </w:t>
      </w:r>
      <w:proofErr w:type="spellStart"/>
      <w:r w:rsidRPr="00D76748">
        <w:rPr>
          <w:rFonts w:asciiTheme="majorBidi" w:hAnsiTheme="majorBidi" w:cstheme="majorBidi"/>
          <w:sz w:val="20"/>
          <w:szCs w:val="20"/>
        </w:rPr>
        <w:t>Tavoschi</w:t>
      </w:r>
      <w:proofErr w:type="spellEnd"/>
      <w:r w:rsidRPr="00D76748">
        <w:rPr>
          <w:rFonts w:asciiTheme="majorBidi" w:hAnsiTheme="majorBidi" w:cstheme="majorBidi"/>
          <w:sz w:val="20"/>
          <w:szCs w:val="20"/>
        </w:rPr>
        <w:t xml:space="preserve"> L, </w:t>
      </w:r>
      <w:proofErr w:type="spellStart"/>
      <w:r w:rsidRPr="00D76748">
        <w:rPr>
          <w:rFonts w:asciiTheme="majorBidi" w:hAnsiTheme="majorBidi" w:cstheme="majorBidi"/>
          <w:sz w:val="20"/>
          <w:szCs w:val="20"/>
        </w:rPr>
        <w:t>Zasowski</w:t>
      </w:r>
      <w:proofErr w:type="spellEnd"/>
      <w:r w:rsidRPr="00D76748">
        <w:rPr>
          <w:rFonts w:asciiTheme="majorBidi" w:hAnsiTheme="majorBidi" w:cstheme="majorBidi"/>
          <w:sz w:val="20"/>
          <w:szCs w:val="20"/>
        </w:rPr>
        <w:t xml:space="preserve"> EJ, Arber MR, McCool R, Patterson JV, Longshaw CM. A systematic review on the impact of appropriate versus inappropriate initial antibiotic therapy on the outcomes of patients with severe bacterial infections. International Journal of Antimicrobial Agents. 2020 Oct 9:106184.</w:t>
      </w:r>
    </w:p>
    <w:p w14:paraId="5E2E3ED0" w14:textId="30741449" w:rsidR="009F01D8" w:rsidRPr="002E4F02" w:rsidRDefault="002E4F02" w:rsidP="00D76748">
      <w:pPr>
        <w:pStyle w:val="Heading4"/>
        <w:tabs>
          <w:tab w:val="left" w:pos="1418"/>
        </w:tabs>
        <w:rPr>
          <w:rFonts w:asciiTheme="majorBidi" w:hAnsiTheme="majorBidi"/>
          <w:b/>
          <w:bCs/>
          <w:i w:val="0"/>
          <w:iCs w:val="0"/>
          <w:noProof/>
          <w:color w:val="auto"/>
          <w:sz w:val="26"/>
          <w:szCs w:val="26"/>
        </w:rPr>
      </w:pPr>
      <w:bookmarkStart w:id="605" w:name="_Toc77254200"/>
      <w:r>
        <w:rPr>
          <w:rFonts w:asciiTheme="majorBidi" w:hAnsiTheme="majorBidi"/>
          <w:b/>
          <w:bCs/>
          <w:i w:val="0"/>
          <w:iCs w:val="0"/>
          <w:noProof/>
          <w:color w:val="auto"/>
          <w:sz w:val="26"/>
          <w:szCs w:val="26"/>
        </w:rPr>
        <w:tab/>
      </w:r>
      <w:r>
        <w:rPr>
          <w:rFonts w:asciiTheme="majorBidi" w:hAnsiTheme="majorBidi"/>
          <w:b/>
          <w:bCs/>
          <w:i w:val="0"/>
          <w:iCs w:val="0"/>
          <w:noProof/>
          <w:color w:val="auto"/>
          <w:sz w:val="26"/>
          <w:szCs w:val="26"/>
        </w:rPr>
        <w:tab/>
      </w:r>
      <w:r w:rsidR="009F01D8" w:rsidRPr="002E4F02">
        <w:rPr>
          <w:rFonts w:asciiTheme="majorBidi" w:hAnsiTheme="majorBidi"/>
          <w:b/>
          <w:bCs/>
          <w:i w:val="0"/>
          <w:iCs w:val="0"/>
          <w:noProof/>
          <w:color w:val="auto"/>
          <w:sz w:val="26"/>
          <w:szCs w:val="26"/>
        </w:rPr>
        <w:t>A1.3.5</w:t>
      </w:r>
      <w:r w:rsidR="009F01D8" w:rsidRPr="002E4F02">
        <w:rPr>
          <w:rFonts w:asciiTheme="majorBidi" w:hAnsiTheme="majorBidi"/>
          <w:b/>
          <w:bCs/>
          <w:i w:val="0"/>
          <w:iCs w:val="0"/>
          <w:noProof/>
          <w:color w:val="auto"/>
          <w:sz w:val="26"/>
          <w:szCs w:val="26"/>
        </w:rPr>
        <w:tab/>
      </w:r>
      <w:r w:rsidR="00D76748">
        <w:rPr>
          <w:rFonts w:asciiTheme="majorBidi" w:hAnsiTheme="majorBidi"/>
          <w:b/>
          <w:bCs/>
          <w:i w:val="0"/>
          <w:iCs w:val="0"/>
          <w:noProof/>
          <w:color w:val="auto"/>
          <w:sz w:val="26"/>
          <w:szCs w:val="26"/>
        </w:rPr>
        <w:t xml:space="preserve"> </w:t>
      </w:r>
      <w:r w:rsidR="009F01D8" w:rsidRPr="002E4F02">
        <w:rPr>
          <w:rFonts w:asciiTheme="majorBidi" w:hAnsiTheme="majorBidi"/>
          <w:b/>
          <w:bCs/>
          <w:i w:val="0"/>
          <w:iCs w:val="0"/>
          <w:noProof/>
          <w:color w:val="auto"/>
          <w:sz w:val="26"/>
          <w:szCs w:val="26"/>
        </w:rPr>
        <w:t>Utilities search: Charlson Comorbidity Index</w:t>
      </w:r>
      <w:bookmarkEnd w:id="605"/>
    </w:p>
    <w:p w14:paraId="2F2C9CA3" w14:textId="77777777" w:rsidR="009F01D8" w:rsidRPr="002E4F02" w:rsidRDefault="009F01D8" w:rsidP="009F01D8">
      <w:pPr>
        <w:spacing w:after="0"/>
        <w:rPr>
          <w:rFonts w:asciiTheme="majorBidi" w:hAnsiTheme="majorBidi" w:cstheme="majorBidi"/>
          <w:b/>
          <w:bCs/>
          <w:sz w:val="26"/>
          <w:szCs w:val="26"/>
        </w:rPr>
      </w:pPr>
    </w:p>
    <w:p w14:paraId="5D81E258"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 xml:space="preserve">Search terms: </w:t>
      </w:r>
      <w:proofErr w:type="spellStart"/>
      <w:r w:rsidRPr="00D76748">
        <w:rPr>
          <w:rFonts w:asciiTheme="majorBidi" w:hAnsiTheme="majorBidi" w:cstheme="majorBidi"/>
        </w:rPr>
        <w:t>Charlson</w:t>
      </w:r>
      <w:proofErr w:type="spellEnd"/>
      <w:r w:rsidRPr="00D76748">
        <w:rPr>
          <w:rFonts w:asciiTheme="majorBidi" w:hAnsiTheme="majorBidi" w:cstheme="majorBidi"/>
        </w:rPr>
        <w:t xml:space="preserve"> Comorbidity Index and utility filter</w:t>
      </w:r>
    </w:p>
    <w:p w14:paraId="5AD52E99"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Filters: Health State Utility Value filter by Arber et al., (2017)</w:t>
      </w:r>
    </w:p>
    <w:p w14:paraId="3F697B40" w14:textId="77777777" w:rsidR="009F01D8" w:rsidRPr="00D76748" w:rsidRDefault="009F01D8" w:rsidP="009F01D8">
      <w:pPr>
        <w:spacing w:after="0"/>
        <w:rPr>
          <w:rFonts w:asciiTheme="majorBidi" w:hAnsiTheme="majorBidi" w:cstheme="majorBidi"/>
        </w:rPr>
      </w:pPr>
      <w:r w:rsidRPr="00D76748">
        <w:rPr>
          <w:rFonts w:asciiTheme="majorBidi" w:hAnsiTheme="majorBidi" w:cstheme="majorBidi"/>
        </w:rPr>
        <w:t>Limits: MEDLINE, English language</w:t>
      </w:r>
    </w:p>
    <w:p w14:paraId="4CAA0DA8" w14:textId="77777777" w:rsidR="009F01D8" w:rsidRPr="00D76748" w:rsidRDefault="009F01D8" w:rsidP="009F01D8">
      <w:pPr>
        <w:spacing w:after="0"/>
        <w:rPr>
          <w:rFonts w:asciiTheme="majorBidi" w:hAnsiTheme="majorBidi" w:cstheme="majorBidi"/>
        </w:rPr>
      </w:pPr>
    </w:p>
    <w:p w14:paraId="32DAC3D8" w14:textId="77777777" w:rsidR="009F01D8" w:rsidRPr="00D76748" w:rsidRDefault="009F01D8" w:rsidP="009F01D8">
      <w:pPr>
        <w:spacing w:after="0" w:line="240" w:lineRule="auto"/>
        <w:rPr>
          <w:rFonts w:asciiTheme="majorBidi" w:hAnsiTheme="majorBidi" w:cstheme="majorBidi"/>
          <w:b/>
        </w:rPr>
      </w:pPr>
      <w:r w:rsidRPr="00D76748">
        <w:rPr>
          <w:rFonts w:asciiTheme="majorBidi" w:hAnsiTheme="majorBidi" w:cstheme="majorBidi"/>
          <w:b/>
        </w:rPr>
        <w:t xml:space="preserve">Ovid MEDLINE(R) and </w:t>
      </w:r>
      <w:proofErr w:type="spellStart"/>
      <w:r w:rsidRPr="00D76748">
        <w:rPr>
          <w:rFonts w:asciiTheme="majorBidi" w:hAnsiTheme="majorBidi" w:cstheme="majorBidi"/>
          <w:b/>
        </w:rPr>
        <w:t>Epub</w:t>
      </w:r>
      <w:proofErr w:type="spellEnd"/>
      <w:r w:rsidRPr="00D76748">
        <w:rPr>
          <w:rFonts w:asciiTheme="majorBidi" w:hAnsiTheme="majorBidi" w:cstheme="majorBidi"/>
          <w:b/>
        </w:rPr>
        <w:t xml:space="preserve"> Ahead of Print, In-Process, In-Data-Review &amp; Other Non-Indexed Citations, Daily and Versions(R) 1946 to July 12, 2021</w:t>
      </w:r>
    </w:p>
    <w:p w14:paraId="0D97F8D5" w14:textId="77777777" w:rsidR="009F01D8" w:rsidRPr="00D76748" w:rsidRDefault="009F01D8" w:rsidP="009F01D8">
      <w:pPr>
        <w:spacing w:after="0" w:line="240" w:lineRule="auto"/>
        <w:rPr>
          <w:rFonts w:asciiTheme="majorBidi" w:hAnsiTheme="majorBidi" w:cstheme="majorBidi"/>
        </w:rPr>
      </w:pPr>
      <w:r w:rsidRPr="00D76748">
        <w:rPr>
          <w:rFonts w:asciiTheme="majorBidi" w:hAnsiTheme="majorBidi" w:cstheme="majorBidi"/>
        </w:rPr>
        <w:t>13</w:t>
      </w:r>
      <w:r w:rsidRPr="00D76748">
        <w:rPr>
          <w:rFonts w:asciiTheme="majorBidi" w:hAnsiTheme="majorBidi" w:cstheme="majorBidi"/>
          <w:vertAlign w:val="superscript"/>
        </w:rPr>
        <w:t>th</w:t>
      </w:r>
      <w:r w:rsidRPr="00D76748">
        <w:rPr>
          <w:rFonts w:asciiTheme="majorBidi" w:hAnsiTheme="majorBidi" w:cstheme="majorBidi"/>
        </w:rPr>
        <w:t xml:space="preserve"> July 2021</w:t>
      </w:r>
    </w:p>
    <w:p w14:paraId="1A31C22C" w14:textId="77777777" w:rsidR="009F01D8" w:rsidRPr="00F63CD5" w:rsidRDefault="009F01D8" w:rsidP="009F01D8">
      <w:pPr>
        <w:spacing w:after="0"/>
        <w:rPr>
          <w:b/>
        </w:rPr>
      </w:pPr>
    </w:p>
    <w:tbl>
      <w:tblPr>
        <w:tblStyle w:val="TableGrid"/>
        <w:tblW w:w="0" w:type="auto"/>
        <w:tblLook w:val="04A0" w:firstRow="1" w:lastRow="0" w:firstColumn="1" w:lastColumn="0" w:noHBand="0" w:noVBand="1"/>
      </w:tblPr>
      <w:tblGrid>
        <w:gridCol w:w="1351"/>
        <w:gridCol w:w="6266"/>
        <w:gridCol w:w="1399"/>
      </w:tblGrid>
      <w:tr w:rsidR="009F01D8" w:rsidRPr="002B28C3" w14:paraId="3D3BD436" w14:textId="77777777" w:rsidTr="009F01D8">
        <w:trPr>
          <w:trHeight w:val="279"/>
        </w:trPr>
        <w:tc>
          <w:tcPr>
            <w:tcW w:w="1351" w:type="dxa"/>
            <w:hideMark/>
          </w:tcPr>
          <w:p w14:paraId="01F2CDB5"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w:t>
            </w:r>
          </w:p>
        </w:tc>
        <w:tc>
          <w:tcPr>
            <w:tcW w:w="6266" w:type="dxa"/>
            <w:hideMark/>
          </w:tcPr>
          <w:p w14:paraId="5ACA4350"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Searches</w:t>
            </w:r>
          </w:p>
        </w:tc>
        <w:tc>
          <w:tcPr>
            <w:tcW w:w="1399" w:type="dxa"/>
            <w:hideMark/>
          </w:tcPr>
          <w:p w14:paraId="1C853480" w14:textId="77777777" w:rsidR="009F01D8" w:rsidRPr="002B28C3" w:rsidRDefault="009F01D8" w:rsidP="009F01D8">
            <w:pPr>
              <w:rPr>
                <w:rFonts w:asciiTheme="majorBidi" w:hAnsiTheme="majorBidi" w:cstheme="majorBidi"/>
                <w:b/>
                <w:bCs/>
              </w:rPr>
            </w:pPr>
            <w:r w:rsidRPr="002B28C3">
              <w:rPr>
                <w:rFonts w:asciiTheme="majorBidi" w:hAnsiTheme="majorBidi" w:cstheme="majorBidi"/>
                <w:b/>
                <w:bCs/>
              </w:rPr>
              <w:t>Results</w:t>
            </w:r>
          </w:p>
        </w:tc>
      </w:tr>
      <w:tr w:rsidR="009F01D8" w:rsidRPr="002B28C3" w14:paraId="42685E0F" w14:textId="77777777" w:rsidTr="009F01D8">
        <w:trPr>
          <w:trHeight w:val="279"/>
        </w:trPr>
        <w:tc>
          <w:tcPr>
            <w:tcW w:w="1351" w:type="dxa"/>
            <w:hideMark/>
          </w:tcPr>
          <w:p w14:paraId="3B4900EC"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c>
          <w:tcPr>
            <w:tcW w:w="6266" w:type="dxa"/>
            <w:hideMark/>
          </w:tcPr>
          <w:p w14:paraId="7AB52763" w14:textId="77777777" w:rsidR="009F01D8" w:rsidRPr="002B28C3" w:rsidRDefault="009F01D8" w:rsidP="009F01D8">
            <w:pPr>
              <w:rPr>
                <w:rFonts w:asciiTheme="majorBidi" w:hAnsiTheme="majorBidi" w:cstheme="majorBidi"/>
              </w:rPr>
            </w:pPr>
            <w:r w:rsidRPr="002B28C3">
              <w:rPr>
                <w:rFonts w:asciiTheme="majorBidi" w:hAnsiTheme="majorBidi" w:cstheme="majorBidi"/>
              </w:rPr>
              <w:t>Quality-Adjusted Life Years/</w:t>
            </w:r>
          </w:p>
        </w:tc>
        <w:tc>
          <w:tcPr>
            <w:tcW w:w="1399" w:type="dxa"/>
            <w:hideMark/>
          </w:tcPr>
          <w:p w14:paraId="12B4F003" w14:textId="77777777" w:rsidR="009F01D8" w:rsidRPr="002B28C3" w:rsidRDefault="009F01D8" w:rsidP="009F01D8">
            <w:pPr>
              <w:rPr>
                <w:rFonts w:asciiTheme="majorBidi" w:hAnsiTheme="majorBidi" w:cstheme="majorBidi"/>
              </w:rPr>
            </w:pPr>
            <w:r w:rsidRPr="002B28C3">
              <w:rPr>
                <w:rFonts w:asciiTheme="majorBidi" w:hAnsiTheme="majorBidi" w:cstheme="majorBidi"/>
              </w:rPr>
              <w:t>13500</w:t>
            </w:r>
          </w:p>
        </w:tc>
      </w:tr>
      <w:tr w:rsidR="009F01D8" w:rsidRPr="002B28C3" w14:paraId="1BCB72FB" w14:textId="77777777" w:rsidTr="009F01D8">
        <w:trPr>
          <w:trHeight w:val="279"/>
        </w:trPr>
        <w:tc>
          <w:tcPr>
            <w:tcW w:w="1351" w:type="dxa"/>
            <w:hideMark/>
          </w:tcPr>
          <w:p w14:paraId="38ED3D6A" w14:textId="77777777" w:rsidR="009F01D8" w:rsidRPr="002B28C3" w:rsidRDefault="009F01D8" w:rsidP="009F01D8">
            <w:pPr>
              <w:rPr>
                <w:rFonts w:asciiTheme="majorBidi" w:hAnsiTheme="majorBidi" w:cstheme="majorBidi"/>
              </w:rPr>
            </w:pPr>
            <w:r w:rsidRPr="002B28C3">
              <w:rPr>
                <w:rFonts w:asciiTheme="majorBidi" w:hAnsiTheme="majorBidi" w:cstheme="majorBidi"/>
              </w:rPr>
              <w:t>2</w:t>
            </w:r>
          </w:p>
        </w:tc>
        <w:tc>
          <w:tcPr>
            <w:tcW w:w="6266" w:type="dxa"/>
            <w:hideMark/>
          </w:tcPr>
          <w:p w14:paraId="0059EECB" w14:textId="77777777" w:rsidR="009F01D8" w:rsidRPr="002B28C3" w:rsidRDefault="009F01D8" w:rsidP="009F01D8">
            <w:pPr>
              <w:rPr>
                <w:rFonts w:asciiTheme="majorBidi" w:hAnsiTheme="majorBidi" w:cstheme="majorBidi"/>
              </w:rPr>
            </w:pPr>
            <w:r w:rsidRPr="002B28C3">
              <w:rPr>
                <w:rFonts w:asciiTheme="majorBidi" w:hAnsiTheme="majorBidi" w:cstheme="majorBidi"/>
              </w:rPr>
              <w:t>Value of Life/</w:t>
            </w:r>
          </w:p>
        </w:tc>
        <w:tc>
          <w:tcPr>
            <w:tcW w:w="1399" w:type="dxa"/>
            <w:hideMark/>
          </w:tcPr>
          <w:p w14:paraId="152A88B6" w14:textId="77777777" w:rsidR="009F01D8" w:rsidRPr="002B28C3" w:rsidRDefault="009F01D8" w:rsidP="009F01D8">
            <w:pPr>
              <w:rPr>
                <w:rFonts w:asciiTheme="majorBidi" w:hAnsiTheme="majorBidi" w:cstheme="majorBidi"/>
              </w:rPr>
            </w:pPr>
            <w:r w:rsidRPr="002B28C3">
              <w:rPr>
                <w:rFonts w:asciiTheme="majorBidi" w:hAnsiTheme="majorBidi" w:cstheme="majorBidi"/>
              </w:rPr>
              <w:t>5752</w:t>
            </w:r>
          </w:p>
        </w:tc>
      </w:tr>
      <w:tr w:rsidR="009F01D8" w:rsidRPr="002B28C3" w14:paraId="5A60FEC0" w14:textId="77777777" w:rsidTr="009F01D8">
        <w:trPr>
          <w:trHeight w:val="279"/>
        </w:trPr>
        <w:tc>
          <w:tcPr>
            <w:tcW w:w="1351" w:type="dxa"/>
            <w:hideMark/>
          </w:tcPr>
          <w:p w14:paraId="6706C641" w14:textId="77777777" w:rsidR="009F01D8" w:rsidRPr="002B28C3" w:rsidRDefault="009F01D8" w:rsidP="009F01D8">
            <w:pPr>
              <w:rPr>
                <w:rFonts w:asciiTheme="majorBidi" w:hAnsiTheme="majorBidi" w:cstheme="majorBidi"/>
              </w:rPr>
            </w:pPr>
            <w:r w:rsidRPr="002B28C3">
              <w:rPr>
                <w:rFonts w:asciiTheme="majorBidi" w:hAnsiTheme="majorBidi" w:cstheme="majorBidi"/>
              </w:rPr>
              <w:t>3</w:t>
            </w:r>
          </w:p>
        </w:tc>
        <w:tc>
          <w:tcPr>
            <w:tcW w:w="6266" w:type="dxa"/>
            <w:hideMark/>
          </w:tcPr>
          <w:p w14:paraId="09F08B13"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qaly</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qald</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qale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qtime</w:t>
            </w:r>
            <w:proofErr w:type="spellEnd"/>
            <w:r w:rsidRPr="002B28C3">
              <w:rPr>
                <w:rFonts w:asciiTheme="majorBidi" w:hAnsiTheme="majorBidi" w:cstheme="majorBidi"/>
              </w:rPr>
              <w:t>*</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6C141B1C" w14:textId="77777777" w:rsidR="009F01D8" w:rsidRPr="002B28C3" w:rsidRDefault="009F01D8" w:rsidP="009F01D8">
            <w:pPr>
              <w:rPr>
                <w:rFonts w:asciiTheme="majorBidi" w:hAnsiTheme="majorBidi" w:cstheme="majorBidi"/>
              </w:rPr>
            </w:pPr>
            <w:r w:rsidRPr="002B28C3">
              <w:rPr>
                <w:rFonts w:asciiTheme="majorBidi" w:hAnsiTheme="majorBidi" w:cstheme="majorBidi"/>
              </w:rPr>
              <w:t>12063</w:t>
            </w:r>
          </w:p>
        </w:tc>
      </w:tr>
      <w:tr w:rsidR="009F01D8" w:rsidRPr="002B28C3" w14:paraId="65169C28" w14:textId="77777777" w:rsidTr="009F01D8">
        <w:trPr>
          <w:trHeight w:val="279"/>
        </w:trPr>
        <w:tc>
          <w:tcPr>
            <w:tcW w:w="1351" w:type="dxa"/>
            <w:hideMark/>
          </w:tcPr>
          <w:p w14:paraId="5619F612" w14:textId="77777777" w:rsidR="009F01D8" w:rsidRPr="002B28C3" w:rsidRDefault="009F01D8" w:rsidP="009F01D8">
            <w:pPr>
              <w:rPr>
                <w:rFonts w:asciiTheme="majorBidi" w:hAnsiTheme="majorBidi" w:cstheme="majorBidi"/>
              </w:rPr>
            </w:pPr>
            <w:r w:rsidRPr="002B28C3">
              <w:rPr>
                <w:rFonts w:asciiTheme="majorBidi" w:hAnsiTheme="majorBidi" w:cstheme="majorBidi"/>
              </w:rPr>
              <w:t>4</w:t>
            </w:r>
          </w:p>
        </w:tc>
        <w:tc>
          <w:tcPr>
            <w:tcW w:w="6266" w:type="dxa"/>
            <w:hideMark/>
          </w:tcPr>
          <w:p w14:paraId="3D020713" w14:textId="77777777" w:rsidR="009F01D8" w:rsidRPr="002B28C3" w:rsidRDefault="009F01D8" w:rsidP="009F01D8">
            <w:pPr>
              <w:rPr>
                <w:rFonts w:asciiTheme="majorBidi" w:hAnsiTheme="majorBidi" w:cstheme="majorBidi"/>
              </w:rPr>
            </w:pPr>
            <w:r w:rsidRPr="002B28C3">
              <w:rPr>
                <w:rFonts w:asciiTheme="majorBidi" w:hAnsiTheme="majorBidi" w:cstheme="majorBidi"/>
              </w:rPr>
              <w:t>(quality adjusted or adjusted life year*</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11D64B62" w14:textId="77777777" w:rsidR="009F01D8" w:rsidRPr="002B28C3" w:rsidRDefault="009F01D8" w:rsidP="009F01D8">
            <w:pPr>
              <w:rPr>
                <w:rFonts w:asciiTheme="majorBidi" w:hAnsiTheme="majorBidi" w:cstheme="majorBidi"/>
              </w:rPr>
            </w:pPr>
            <w:r w:rsidRPr="002B28C3">
              <w:rPr>
                <w:rFonts w:asciiTheme="majorBidi" w:hAnsiTheme="majorBidi" w:cstheme="majorBidi"/>
              </w:rPr>
              <w:t>18964</w:t>
            </w:r>
          </w:p>
        </w:tc>
      </w:tr>
      <w:tr w:rsidR="009F01D8" w:rsidRPr="002B28C3" w14:paraId="63E236E0" w14:textId="77777777" w:rsidTr="009F01D8">
        <w:trPr>
          <w:trHeight w:val="279"/>
        </w:trPr>
        <w:tc>
          <w:tcPr>
            <w:tcW w:w="1351" w:type="dxa"/>
            <w:hideMark/>
          </w:tcPr>
          <w:p w14:paraId="2F719528" w14:textId="77777777" w:rsidR="009F01D8" w:rsidRPr="002B28C3" w:rsidRDefault="009F01D8" w:rsidP="009F01D8">
            <w:pPr>
              <w:rPr>
                <w:rFonts w:asciiTheme="majorBidi" w:hAnsiTheme="majorBidi" w:cstheme="majorBidi"/>
              </w:rPr>
            </w:pPr>
            <w:r w:rsidRPr="002B28C3">
              <w:rPr>
                <w:rFonts w:asciiTheme="majorBidi" w:hAnsiTheme="majorBidi" w:cstheme="majorBidi"/>
              </w:rPr>
              <w:t>5</w:t>
            </w:r>
          </w:p>
        </w:tc>
        <w:tc>
          <w:tcPr>
            <w:tcW w:w="6266" w:type="dxa"/>
            <w:hideMark/>
          </w:tcPr>
          <w:p w14:paraId="3373E537"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disability adjusted </w:t>
            </w:r>
            <w:proofErr w:type="spellStart"/>
            <w:proofErr w:type="gramStart"/>
            <w:r w:rsidRPr="002B28C3">
              <w:rPr>
                <w:rFonts w:asciiTheme="majorBidi" w:hAnsiTheme="majorBidi" w:cstheme="majorBidi"/>
              </w:rPr>
              <w:t>life.ti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002D45FA" w14:textId="77777777" w:rsidR="009F01D8" w:rsidRPr="002B28C3" w:rsidRDefault="009F01D8" w:rsidP="009F01D8">
            <w:pPr>
              <w:rPr>
                <w:rFonts w:asciiTheme="majorBidi" w:hAnsiTheme="majorBidi" w:cstheme="majorBidi"/>
              </w:rPr>
            </w:pPr>
            <w:r w:rsidRPr="002B28C3">
              <w:rPr>
                <w:rFonts w:asciiTheme="majorBidi" w:hAnsiTheme="majorBidi" w:cstheme="majorBidi"/>
              </w:rPr>
              <w:t>3946</w:t>
            </w:r>
          </w:p>
        </w:tc>
      </w:tr>
      <w:tr w:rsidR="009F01D8" w:rsidRPr="002B28C3" w14:paraId="0F25D3BA" w14:textId="77777777" w:rsidTr="009F01D8">
        <w:trPr>
          <w:trHeight w:val="279"/>
        </w:trPr>
        <w:tc>
          <w:tcPr>
            <w:tcW w:w="1351" w:type="dxa"/>
            <w:hideMark/>
          </w:tcPr>
          <w:p w14:paraId="78600BE9" w14:textId="77777777" w:rsidR="009F01D8" w:rsidRPr="002B28C3" w:rsidRDefault="009F01D8" w:rsidP="009F01D8">
            <w:pPr>
              <w:rPr>
                <w:rFonts w:asciiTheme="majorBidi" w:hAnsiTheme="majorBidi" w:cstheme="majorBidi"/>
              </w:rPr>
            </w:pPr>
            <w:r w:rsidRPr="002B28C3">
              <w:rPr>
                <w:rFonts w:asciiTheme="majorBidi" w:hAnsiTheme="majorBidi" w:cstheme="majorBidi"/>
              </w:rPr>
              <w:t>6</w:t>
            </w:r>
          </w:p>
        </w:tc>
        <w:tc>
          <w:tcPr>
            <w:tcW w:w="6266" w:type="dxa"/>
            <w:hideMark/>
          </w:tcPr>
          <w:p w14:paraId="17B5DE63"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daly</w:t>
            </w:r>
            <w:proofErr w:type="spellEnd"/>
            <w:r w:rsidRPr="002B28C3">
              <w:rPr>
                <w:rFonts w:asciiTheme="majorBidi" w:hAnsiTheme="majorBidi" w:cstheme="majorBidi"/>
              </w:rPr>
              <w:t>*</w:t>
            </w:r>
            <w:proofErr w:type="gramStart"/>
            <w:r w:rsidRPr="002B28C3">
              <w:rPr>
                <w:rFonts w:asciiTheme="majorBidi" w:hAnsiTheme="majorBidi" w:cstheme="majorBidi"/>
              </w:rPr>
              <w:t>1.ti</w:t>
            </w:r>
            <w:proofErr w:type="gramEnd"/>
            <w:r w:rsidRPr="002B28C3">
              <w:rPr>
                <w:rFonts w:asciiTheme="majorBidi" w:hAnsiTheme="majorBidi" w:cstheme="majorBidi"/>
              </w:rPr>
              <w:t>,ab,kf.</w:t>
            </w:r>
          </w:p>
        </w:tc>
        <w:tc>
          <w:tcPr>
            <w:tcW w:w="1399" w:type="dxa"/>
            <w:hideMark/>
          </w:tcPr>
          <w:p w14:paraId="37212F71" w14:textId="77777777" w:rsidR="009F01D8" w:rsidRPr="002B28C3" w:rsidRDefault="009F01D8" w:rsidP="009F01D8">
            <w:pPr>
              <w:rPr>
                <w:rFonts w:asciiTheme="majorBidi" w:hAnsiTheme="majorBidi" w:cstheme="majorBidi"/>
              </w:rPr>
            </w:pPr>
            <w:r w:rsidRPr="002B28C3">
              <w:rPr>
                <w:rFonts w:asciiTheme="majorBidi" w:hAnsiTheme="majorBidi" w:cstheme="majorBidi"/>
              </w:rPr>
              <w:t>3468</w:t>
            </w:r>
          </w:p>
        </w:tc>
      </w:tr>
      <w:tr w:rsidR="009F01D8" w:rsidRPr="002B28C3" w14:paraId="35B9DC9E" w14:textId="77777777" w:rsidTr="009F01D8">
        <w:trPr>
          <w:trHeight w:val="279"/>
        </w:trPr>
        <w:tc>
          <w:tcPr>
            <w:tcW w:w="1351" w:type="dxa"/>
            <w:hideMark/>
          </w:tcPr>
          <w:p w14:paraId="39383999" w14:textId="77777777" w:rsidR="009F01D8" w:rsidRPr="002B28C3" w:rsidRDefault="009F01D8" w:rsidP="009F01D8">
            <w:pPr>
              <w:rPr>
                <w:rFonts w:asciiTheme="majorBidi" w:hAnsiTheme="majorBidi" w:cstheme="majorBidi"/>
              </w:rPr>
            </w:pPr>
            <w:r w:rsidRPr="002B28C3">
              <w:rPr>
                <w:rFonts w:asciiTheme="majorBidi" w:hAnsiTheme="majorBidi" w:cstheme="majorBidi"/>
              </w:rPr>
              <w:t>7</w:t>
            </w:r>
          </w:p>
        </w:tc>
        <w:tc>
          <w:tcPr>
            <w:tcW w:w="6266" w:type="dxa"/>
            <w:hideMark/>
          </w:tcPr>
          <w:p w14:paraId="3D0670CF"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((index adj3 wellbeing) or (quality adj3 wellbeing) or </w:t>
            </w:r>
            <w:proofErr w:type="spellStart"/>
            <w:r w:rsidRPr="002B28C3">
              <w:rPr>
                <w:rFonts w:asciiTheme="majorBidi" w:hAnsiTheme="majorBidi" w:cstheme="majorBidi"/>
              </w:rPr>
              <w:t>qwb</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3B2280F4" w14:textId="77777777" w:rsidR="009F01D8" w:rsidRPr="002B28C3" w:rsidRDefault="009F01D8" w:rsidP="009F01D8">
            <w:pPr>
              <w:rPr>
                <w:rFonts w:asciiTheme="majorBidi" w:hAnsiTheme="majorBidi" w:cstheme="majorBidi"/>
              </w:rPr>
            </w:pPr>
            <w:r w:rsidRPr="002B28C3">
              <w:rPr>
                <w:rFonts w:asciiTheme="majorBidi" w:hAnsiTheme="majorBidi" w:cstheme="majorBidi"/>
              </w:rPr>
              <w:t>868</w:t>
            </w:r>
          </w:p>
        </w:tc>
      </w:tr>
      <w:tr w:rsidR="009F01D8" w:rsidRPr="002B28C3" w14:paraId="151896EE" w14:textId="77777777" w:rsidTr="009F01D8">
        <w:trPr>
          <w:trHeight w:val="279"/>
        </w:trPr>
        <w:tc>
          <w:tcPr>
            <w:tcW w:w="1351" w:type="dxa"/>
            <w:hideMark/>
          </w:tcPr>
          <w:p w14:paraId="36517A48" w14:textId="77777777" w:rsidR="009F01D8" w:rsidRPr="002B28C3" w:rsidRDefault="009F01D8" w:rsidP="009F01D8">
            <w:pPr>
              <w:rPr>
                <w:rFonts w:asciiTheme="majorBidi" w:hAnsiTheme="majorBidi" w:cstheme="majorBidi"/>
              </w:rPr>
            </w:pPr>
            <w:r w:rsidRPr="002B28C3">
              <w:rPr>
                <w:rFonts w:asciiTheme="majorBidi" w:hAnsiTheme="majorBidi" w:cstheme="majorBidi"/>
              </w:rPr>
              <w:t>8</w:t>
            </w:r>
          </w:p>
        </w:tc>
        <w:tc>
          <w:tcPr>
            <w:tcW w:w="6266" w:type="dxa"/>
            <w:hideMark/>
          </w:tcPr>
          <w:p w14:paraId="6ECCF0AC" w14:textId="77777777" w:rsidR="009F01D8" w:rsidRPr="002B28C3" w:rsidRDefault="009F01D8" w:rsidP="009F01D8">
            <w:pPr>
              <w:rPr>
                <w:rFonts w:asciiTheme="majorBidi" w:hAnsiTheme="majorBidi" w:cstheme="majorBidi"/>
                <w:lang w:val="it-IT"/>
              </w:rPr>
            </w:pPr>
            <w:r w:rsidRPr="002B28C3">
              <w:rPr>
                <w:rFonts w:asciiTheme="majorBidi" w:hAnsiTheme="majorBidi" w:cstheme="majorBidi"/>
                <w:lang w:val="it-IT"/>
              </w:rPr>
              <w:t>(multiattribute* or multi attribute*).ti,ab,kf.</w:t>
            </w:r>
          </w:p>
        </w:tc>
        <w:tc>
          <w:tcPr>
            <w:tcW w:w="1399" w:type="dxa"/>
            <w:hideMark/>
          </w:tcPr>
          <w:p w14:paraId="4739F27E" w14:textId="77777777" w:rsidR="009F01D8" w:rsidRPr="002B28C3" w:rsidRDefault="009F01D8" w:rsidP="009F01D8">
            <w:pPr>
              <w:rPr>
                <w:rFonts w:asciiTheme="majorBidi" w:hAnsiTheme="majorBidi" w:cstheme="majorBidi"/>
              </w:rPr>
            </w:pPr>
            <w:r w:rsidRPr="002B28C3">
              <w:rPr>
                <w:rFonts w:asciiTheme="majorBidi" w:hAnsiTheme="majorBidi" w:cstheme="majorBidi"/>
              </w:rPr>
              <w:t>1013</w:t>
            </w:r>
          </w:p>
        </w:tc>
      </w:tr>
      <w:tr w:rsidR="009F01D8" w:rsidRPr="002B28C3" w14:paraId="6B13AA6B" w14:textId="77777777" w:rsidTr="009F01D8">
        <w:trPr>
          <w:trHeight w:val="279"/>
        </w:trPr>
        <w:tc>
          <w:tcPr>
            <w:tcW w:w="1351" w:type="dxa"/>
            <w:hideMark/>
          </w:tcPr>
          <w:p w14:paraId="6B62E30D" w14:textId="77777777" w:rsidR="009F01D8" w:rsidRPr="002B28C3" w:rsidRDefault="009F01D8" w:rsidP="009F01D8">
            <w:pPr>
              <w:rPr>
                <w:rFonts w:asciiTheme="majorBidi" w:hAnsiTheme="majorBidi" w:cstheme="majorBidi"/>
              </w:rPr>
            </w:pPr>
            <w:r w:rsidRPr="002B28C3">
              <w:rPr>
                <w:rFonts w:asciiTheme="majorBidi" w:hAnsiTheme="majorBidi" w:cstheme="majorBidi"/>
              </w:rPr>
              <w:t>9</w:t>
            </w:r>
          </w:p>
        </w:tc>
        <w:tc>
          <w:tcPr>
            <w:tcW w:w="6266" w:type="dxa"/>
            <w:hideMark/>
          </w:tcPr>
          <w:p w14:paraId="4BAD6B93"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(utility adj3 (score*1 or scoring or </w:t>
            </w:r>
            <w:proofErr w:type="spellStart"/>
            <w:r w:rsidRPr="002B28C3">
              <w:rPr>
                <w:rFonts w:asciiTheme="majorBidi" w:hAnsiTheme="majorBidi" w:cstheme="majorBidi"/>
              </w:rPr>
              <w:t>valu</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measur</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evaluat</w:t>
            </w:r>
            <w:proofErr w:type="spellEnd"/>
            <w:r w:rsidRPr="002B28C3">
              <w:rPr>
                <w:rFonts w:asciiTheme="majorBidi" w:hAnsiTheme="majorBidi" w:cstheme="majorBidi"/>
              </w:rPr>
              <w:t xml:space="preserve">* or scale*1 or instrument*1 or weight or weights or weighting or information or data or unit or units or health* or life or </w:t>
            </w:r>
            <w:proofErr w:type="spellStart"/>
            <w:r w:rsidRPr="002B28C3">
              <w:rPr>
                <w:rFonts w:asciiTheme="majorBidi" w:hAnsiTheme="majorBidi" w:cstheme="majorBidi"/>
              </w:rPr>
              <w:t>estimat</w:t>
            </w:r>
            <w:proofErr w:type="spellEnd"/>
            <w:r w:rsidRPr="002B28C3">
              <w:rPr>
                <w:rFonts w:asciiTheme="majorBidi" w:hAnsiTheme="majorBidi" w:cstheme="majorBidi"/>
              </w:rPr>
              <w:t xml:space="preserve">* or </w:t>
            </w:r>
            <w:r w:rsidRPr="002B28C3">
              <w:rPr>
                <w:rFonts w:asciiTheme="majorBidi" w:hAnsiTheme="majorBidi" w:cstheme="majorBidi"/>
              </w:rPr>
              <w:lastRenderedPageBreak/>
              <w:t xml:space="preserve">elicit* or disease* or mean or cost* or expenditure*1 or gain or gains or loss or losses or lost or analysis or index* or indices or overall or reported or </w:t>
            </w:r>
            <w:proofErr w:type="spellStart"/>
            <w:r w:rsidRPr="002B28C3">
              <w:rPr>
                <w:rFonts w:asciiTheme="majorBidi" w:hAnsiTheme="majorBidi" w:cstheme="majorBidi"/>
              </w:rPr>
              <w:t>calculat</w:t>
            </w:r>
            <w:proofErr w:type="spellEnd"/>
            <w:r w:rsidRPr="002B28C3">
              <w:rPr>
                <w:rFonts w:asciiTheme="majorBidi" w:hAnsiTheme="majorBidi" w:cstheme="majorBidi"/>
              </w:rPr>
              <w:t>* or range* or increment* or state or states or status)).</w:t>
            </w:r>
            <w:proofErr w:type="spellStart"/>
            <w:r w:rsidRPr="002B28C3">
              <w:rPr>
                <w:rFonts w:asciiTheme="majorBidi" w:hAnsiTheme="majorBidi" w:cstheme="majorBidi"/>
              </w:rPr>
              <w:t>ti,ab,kf</w:t>
            </w:r>
            <w:proofErr w:type="spellEnd"/>
            <w:r w:rsidRPr="002B28C3">
              <w:rPr>
                <w:rFonts w:asciiTheme="majorBidi" w:hAnsiTheme="majorBidi" w:cstheme="majorBidi"/>
              </w:rPr>
              <w:t>.</w:t>
            </w:r>
          </w:p>
        </w:tc>
        <w:tc>
          <w:tcPr>
            <w:tcW w:w="1399" w:type="dxa"/>
            <w:hideMark/>
          </w:tcPr>
          <w:p w14:paraId="5704B800" w14:textId="77777777" w:rsidR="009F01D8" w:rsidRPr="002B28C3" w:rsidRDefault="009F01D8" w:rsidP="009F01D8">
            <w:pPr>
              <w:rPr>
                <w:rFonts w:asciiTheme="majorBidi" w:hAnsiTheme="majorBidi" w:cstheme="majorBidi"/>
              </w:rPr>
            </w:pPr>
            <w:r w:rsidRPr="002B28C3">
              <w:rPr>
                <w:rFonts w:asciiTheme="majorBidi" w:hAnsiTheme="majorBidi" w:cstheme="majorBidi"/>
              </w:rPr>
              <w:lastRenderedPageBreak/>
              <w:t>37081</w:t>
            </w:r>
          </w:p>
        </w:tc>
      </w:tr>
      <w:tr w:rsidR="009F01D8" w:rsidRPr="002B28C3" w14:paraId="246C0075" w14:textId="77777777" w:rsidTr="009F01D8">
        <w:trPr>
          <w:trHeight w:val="279"/>
        </w:trPr>
        <w:tc>
          <w:tcPr>
            <w:tcW w:w="1351" w:type="dxa"/>
            <w:hideMark/>
          </w:tcPr>
          <w:p w14:paraId="6C7DC394" w14:textId="77777777" w:rsidR="009F01D8" w:rsidRPr="002B28C3" w:rsidRDefault="009F01D8" w:rsidP="009F01D8">
            <w:pPr>
              <w:rPr>
                <w:rFonts w:asciiTheme="majorBidi" w:hAnsiTheme="majorBidi" w:cstheme="majorBidi"/>
              </w:rPr>
            </w:pPr>
            <w:r w:rsidRPr="002B28C3">
              <w:rPr>
                <w:rFonts w:asciiTheme="majorBidi" w:hAnsiTheme="majorBidi" w:cstheme="majorBidi"/>
              </w:rPr>
              <w:t>10</w:t>
            </w:r>
          </w:p>
        </w:tc>
        <w:tc>
          <w:tcPr>
            <w:tcW w:w="6266" w:type="dxa"/>
            <w:hideMark/>
          </w:tcPr>
          <w:p w14:paraId="2FC4F695"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utility.ab</w:t>
            </w:r>
            <w:proofErr w:type="spellEnd"/>
            <w:r w:rsidRPr="002B28C3">
              <w:rPr>
                <w:rFonts w:asciiTheme="majorBidi" w:hAnsiTheme="majorBidi" w:cstheme="majorBidi"/>
              </w:rPr>
              <w:t>. /</w:t>
            </w:r>
            <w:proofErr w:type="spellStart"/>
            <w:r w:rsidRPr="002B28C3">
              <w:rPr>
                <w:rFonts w:asciiTheme="majorBidi" w:hAnsiTheme="majorBidi" w:cstheme="majorBidi"/>
              </w:rPr>
              <w:t>freq</w:t>
            </w:r>
            <w:proofErr w:type="spellEnd"/>
            <w:r w:rsidRPr="002B28C3">
              <w:rPr>
                <w:rFonts w:asciiTheme="majorBidi" w:hAnsiTheme="majorBidi" w:cstheme="majorBidi"/>
              </w:rPr>
              <w:t>=2</w:t>
            </w:r>
          </w:p>
        </w:tc>
        <w:tc>
          <w:tcPr>
            <w:tcW w:w="1399" w:type="dxa"/>
            <w:hideMark/>
          </w:tcPr>
          <w:p w14:paraId="323488AC" w14:textId="77777777" w:rsidR="009F01D8" w:rsidRPr="002B28C3" w:rsidRDefault="009F01D8" w:rsidP="009F01D8">
            <w:pPr>
              <w:rPr>
                <w:rFonts w:asciiTheme="majorBidi" w:hAnsiTheme="majorBidi" w:cstheme="majorBidi"/>
              </w:rPr>
            </w:pPr>
            <w:r w:rsidRPr="002B28C3">
              <w:rPr>
                <w:rFonts w:asciiTheme="majorBidi" w:hAnsiTheme="majorBidi" w:cstheme="majorBidi"/>
              </w:rPr>
              <w:t>19465</w:t>
            </w:r>
          </w:p>
        </w:tc>
      </w:tr>
      <w:tr w:rsidR="009F01D8" w:rsidRPr="002B28C3" w14:paraId="17C829B8" w14:textId="77777777" w:rsidTr="009F01D8">
        <w:trPr>
          <w:trHeight w:val="279"/>
        </w:trPr>
        <w:tc>
          <w:tcPr>
            <w:tcW w:w="1351" w:type="dxa"/>
            <w:hideMark/>
          </w:tcPr>
          <w:p w14:paraId="5E5A5767" w14:textId="77777777" w:rsidR="009F01D8" w:rsidRPr="002B28C3" w:rsidRDefault="009F01D8" w:rsidP="009F01D8">
            <w:pPr>
              <w:rPr>
                <w:rFonts w:asciiTheme="majorBidi" w:hAnsiTheme="majorBidi" w:cstheme="majorBidi"/>
              </w:rPr>
            </w:pPr>
            <w:r w:rsidRPr="002B28C3">
              <w:rPr>
                <w:rFonts w:asciiTheme="majorBidi" w:hAnsiTheme="majorBidi" w:cstheme="majorBidi"/>
              </w:rPr>
              <w:t>11</w:t>
            </w:r>
          </w:p>
        </w:tc>
        <w:tc>
          <w:tcPr>
            <w:tcW w:w="6266" w:type="dxa"/>
            <w:hideMark/>
          </w:tcPr>
          <w:p w14:paraId="4AD7EE86" w14:textId="77777777" w:rsidR="009F01D8" w:rsidRPr="002B28C3" w:rsidRDefault="009F01D8" w:rsidP="009F01D8">
            <w:pPr>
              <w:rPr>
                <w:rFonts w:asciiTheme="majorBidi" w:hAnsiTheme="majorBidi" w:cstheme="majorBidi"/>
              </w:rPr>
            </w:pPr>
            <w:proofErr w:type="spellStart"/>
            <w:proofErr w:type="gramStart"/>
            <w:r w:rsidRPr="002B28C3">
              <w:rPr>
                <w:rFonts w:asciiTheme="majorBidi" w:hAnsiTheme="majorBidi" w:cstheme="majorBidi"/>
              </w:rPr>
              <w:t>utilities.ti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58E657EE" w14:textId="77777777" w:rsidR="009F01D8" w:rsidRPr="002B28C3" w:rsidRDefault="009F01D8" w:rsidP="009F01D8">
            <w:pPr>
              <w:rPr>
                <w:rFonts w:asciiTheme="majorBidi" w:hAnsiTheme="majorBidi" w:cstheme="majorBidi"/>
              </w:rPr>
            </w:pPr>
            <w:r w:rsidRPr="002B28C3">
              <w:rPr>
                <w:rFonts w:asciiTheme="majorBidi" w:hAnsiTheme="majorBidi" w:cstheme="majorBidi"/>
              </w:rPr>
              <w:t>7876</w:t>
            </w:r>
          </w:p>
        </w:tc>
      </w:tr>
      <w:tr w:rsidR="009F01D8" w:rsidRPr="002B28C3" w14:paraId="70C2C7EC" w14:textId="77777777" w:rsidTr="009F01D8">
        <w:trPr>
          <w:trHeight w:val="279"/>
        </w:trPr>
        <w:tc>
          <w:tcPr>
            <w:tcW w:w="1351" w:type="dxa"/>
            <w:hideMark/>
          </w:tcPr>
          <w:p w14:paraId="74F52CAA" w14:textId="77777777" w:rsidR="009F01D8" w:rsidRPr="002B28C3" w:rsidRDefault="009F01D8" w:rsidP="009F01D8">
            <w:pPr>
              <w:rPr>
                <w:rFonts w:asciiTheme="majorBidi" w:hAnsiTheme="majorBidi" w:cstheme="majorBidi"/>
              </w:rPr>
            </w:pPr>
            <w:r w:rsidRPr="002B28C3">
              <w:rPr>
                <w:rFonts w:asciiTheme="majorBidi" w:hAnsiTheme="majorBidi" w:cstheme="majorBidi"/>
              </w:rPr>
              <w:t>12</w:t>
            </w:r>
          </w:p>
        </w:tc>
        <w:tc>
          <w:tcPr>
            <w:tcW w:w="6266" w:type="dxa"/>
            <w:hideMark/>
          </w:tcPr>
          <w:p w14:paraId="7CBF7821" w14:textId="77777777" w:rsidR="009F01D8" w:rsidRPr="002B28C3" w:rsidRDefault="009F01D8" w:rsidP="009F01D8">
            <w:pPr>
              <w:rPr>
                <w:rFonts w:asciiTheme="majorBidi" w:hAnsiTheme="majorBidi" w:cstheme="majorBidi"/>
              </w:rPr>
            </w:pPr>
            <w:proofErr w:type="spellStart"/>
            <w:r w:rsidRPr="002B28C3">
              <w:rPr>
                <w:rFonts w:asciiTheme="majorBidi" w:hAnsiTheme="majorBidi" w:cstheme="majorBidi"/>
              </w:rPr>
              <w:t>disutili</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58708C4A" w14:textId="77777777" w:rsidR="009F01D8" w:rsidRPr="002B28C3" w:rsidRDefault="009F01D8" w:rsidP="009F01D8">
            <w:pPr>
              <w:rPr>
                <w:rFonts w:asciiTheme="majorBidi" w:hAnsiTheme="majorBidi" w:cstheme="majorBidi"/>
              </w:rPr>
            </w:pPr>
            <w:r w:rsidRPr="002B28C3">
              <w:rPr>
                <w:rFonts w:asciiTheme="majorBidi" w:hAnsiTheme="majorBidi" w:cstheme="majorBidi"/>
              </w:rPr>
              <w:t>515</w:t>
            </w:r>
          </w:p>
        </w:tc>
      </w:tr>
      <w:tr w:rsidR="009F01D8" w:rsidRPr="002B28C3" w14:paraId="0FB5BCD9" w14:textId="77777777" w:rsidTr="009F01D8">
        <w:trPr>
          <w:trHeight w:val="279"/>
        </w:trPr>
        <w:tc>
          <w:tcPr>
            <w:tcW w:w="1351" w:type="dxa"/>
            <w:hideMark/>
          </w:tcPr>
          <w:p w14:paraId="7B7CAF27" w14:textId="77777777" w:rsidR="009F01D8" w:rsidRPr="002B28C3" w:rsidRDefault="009F01D8" w:rsidP="009F01D8">
            <w:pPr>
              <w:rPr>
                <w:rFonts w:asciiTheme="majorBidi" w:hAnsiTheme="majorBidi" w:cstheme="majorBidi"/>
              </w:rPr>
            </w:pPr>
            <w:r w:rsidRPr="002B28C3">
              <w:rPr>
                <w:rFonts w:asciiTheme="majorBidi" w:hAnsiTheme="majorBidi" w:cstheme="majorBidi"/>
              </w:rPr>
              <w:t>13</w:t>
            </w:r>
          </w:p>
        </w:tc>
        <w:tc>
          <w:tcPr>
            <w:tcW w:w="6266" w:type="dxa"/>
            <w:hideMark/>
          </w:tcPr>
          <w:p w14:paraId="79586646" w14:textId="77777777" w:rsidR="009F01D8" w:rsidRPr="002B28C3" w:rsidRDefault="009F01D8" w:rsidP="009F01D8">
            <w:pPr>
              <w:rPr>
                <w:rFonts w:asciiTheme="majorBidi" w:hAnsiTheme="majorBidi" w:cstheme="majorBidi"/>
              </w:rPr>
            </w:pPr>
            <w:r w:rsidRPr="002B28C3">
              <w:rPr>
                <w:rFonts w:asciiTheme="majorBidi" w:hAnsiTheme="majorBidi" w:cstheme="majorBidi"/>
              </w:rPr>
              <w:t>(HSUV or HSUVs</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4F58760D" w14:textId="77777777" w:rsidR="009F01D8" w:rsidRPr="002B28C3" w:rsidRDefault="009F01D8" w:rsidP="009F01D8">
            <w:pPr>
              <w:rPr>
                <w:rFonts w:asciiTheme="majorBidi" w:hAnsiTheme="majorBidi" w:cstheme="majorBidi"/>
              </w:rPr>
            </w:pPr>
            <w:r w:rsidRPr="002B28C3">
              <w:rPr>
                <w:rFonts w:asciiTheme="majorBidi" w:hAnsiTheme="majorBidi" w:cstheme="majorBidi"/>
              </w:rPr>
              <w:t>84</w:t>
            </w:r>
          </w:p>
        </w:tc>
      </w:tr>
      <w:tr w:rsidR="009F01D8" w:rsidRPr="002B28C3" w14:paraId="7691C44B" w14:textId="77777777" w:rsidTr="009F01D8">
        <w:trPr>
          <w:trHeight w:val="279"/>
        </w:trPr>
        <w:tc>
          <w:tcPr>
            <w:tcW w:w="1351" w:type="dxa"/>
            <w:hideMark/>
          </w:tcPr>
          <w:p w14:paraId="4A1A886E" w14:textId="77777777" w:rsidR="009F01D8" w:rsidRPr="002B28C3" w:rsidRDefault="009F01D8" w:rsidP="009F01D8">
            <w:pPr>
              <w:rPr>
                <w:rFonts w:asciiTheme="majorBidi" w:hAnsiTheme="majorBidi" w:cstheme="majorBidi"/>
              </w:rPr>
            </w:pPr>
            <w:r w:rsidRPr="002B28C3">
              <w:rPr>
                <w:rFonts w:asciiTheme="majorBidi" w:hAnsiTheme="majorBidi" w:cstheme="majorBidi"/>
              </w:rPr>
              <w:t>14</w:t>
            </w:r>
          </w:p>
        </w:tc>
        <w:tc>
          <w:tcPr>
            <w:tcW w:w="6266" w:type="dxa"/>
            <w:hideMark/>
          </w:tcPr>
          <w:p w14:paraId="76F0B541" w14:textId="77777777" w:rsidR="009F01D8" w:rsidRPr="002B28C3" w:rsidRDefault="009F01D8" w:rsidP="009F01D8">
            <w:pPr>
              <w:rPr>
                <w:rFonts w:asciiTheme="majorBidi" w:hAnsiTheme="majorBidi" w:cstheme="majorBidi"/>
              </w:rPr>
            </w:pPr>
            <w:r w:rsidRPr="002B28C3">
              <w:rPr>
                <w:rFonts w:asciiTheme="majorBidi" w:hAnsiTheme="majorBidi" w:cstheme="majorBidi"/>
              </w:rPr>
              <w:t>health*1 year*1 equivalent*</w:t>
            </w:r>
            <w:proofErr w:type="gramStart"/>
            <w:r w:rsidRPr="002B28C3">
              <w:rPr>
                <w:rFonts w:asciiTheme="majorBidi" w:hAnsiTheme="majorBidi" w:cstheme="majorBidi"/>
              </w:rPr>
              <w:t>1.ti</w:t>
            </w:r>
            <w:proofErr w:type="gramEnd"/>
            <w:r w:rsidRPr="002B28C3">
              <w:rPr>
                <w:rFonts w:asciiTheme="majorBidi" w:hAnsiTheme="majorBidi" w:cstheme="majorBidi"/>
              </w:rPr>
              <w:t>,ab,kf.</w:t>
            </w:r>
          </w:p>
        </w:tc>
        <w:tc>
          <w:tcPr>
            <w:tcW w:w="1399" w:type="dxa"/>
            <w:hideMark/>
          </w:tcPr>
          <w:p w14:paraId="0B6681E4" w14:textId="77777777" w:rsidR="009F01D8" w:rsidRPr="002B28C3" w:rsidRDefault="009F01D8" w:rsidP="009F01D8">
            <w:pPr>
              <w:rPr>
                <w:rFonts w:asciiTheme="majorBidi" w:hAnsiTheme="majorBidi" w:cstheme="majorBidi"/>
              </w:rPr>
            </w:pPr>
            <w:r w:rsidRPr="002B28C3">
              <w:rPr>
                <w:rFonts w:asciiTheme="majorBidi" w:hAnsiTheme="majorBidi" w:cstheme="majorBidi"/>
              </w:rPr>
              <w:t>40</w:t>
            </w:r>
          </w:p>
        </w:tc>
      </w:tr>
      <w:tr w:rsidR="009F01D8" w:rsidRPr="002B28C3" w14:paraId="685C6396" w14:textId="77777777" w:rsidTr="009F01D8">
        <w:trPr>
          <w:trHeight w:val="279"/>
        </w:trPr>
        <w:tc>
          <w:tcPr>
            <w:tcW w:w="1351" w:type="dxa"/>
            <w:hideMark/>
          </w:tcPr>
          <w:p w14:paraId="5124617D" w14:textId="77777777" w:rsidR="009F01D8" w:rsidRPr="002B28C3" w:rsidRDefault="009F01D8" w:rsidP="009F01D8">
            <w:pPr>
              <w:rPr>
                <w:rFonts w:asciiTheme="majorBidi" w:hAnsiTheme="majorBidi" w:cstheme="majorBidi"/>
              </w:rPr>
            </w:pPr>
            <w:r w:rsidRPr="002B28C3">
              <w:rPr>
                <w:rFonts w:asciiTheme="majorBidi" w:hAnsiTheme="majorBidi" w:cstheme="majorBidi"/>
              </w:rPr>
              <w:t>15</w:t>
            </w:r>
          </w:p>
        </w:tc>
        <w:tc>
          <w:tcPr>
            <w:tcW w:w="6266" w:type="dxa"/>
            <w:hideMark/>
          </w:tcPr>
          <w:p w14:paraId="7BBCD624"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hye</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hyes</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16702C33" w14:textId="77777777" w:rsidR="009F01D8" w:rsidRPr="002B28C3" w:rsidRDefault="009F01D8" w:rsidP="009F01D8">
            <w:pPr>
              <w:rPr>
                <w:rFonts w:asciiTheme="majorBidi" w:hAnsiTheme="majorBidi" w:cstheme="majorBidi"/>
              </w:rPr>
            </w:pPr>
            <w:r w:rsidRPr="002B28C3">
              <w:rPr>
                <w:rFonts w:asciiTheme="majorBidi" w:hAnsiTheme="majorBidi" w:cstheme="majorBidi"/>
              </w:rPr>
              <w:t>75</w:t>
            </w:r>
          </w:p>
        </w:tc>
      </w:tr>
      <w:tr w:rsidR="009F01D8" w:rsidRPr="002B28C3" w14:paraId="74D04743" w14:textId="77777777" w:rsidTr="009F01D8">
        <w:trPr>
          <w:trHeight w:val="279"/>
        </w:trPr>
        <w:tc>
          <w:tcPr>
            <w:tcW w:w="1351" w:type="dxa"/>
            <w:hideMark/>
          </w:tcPr>
          <w:p w14:paraId="3B656123" w14:textId="77777777" w:rsidR="009F01D8" w:rsidRPr="002B28C3" w:rsidRDefault="009F01D8" w:rsidP="009F01D8">
            <w:pPr>
              <w:rPr>
                <w:rFonts w:asciiTheme="majorBidi" w:hAnsiTheme="majorBidi" w:cstheme="majorBidi"/>
              </w:rPr>
            </w:pPr>
            <w:r w:rsidRPr="002B28C3">
              <w:rPr>
                <w:rFonts w:asciiTheme="majorBidi" w:hAnsiTheme="majorBidi" w:cstheme="majorBidi"/>
              </w:rPr>
              <w:t>16</w:t>
            </w:r>
          </w:p>
        </w:tc>
        <w:tc>
          <w:tcPr>
            <w:tcW w:w="6266" w:type="dxa"/>
            <w:hideMark/>
          </w:tcPr>
          <w:p w14:paraId="3B4C47EB" w14:textId="77777777" w:rsidR="009F01D8" w:rsidRPr="002B28C3" w:rsidRDefault="009F01D8" w:rsidP="009F01D8">
            <w:pPr>
              <w:rPr>
                <w:rFonts w:asciiTheme="majorBidi" w:hAnsiTheme="majorBidi" w:cstheme="majorBidi"/>
                <w:lang w:val="fr-FR"/>
              </w:rPr>
            </w:pPr>
            <w:r w:rsidRPr="002B28C3">
              <w:rPr>
                <w:rFonts w:asciiTheme="majorBidi" w:hAnsiTheme="majorBidi" w:cstheme="majorBidi"/>
                <w:lang w:val="fr-FR"/>
              </w:rPr>
              <w:t>(</w:t>
            </w:r>
            <w:proofErr w:type="gramStart"/>
            <w:r w:rsidRPr="002B28C3">
              <w:rPr>
                <w:rFonts w:asciiTheme="majorBidi" w:hAnsiTheme="majorBidi" w:cstheme="majorBidi"/>
                <w:lang w:val="fr-FR"/>
              </w:rPr>
              <w:t>hui</w:t>
            </w:r>
            <w:proofErr w:type="gramEnd"/>
            <w:r w:rsidRPr="002B28C3">
              <w:rPr>
                <w:rFonts w:asciiTheme="majorBidi" w:hAnsiTheme="majorBidi" w:cstheme="majorBidi"/>
                <w:lang w:val="fr-FR"/>
              </w:rPr>
              <w:t xml:space="preserve"> or hui1 or hui2 or hui3).</w:t>
            </w:r>
            <w:proofErr w:type="spellStart"/>
            <w:r w:rsidRPr="002B28C3">
              <w:rPr>
                <w:rFonts w:asciiTheme="majorBidi" w:hAnsiTheme="majorBidi" w:cstheme="majorBidi"/>
                <w:lang w:val="fr-FR"/>
              </w:rPr>
              <w:t>ti,ab,kf</w:t>
            </w:r>
            <w:proofErr w:type="spellEnd"/>
            <w:r w:rsidRPr="002B28C3">
              <w:rPr>
                <w:rFonts w:asciiTheme="majorBidi" w:hAnsiTheme="majorBidi" w:cstheme="majorBidi"/>
                <w:lang w:val="fr-FR"/>
              </w:rPr>
              <w:t>.</w:t>
            </w:r>
          </w:p>
        </w:tc>
        <w:tc>
          <w:tcPr>
            <w:tcW w:w="1399" w:type="dxa"/>
            <w:hideMark/>
          </w:tcPr>
          <w:p w14:paraId="786FD1CB" w14:textId="77777777" w:rsidR="009F01D8" w:rsidRPr="002B28C3" w:rsidRDefault="009F01D8" w:rsidP="009F01D8">
            <w:pPr>
              <w:rPr>
                <w:rFonts w:asciiTheme="majorBidi" w:hAnsiTheme="majorBidi" w:cstheme="majorBidi"/>
              </w:rPr>
            </w:pPr>
            <w:r w:rsidRPr="002B28C3">
              <w:rPr>
                <w:rFonts w:asciiTheme="majorBidi" w:hAnsiTheme="majorBidi" w:cstheme="majorBidi"/>
              </w:rPr>
              <w:t>1679</w:t>
            </w:r>
          </w:p>
        </w:tc>
      </w:tr>
      <w:tr w:rsidR="009F01D8" w:rsidRPr="002B28C3" w14:paraId="0765C0F8" w14:textId="77777777" w:rsidTr="009F01D8">
        <w:trPr>
          <w:trHeight w:val="279"/>
        </w:trPr>
        <w:tc>
          <w:tcPr>
            <w:tcW w:w="1351" w:type="dxa"/>
            <w:hideMark/>
          </w:tcPr>
          <w:p w14:paraId="754AD28B" w14:textId="77777777" w:rsidR="009F01D8" w:rsidRPr="002B28C3" w:rsidRDefault="009F01D8" w:rsidP="009F01D8">
            <w:pPr>
              <w:rPr>
                <w:rFonts w:asciiTheme="majorBidi" w:hAnsiTheme="majorBidi" w:cstheme="majorBidi"/>
              </w:rPr>
            </w:pPr>
            <w:r w:rsidRPr="002B28C3">
              <w:rPr>
                <w:rFonts w:asciiTheme="majorBidi" w:hAnsiTheme="majorBidi" w:cstheme="majorBidi"/>
              </w:rPr>
              <w:t>17</w:t>
            </w:r>
          </w:p>
        </w:tc>
        <w:tc>
          <w:tcPr>
            <w:tcW w:w="6266" w:type="dxa"/>
            <w:hideMark/>
          </w:tcPr>
          <w:p w14:paraId="527C0C6A" w14:textId="77777777" w:rsidR="009F01D8" w:rsidRPr="002B28C3" w:rsidRDefault="009F01D8" w:rsidP="009F01D8">
            <w:pPr>
              <w:rPr>
                <w:rFonts w:asciiTheme="majorBidi" w:hAnsiTheme="majorBidi" w:cstheme="majorBidi"/>
              </w:rPr>
            </w:pPr>
            <w:r w:rsidRPr="002B28C3">
              <w:rPr>
                <w:rFonts w:asciiTheme="majorBidi" w:hAnsiTheme="majorBidi" w:cstheme="majorBidi"/>
              </w:rPr>
              <w:t>(illness state*1 or health state*1</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7BF52A54" w14:textId="77777777" w:rsidR="009F01D8" w:rsidRPr="002B28C3" w:rsidRDefault="009F01D8" w:rsidP="009F01D8">
            <w:pPr>
              <w:rPr>
                <w:rFonts w:asciiTheme="majorBidi" w:hAnsiTheme="majorBidi" w:cstheme="majorBidi"/>
              </w:rPr>
            </w:pPr>
            <w:r w:rsidRPr="002B28C3">
              <w:rPr>
                <w:rFonts w:asciiTheme="majorBidi" w:hAnsiTheme="majorBidi" w:cstheme="majorBidi"/>
              </w:rPr>
              <w:t>7144</w:t>
            </w:r>
          </w:p>
        </w:tc>
      </w:tr>
      <w:tr w:rsidR="009F01D8" w:rsidRPr="002B28C3" w14:paraId="291A355A" w14:textId="77777777" w:rsidTr="009F01D8">
        <w:trPr>
          <w:trHeight w:val="279"/>
        </w:trPr>
        <w:tc>
          <w:tcPr>
            <w:tcW w:w="1351" w:type="dxa"/>
            <w:hideMark/>
          </w:tcPr>
          <w:p w14:paraId="65A8A5A9" w14:textId="77777777" w:rsidR="009F01D8" w:rsidRPr="002B28C3" w:rsidRDefault="009F01D8" w:rsidP="009F01D8">
            <w:pPr>
              <w:rPr>
                <w:rFonts w:asciiTheme="majorBidi" w:hAnsiTheme="majorBidi" w:cstheme="majorBidi"/>
              </w:rPr>
            </w:pPr>
            <w:r w:rsidRPr="002B28C3">
              <w:rPr>
                <w:rFonts w:asciiTheme="majorBidi" w:hAnsiTheme="majorBidi" w:cstheme="majorBidi"/>
              </w:rPr>
              <w:t>18</w:t>
            </w:r>
          </w:p>
        </w:tc>
        <w:tc>
          <w:tcPr>
            <w:tcW w:w="6266" w:type="dxa"/>
            <w:hideMark/>
          </w:tcPr>
          <w:p w14:paraId="11E82DBF"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(euro qual or euro qual5d or euro qol5d or eq-5d or eq5-d or eq5d or </w:t>
            </w:r>
            <w:proofErr w:type="spellStart"/>
            <w:r w:rsidRPr="002B28C3">
              <w:rPr>
                <w:rFonts w:asciiTheme="majorBidi" w:hAnsiTheme="majorBidi" w:cstheme="majorBidi"/>
              </w:rPr>
              <w:t>euroqual</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euroqol</w:t>
            </w:r>
            <w:proofErr w:type="spellEnd"/>
            <w:r w:rsidRPr="002B28C3">
              <w:rPr>
                <w:rFonts w:asciiTheme="majorBidi" w:hAnsiTheme="majorBidi" w:cstheme="majorBidi"/>
              </w:rPr>
              <w:t xml:space="preserve"> or euroqual5d or euroqol5d</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132FBAB4" w14:textId="77777777" w:rsidR="009F01D8" w:rsidRPr="002B28C3" w:rsidRDefault="009F01D8" w:rsidP="009F01D8">
            <w:pPr>
              <w:rPr>
                <w:rFonts w:asciiTheme="majorBidi" w:hAnsiTheme="majorBidi" w:cstheme="majorBidi"/>
              </w:rPr>
            </w:pPr>
            <w:r w:rsidRPr="002B28C3">
              <w:rPr>
                <w:rFonts w:asciiTheme="majorBidi" w:hAnsiTheme="majorBidi" w:cstheme="majorBidi"/>
              </w:rPr>
              <w:t>12834</w:t>
            </w:r>
          </w:p>
        </w:tc>
      </w:tr>
      <w:tr w:rsidR="009F01D8" w:rsidRPr="002B28C3" w14:paraId="0F07DBD2" w14:textId="77777777" w:rsidTr="009F01D8">
        <w:trPr>
          <w:trHeight w:val="279"/>
        </w:trPr>
        <w:tc>
          <w:tcPr>
            <w:tcW w:w="1351" w:type="dxa"/>
            <w:hideMark/>
          </w:tcPr>
          <w:p w14:paraId="6D7D8CBE" w14:textId="77777777" w:rsidR="009F01D8" w:rsidRPr="002B28C3" w:rsidRDefault="009F01D8" w:rsidP="009F01D8">
            <w:pPr>
              <w:rPr>
                <w:rFonts w:asciiTheme="majorBidi" w:hAnsiTheme="majorBidi" w:cstheme="majorBidi"/>
              </w:rPr>
            </w:pPr>
            <w:r w:rsidRPr="002B28C3">
              <w:rPr>
                <w:rFonts w:asciiTheme="majorBidi" w:hAnsiTheme="majorBidi" w:cstheme="majorBidi"/>
              </w:rPr>
              <w:t>19</w:t>
            </w:r>
          </w:p>
        </w:tc>
        <w:tc>
          <w:tcPr>
            <w:tcW w:w="6266" w:type="dxa"/>
            <w:hideMark/>
          </w:tcPr>
          <w:p w14:paraId="048D4711"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eq-sdq</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eqsdq</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3AEC1C56" w14:textId="77777777" w:rsidR="009F01D8" w:rsidRPr="002B28C3" w:rsidRDefault="009F01D8" w:rsidP="009F01D8">
            <w:pPr>
              <w:rPr>
                <w:rFonts w:asciiTheme="majorBidi" w:hAnsiTheme="majorBidi" w:cstheme="majorBidi"/>
              </w:rPr>
            </w:pPr>
            <w:r w:rsidRPr="002B28C3">
              <w:rPr>
                <w:rFonts w:asciiTheme="majorBidi" w:hAnsiTheme="majorBidi" w:cstheme="majorBidi"/>
              </w:rPr>
              <w:t>1</w:t>
            </w:r>
          </w:p>
        </w:tc>
      </w:tr>
      <w:tr w:rsidR="009F01D8" w:rsidRPr="002B28C3" w14:paraId="247C2388" w14:textId="77777777" w:rsidTr="009F01D8">
        <w:trPr>
          <w:trHeight w:val="279"/>
        </w:trPr>
        <w:tc>
          <w:tcPr>
            <w:tcW w:w="1351" w:type="dxa"/>
            <w:hideMark/>
          </w:tcPr>
          <w:p w14:paraId="3B88D331" w14:textId="77777777" w:rsidR="009F01D8" w:rsidRPr="002B28C3" w:rsidRDefault="009F01D8" w:rsidP="009F01D8">
            <w:pPr>
              <w:rPr>
                <w:rFonts w:asciiTheme="majorBidi" w:hAnsiTheme="majorBidi" w:cstheme="majorBidi"/>
              </w:rPr>
            </w:pPr>
            <w:r w:rsidRPr="002B28C3">
              <w:rPr>
                <w:rFonts w:asciiTheme="majorBidi" w:hAnsiTheme="majorBidi" w:cstheme="majorBidi"/>
              </w:rPr>
              <w:t>20</w:t>
            </w:r>
          </w:p>
        </w:tc>
        <w:tc>
          <w:tcPr>
            <w:tcW w:w="6266" w:type="dxa"/>
            <w:hideMark/>
          </w:tcPr>
          <w:p w14:paraId="0B1AD8B8" w14:textId="77777777" w:rsidR="009F01D8" w:rsidRPr="002B28C3" w:rsidRDefault="009F01D8" w:rsidP="009F01D8">
            <w:pPr>
              <w:rPr>
                <w:rFonts w:asciiTheme="majorBidi" w:hAnsiTheme="majorBidi" w:cstheme="majorBidi"/>
              </w:rPr>
            </w:pPr>
            <w:r w:rsidRPr="002B28C3">
              <w:rPr>
                <w:rFonts w:asciiTheme="majorBidi" w:hAnsiTheme="majorBidi" w:cstheme="majorBidi"/>
              </w:rPr>
              <w:t>(short form* or shortform*</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1FF8BD1F" w14:textId="77777777" w:rsidR="009F01D8" w:rsidRPr="002B28C3" w:rsidRDefault="009F01D8" w:rsidP="009F01D8">
            <w:pPr>
              <w:rPr>
                <w:rFonts w:asciiTheme="majorBidi" w:hAnsiTheme="majorBidi" w:cstheme="majorBidi"/>
              </w:rPr>
            </w:pPr>
            <w:r w:rsidRPr="002B28C3">
              <w:rPr>
                <w:rFonts w:asciiTheme="majorBidi" w:hAnsiTheme="majorBidi" w:cstheme="majorBidi"/>
              </w:rPr>
              <w:t>37135</w:t>
            </w:r>
          </w:p>
        </w:tc>
      </w:tr>
      <w:tr w:rsidR="009F01D8" w:rsidRPr="002B28C3" w14:paraId="49C0306A" w14:textId="77777777" w:rsidTr="009F01D8">
        <w:trPr>
          <w:trHeight w:val="279"/>
        </w:trPr>
        <w:tc>
          <w:tcPr>
            <w:tcW w:w="1351" w:type="dxa"/>
            <w:hideMark/>
          </w:tcPr>
          <w:p w14:paraId="496BE701" w14:textId="77777777" w:rsidR="009F01D8" w:rsidRPr="002B28C3" w:rsidRDefault="009F01D8" w:rsidP="009F01D8">
            <w:pPr>
              <w:rPr>
                <w:rFonts w:asciiTheme="majorBidi" w:hAnsiTheme="majorBidi" w:cstheme="majorBidi"/>
              </w:rPr>
            </w:pPr>
            <w:r w:rsidRPr="002B28C3">
              <w:rPr>
                <w:rFonts w:asciiTheme="majorBidi" w:hAnsiTheme="majorBidi" w:cstheme="majorBidi"/>
              </w:rPr>
              <w:t>21</w:t>
            </w:r>
          </w:p>
        </w:tc>
        <w:tc>
          <w:tcPr>
            <w:tcW w:w="6266" w:type="dxa"/>
            <w:hideMark/>
          </w:tcPr>
          <w:p w14:paraId="4B89FFF5"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(sf36* or sf 36* or sf </w:t>
            </w:r>
            <w:proofErr w:type="spellStart"/>
            <w:r w:rsidRPr="002B28C3">
              <w:rPr>
                <w:rFonts w:asciiTheme="majorBidi" w:hAnsiTheme="majorBidi" w:cstheme="majorBidi"/>
              </w:rPr>
              <w:t>thirtysix</w:t>
            </w:r>
            <w:proofErr w:type="spellEnd"/>
            <w:r w:rsidRPr="002B28C3">
              <w:rPr>
                <w:rFonts w:asciiTheme="majorBidi" w:hAnsiTheme="majorBidi" w:cstheme="majorBidi"/>
              </w:rPr>
              <w:t xml:space="preserve"> or sf thirty six</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082D37BE" w14:textId="77777777" w:rsidR="009F01D8" w:rsidRPr="002B28C3" w:rsidRDefault="009F01D8" w:rsidP="009F01D8">
            <w:pPr>
              <w:rPr>
                <w:rFonts w:asciiTheme="majorBidi" w:hAnsiTheme="majorBidi" w:cstheme="majorBidi"/>
              </w:rPr>
            </w:pPr>
            <w:r w:rsidRPr="002B28C3">
              <w:rPr>
                <w:rFonts w:asciiTheme="majorBidi" w:hAnsiTheme="majorBidi" w:cstheme="majorBidi"/>
              </w:rPr>
              <w:t>23718</w:t>
            </w:r>
          </w:p>
        </w:tc>
      </w:tr>
      <w:tr w:rsidR="009F01D8" w:rsidRPr="002B28C3" w14:paraId="6ADD2B1B" w14:textId="77777777" w:rsidTr="009F01D8">
        <w:trPr>
          <w:trHeight w:val="279"/>
        </w:trPr>
        <w:tc>
          <w:tcPr>
            <w:tcW w:w="1351" w:type="dxa"/>
            <w:hideMark/>
          </w:tcPr>
          <w:p w14:paraId="6D0E3BC8" w14:textId="77777777" w:rsidR="009F01D8" w:rsidRPr="002B28C3" w:rsidRDefault="009F01D8" w:rsidP="009F01D8">
            <w:pPr>
              <w:rPr>
                <w:rFonts w:asciiTheme="majorBidi" w:hAnsiTheme="majorBidi" w:cstheme="majorBidi"/>
              </w:rPr>
            </w:pPr>
            <w:r w:rsidRPr="002B28C3">
              <w:rPr>
                <w:rFonts w:asciiTheme="majorBidi" w:hAnsiTheme="majorBidi" w:cstheme="majorBidi"/>
              </w:rPr>
              <w:t>22</w:t>
            </w:r>
          </w:p>
        </w:tc>
        <w:tc>
          <w:tcPr>
            <w:tcW w:w="6266" w:type="dxa"/>
            <w:hideMark/>
          </w:tcPr>
          <w:p w14:paraId="5618495D"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(sf6 or sf 6 or sf6d or sf 6d or sf six or </w:t>
            </w:r>
            <w:proofErr w:type="spellStart"/>
            <w:r w:rsidRPr="002B28C3">
              <w:rPr>
                <w:rFonts w:asciiTheme="majorBidi" w:hAnsiTheme="majorBidi" w:cstheme="majorBidi"/>
              </w:rPr>
              <w:t>sfsix</w:t>
            </w:r>
            <w:proofErr w:type="spellEnd"/>
            <w:r w:rsidRPr="002B28C3">
              <w:rPr>
                <w:rFonts w:asciiTheme="majorBidi" w:hAnsiTheme="majorBidi" w:cstheme="majorBidi"/>
              </w:rPr>
              <w:t xml:space="preserve"> or sf8 or sf 8 or sf eight or </w:t>
            </w:r>
            <w:proofErr w:type="spellStart"/>
            <w:r w:rsidRPr="002B28C3">
              <w:rPr>
                <w:rFonts w:asciiTheme="majorBidi" w:hAnsiTheme="majorBidi" w:cstheme="majorBidi"/>
              </w:rPr>
              <w:t>sfeight</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7CC3493A" w14:textId="77777777" w:rsidR="009F01D8" w:rsidRPr="002B28C3" w:rsidRDefault="009F01D8" w:rsidP="009F01D8">
            <w:pPr>
              <w:rPr>
                <w:rFonts w:asciiTheme="majorBidi" w:hAnsiTheme="majorBidi" w:cstheme="majorBidi"/>
              </w:rPr>
            </w:pPr>
            <w:r w:rsidRPr="002B28C3">
              <w:rPr>
                <w:rFonts w:asciiTheme="majorBidi" w:hAnsiTheme="majorBidi" w:cstheme="majorBidi"/>
              </w:rPr>
              <w:t>3519</w:t>
            </w:r>
          </w:p>
        </w:tc>
      </w:tr>
      <w:tr w:rsidR="009F01D8" w:rsidRPr="002B28C3" w14:paraId="74C57829" w14:textId="77777777" w:rsidTr="009F01D8">
        <w:trPr>
          <w:trHeight w:val="279"/>
        </w:trPr>
        <w:tc>
          <w:tcPr>
            <w:tcW w:w="1351" w:type="dxa"/>
            <w:hideMark/>
          </w:tcPr>
          <w:p w14:paraId="41CBA085" w14:textId="77777777" w:rsidR="009F01D8" w:rsidRPr="002B28C3" w:rsidRDefault="009F01D8" w:rsidP="009F01D8">
            <w:pPr>
              <w:rPr>
                <w:rFonts w:asciiTheme="majorBidi" w:hAnsiTheme="majorBidi" w:cstheme="majorBidi"/>
              </w:rPr>
            </w:pPr>
            <w:r w:rsidRPr="002B28C3">
              <w:rPr>
                <w:rFonts w:asciiTheme="majorBidi" w:hAnsiTheme="majorBidi" w:cstheme="majorBidi"/>
              </w:rPr>
              <w:t>23</w:t>
            </w:r>
          </w:p>
        </w:tc>
        <w:tc>
          <w:tcPr>
            <w:tcW w:w="6266" w:type="dxa"/>
            <w:hideMark/>
          </w:tcPr>
          <w:p w14:paraId="3BD9F5F1"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(sf12 or sf 12 or sf twelve or </w:t>
            </w:r>
            <w:proofErr w:type="spellStart"/>
            <w:r w:rsidRPr="002B28C3">
              <w:rPr>
                <w:rFonts w:asciiTheme="majorBidi" w:hAnsiTheme="majorBidi" w:cstheme="majorBidi"/>
              </w:rPr>
              <w:t>sftwelve</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33BD0069" w14:textId="77777777" w:rsidR="009F01D8" w:rsidRPr="002B28C3" w:rsidRDefault="009F01D8" w:rsidP="009F01D8">
            <w:pPr>
              <w:rPr>
                <w:rFonts w:asciiTheme="majorBidi" w:hAnsiTheme="majorBidi" w:cstheme="majorBidi"/>
              </w:rPr>
            </w:pPr>
            <w:r w:rsidRPr="002B28C3">
              <w:rPr>
                <w:rFonts w:asciiTheme="majorBidi" w:hAnsiTheme="majorBidi" w:cstheme="majorBidi"/>
              </w:rPr>
              <w:t>5294</w:t>
            </w:r>
          </w:p>
        </w:tc>
      </w:tr>
      <w:tr w:rsidR="009F01D8" w:rsidRPr="002B28C3" w14:paraId="046D5093" w14:textId="77777777" w:rsidTr="009F01D8">
        <w:trPr>
          <w:trHeight w:val="279"/>
        </w:trPr>
        <w:tc>
          <w:tcPr>
            <w:tcW w:w="1351" w:type="dxa"/>
            <w:hideMark/>
          </w:tcPr>
          <w:p w14:paraId="569FA9B0" w14:textId="77777777" w:rsidR="009F01D8" w:rsidRPr="002B28C3" w:rsidRDefault="009F01D8" w:rsidP="009F01D8">
            <w:pPr>
              <w:rPr>
                <w:rFonts w:asciiTheme="majorBidi" w:hAnsiTheme="majorBidi" w:cstheme="majorBidi"/>
              </w:rPr>
            </w:pPr>
            <w:r w:rsidRPr="002B28C3">
              <w:rPr>
                <w:rFonts w:asciiTheme="majorBidi" w:hAnsiTheme="majorBidi" w:cstheme="majorBidi"/>
              </w:rPr>
              <w:t>24</w:t>
            </w:r>
          </w:p>
        </w:tc>
        <w:tc>
          <w:tcPr>
            <w:tcW w:w="6266" w:type="dxa"/>
            <w:hideMark/>
          </w:tcPr>
          <w:p w14:paraId="463DBB40"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(sf16 or sf 16 or sf sixteen or </w:t>
            </w:r>
            <w:proofErr w:type="spellStart"/>
            <w:r w:rsidRPr="002B28C3">
              <w:rPr>
                <w:rFonts w:asciiTheme="majorBidi" w:hAnsiTheme="majorBidi" w:cstheme="majorBidi"/>
              </w:rPr>
              <w:t>sfsixteen</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494558D2"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r>
      <w:tr w:rsidR="009F01D8" w:rsidRPr="002B28C3" w14:paraId="5D0C5451" w14:textId="77777777" w:rsidTr="009F01D8">
        <w:trPr>
          <w:trHeight w:val="279"/>
        </w:trPr>
        <w:tc>
          <w:tcPr>
            <w:tcW w:w="1351" w:type="dxa"/>
            <w:hideMark/>
          </w:tcPr>
          <w:p w14:paraId="70B8DA89" w14:textId="77777777" w:rsidR="009F01D8" w:rsidRPr="002B28C3" w:rsidRDefault="009F01D8" w:rsidP="009F01D8">
            <w:pPr>
              <w:rPr>
                <w:rFonts w:asciiTheme="majorBidi" w:hAnsiTheme="majorBidi" w:cstheme="majorBidi"/>
              </w:rPr>
            </w:pPr>
            <w:r w:rsidRPr="002B28C3">
              <w:rPr>
                <w:rFonts w:asciiTheme="majorBidi" w:hAnsiTheme="majorBidi" w:cstheme="majorBidi"/>
              </w:rPr>
              <w:t>25</w:t>
            </w:r>
          </w:p>
        </w:tc>
        <w:tc>
          <w:tcPr>
            <w:tcW w:w="6266" w:type="dxa"/>
            <w:hideMark/>
          </w:tcPr>
          <w:p w14:paraId="7EA4B061"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(sf20 or sf 20 or sf twenty or </w:t>
            </w:r>
            <w:proofErr w:type="spellStart"/>
            <w:r w:rsidRPr="002B28C3">
              <w:rPr>
                <w:rFonts w:asciiTheme="majorBidi" w:hAnsiTheme="majorBidi" w:cstheme="majorBidi"/>
              </w:rPr>
              <w:t>sftwenty</w:t>
            </w:r>
            <w:proofErr w:type="spellEnd"/>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0F0F67C3" w14:textId="77777777" w:rsidR="009F01D8" w:rsidRPr="002B28C3" w:rsidRDefault="009F01D8" w:rsidP="009F01D8">
            <w:pPr>
              <w:rPr>
                <w:rFonts w:asciiTheme="majorBidi" w:hAnsiTheme="majorBidi" w:cstheme="majorBidi"/>
              </w:rPr>
            </w:pPr>
            <w:r w:rsidRPr="002B28C3">
              <w:rPr>
                <w:rFonts w:asciiTheme="majorBidi" w:hAnsiTheme="majorBidi" w:cstheme="majorBidi"/>
              </w:rPr>
              <w:t>344</w:t>
            </w:r>
          </w:p>
        </w:tc>
      </w:tr>
      <w:tr w:rsidR="009F01D8" w:rsidRPr="002B28C3" w14:paraId="30078812" w14:textId="77777777" w:rsidTr="009F01D8">
        <w:trPr>
          <w:trHeight w:val="279"/>
        </w:trPr>
        <w:tc>
          <w:tcPr>
            <w:tcW w:w="1351" w:type="dxa"/>
            <w:hideMark/>
          </w:tcPr>
          <w:p w14:paraId="3D0B9545" w14:textId="77777777" w:rsidR="009F01D8" w:rsidRPr="002B28C3" w:rsidRDefault="009F01D8" w:rsidP="009F01D8">
            <w:pPr>
              <w:rPr>
                <w:rFonts w:asciiTheme="majorBidi" w:hAnsiTheme="majorBidi" w:cstheme="majorBidi"/>
              </w:rPr>
            </w:pPr>
            <w:r w:rsidRPr="002B28C3">
              <w:rPr>
                <w:rFonts w:asciiTheme="majorBidi" w:hAnsiTheme="majorBidi" w:cstheme="majorBidi"/>
              </w:rPr>
              <w:t>26</w:t>
            </w:r>
          </w:p>
        </w:tc>
        <w:tc>
          <w:tcPr>
            <w:tcW w:w="6266" w:type="dxa"/>
            <w:hideMark/>
          </w:tcPr>
          <w:p w14:paraId="006A5CD9" w14:textId="77777777" w:rsidR="009F01D8" w:rsidRPr="002B28C3" w:rsidRDefault="009F01D8" w:rsidP="009F01D8">
            <w:pPr>
              <w:rPr>
                <w:rFonts w:asciiTheme="majorBidi" w:hAnsiTheme="majorBidi" w:cstheme="majorBidi"/>
              </w:rPr>
            </w:pPr>
            <w:r w:rsidRPr="002B28C3">
              <w:rPr>
                <w:rFonts w:asciiTheme="majorBidi" w:hAnsiTheme="majorBidi" w:cstheme="majorBidi"/>
              </w:rPr>
              <w:t>(15D or 15-D or 15 dimension</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0B78B013" w14:textId="77777777" w:rsidR="009F01D8" w:rsidRPr="002B28C3" w:rsidRDefault="009F01D8" w:rsidP="009F01D8">
            <w:pPr>
              <w:rPr>
                <w:rFonts w:asciiTheme="majorBidi" w:hAnsiTheme="majorBidi" w:cstheme="majorBidi"/>
              </w:rPr>
            </w:pPr>
            <w:r w:rsidRPr="002B28C3">
              <w:rPr>
                <w:rFonts w:asciiTheme="majorBidi" w:hAnsiTheme="majorBidi" w:cstheme="majorBidi"/>
              </w:rPr>
              <w:t>5601</w:t>
            </w:r>
          </w:p>
        </w:tc>
      </w:tr>
      <w:tr w:rsidR="009F01D8" w:rsidRPr="002B28C3" w14:paraId="7261359D" w14:textId="77777777" w:rsidTr="009F01D8">
        <w:trPr>
          <w:trHeight w:val="279"/>
        </w:trPr>
        <w:tc>
          <w:tcPr>
            <w:tcW w:w="1351" w:type="dxa"/>
            <w:hideMark/>
          </w:tcPr>
          <w:p w14:paraId="2BFBDE3D" w14:textId="77777777" w:rsidR="009F01D8" w:rsidRPr="002B28C3" w:rsidRDefault="009F01D8" w:rsidP="009F01D8">
            <w:pPr>
              <w:rPr>
                <w:rFonts w:asciiTheme="majorBidi" w:hAnsiTheme="majorBidi" w:cstheme="majorBidi"/>
              </w:rPr>
            </w:pPr>
            <w:r w:rsidRPr="002B28C3">
              <w:rPr>
                <w:rFonts w:asciiTheme="majorBidi" w:hAnsiTheme="majorBidi" w:cstheme="majorBidi"/>
              </w:rPr>
              <w:t>27</w:t>
            </w:r>
          </w:p>
        </w:tc>
        <w:tc>
          <w:tcPr>
            <w:tcW w:w="6266" w:type="dxa"/>
            <w:hideMark/>
          </w:tcPr>
          <w:p w14:paraId="7889951F" w14:textId="77777777" w:rsidR="009F01D8" w:rsidRPr="002B28C3" w:rsidRDefault="009F01D8" w:rsidP="009F01D8">
            <w:pPr>
              <w:rPr>
                <w:rFonts w:asciiTheme="majorBidi" w:hAnsiTheme="majorBidi" w:cstheme="majorBidi"/>
              </w:rPr>
            </w:pPr>
            <w:r w:rsidRPr="002B28C3">
              <w:rPr>
                <w:rFonts w:asciiTheme="majorBidi" w:hAnsiTheme="majorBidi" w:cstheme="majorBidi"/>
              </w:rPr>
              <w:t>(standard gamble* or sg</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512ACF58" w14:textId="77777777" w:rsidR="009F01D8" w:rsidRPr="002B28C3" w:rsidRDefault="009F01D8" w:rsidP="009F01D8">
            <w:pPr>
              <w:rPr>
                <w:rFonts w:asciiTheme="majorBidi" w:hAnsiTheme="majorBidi" w:cstheme="majorBidi"/>
              </w:rPr>
            </w:pPr>
            <w:r w:rsidRPr="002B28C3">
              <w:rPr>
                <w:rFonts w:asciiTheme="majorBidi" w:hAnsiTheme="majorBidi" w:cstheme="majorBidi"/>
              </w:rPr>
              <w:t>11912</w:t>
            </w:r>
          </w:p>
        </w:tc>
      </w:tr>
      <w:tr w:rsidR="009F01D8" w:rsidRPr="002B28C3" w14:paraId="6ACA4D33" w14:textId="77777777" w:rsidTr="009F01D8">
        <w:trPr>
          <w:trHeight w:val="279"/>
        </w:trPr>
        <w:tc>
          <w:tcPr>
            <w:tcW w:w="1351" w:type="dxa"/>
            <w:hideMark/>
          </w:tcPr>
          <w:p w14:paraId="1652AF4A" w14:textId="77777777" w:rsidR="009F01D8" w:rsidRPr="002B28C3" w:rsidRDefault="009F01D8" w:rsidP="009F01D8">
            <w:pPr>
              <w:rPr>
                <w:rFonts w:asciiTheme="majorBidi" w:hAnsiTheme="majorBidi" w:cstheme="majorBidi"/>
              </w:rPr>
            </w:pPr>
            <w:r w:rsidRPr="002B28C3">
              <w:rPr>
                <w:rFonts w:asciiTheme="majorBidi" w:hAnsiTheme="majorBidi" w:cstheme="majorBidi"/>
              </w:rPr>
              <w:t>28</w:t>
            </w:r>
          </w:p>
        </w:tc>
        <w:tc>
          <w:tcPr>
            <w:tcW w:w="6266" w:type="dxa"/>
            <w:hideMark/>
          </w:tcPr>
          <w:p w14:paraId="7D1B690B"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(time trade off*1 or time </w:t>
            </w:r>
            <w:proofErr w:type="spellStart"/>
            <w:r w:rsidRPr="002B28C3">
              <w:rPr>
                <w:rFonts w:asciiTheme="majorBidi" w:hAnsiTheme="majorBidi" w:cstheme="majorBidi"/>
              </w:rPr>
              <w:t>tradeoff</w:t>
            </w:r>
            <w:proofErr w:type="spellEnd"/>
            <w:r w:rsidRPr="002B28C3">
              <w:rPr>
                <w:rFonts w:asciiTheme="majorBidi" w:hAnsiTheme="majorBidi" w:cstheme="majorBidi"/>
              </w:rPr>
              <w:t xml:space="preserve">*1 or </w:t>
            </w:r>
            <w:proofErr w:type="spellStart"/>
            <w:r w:rsidRPr="002B28C3">
              <w:rPr>
                <w:rFonts w:asciiTheme="majorBidi" w:hAnsiTheme="majorBidi" w:cstheme="majorBidi"/>
              </w:rPr>
              <w:t>tto</w:t>
            </w:r>
            <w:proofErr w:type="spellEnd"/>
            <w:r w:rsidRPr="002B28C3">
              <w:rPr>
                <w:rFonts w:asciiTheme="majorBidi" w:hAnsiTheme="majorBidi" w:cstheme="majorBidi"/>
              </w:rPr>
              <w:t xml:space="preserve"> or </w:t>
            </w:r>
            <w:proofErr w:type="spellStart"/>
            <w:r w:rsidRPr="002B28C3">
              <w:rPr>
                <w:rFonts w:asciiTheme="majorBidi" w:hAnsiTheme="majorBidi" w:cstheme="majorBidi"/>
              </w:rPr>
              <w:t>timetradeoff</w:t>
            </w:r>
            <w:proofErr w:type="spellEnd"/>
            <w:r w:rsidRPr="002B28C3">
              <w:rPr>
                <w:rFonts w:asciiTheme="majorBidi" w:hAnsiTheme="majorBidi" w:cstheme="majorBidi"/>
              </w:rPr>
              <w:t>*1</w:t>
            </w:r>
            <w:proofErr w:type="gramStart"/>
            <w:r w:rsidRPr="002B28C3">
              <w:rPr>
                <w:rFonts w:asciiTheme="majorBidi" w:hAnsiTheme="majorBidi" w:cstheme="majorBidi"/>
              </w:rPr>
              <w:t>).</w:t>
            </w:r>
            <w:proofErr w:type="spellStart"/>
            <w:r w:rsidRPr="002B28C3">
              <w:rPr>
                <w:rFonts w:asciiTheme="majorBidi" w:hAnsiTheme="majorBidi" w:cstheme="majorBidi"/>
              </w:rPr>
              <w:t>ti</w:t>
            </w:r>
            <w:proofErr w:type="gramEnd"/>
            <w:r w:rsidRPr="002B28C3">
              <w:rPr>
                <w:rFonts w:asciiTheme="majorBidi" w:hAnsiTheme="majorBidi" w:cstheme="majorBidi"/>
              </w:rPr>
              <w:t>,ab,kf</w:t>
            </w:r>
            <w:proofErr w:type="spellEnd"/>
            <w:r w:rsidRPr="002B28C3">
              <w:rPr>
                <w:rFonts w:asciiTheme="majorBidi" w:hAnsiTheme="majorBidi" w:cstheme="majorBidi"/>
              </w:rPr>
              <w:t>.</w:t>
            </w:r>
          </w:p>
        </w:tc>
        <w:tc>
          <w:tcPr>
            <w:tcW w:w="1399" w:type="dxa"/>
            <w:hideMark/>
          </w:tcPr>
          <w:p w14:paraId="1F99CFEC" w14:textId="77777777" w:rsidR="009F01D8" w:rsidRPr="002B28C3" w:rsidRDefault="009F01D8" w:rsidP="009F01D8">
            <w:pPr>
              <w:rPr>
                <w:rFonts w:asciiTheme="majorBidi" w:hAnsiTheme="majorBidi" w:cstheme="majorBidi"/>
              </w:rPr>
            </w:pPr>
            <w:r w:rsidRPr="002B28C3">
              <w:rPr>
                <w:rFonts w:asciiTheme="majorBidi" w:hAnsiTheme="majorBidi" w:cstheme="majorBidi"/>
              </w:rPr>
              <w:t>2046</w:t>
            </w:r>
          </w:p>
        </w:tc>
      </w:tr>
      <w:tr w:rsidR="009F01D8" w:rsidRPr="002B28C3" w14:paraId="5A9C60B7" w14:textId="77777777" w:rsidTr="009F01D8">
        <w:trPr>
          <w:trHeight w:val="279"/>
        </w:trPr>
        <w:tc>
          <w:tcPr>
            <w:tcW w:w="1351" w:type="dxa"/>
            <w:hideMark/>
          </w:tcPr>
          <w:p w14:paraId="6E008DC4" w14:textId="77777777" w:rsidR="009F01D8" w:rsidRPr="002B28C3" w:rsidRDefault="009F01D8" w:rsidP="009F01D8">
            <w:pPr>
              <w:rPr>
                <w:rFonts w:asciiTheme="majorBidi" w:hAnsiTheme="majorBidi" w:cstheme="majorBidi"/>
              </w:rPr>
            </w:pPr>
            <w:r w:rsidRPr="002B28C3">
              <w:rPr>
                <w:rFonts w:asciiTheme="majorBidi" w:hAnsiTheme="majorBidi" w:cstheme="majorBidi"/>
              </w:rPr>
              <w:t>29</w:t>
            </w:r>
          </w:p>
        </w:tc>
        <w:tc>
          <w:tcPr>
            <w:tcW w:w="6266" w:type="dxa"/>
            <w:hideMark/>
          </w:tcPr>
          <w:p w14:paraId="264B9C4E" w14:textId="77777777" w:rsidR="009F01D8" w:rsidRPr="002B28C3" w:rsidRDefault="009F01D8" w:rsidP="009F01D8">
            <w:pPr>
              <w:rPr>
                <w:rFonts w:asciiTheme="majorBidi" w:hAnsiTheme="majorBidi" w:cstheme="majorBidi"/>
              </w:rPr>
            </w:pPr>
            <w:r w:rsidRPr="002B28C3">
              <w:rPr>
                <w:rFonts w:asciiTheme="majorBidi" w:hAnsiTheme="majorBidi" w:cstheme="majorBidi"/>
              </w:rPr>
              <w:t>or/1-28</w:t>
            </w:r>
          </w:p>
        </w:tc>
        <w:tc>
          <w:tcPr>
            <w:tcW w:w="1399" w:type="dxa"/>
            <w:hideMark/>
          </w:tcPr>
          <w:p w14:paraId="3DB818CE" w14:textId="77777777" w:rsidR="009F01D8" w:rsidRPr="002B28C3" w:rsidRDefault="009F01D8" w:rsidP="009F01D8">
            <w:pPr>
              <w:rPr>
                <w:rFonts w:asciiTheme="majorBidi" w:hAnsiTheme="majorBidi" w:cstheme="majorBidi"/>
              </w:rPr>
            </w:pPr>
            <w:r w:rsidRPr="002B28C3">
              <w:rPr>
                <w:rFonts w:asciiTheme="majorBidi" w:hAnsiTheme="majorBidi" w:cstheme="majorBidi"/>
              </w:rPr>
              <w:t>160013</w:t>
            </w:r>
          </w:p>
        </w:tc>
      </w:tr>
      <w:tr w:rsidR="009F01D8" w:rsidRPr="002B28C3" w14:paraId="2BAEB557" w14:textId="77777777" w:rsidTr="009F01D8">
        <w:trPr>
          <w:trHeight w:val="279"/>
        </w:trPr>
        <w:tc>
          <w:tcPr>
            <w:tcW w:w="1351" w:type="dxa"/>
            <w:hideMark/>
          </w:tcPr>
          <w:p w14:paraId="3C372A11" w14:textId="77777777" w:rsidR="009F01D8" w:rsidRPr="002B28C3" w:rsidRDefault="009F01D8" w:rsidP="009F01D8">
            <w:pPr>
              <w:rPr>
                <w:rFonts w:asciiTheme="majorBidi" w:hAnsiTheme="majorBidi" w:cstheme="majorBidi"/>
              </w:rPr>
            </w:pPr>
            <w:r w:rsidRPr="002B28C3">
              <w:rPr>
                <w:rFonts w:asciiTheme="majorBidi" w:hAnsiTheme="majorBidi" w:cstheme="majorBidi"/>
              </w:rPr>
              <w:t>30</w:t>
            </w:r>
          </w:p>
        </w:tc>
        <w:tc>
          <w:tcPr>
            <w:tcW w:w="6266" w:type="dxa"/>
            <w:hideMark/>
          </w:tcPr>
          <w:p w14:paraId="2B55A2FF" w14:textId="77777777" w:rsidR="009F01D8" w:rsidRPr="002B28C3" w:rsidRDefault="009F01D8" w:rsidP="009F01D8">
            <w:pPr>
              <w:rPr>
                <w:rFonts w:asciiTheme="majorBidi" w:hAnsiTheme="majorBidi" w:cstheme="majorBidi"/>
              </w:rPr>
            </w:pPr>
            <w:r w:rsidRPr="002B28C3">
              <w:rPr>
                <w:rFonts w:asciiTheme="majorBidi" w:hAnsiTheme="majorBidi" w:cstheme="majorBidi"/>
              </w:rPr>
              <w:t>("</w:t>
            </w:r>
            <w:proofErr w:type="spellStart"/>
            <w:r w:rsidRPr="002B28C3">
              <w:rPr>
                <w:rFonts w:asciiTheme="majorBidi" w:hAnsiTheme="majorBidi" w:cstheme="majorBidi"/>
              </w:rPr>
              <w:t>charlson</w:t>
            </w:r>
            <w:proofErr w:type="spellEnd"/>
            <w:r w:rsidRPr="002B28C3">
              <w:rPr>
                <w:rFonts w:asciiTheme="majorBidi" w:hAnsiTheme="majorBidi" w:cstheme="majorBidi"/>
              </w:rPr>
              <w:t xml:space="preserve"> comorbidity index" or "</w:t>
            </w:r>
            <w:proofErr w:type="spellStart"/>
            <w:r w:rsidRPr="002B28C3">
              <w:rPr>
                <w:rFonts w:asciiTheme="majorBidi" w:hAnsiTheme="majorBidi" w:cstheme="majorBidi"/>
              </w:rPr>
              <w:t>charlson</w:t>
            </w:r>
            <w:proofErr w:type="spellEnd"/>
            <w:r w:rsidRPr="002B28C3">
              <w:rPr>
                <w:rFonts w:asciiTheme="majorBidi" w:hAnsiTheme="majorBidi" w:cstheme="majorBidi"/>
              </w:rPr>
              <w:t xml:space="preserve"> index" or (cci and (comorbid* or "co morbid*" or multimorbid* or "multi morbid*"))).</w:t>
            </w:r>
            <w:proofErr w:type="spellStart"/>
            <w:r w:rsidRPr="002B28C3">
              <w:rPr>
                <w:rFonts w:asciiTheme="majorBidi" w:hAnsiTheme="majorBidi" w:cstheme="majorBidi"/>
              </w:rPr>
              <w:t>mp</w:t>
            </w:r>
            <w:proofErr w:type="spellEnd"/>
            <w:r w:rsidRPr="002B28C3">
              <w:rPr>
                <w:rFonts w:asciiTheme="majorBidi" w:hAnsiTheme="majorBidi" w:cstheme="majorBidi"/>
              </w:rPr>
              <w:t>.</w:t>
            </w:r>
          </w:p>
        </w:tc>
        <w:tc>
          <w:tcPr>
            <w:tcW w:w="1399" w:type="dxa"/>
            <w:hideMark/>
          </w:tcPr>
          <w:p w14:paraId="0F5ADBCB" w14:textId="77777777" w:rsidR="009F01D8" w:rsidRPr="002B28C3" w:rsidRDefault="009F01D8" w:rsidP="009F01D8">
            <w:pPr>
              <w:rPr>
                <w:rFonts w:asciiTheme="majorBidi" w:hAnsiTheme="majorBidi" w:cstheme="majorBidi"/>
              </w:rPr>
            </w:pPr>
            <w:r w:rsidRPr="002B28C3">
              <w:rPr>
                <w:rFonts w:asciiTheme="majorBidi" w:hAnsiTheme="majorBidi" w:cstheme="majorBidi"/>
              </w:rPr>
              <w:t>8444</w:t>
            </w:r>
          </w:p>
        </w:tc>
      </w:tr>
      <w:tr w:rsidR="009F01D8" w:rsidRPr="002B28C3" w14:paraId="4359664A" w14:textId="77777777" w:rsidTr="009F01D8">
        <w:trPr>
          <w:trHeight w:val="279"/>
        </w:trPr>
        <w:tc>
          <w:tcPr>
            <w:tcW w:w="1351" w:type="dxa"/>
            <w:hideMark/>
          </w:tcPr>
          <w:p w14:paraId="686FA617" w14:textId="77777777" w:rsidR="009F01D8" w:rsidRPr="002B28C3" w:rsidRDefault="009F01D8" w:rsidP="009F01D8">
            <w:pPr>
              <w:rPr>
                <w:rFonts w:asciiTheme="majorBidi" w:hAnsiTheme="majorBidi" w:cstheme="majorBidi"/>
              </w:rPr>
            </w:pPr>
            <w:r w:rsidRPr="002B28C3">
              <w:rPr>
                <w:rFonts w:asciiTheme="majorBidi" w:hAnsiTheme="majorBidi" w:cstheme="majorBidi"/>
              </w:rPr>
              <w:t>31</w:t>
            </w:r>
          </w:p>
        </w:tc>
        <w:tc>
          <w:tcPr>
            <w:tcW w:w="6266" w:type="dxa"/>
            <w:hideMark/>
          </w:tcPr>
          <w:p w14:paraId="1E43B83E" w14:textId="77777777" w:rsidR="009F01D8" w:rsidRPr="002B28C3" w:rsidRDefault="009F01D8" w:rsidP="009F01D8">
            <w:pPr>
              <w:rPr>
                <w:rFonts w:asciiTheme="majorBidi" w:hAnsiTheme="majorBidi" w:cstheme="majorBidi"/>
              </w:rPr>
            </w:pPr>
            <w:r w:rsidRPr="002B28C3">
              <w:rPr>
                <w:rFonts w:asciiTheme="majorBidi" w:hAnsiTheme="majorBidi" w:cstheme="majorBidi"/>
              </w:rPr>
              <w:t>29 and 30</w:t>
            </w:r>
          </w:p>
        </w:tc>
        <w:tc>
          <w:tcPr>
            <w:tcW w:w="1399" w:type="dxa"/>
            <w:hideMark/>
          </w:tcPr>
          <w:p w14:paraId="26FFEDFA" w14:textId="77777777" w:rsidR="009F01D8" w:rsidRPr="002B28C3" w:rsidRDefault="009F01D8" w:rsidP="009F01D8">
            <w:pPr>
              <w:rPr>
                <w:rFonts w:asciiTheme="majorBidi" w:hAnsiTheme="majorBidi" w:cstheme="majorBidi"/>
              </w:rPr>
            </w:pPr>
            <w:r w:rsidRPr="002B28C3">
              <w:rPr>
                <w:rFonts w:asciiTheme="majorBidi" w:hAnsiTheme="majorBidi" w:cstheme="majorBidi"/>
              </w:rPr>
              <w:t>387</w:t>
            </w:r>
          </w:p>
        </w:tc>
      </w:tr>
      <w:tr w:rsidR="009F01D8" w:rsidRPr="002B28C3" w14:paraId="4D30B524" w14:textId="77777777" w:rsidTr="009F01D8">
        <w:trPr>
          <w:trHeight w:val="279"/>
        </w:trPr>
        <w:tc>
          <w:tcPr>
            <w:tcW w:w="1351" w:type="dxa"/>
            <w:hideMark/>
          </w:tcPr>
          <w:p w14:paraId="57B5EFE3" w14:textId="77777777" w:rsidR="009F01D8" w:rsidRPr="002B28C3" w:rsidRDefault="009F01D8" w:rsidP="009F01D8">
            <w:pPr>
              <w:rPr>
                <w:rFonts w:asciiTheme="majorBidi" w:hAnsiTheme="majorBidi" w:cstheme="majorBidi"/>
              </w:rPr>
            </w:pPr>
            <w:r w:rsidRPr="002B28C3">
              <w:rPr>
                <w:rFonts w:asciiTheme="majorBidi" w:hAnsiTheme="majorBidi" w:cstheme="majorBidi"/>
              </w:rPr>
              <w:t>32</w:t>
            </w:r>
          </w:p>
        </w:tc>
        <w:tc>
          <w:tcPr>
            <w:tcW w:w="6266" w:type="dxa"/>
            <w:hideMark/>
          </w:tcPr>
          <w:p w14:paraId="79C0AA7B" w14:textId="77777777" w:rsidR="009F01D8" w:rsidRPr="002B28C3" w:rsidRDefault="009F01D8" w:rsidP="009F01D8">
            <w:pPr>
              <w:rPr>
                <w:rFonts w:asciiTheme="majorBidi" w:hAnsiTheme="majorBidi" w:cstheme="majorBidi"/>
              </w:rPr>
            </w:pPr>
            <w:r w:rsidRPr="002B28C3">
              <w:rPr>
                <w:rFonts w:asciiTheme="majorBidi" w:hAnsiTheme="majorBidi" w:cstheme="majorBidi"/>
              </w:rPr>
              <w:t xml:space="preserve">limit 31 to </w:t>
            </w:r>
            <w:proofErr w:type="spellStart"/>
            <w:r w:rsidRPr="002B28C3">
              <w:rPr>
                <w:rFonts w:asciiTheme="majorBidi" w:hAnsiTheme="majorBidi" w:cstheme="majorBidi"/>
              </w:rPr>
              <w:t>english</w:t>
            </w:r>
            <w:proofErr w:type="spellEnd"/>
            <w:r w:rsidRPr="002B28C3">
              <w:rPr>
                <w:rFonts w:asciiTheme="majorBidi" w:hAnsiTheme="majorBidi" w:cstheme="majorBidi"/>
              </w:rPr>
              <w:t xml:space="preserve"> language</w:t>
            </w:r>
          </w:p>
        </w:tc>
        <w:tc>
          <w:tcPr>
            <w:tcW w:w="1399" w:type="dxa"/>
            <w:hideMark/>
          </w:tcPr>
          <w:p w14:paraId="6F593AC6" w14:textId="77777777" w:rsidR="009F01D8" w:rsidRPr="002B28C3" w:rsidRDefault="009F01D8" w:rsidP="009F01D8">
            <w:pPr>
              <w:rPr>
                <w:rFonts w:asciiTheme="majorBidi" w:hAnsiTheme="majorBidi" w:cstheme="majorBidi"/>
              </w:rPr>
            </w:pPr>
            <w:r w:rsidRPr="002B28C3">
              <w:rPr>
                <w:rFonts w:asciiTheme="majorBidi" w:hAnsiTheme="majorBidi" w:cstheme="majorBidi"/>
              </w:rPr>
              <w:t>368</w:t>
            </w:r>
          </w:p>
        </w:tc>
      </w:tr>
    </w:tbl>
    <w:p w14:paraId="60A1FF9E" w14:textId="77777777" w:rsidR="009F01D8" w:rsidRPr="00D76748" w:rsidRDefault="009F01D8" w:rsidP="009F01D8">
      <w:pPr>
        <w:spacing w:after="0"/>
        <w:jc w:val="both"/>
        <w:rPr>
          <w:rFonts w:asciiTheme="majorBidi" w:hAnsiTheme="majorBidi" w:cstheme="majorBidi"/>
        </w:rPr>
      </w:pPr>
      <w:r w:rsidRPr="00D76748">
        <w:rPr>
          <w:rFonts w:asciiTheme="majorBidi" w:hAnsiTheme="majorBidi" w:cstheme="majorBidi"/>
        </w:rPr>
        <w:t xml:space="preserve">Health state utility studies filter from: Arber M, Garcia S, Veale T, Edwards M, Shaw A, Glanville J. Performance of Ovid </w:t>
      </w:r>
      <w:proofErr w:type="spellStart"/>
      <w:r w:rsidRPr="00D76748">
        <w:rPr>
          <w:rFonts w:asciiTheme="majorBidi" w:hAnsiTheme="majorBidi" w:cstheme="majorBidi"/>
        </w:rPr>
        <w:t>medline</w:t>
      </w:r>
      <w:proofErr w:type="spellEnd"/>
      <w:r w:rsidRPr="00D76748">
        <w:rPr>
          <w:rFonts w:asciiTheme="majorBidi" w:hAnsiTheme="majorBidi" w:cstheme="majorBidi"/>
        </w:rPr>
        <w:t xml:space="preserve"> search filters to identify health state utility studies. International Journal of Technology Assessment in Healthcare 2017 Jan;33(4):472-480. </w:t>
      </w:r>
      <w:proofErr w:type="spellStart"/>
      <w:r w:rsidRPr="00D76748">
        <w:rPr>
          <w:rFonts w:asciiTheme="majorBidi" w:hAnsiTheme="majorBidi" w:cstheme="majorBidi"/>
        </w:rPr>
        <w:t>doi</w:t>
      </w:r>
      <w:proofErr w:type="spellEnd"/>
      <w:r w:rsidRPr="00D76748">
        <w:rPr>
          <w:rFonts w:asciiTheme="majorBidi" w:hAnsiTheme="majorBidi" w:cstheme="majorBidi"/>
        </w:rPr>
        <w:t>: 10.1017/S0266462317000897.</w:t>
      </w:r>
    </w:p>
    <w:bookmarkEnd w:id="597"/>
    <w:p w14:paraId="41D82C8F" w14:textId="77777777" w:rsidR="009F01D8" w:rsidRPr="00F63CD5" w:rsidRDefault="009F01D8" w:rsidP="009F01D8">
      <w:pPr>
        <w:spacing w:after="0"/>
        <w:rPr>
          <w:b/>
        </w:rPr>
      </w:pPr>
    </w:p>
    <w:p w14:paraId="1D3253D3" w14:textId="4517AA1E" w:rsidR="002B28C3" w:rsidRDefault="002B28C3">
      <w:pPr>
        <w:rPr>
          <w:b/>
          <w:bCs/>
        </w:rPr>
      </w:pPr>
      <w:r>
        <w:rPr>
          <w:b/>
          <w:bCs/>
        </w:rPr>
        <w:br w:type="page"/>
      </w:r>
    </w:p>
    <w:p w14:paraId="37E60C0D" w14:textId="77777777" w:rsidR="009F01D8" w:rsidRDefault="009F01D8" w:rsidP="009F01D8">
      <w:pPr>
        <w:spacing w:line="360" w:lineRule="auto"/>
        <w:jc w:val="both"/>
        <w:rPr>
          <w:b/>
          <w:bCs/>
        </w:rPr>
      </w:pPr>
    </w:p>
    <w:p w14:paraId="2EC69261" w14:textId="77777777" w:rsidR="009F01D8" w:rsidRPr="002E4F02" w:rsidRDefault="009F01D8" w:rsidP="009F01D8">
      <w:pPr>
        <w:pStyle w:val="Heading2"/>
        <w:ind w:left="720" w:hanging="720"/>
        <w:jc w:val="both"/>
        <w:rPr>
          <w:sz w:val="32"/>
          <w:szCs w:val="32"/>
        </w:rPr>
      </w:pPr>
      <w:bookmarkStart w:id="606" w:name="_Toc87463077"/>
      <w:bookmarkStart w:id="607" w:name="_Ref78199386"/>
      <w:bookmarkStart w:id="608" w:name="_Ref78199344"/>
      <w:bookmarkStart w:id="609" w:name="_Hlk78204153"/>
      <w:r w:rsidRPr="002E4F02">
        <w:rPr>
          <w:sz w:val="32"/>
          <w:szCs w:val="32"/>
        </w:rPr>
        <w:t>Appendix 2: Data requests</w:t>
      </w:r>
      <w:bookmarkEnd w:id="606"/>
      <w:r w:rsidRPr="002E4F02">
        <w:rPr>
          <w:sz w:val="32"/>
          <w:szCs w:val="32"/>
        </w:rPr>
        <w:t xml:space="preserve"> </w:t>
      </w:r>
    </w:p>
    <w:p w14:paraId="12EA6D15" w14:textId="77777777" w:rsidR="009F01D8" w:rsidRPr="002B28C3" w:rsidRDefault="009F01D8" w:rsidP="009F01D8">
      <w:pPr>
        <w:jc w:val="both"/>
        <w:rPr>
          <w:rFonts w:asciiTheme="majorBidi" w:hAnsiTheme="majorBidi" w:cstheme="majorBidi"/>
        </w:rPr>
      </w:pPr>
      <w:r w:rsidRPr="002B28C3">
        <w:rPr>
          <w:rFonts w:asciiTheme="majorBidi" w:hAnsiTheme="majorBidi" w:cstheme="majorBidi"/>
        </w:rPr>
        <w:t xml:space="preserve">This appendix details two data requests to Pfizer, one to Shionogi and one to PHE as follows: </w:t>
      </w:r>
    </w:p>
    <w:p w14:paraId="466769F0" w14:textId="77777777" w:rsidR="009F01D8" w:rsidRPr="002B28C3" w:rsidRDefault="009F01D8" w:rsidP="005A3BE6">
      <w:pPr>
        <w:pStyle w:val="ListParagraph"/>
        <w:numPr>
          <w:ilvl w:val="0"/>
          <w:numId w:val="78"/>
        </w:numPr>
        <w:spacing w:after="120" w:line="276" w:lineRule="auto"/>
        <w:jc w:val="both"/>
        <w:rPr>
          <w:rFonts w:asciiTheme="majorBidi" w:hAnsiTheme="majorBidi" w:cstheme="majorBidi"/>
        </w:rPr>
      </w:pPr>
      <w:r w:rsidRPr="002B28C3">
        <w:rPr>
          <w:rFonts w:asciiTheme="majorBidi" w:hAnsiTheme="majorBidi" w:cstheme="majorBidi"/>
          <w:b/>
          <w:bCs/>
        </w:rPr>
        <w:t>Submitted to NICE for the attention of Pfizer on 21</w:t>
      </w:r>
      <w:r w:rsidRPr="002B28C3">
        <w:rPr>
          <w:rFonts w:asciiTheme="majorBidi" w:hAnsiTheme="majorBidi" w:cstheme="majorBidi"/>
          <w:b/>
          <w:bCs/>
          <w:vertAlign w:val="superscript"/>
        </w:rPr>
        <w:t>st</w:t>
      </w:r>
      <w:r w:rsidRPr="002B28C3">
        <w:rPr>
          <w:rFonts w:asciiTheme="majorBidi" w:hAnsiTheme="majorBidi" w:cstheme="majorBidi"/>
          <w:b/>
          <w:bCs/>
        </w:rPr>
        <w:t xml:space="preserve"> May</w:t>
      </w:r>
      <w:r w:rsidRPr="002B28C3">
        <w:rPr>
          <w:rFonts w:asciiTheme="majorBidi" w:hAnsiTheme="majorBidi" w:cstheme="majorBidi"/>
        </w:rPr>
        <w:t xml:space="preserve"> 2021 – </w:t>
      </w:r>
      <w:r w:rsidRPr="002B28C3">
        <w:rPr>
          <w:rFonts w:asciiTheme="majorBidi" w:eastAsia="Calibri" w:hAnsiTheme="majorBidi" w:cstheme="majorBidi"/>
        </w:rPr>
        <w:t>request for any data relating to observational studies they may have access to IPD for</w:t>
      </w:r>
    </w:p>
    <w:p w14:paraId="0857F595" w14:textId="2CD122B6" w:rsidR="009F01D8" w:rsidRPr="002B28C3" w:rsidRDefault="009F01D8" w:rsidP="005A3BE6">
      <w:pPr>
        <w:pStyle w:val="ListParagraph"/>
        <w:numPr>
          <w:ilvl w:val="0"/>
          <w:numId w:val="78"/>
        </w:numPr>
        <w:spacing w:after="120" w:line="276" w:lineRule="auto"/>
        <w:jc w:val="both"/>
        <w:rPr>
          <w:rFonts w:asciiTheme="majorBidi" w:hAnsiTheme="majorBidi" w:cstheme="majorBidi"/>
        </w:rPr>
      </w:pPr>
      <w:r w:rsidRPr="002B28C3">
        <w:rPr>
          <w:rFonts w:asciiTheme="majorBidi" w:hAnsiTheme="majorBidi" w:cstheme="majorBidi"/>
          <w:b/>
          <w:bCs/>
        </w:rPr>
        <w:t>Submitted to NICE for the attention of Pfizer on 18</w:t>
      </w:r>
      <w:r w:rsidRPr="002B28C3">
        <w:rPr>
          <w:rFonts w:asciiTheme="majorBidi" w:hAnsiTheme="majorBidi" w:cstheme="majorBidi"/>
          <w:b/>
          <w:bCs/>
          <w:vertAlign w:val="superscript"/>
        </w:rPr>
        <w:t>th</w:t>
      </w:r>
      <w:r w:rsidRPr="002B28C3">
        <w:rPr>
          <w:rFonts w:asciiTheme="majorBidi" w:hAnsiTheme="majorBidi" w:cstheme="majorBidi"/>
          <w:b/>
          <w:bCs/>
        </w:rPr>
        <w:t xml:space="preserve"> June 2021</w:t>
      </w:r>
      <w:r w:rsidRPr="002B28C3">
        <w:rPr>
          <w:rFonts w:asciiTheme="majorBidi" w:hAnsiTheme="majorBidi" w:cstheme="majorBidi"/>
        </w:rPr>
        <w:t xml:space="preserve"> – Any </w:t>
      </w:r>
      <w:r w:rsidR="00FE2007">
        <w:rPr>
          <w:rFonts w:asciiTheme="majorBidi" w:hAnsiTheme="majorBidi" w:cstheme="majorBidi"/>
        </w:rPr>
        <w:t xml:space="preserve">OXA-48 </w:t>
      </w:r>
      <w:proofErr w:type="spellStart"/>
      <w:r w:rsidR="003327AC" w:rsidRPr="003327AC">
        <w:rPr>
          <w:rFonts w:asciiTheme="majorBidi" w:hAnsiTheme="majorBidi" w:cstheme="majorBidi"/>
          <w:i/>
          <w:iCs/>
        </w:rPr>
        <w:t>Enterobacterales</w:t>
      </w:r>
      <w:proofErr w:type="spellEnd"/>
      <w:r w:rsidRPr="002B28C3">
        <w:rPr>
          <w:rFonts w:asciiTheme="majorBidi" w:hAnsiTheme="majorBidi" w:cstheme="majorBidi"/>
        </w:rPr>
        <w:t xml:space="preserve"> susceptibility data they had access to,</w:t>
      </w:r>
      <w:r w:rsidRPr="002B28C3">
        <w:rPr>
          <w:rFonts w:asciiTheme="majorBidi" w:eastAsia="Calibri" w:hAnsiTheme="majorBidi" w:cstheme="majorBidi"/>
        </w:rPr>
        <w:t xml:space="preserve"> for CAZ-AVI and the HVCS comparators.</w:t>
      </w:r>
      <w:r w:rsidRPr="002B28C3">
        <w:rPr>
          <w:rFonts w:asciiTheme="majorBidi" w:eastAsia="Calibri" w:hAnsiTheme="majorBidi" w:cstheme="majorBidi"/>
          <w:color w:val="A6A6A6" w:themeColor="background1" w:themeShade="A6"/>
        </w:rPr>
        <w:t xml:space="preserve"> </w:t>
      </w:r>
    </w:p>
    <w:p w14:paraId="701A6806" w14:textId="3C1C8873" w:rsidR="009F01D8" w:rsidRPr="00D31AF7" w:rsidRDefault="009F01D8" w:rsidP="005A3BE6">
      <w:pPr>
        <w:pStyle w:val="ListParagraph"/>
        <w:numPr>
          <w:ilvl w:val="0"/>
          <w:numId w:val="78"/>
        </w:numPr>
        <w:rPr>
          <w:rFonts w:asciiTheme="majorBidi" w:hAnsiTheme="majorBidi" w:cstheme="majorBidi"/>
          <w:b/>
          <w:bCs/>
        </w:rPr>
      </w:pPr>
      <w:r w:rsidRPr="00D31AF7">
        <w:rPr>
          <w:rFonts w:asciiTheme="majorBidi" w:hAnsiTheme="majorBidi" w:cstheme="majorBidi"/>
          <w:b/>
          <w:bCs/>
        </w:rPr>
        <w:t xml:space="preserve">Submitted to PHE on </w:t>
      </w:r>
      <w:r w:rsidR="00D31AF7" w:rsidRPr="00D31AF7">
        <w:rPr>
          <w:rFonts w:asciiTheme="majorBidi" w:hAnsiTheme="majorBidi" w:cstheme="majorBidi"/>
          <w:b/>
          <w:bCs/>
        </w:rPr>
        <w:t>15th June 2021</w:t>
      </w:r>
      <w:r w:rsidR="00D31AF7" w:rsidRPr="00D31AF7">
        <w:rPr>
          <w:rFonts w:asciiTheme="majorBidi" w:hAnsiTheme="majorBidi" w:cstheme="majorBidi"/>
        </w:rPr>
        <w:t xml:space="preserve"> (updated version of request originally made 7th May 2021)</w:t>
      </w:r>
      <w:r w:rsidR="00D31AF7">
        <w:rPr>
          <w:rFonts w:asciiTheme="majorBidi" w:hAnsiTheme="majorBidi" w:cstheme="majorBidi"/>
        </w:rPr>
        <w:t xml:space="preserve"> for evidence on susceptibility and numbers in the HVCS</w:t>
      </w:r>
      <w:r w:rsidR="00D31AF7" w:rsidRPr="00D31AF7">
        <w:rPr>
          <w:rFonts w:asciiTheme="majorBidi" w:hAnsiTheme="majorBidi" w:cstheme="majorBidi"/>
        </w:rPr>
        <w:t>.</w:t>
      </w:r>
    </w:p>
    <w:p w14:paraId="4015A085" w14:textId="77777777" w:rsidR="009F01D8" w:rsidRPr="0052757E" w:rsidRDefault="009F01D8" w:rsidP="009F01D8">
      <w:pPr>
        <w:spacing w:after="0" w:line="240" w:lineRule="auto"/>
        <w:jc w:val="both"/>
        <w:rPr>
          <w:rFonts w:asciiTheme="majorBidi" w:eastAsia="Times New Roman" w:hAnsiTheme="majorBidi" w:cstheme="majorBidi"/>
          <w:i/>
          <w:iCs/>
        </w:rPr>
      </w:pPr>
    </w:p>
    <w:p w14:paraId="18BBEF5A" w14:textId="268D0844" w:rsidR="009F01D8" w:rsidRPr="002E4F02" w:rsidRDefault="002E4F02" w:rsidP="002B28C3">
      <w:pPr>
        <w:pStyle w:val="Heading3"/>
        <w:rPr>
          <w:rFonts w:asciiTheme="majorBidi" w:hAnsiTheme="majorBidi"/>
          <w:sz w:val="26"/>
          <w:szCs w:val="26"/>
        </w:rPr>
      </w:pPr>
      <w:r>
        <w:rPr>
          <w:rFonts w:asciiTheme="majorBidi" w:hAnsiTheme="majorBidi"/>
          <w:sz w:val="26"/>
          <w:szCs w:val="26"/>
        </w:rPr>
        <w:tab/>
      </w:r>
      <w:bookmarkStart w:id="610" w:name="_Toc87463078"/>
      <w:r w:rsidR="009F01D8" w:rsidRPr="002E4F02">
        <w:rPr>
          <w:rFonts w:asciiTheme="majorBidi" w:hAnsiTheme="majorBidi"/>
          <w:sz w:val="26"/>
          <w:szCs w:val="26"/>
        </w:rPr>
        <w:t xml:space="preserve">A2.1 Submitted to NICE for the attention of Pfizer on 21st May 2021 – </w:t>
      </w:r>
      <w:r>
        <w:rPr>
          <w:rFonts w:asciiTheme="majorBidi" w:hAnsiTheme="majorBidi"/>
          <w:sz w:val="26"/>
          <w:szCs w:val="26"/>
        </w:rPr>
        <w:tab/>
      </w:r>
      <w:r w:rsidR="009F01D8" w:rsidRPr="002E4F02">
        <w:rPr>
          <w:rFonts w:asciiTheme="majorBidi" w:hAnsiTheme="majorBidi"/>
          <w:sz w:val="26"/>
          <w:szCs w:val="26"/>
        </w:rPr>
        <w:t xml:space="preserve">request for any data relating to observational studies they may have access </w:t>
      </w:r>
      <w:r>
        <w:rPr>
          <w:rFonts w:asciiTheme="majorBidi" w:hAnsiTheme="majorBidi"/>
          <w:sz w:val="26"/>
          <w:szCs w:val="26"/>
        </w:rPr>
        <w:tab/>
      </w:r>
      <w:r w:rsidR="009F01D8" w:rsidRPr="002E4F02">
        <w:rPr>
          <w:rFonts w:asciiTheme="majorBidi" w:hAnsiTheme="majorBidi"/>
          <w:sz w:val="26"/>
          <w:szCs w:val="26"/>
        </w:rPr>
        <w:t>to IPD for</w:t>
      </w:r>
      <w:bookmarkEnd w:id="610"/>
    </w:p>
    <w:p w14:paraId="7CDA0BC9" w14:textId="77777777" w:rsidR="009F01D8" w:rsidRPr="0052757E" w:rsidRDefault="009F01D8" w:rsidP="009F01D8">
      <w:pPr>
        <w:spacing w:after="0" w:line="240" w:lineRule="auto"/>
        <w:jc w:val="both"/>
        <w:rPr>
          <w:rFonts w:asciiTheme="majorBidi" w:eastAsia="Times New Roman" w:hAnsiTheme="majorBidi" w:cstheme="majorBidi"/>
          <w:i/>
          <w:iCs/>
        </w:rPr>
      </w:pPr>
    </w:p>
    <w:p w14:paraId="540311C8" w14:textId="77777777" w:rsidR="009F01D8" w:rsidRPr="00CC6E24" w:rsidRDefault="009F01D8" w:rsidP="009F01D8">
      <w:pPr>
        <w:jc w:val="both"/>
        <w:rPr>
          <w:rFonts w:asciiTheme="majorBidi" w:hAnsiTheme="majorBidi" w:cstheme="majorBidi"/>
          <w:b/>
          <w:bCs/>
        </w:rPr>
      </w:pPr>
      <w:r w:rsidRPr="00CC6E24">
        <w:rPr>
          <w:rFonts w:asciiTheme="majorBidi" w:hAnsiTheme="majorBidi" w:cstheme="majorBidi"/>
          <w:b/>
          <w:bCs/>
        </w:rPr>
        <w:t>EEPRU</w:t>
      </w:r>
      <w:r>
        <w:rPr>
          <w:rFonts w:asciiTheme="majorBidi" w:hAnsiTheme="majorBidi" w:cstheme="majorBidi"/>
          <w:b/>
          <w:bCs/>
        </w:rPr>
        <w:t>’</w:t>
      </w:r>
      <w:r w:rsidRPr="00CC6E24">
        <w:rPr>
          <w:rFonts w:asciiTheme="majorBidi" w:hAnsiTheme="majorBidi" w:cstheme="majorBidi"/>
          <w:b/>
          <w:bCs/>
        </w:rPr>
        <w:t>s data request</w:t>
      </w:r>
      <w:r>
        <w:rPr>
          <w:rFonts w:asciiTheme="majorBidi" w:hAnsiTheme="majorBidi" w:cstheme="majorBidi"/>
          <w:b/>
          <w:bCs/>
        </w:rPr>
        <w:t>:</w:t>
      </w:r>
    </w:p>
    <w:p w14:paraId="14CE17ED" w14:textId="77777777" w:rsidR="009F01D8" w:rsidRPr="00041B6C" w:rsidRDefault="009F01D8" w:rsidP="002B28C3">
      <w:pPr>
        <w:spacing w:after="0" w:line="360" w:lineRule="auto"/>
        <w:jc w:val="both"/>
        <w:rPr>
          <w:rFonts w:asciiTheme="majorBidi" w:eastAsia="Times New Roman" w:hAnsiTheme="majorBidi" w:cstheme="majorBidi"/>
        </w:rPr>
      </w:pPr>
      <w:r>
        <w:rPr>
          <w:rFonts w:asciiTheme="majorBidi" w:eastAsia="Times New Roman" w:hAnsiTheme="majorBidi" w:cstheme="majorBidi"/>
          <w:i/>
          <w:iCs/>
        </w:rPr>
        <w:t>“</w:t>
      </w:r>
      <w:r w:rsidRPr="00697150">
        <w:rPr>
          <w:rFonts w:asciiTheme="majorBidi" w:eastAsia="Times New Roman" w:hAnsiTheme="majorBidi" w:cstheme="majorBidi"/>
        </w:rPr>
        <w:t xml:space="preserve">Our systematic review work has identified </w:t>
      </w:r>
      <w:proofErr w:type="gramStart"/>
      <w:r w:rsidRPr="00697150">
        <w:rPr>
          <w:rFonts w:asciiTheme="majorBidi" w:eastAsia="Times New Roman" w:hAnsiTheme="majorBidi" w:cstheme="majorBidi"/>
        </w:rPr>
        <w:t>a number of</w:t>
      </w:r>
      <w:proofErr w:type="gramEnd"/>
      <w:r w:rsidRPr="00697150">
        <w:rPr>
          <w:rFonts w:asciiTheme="majorBidi" w:eastAsia="Times New Roman" w:hAnsiTheme="majorBidi" w:cstheme="majorBidi"/>
        </w:rPr>
        <w:t xml:space="preserve"> small observational studies relating to the use of CAZ-AVI in patients with OXA-48, see related publications below. </w:t>
      </w:r>
      <w:proofErr w:type="gramStart"/>
      <w:r w:rsidRPr="00697150">
        <w:rPr>
          <w:rFonts w:asciiTheme="majorBidi" w:eastAsia="Times New Roman" w:hAnsiTheme="majorBidi" w:cstheme="majorBidi"/>
        </w:rPr>
        <w:t>In order to</w:t>
      </w:r>
      <w:proofErr w:type="gramEnd"/>
      <w:r w:rsidRPr="00697150">
        <w:rPr>
          <w:rFonts w:asciiTheme="majorBidi" w:eastAsia="Times New Roman" w:hAnsiTheme="majorBidi" w:cstheme="majorBidi"/>
        </w:rPr>
        <w:t xml:space="preserve"> help plan our work we were wondering whether Pfizer has access to the individual patient data for these studies or others containing OXA-48 patients and has (or is planning to), conduct any form of adjusted comparison of these data with comparator data. Given our time constraints, there would be no prospect of EEPRU agreeing and implementing data access with the lead investigators for all these studies and undertaking relevant analyses for our final reports.  Therefore, any access to data or the results of analyses planned or undertaken by Pfizer would be potentially valuable.”</w:t>
      </w:r>
    </w:p>
    <w:p w14:paraId="417892A6" w14:textId="77777777" w:rsidR="009F01D8" w:rsidRPr="0052757E" w:rsidRDefault="009F01D8" w:rsidP="002B28C3">
      <w:pPr>
        <w:spacing w:after="0" w:line="360" w:lineRule="auto"/>
        <w:jc w:val="both"/>
        <w:rPr>
          <w:rFonts w:asciiTheme="majorBidi" w:eastAsia="Times New Roman" w:hAnsiTheme="majorBidi" w:cstheme="majorBidi"/>
        </w:rPr>
      </w:pPr>
      <w:r w:rsidRPr="0052757E">
        <w:rPr>
          <w:rFonts w:asciiTheme="majorBidi" w:eastAsia="Times New Roman" w:hAnsiTheme="majorBidi" w:cstheme="majorBidi"/>
        </w:rPr>
        <w:t> </w:t>
      </w:r>
    </w:p>
    <w:p w14:paraId="499EC2F2" w14:textId="77777777" w:rsidR="009F01D8" w:rsidRPr="0052757E" w:rsidRDefault="009F01D8" w:rsidP="009F01D8">
      <w:pPr>
        <w:spacing w:after="0" w:line="240" w:lineRule="auto"/>
        <w:jc w:val="both"/>
        <w:rPr>
          <w:rFonts w:asciiTheme="majorBidi" w:eastAsia="Times New Roman" w:hAnsiTheme="majorBidi" w:cstheme="majorBidi"/>
        </w:rPr>
      </w:pPr>
      <w:r w:rsidRPr="00454CF5">
        <w:rPr>
          <w:rFonts w:asciiTheme="majorBidi" w:eastAsia="Times New Roman" w:hAnsiTheme="majorBidi" w:cstheme="majorBidi"/>
          <w:lang w:val="fr-FR"/>
        </w:rPr>
        <w:t xml:space="preserve">De la Calle, Cristina, et al. </w:t>
      </w:r>
      <w:r w:rsidRPr="0052757E">
        <w:rPr>
          <w:rFonts w:asciiTheme="majorBidi" w:eastAsia="Times New Roman" w:hAnsiTheme="majorBidi" w:cstheme="majorBidi"/>
        </w:rPr>
        <w:t xml:space="preserve">"Clinical characteristics and prognosis of infections caused by OXA-48 </w:t>
      </w:r>
      <w:proofErr w:type="spellStart"/>
      <w:r w:rsidRPr="0052757E">
        <w:rPr>
          <w:rFonts w:asciiTheme="majorBidi" w:eastAsia="Times New Roman" w:hAnsiTheme="majorBidi" w:cstheme="majorBidi"/>
        </w:rPr>
        <w:t>carbapenemase</w:t>
      </w:r>
      <w:proofErr w:type="spellEnd"/>
      <w:r w:rsidRPr="0052757E">
        <w:rPr>
          <w:rFonts w:asciiTheme="majorBidi" w:eastAsia="Times New Roman" w:hAnsiTheme="majorBidi" w:cstheme="majorBidi"/>
        </w:rPr>
        <w:t>-producing Enterobacteriaceae in patients treated with ceftazidime-avibactam." </w:t>
      </w:r>
      <w:r w:rsidRPr="0052757E">
        <w:rPr>
          <w:rFonts w:asciiTheme="majorBidi" w:eastAsia="Times New Roman" w:hAnsiTheme="majorBidi" w:cstheme="majorBidi"/>
          <w:i/>
          <w:iCs/>
        </w:rPr>
        <w:t>International journal of antimicrobial agents</w:t>
      </w:r>
      <w:r w:rsidRPr="0052757E">
        <w:rPr>
          <w:rFonts w:asciiTheme="majorBidi" w:eastAsia="Times New Roman" w:hAnsiTheme="majorBidi" w:cstheme="majorBidi"/>
        </w:rPr>
        <w:t> 53.4 (2019): 520-524.</w:t>
      </w:r>
    </w:p>
    <w:p w14:paraId="6AA9932E"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 </w:t>
      </w:r>
    </w:p>
    <w:p w14:paraId="068040AE"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 xml:space="preserve">Sousa, Adrian, et al. "Effectiveness of ceftazidime/avibactam as salvage therapy for treatment of infections due to OXA-48 </w:t>
      </w:r>
      <w:proofErr w:type="spellStart"/>
      <w:r w:rsidRPr="0052757E">
        <w:rPr>
          <w:rFonts w:asciiTheme="majorBidi" w:eastAsia="Times New Roman" w:hAnsiTheme="majorBidi" w:cstheme="majorBidi"/>
        </w:rPr>
        <w:t>carbapenemase</w:t>
      </w:r>
      <w:proofErr w:type="spellEnd"/>
      <w:r w:rsidRPr="0052757E">
        <w:rPr>
          <w:rFonts w:asciiTheme="majorBidi" w:eastAsia="Times New Roman" w:hAnsiTheme="majorBidi" w:cstheme="majorBidi"/>
        </w:rPr>
        <w:t>-producing Enterobacteriaceae." </w:t>
      </w:r>
      <w:r w:rsidRPr="0052757E">
        <w:rPr>
          <w:rFonts w:asciiTheme="majorBidi" w:eastAsia="Times New Roman" w:hAnsiTheme="majorBidi" w:cstheme="majorBidi"/>
          <w:i/>
          <w:iCs/>
        </w:rPr>
        <w:t>Journal of Antimicrobial Chemotherapy</w:t>
      </w:r>
      <w:r w:rsidRPr="0052757E">
        <w:rPr>
          <w:rFonts w:asciiTheme="majorBidi" w:eastAsia="Times New Roman" w:hAnsiTheme="majorBidi" w:cstheme="majorBidi"/>
        </w:rPr>
        <w:t> 73.11 (2018): 3170-3175.</w:t>
      </w:r>
    </w:p>
    <w:p w14:paraId="013DF515"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 </w:t>
      </w:r>
    </w:p>
    <w:p w14:paraId="40EFDE00"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Temkin, Elizabeth, et al. "Ceftazidime-avibactam as salvage therapy for infections caused by carbapenem-resistant organisms." </w:t>
      </w:r>
      <w:r w:rsidRPr="0052757E">
        <w:rPr>
          <w:rFonts w:asciiTheme="majorBidi" w:eastAsia="Times New Roman" w:hAnsiTheme="majorBidi" w:cstheme="majorBidi"/>
          <w:i/>
          <w:iCs/>
        </w:rPr>
        <w:t>Antimicrobial agents and chemotherapy</w:t>
      </w:r>
      <w:r w:rsidRPr="0052757E">
        <w:rPr>
          <w:rFonts w:asciiTheme="majorBidi" w:eastAsia="Times New Roman" w:hAnsiTheme="majorBidi" w:cstheme="majorBidi"/>
        </w:rPr>
        <w:t> 61.2 (2017).</w:t>
      </w:r>
    </w:p>
    <w:p w14:paraId="4D2488C2"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 </w:t>
      </w:r>
    </w:p>
    <w:p w14:paraId="0D9F48DB" w14:textId="77777777" w:rsidR="009F01D8" w:rsidRPr="0052757E" w:rsidRDefault="009F01D8" w:rsidP="009F01D8">
      <w:pPr>
        <w:spacing w:after="0" w:line="240" w:lineRule="auto"/>
        <w:jc w:val="both"/>
        <w:rPr>
          <w:rFonts w:asciiTheme="majorBidi" w:eastAsia="Times New Roman" w:hAnsiTheme="majorBidi" w:cstheme="majorBidi"/>
        </w:rPr>
      </w:pPr>
      <w:proofErr w:type="spellStart"/>
      <w:r w:rsidRPr="00195A57">
        <w:rPr>
          <w:rFonts w:asciiTheme="majorBidi" w:eastAsia="Times New Roman" w:hAnsiTheme="majorBidi" w:cstheme="majorBidi"/>
        </w:rPr>
        <w:t>Alraddadi</w:t>
      </w:r>
      <w:proofErr w:type="spellEnd"/>
      <w:r w:rsidRPr="00195A57">
        <w:rPr>
          <w:rFonts w:asciiTheme="majorBidi" w:eastAsia="Times New Roman" w:hAnsiTheme="majorBidi" w:cstheme="majorBidi"/>
        </w:rPr>
        <w:t xml:space="preserve">, </w:t>
      </w:r>
      <w:proofErr w:type="spellStart"/>
      <w:r w:rsidRPr="00195A57">
        <w:rPr>
          <w:rFonts w:asciiTheme="majorBidi" w:eastAsia="Times New Roman" w:hAnsiTheme="majorBidi" w:cstheme="majorBidi"/>
        </w:rPr>
        <w:t>Basem</w:t>
      </w:r>
      <w:proofErr w:type="spellEnd"/>
      <w:r w:rsidRPr="00195A57">
        <w:rPr>
          <w:rFonts w:asciiTheme="majorBidi" w:eastAsia="Times New Roman" w:hAnsiTheme="majorBidi" w:cstheme="majorBidi"/>
        </w:rPr>
        <w:t xml:space="preserve"> M., et al. </w:t>
      </w:r>
      <w:r w:rsidRPr="0052757E">
        <w:rPr>
          <w:rFonts w:asciiTheme="majorBidi" w:eastAsia="Times New Roman" w:hAnsiTheme="majorBidi" w:cstheme="majorBidi"/>
        </w:rPr>
        <w:t>"Efficacy of ceftazidime-avibactam in the treatment of infections due to Carbapenem-resistant Enterobacteriaceae." </w:t>
      </w:r>
      <w:r w:rsidRPr="0052757E">
        <w:rPr>
          <w:rFonts w:asciiTheme="majorBidi" w:eastAsia="Times New Roman" w:hAnsiTheme="majorBidi" w:cstheme="majorBidi"/>
          <w:i/>
          <w:iCs/>
        </w:rPr>
        <w:t>BMC infectious diseases</w:t>
      </w:r>
      <w:r w:rsidRPr="0052757E">
        <w:rPr>
          <w:rFonts w:asciiTheme="majorBidi" w:eastAsia="Times New Roman" w:hAnsiTheme="majorBidi" w:cstheme="majorBidi"/>
        </w:rPr>
        <w:t> 19.1 (2019): 1-6.</w:t>
      </w:r>
    </w:p>
    <w:p w14:paraId="32BAACE3"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 </w:t>
      </w:r>
    </w:p>
    <w:p w14:paraId="3E874433" w14:textId="77777777" w:rsidR="009F01D8" w:rsidRPr="0052757E" w:rsidRDefault="009F01D8" w:rsidP="009F01D8">
      <w:pPr>
        <w:spacing w:after="0" w:line="240" w:lineRule="auto"/>
        <w:jc w:val="both"/>
        <w:rPr>
          <w:rFonts w:asciiTheme="majorBidi" w:eastAsia="Times New Roman" w:hAnsiTheme="majorBidi" w:cstheme="majorBidi"/>
        </w:rPr>
      </w:pPr>
      <w:proofErr w:type="spellStart"/>
      <w:r w:rsidRPr="004B666A">
        <w:rPr>
          <w:rFonts w:asciiTheme="majorBidi" w:eastAsia="Times New Roman" w:hAnsiTheme="majorBidi" w:cstheme="majorBidi"/>
        </w:rPr>
        <w:t>Castón</w:t>
      </w:r>
      <w:proofErr w:type="spellEnd"/>
      <w:r w:rsidRPr="004B666A">
        <w:rPr>
          <w:rFonts w:asciiTheme="majorBidi" w:eastAsia="Times New Roman" w:hAnsiTheme="majorBidi" w:cstheme="majorBidi"/>
        </w:rPr>
        <w:t xml:space="preserve">, Juan J., et al. "Clinical efficacy of ceftazidime/avibactam versus other active agents for the treatment of </w:t>
      </w:r>
      <w:proofErr w:type="spellStart"/>
      <w:r w:rsidRPr="004B666A">
        <w:rPr>
          <w:rFonts w:asciiTheme="majorBidi" w:eastAsia="Times New Roman" w:hAnsiTheme="majorBidi" w:cstheme="majorBidi"/>
        </w:rPr>
        <w:t>bacteremia</w:t>
      </w:r>
      <w:proofErr w:type="spellEnd"/>
      <w:r w:rsidRPr="004B666A">
        <w:rPr>
          <w:rFonts w:asciiTheme="majorBidi" w:eastAsia="Times New Roman" w:hAnsiTheme="majorBidi" w:cstheme="majorBidi"/>
        </w:rPr>
        <w:t xml:space="preserve"> due to </w:t>
      </w:r>
      <w:proofErr w:type="spellStart"/>
      <w:r w:rsidRPr="004B666A">
        <w:rPr>
          <w:rFonts w:asciiTheme="majorBidi" w:eastAsia="Times New Roman" w:hAnsiTheme="majorBidi" w:cstheme="majorBidi"/>
        </w:rPr>
        <w:t>carbapenemase</w:t>
      </w:r>
      <w:proofErr w:type="spellEnd"/>
      <w:r w:rsidRPr="004B666A">
        <w:rPr>
          <w:rFonts w:asciiTheme="majorBidi" w:eastAsia="Times New Roman" w:hAnsiTheme="majorBidi" w:cstheme="majorBidi"/>
        </w:rPr>
        <w:t>-producing Enterobacteriaceae in hematologic patients." </w:t>
      </w:r>
      <w:r w:rsidRPr="0052757E">
        <w:rPr>
          <w:rFonts w:asciiTheme="majorBidi" w:eastAsia="Times New Roman" w:hAnsiTheme="majorBidi" w:cstheme="majorBidi"/>
          <w:i/>
          <w:iCs/>
        </w:rPr>
        <w:t>International Journal of Infectious Diseases</w:t>
      </w:r>
      <w:r w:rsidRPr="0052757E">
        <w:rPr>
          <w:rFonts w:asciiTheme="majorBidi" w:eastAsia="Times New Roman" w:hAnsiTheme="majorBidi" w:cstheme="majorBidi"/>
        </w:rPr>
        <w:t> 59 (2017): 118-123.</w:t>
      </w:r>
    </w:p>
    <w:p w14:paraId="66503A28"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lastRenderedPageBreak/>
        <w:t> </w:t>
      </w:r>
    </w:p>
    <w:p w14:paraId="2ED4045F" w14:textId="77777777" w:rsidR="009F01D8" w:rsidRPr="0052757E" w:rsidRDefault="009F01D8" w:rsidP="009F01D8">
      <w:pPr>
        <w:spacing w:after="0" w:line="240" w:lineRule="auto"/>
        <w:jc w:val="both"/>
        <w:rPr>
          <w:rFonts w:asciiTheme="majorBidi" w:eastAsia="Times New Roman" w:hAnsiTheme="majorBidi" w:cstheme="majorBidi"/>
        </w:rPr>
      </w:pPr>
      <w:r w:rsidRPr="0052757E">
        <w:rPr>
          <w:rFonts w:asciiTheme="majorBidi" w:eastAsia="Times New Roman" w:hAnsiTheme="majorBidi" w:cstheme="majorBidi"/>
        </w:rPr>
        <w:t>Lim, F. H., et al. "An outbreak of two strains of OXA-48 producing Klebsiella pneumoniae in a teaching hospital." </w:t>
      </w:r>
      <w:r w:rsidRPr="0052757E">
        <w:rPr>
          <w:rFonts w:asciiTheme="majorBidi" w:eastAsia="Times New Roman" w:hAnsiTheme="majorBidi" w:cstheme="majorBidi"/>
          <w:i/>
          <w:iCs/>
        </w:rPr>
        <w:t>Infection Prevention in Practice</w:t>
      </w:r>
      <w:r w:rsidRPr="0052757E">
        <w:rPr>
          <w:rFonts w:asciiTheme="majorBidi" w:eastAsia="Times New Roman" w:hAnsiTheme="majorBidi" w:cstheme="majorBidi"/>
        </w:rPr>
        <w:t> 2.3 (2020): 100033.</w:t>
      </w:r>
    </w:p>
    <w:p w14:paraId="16B8834F" w14:textId="77777777" w:rsidR="009F01D8" w:rsidRPr="0052757E" w:rsidRDefault="009F01D8" w:rsidP="009F01D8">
      <w:pPr>
        <w:jc w:val="both"/>
        <w:rPr>
          <w:rFonts w:asciiTheme="majorBidi" w:hAnsiTheme="majorBidi" w:cstheme="majorBidi"/>
        </w:rPr>
      </w:pPr>
    </w:p>
    <w:p w14:paraId="6828BDD0" w14:textId="77777777" w:rsidR="009F01D8" w:rsidRPr="0052757E" w:rsidRDefault="009F01D8" w:rsidP="009F01D8">
      <w:pPr>
        <w:jc w:val="both"/>
        <w:rPr>
          <w:rFonts w:asciiTheme="majorBidi" w:hAnsiTheme="majorBidi" w:cstheme="majorBidi"/>
          <w:b/>
          <w:bCs/>
        </w:rPr>
      </w:pPr>
      <w:r w:rsidRPr="0052757E">
        <w:rPr>
          <w:rFonts w:asciiTheme="majorBidi" w:hAnsiTheme="majorBidi" w:cstheme="majorBidi"/>
          <w:b/>
          <w:bCs/>
        </w:rPr>
        <w:t>Response from Pfizer received 21</w:t>
      </w:r>
      <w:r w:rsidRPr="0052757E">
        <w:rPr>
          <w:rFonts w:asciiTheme="majorBidi" w:hAnsiTheme="majorBidi" w:cstheme="majorBidi"/>
          <w:b/>
          <w:bCs/>
          <w:vertAlign w:val="superscript"/>
        </w:rPr>
        <w:t>st</w:t>
      </w:r>
      <w:r w:rsidRPr="0052757E">
        <w:rPr>
          <w:rFonts w:asciiTheme="majorBidi" w:hAnsiTheme="majorBidi" w:cstheme="majorBidi"/>
          <w:b/>
          <w:bCs/>
        </w:rPr>
        <w:t xml:space="preserve"> June:</w:t>
      </w:r>
    </w:p>
    <w:p w14:paraId="7E06CC4B" w14:textId="39582A8F" w:rsidR="009F01D8" w:rsidRPr="0052757E" w:rsidRDefault="00454CF5" w:rsidP="002B28C3">
      <w:pPr>
        <w:spacing w:line="360" w:lineRule="auto"/>
        <w:jc w:val="both"/>
        <w:rPr>
          <w:rFonts w:asciiTheme="majorBidi" w:hAnsiTheme="majorBidi" w:cstheme="majorBidi"/>
        </w:rPr>
      </w:pPr>
      <w:r>
        <w:rPr>
          <w:rFonts w:asciiTheme="majorBidi" w:hAnsiTheme="majorBidi" w:cstheme="majorBidi"/>
        </w:rPr>
        <w:t>The listed research studies were all independent and Pfi</w:t>
      </w:r>
      <w:r w:rsidR="000523D7">
        <w:rPr>
          <w:rFonts w:asciiTheme="majorBidi" w:hAnsiTheme="majorBidi" w:cstheme="majorBidi"/>
        </w:rPr>
        <w:t>z</w:t>
      </w:r>
      <w:r>
        <w:rPr>
          <w:rFonts w:asciiTheme="majorBidi" w:hAnsiTheme="majorBidi" w:cstheme="majorBidi"/>
        </w:rPr>
        <w:t>er was not able to provide individual patient data.</w:t>
      </w:r>
    </w:p>
    <w:p w14:paraId="65D8637D" w14:textId="77777777" w:rsidR="009F01D8" w:rsidRPr="0052757E" w:rsidRDefault="009F01D8" w:rsidP="009F01D8">
      <w:pPr>
        <w:jc w:val="both"/>
        <w:rPr>
          <w:rFonts w:asciiTheme="majorBidi" w:hAnsiTheme="majorBidi" w:cstheme="majorBidi"/>
        </w:rPr>
      </w:pPr>
    </w:p>
    <w:p w14:paraId="396D9132" w14:textId="02CA7F10" w:rsidR="009F01D8" w:rsidRPr="002E4F02" w:rsidRDefault="002E4F02" w:rsidP="002B28C3">
      <w:pPr>
        <w:pStyle w:val="Heading3"/>
        <w:rPr>
          <w:rFonts w:asciiTheme="majorBidi" w:hAnsiTheme="majorBidi"/>
          <w:sz w:val="26"/>
          <w:szCs w:val="26"/>
        </w:rPr>
      </w:pPr>
      <w:r>
        <w:rPr>
          <w:rFonts w:asciiTheme="majorBidi" w:hAnsiTheme="majorBidi"/>
          <w:sz w:val="26"/>
          <w:szCs w:val="26"/>
        </w:rPr>
        <w:tab/>
      </w:r>
      <w:bookmarkStart w:id="611" w:name="_Toc87463079"/>
      <w:r w:rsidR="009F01D8" w:rsidRPr="002E4F02">
        <w:rPr>
          <w:rFonts w:asciiTheme="majorBidi" w:hAnsiTheme="majorBidi"/>
          <w:sz w:val="26"/>
          <w:szCs w:val="26"/>
        </w:rPr>
        <w:t xml:space="preserve">A2.2 Submitted to NICE for the attention of Pfizer on 18th June 2021 – </w:t>
      </w:r>
      <w:r>
        <w:rPr>
          <w:rFonts w:asciiTheme="majorBidi" w:hAnsiTheme="majorBidi"/>
          <w:sz w:val="26"/>
          <w:szCs w:val="26"/>
        </w:rPr>
        <w:tab/>
      </w:r>
      <w:r w:rsidR="009F01D8" w:rsidRPr="002E4F02">
        <w:rPr>
          <w:rFonts w:asciiTheme="majorBidi" w:hAnsiTheme="majorBidi"/>
          <w:sz w:val="26"/>
          <w:szCs w:val="26"/>
        </w:rPr>
        <w:t xml:space="preserve">Any </w:t>
      </w:r>
      <w:r w:rsidR="00FE2007" w:rsidRPr="002E4F02">
        <w:rPr>
          <w:rFonts w:asciiTheme="majorBidi" w:hAnsiTheme="majorBidi"/>
          <w:sz w:val="26"/>
          <w:szCs w:val="26"/>
        </w:rPr>
        <w:t xml:space="preserve">OXA-48 </w:t>
      </w:r>
      <w:proofErr w:type="spellStart"/>
      <w:r w:rsidR="00FE2007" w:rsidRPr="002E4F02">
        <w:rPr>
          <w:rFonts w:asciiTheme="majorBidi" w:hAnsiTheme="majorBidi"/>
          <w:i/>
          <w:iCs/>
          <w:sz w:val="26"/>
          <w:szCs w:val="26"/>
        </w:rPr>
        <w:t>Enterobacterales</w:t>
      </w:r>
      <w:proofErr w:type="spellEnd"/>
      <w:r w:rsidR="009F01D8" w:rsidRPr="002E4F02">
        <w:rPr>
          <w:rFonts w:asciiTheme="majorBidi" w:hAnsiTheme="majorBidi"/>
          <w:sz w:val="26"/>
          <w:szCs w:val="26"/>
        </w:rPr>
        <w:t xml:space="preserve"> susceptibility data they had access to, for </w:t>
      </w:r>
      <w:r>
        <w:rPr>
          <w:rFonts w:asciiTheme="majorBidi" w:hAnsiTheme="majorBidi"/>
          <w:sz w:val="26"/>
          <w:szCs w:val="26"/>
        </w:rPr>
        <w:tab/>
      </w:r>
      <w:r w:rsidR="009F01D8" w:rsidRPr="002E4F02">
        <w:rPr>
          <w:rFonts w:asciiTheme="majorBidi" w:hAnsiTheme="majorBidi"/>
          <w:sz w:val="26"/>
          <w:szCs w:val="26"/>
        </w:rPr>
        <w:t>CAZ-AVI and the HVCS comparators</w:t>
      </w:r>
      <w:bookmarkEnd w:id="611"/>
      <w:r w:rsidR="009F01D8" w:rsidRPr="002E4F02">
        <w:rPr>
          <w:rFonts w:asciiTheme="majorBidi" w:hAnsiTheme="majorBidi"/>
          <w:sz w:val="26"/>
          <w:szCs w:val="26"/>
        </w:rPr>
        <w:t xml:space="preserve"> </w:t>
      </w:r>
    </w:p>
    <w:p w14:paraId="3B67FC63" w14:textId="77777777" w:rsidR="009F01D8" w:rsidRDefault="009F01D8" w:rsidP="009F01D8">
      <w:pPr>
        <w:pStyle w:val="ListParagraph"/>
        <w:ind w:left="1440"/>
        <w:jc w:val="both"/>
        <w:rPr>
          <w:b/>
          <w:bCs/>
        </w:rPr>
      </w:pPr>
    </w:p>
    <w:p w14:paraId="1F4A37E9" w14:textId="77777777" w:rsidR="009F01D8" w:rsidRPr="002B28C3" w:rsidRDefault="009F01D8" w:rsidP="005A3BE6">
      <w:pPr>
        <w:pStyle w:val="ListParagraph"/>
        <w:numPr>
          <w:ilvl w:val="0"/>
          <w:numId w:val="77"/>
        </w:numPr>
        <w:spacing w:after="120" w:line="276" w:lineRule="auto"/>
        <w:jc w:val="both"/>
        <w:rPr>
          <w:rFonts w:asciiTheme="majorBidi" w:hAnsiTheme="majorBidi" w:cstheme="majorBidi"/>
          <w:b/>
        </w:rPr>
      </w:pPr>
      <w:r w:rsidRPr="002B28C3">
        <w:rPr>
          <w:rFonts w:asciiTheme="majorBidi" w:hAnsiTheme="majorBidi" w:cstheme="majorBidi"/>
          <w:b/>
          <w:bCs/>
        </w:rPr>
        <w:t>EEPRU’s initial data request:</w:t>
      </w:r>
    </w:p>
    <w:p w14:paraId="7D4FA63B" w14:textId="6342749F" w:rsidR="009F01D8" w:rsidRPr="002B28C3" w:rsidRDefault="009F01D8" w:rsidP="009F01D8">
      <w:pPr>
        <w:jc w:val="both"/>
        <w:rPr>
          <w:rFonts w:asciiTheme="majorBidi" w:hAnsiTheme="majorBidi" w:cstheme="majorBidi"/>
        </w:rPr>
      </w:pPr>
      <w:r w:rsidRPr="002B28C3">
        <w:rPr>
          <w:rFonts w:asciiTheme="majorBidi" w:hAnsiTheme="majorBidi" w:cstheme="majorBidi"/>
        </w:rPr>
        <w:t xml:space="preserve">We are interested in how susceptibility to </w:t>
      </w:r>
      <w:proofErr w:type="spellStart"/>
      <w:r w:rsidRPr="002B28C3">
        <w:rPr>
          <w:rFonts w:asciiTheme="majorBidi" w:hAnsiTheme="majorBidi" w:cstheme="majorBidi"/>
        </w:rPr>
        <w:t>caz-avi</w:t>
      </w:r>
      <w:proofErr w:type="spellEnd"/>
      <w:r w:rsidRPr="002B28C3">
        <w:rPr>
          <w:rFonts w:asciiTheme="majorBidi" w:hAnsiTheme="majorBidi" w:cstheme="majorBidi"/>
        </w:rPr>
        <w:t xml:space="preserve"> varies according to an isolate’s susceptibility to other agents. We are requesting these data for any studies reporting susceptibility that you have access to which report OXA-48 and separately for OXA-48-like </w:t>
      </w:r>
      <w:proofErr w:type="spellStart"/>
      <w:r w:rsidR="00FE2007" w:rsidRPr="00FE2007">
        <w:rPr>
          <w:rFonts w:asciiTheme="majorBidi" w:hAnsiTheme="majorBidi" w:cstheme="majorBidi"/>
          <w:i/>
          <w:iCs/>
        </w:rPr>
        <w:t>Enterobacterales</w:t>
      </w:r>
      <w:proofErr w:type="spellEnd"/>
      <w:r w:rsidRPr="002B28C3">
        <w:rPr>
          <w:rFonts w:asciiTheme="majorBidi" w:hAnsiTheme="majorBidi" w:cstheme="majorBidi"/>
        </w:rPr>
        <w:t>.</w:t>
      </w:r>
    </w:p>
    <w:p w14:paraId="73A9154C" w14:textId="77777777" w:rsidR="009F01D8" w:rsidRPr="002B28C3" w:rsidRDefault="009F01D8" w:rsidP="009F01D8">
      <w:pPr>
        <w:jc w:val="both"/>
        <w:rPr>
          <w:rFonts w:asciiTheme="majorBidi" w:hAnsiTheme="majorBidi" w:cstheme="majorBidi"/>
        </w:rPr>
      </w:pPr>
      <w:r w:rsidRPr="002B28C3">
        <w:rPr>
          <w:rFonts w:asciiTheme="majorBidi" w:hAnsiTheme="majorBidi" w:cstheme="majorBidi"/>
        </w:rPr>
        <w:t>Please supply data for each study separately. Please use breakpoints contemporary to the time the isolate was collected/analysed if possible, or indicate what breakpoints were used in the analysis. Please indicate which published study each data set is derived from, or if unpublished please provide patient and study characteristics such as mean age, gender etc and selection criteria.</w:t>
      </w:r>
    </w:p>
    <w:p w14:paraId="38A30C28" w14:textId="77777777" w:rsidR="009F01D8" w:rsidRPr="002B28C3" w:rsidRDefault="009F01D8" w:rsidP="009F01D8">
      <w:pPr>
        <w:jc w:val="both"/>
        <w:rPr>
          <w:rFonts w:asciiTheme="majorBidi" w:hAnsiTheme="majorBidi" w:cstheme="majorBidi"/>
        </w:rPr>
      </w:pPr>
      <w:r w:rsidRPr="002B28C3">
        <w:rPr>
          <w:rFonts w:asciiTheme="majorBidi" w:hAnsiTheme="majorBidi" w:cstheme="majorBidi"/>
        </w:rPr>
        <w:t xml:space="preserve">We are interested in the following data: </w:t>
      </w:r>
    </w:p>
    <w:p w14:paraId="621624A2" w14:textId="77777777" w:rsidR="009F01D8" w:rsidRPr="002B28C3" w:rsidRDefault="009F01D8" w:rsidP="005A3BE6">
      <w:pPr>
        <w:numPr>
          <w:ilvl w:val="0"/>
          <w:numId w:val="63"/>
        </w:numPr>
        <w:spacing w:after="0" w:line="276" w:lineRule="auto"/>
        <w:jc w:val="both"/>
        <w:rPr>
          <w:rFonts w:asciiTheme="majorBidi" w:hAnsiTheme="majorBidi" w:cstheme="majorBidi"/>
        </w:rPr>
      </w:pPr>
      <w:r w:rsidRPr="002B28C3">
        <w:rPr>
          <w:rFonts w:asciiTheme="majorBidi" w:hAnsiTheme="majorBidi" w:cstheme="majorBidi"/>
        </w:rPr>
        <w:t xml:space="preserve">The proportion of isolates fully susceptible (intermediate resistance being counted as resistant) to </w:t>
      </w:r>
      <w:proofErr w:type="spellStart"/>
      <w:r w:rsidRPr="002B28C3">
        <w:rPr>
          <w:rFonts w:asciiTheme="majorBidi" w:hAnsiTheme="majorBidi" w:cstheme="majorBidi"/>
        </w:rPr>
        <w:t>caz-avi</w:t>
      </w:r>
      <w:proofErr w:type="spellEnd"/>
      <w:r w:rsidRPr="002B28C3">
        <w:rPr>
          <w:rFonts w:asciiTheme="majorBidi" w:hAnsiTheme="majorBidi" w:cstheme="majorBidi"/>
        </w:rPr>
        <w:t xml:space="preserve"> amongst those not susceptible to any other drug tested.</w:t>
      </w:r>
    </w:p>
    <w:p w14:paraId="06884D59" w14:textId="77777777" w:rsidR="009F01D8" w:rsidRPr="002B28C3" w:rsidRDefault="009F01D8" w:rsidP="005A3BE6">
      <w:pPr>
        <w:numPr>
          <w:ilvl w:val="0"/>
          <w:numId w:val="63"/>
        </w:numPr>
        <w:spacing w:after="0" w:line="276" w:lineRule="auto"/>
        <w:jc w:val="both"/>
        <w:rPr>
          <w:rFonts w:asciiTheme="majorBidi" w:hAnsiTheme="majorBidi" w:cstheme="majorBidi"/>
        </w:rPr>
      </w:pPr>
      <w:r w:rsidRPr="002B28C3">
        <w:rPr>
          <w:rFonts w:asciiTheme="majorBidi" w:hAnsiTheme="majorBidi" w:cstheme="majorBidi"/>
        </w:rPr>
        <w:t xml:space="preserve">The proportion of isolates fully susceptible to </w:t>
      </w:r>
      <w:proofErr w:type="spellStart"/>
      <w:r w:rsidRPr="002B28C3">
        <w:rPr>
          <w:rFonts w:asciiTheme="majorBidi" w:hAnsiTheme="majorBidi" w:cstheme="majorBidi"/>
        </w:rPr>
        <w:t>caz-avi</w:t>
      </w:r>
      <w:proofErr w:type="spellEnd"/>
      <w:r w:rsidRPr="002B28C3">
        <w:rPr>
          <w:rFonts w:asciiTheme="majorBidi" w:hAnsiTheme="majorBidi" w:cstheme="majorBidi"/>
        </w:rPr>
        <w:t xml:space="preserve"> amongst those only fully susceptible to colistin and/or an aminoglycoside and not to other drugs.</w:t>
      </w:r>
    </w:p>
    <w:p w14:paraId="360BF16D" w14:textId="77777777" w:rsidR="009F01D8" w:rsidRPr="002B28C3" w:rsidRDefault="009F01D8" w:rsidP="005A3BE6">
      <w:pPr>
        <w:numPr>
          <w:ilvl w:val="0"/>
          <w:numId w:val="63"/>
        </w:numPr>
        <w:spacing w:after="0" w:line="276" w:lineRule="auto"/>
        <w:jc w:val="both"/>
        <w:rPr>
          <w:rFonts w:asciiTheme="majorBidi" w:hAnsiTheme="majorBidi" w:cstheme="majorBidi"/>
        </w:rPr>
      </w:pPr>
      <w:r w:rsidRPr="002B28C3">
        <w:rPr>
          <w:rFonts w:asciiTheme="majorBidi" w:hAnsiTheme="majorBidi" w:cstheme="majorBidi"/>
        </w:rPr>
        <w:t xml:space="preserve">The proportion of isolates fully susceptible to </w:t>
      </w:r>
      <w:proofErr w:type="spellStart"/>
      <w:r w:rsidRPr="002B28C3">
        <w:rPr>
          <w:rFonts w:asciiTheme="majorBidi" w:hAnsiTheme="majorBidi" w:cstheme="majorBidi"/>
        </w:rPr>
        <w:t>caz-avi</w:t>
      </w:r>
      <w:proofErr w:type="spellEnd"/>
      <w:r w:rsidRPr="002B28C3">
        <w:rPr>
          <w:rFonts w:asciiTheme="majorBidi" w:hAnsiTheme="majorBidi" w:cstheme="majorBidi"/>
        </w:rPr>
        <w:t xml:space="preserve"> amongst those fully susceptible to at least one agent that is not colistin or aminoglycosides. </w:t>
      </w:r>
    </w:p>
    <w:p w14:paraId="0339AEE1" w14:textId="77096F2E" w:rsidR="009F01D8" w:rsidRDefault="009F01D8" w:rsidP="005A3BE6">
      <w:pPr>
        <w:numPr>
          <w:ilvl w:val="0"/>
          <w:numId w:val="63"/>
        </w:numPr>
        <w:spacing w:after="0" w:line="276" w:lineRule="auto"/>
        <w:jc w:val="both"/>
        <w:rPr>
          <w:rFonts w:asciiTheme="majorBidi" w:hAnsiTheme="majorBidi" w:cstheme="majorBidi"/>
        </w:rPr>
      </w:pPr>
      <w:r w:rsidRPr="002B28C3">
        <w:rPr>
          <w:rFonts w:asciiTheme="majorBidi" w:hAnsiTheme="majorBidi" w:cstheme="majorBidi"/>
        </w:rPr>
        <w:t xml:space="preserve">The table below indicates how the data might look for a given group e.g., OXA-48   </w:t>
      </w:r>
      <w:proofErr w:type="spellStart"/>
      <w:r w:rsidR="00FE2007" w:rsidRPr="00FE2007">
        <w:rPr>
          <w:rFonts w:asciiTheme="majorBidi" w:hAnsiTheme="majorBidi" w:cstheme="majorBidi"/>
          <w:i/>
          <w:iCs/>
        </w:rPr>
        <w:t>Enterobacterales</w:t>
      </w:r>
      <w:proofErr w:type="spellEnd"/>
      <w:r w:rsidRPr="002B28C3">
        <w:rPr>
          <w:rFonts w:asciiTheme="majorBidi" w:hAnsiTheme="majorBidi" w:cstheme="majorBidi"/>
        </w:rPr>
        <w:t xml:space="preserve"> (dummy data for illustration). </w:t>
      </w:r>
    </w:p>
    <w:p w14:paraId="65CF4D9F" w14:textId="77777777" w:rsidR="002B28C3" w:rsidRPr="002B28C3" w:rsidRDefault="002B28C3" w:rsidP="002B28C3">
      <w:pPr>
        <w:spacing w:after="0" w:line="276" w:lineRule="auto"/>
        <w:ind w:left="720"/>
        <w:jc w:val="both"/>
        <w:rPr>
          <w:rFonts w:asciiTheme="majorBidi" w:hAnsiTheme="majorBidi" w:cstheme="majorBidi"/>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085"/>
        <w:gridCol w:w="3555"/>
      </w:tblGrid>
      <w:tr w:rsidR="009F01D8" w:rsidRPr="002B28C3" w14:paraId="170268A6" w14:textId="77777777" w:rsidTr="009F01D8">
        <w:tc>
          <w:tcPr>
            <w:tcW w:w="3375" w:type="dxa"/>
            <w:shd w:val="clear" w:color="auto" w:fill="auto"/>
            <w:tcMar>
              <w:top w:w="100" w:type="dxa"/>
              <w:left w:w="100" w:type="dxa"/>
              <w:bottom w:w="100" w:type="dxa"/>
              <w:right w:w="100" w:type="dxa"/>
            </w:tcMar>
          </w:tcPr>
          <w:p w14:paraId="56F69DC4"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b/>
              </w:rPr>
            </w:pPr>
            <w:r w:rsidRPr="002B28C3">
              <w:rPr>
                <w:rFonts w:asciiTheme="majorBidi" w:hAnsiTheme="majorBidi" w:cstheme="majorBidi"/>
                <w:b/>
              </w:rPr>
              <w:t>Grouping</w:t>
            </w:r>
          </w:p>
        </w:tc>
        <w:tc>
          <w:tcPr>
            <w:tcW w:w="2085" w:type="dxa"/>
            <w:shd w:val="clear" w:color="auto" w:fill="auto"/>
            <w:tcMar>
              <w:top w:w="100" w:type="dxa"/>
              <w:left w:w="100" w:type="dxa"/>
              <w:bottom w:w="100" w:type="dxa"/>
              <w:right w:w="100" w:type="dxa"/>
            </w:tcMar>
          </w:tcPr>
          <w:p w14:paraId="4E0F529A"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b/>
              </w:rPr>
            </w:pPr>
            <w:r w:rsidRPr="002B28C3">
              <w:rPr>
                <w:rFonts w:asciiTheme="majorBidi" w:hAnsiTheme="majorBidi" w:cstheme="majorBidi"/>
                <w:b/>
              </w:rPr>
              <w:t>N isolates</w:t>
            </w:r>
          </w:p>
        </w:tc>
        <w:tc>
          <w:tcPr>
            <w:tcW w:w="3555" w:type="dxa"/>
            <w:shd w:val="clear" w:color="auto" w:fill="auto"/>
            <w:tcMar>
              <w:top w:w="100" w:type="dxa"/>
              <w:left w:w="100" w:type="dxa"/>
              <w:bottom w:w="100" w:type="dxa"/>
              <w:right w:w="100" w:type="dxa"/>
            </w:tcMar>
          </w:tcPr>
          <w:p w14:paraId="3CE0CC17"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b/>
              </w:rPr>
            </w:pPr>
            <w:r w:rsidRPr="002B28C3">
              <w:rPr>
                <w:rFonts w:asciiTheme="majorBidi" w:hAnsiTheme="majorBidi" w:cstheme="majorBidi"/>
                <w:b/>
              </w:rPr>
              <w:t xml:space="preserve">% </w:t>
            </w:r>
            <w:proofErr w:type="gramStart"/>
            <w:r w:rsidRPr="002B28C3">
              <w:rPr>
                <w:rFonts w:asciiTheme="majorBidi" w:hAnsiTheme="majorBidi" w:cstheme="majorBidi"/>
                <w:b/>
              </w:rPr>
              <w:t>susceptible</w:t>
            </w:r>
            <w:proofErr w:type="gramEnd"/>
            <w:r w:rsidRPr="002B28C3">
              <w:rPr>
                <w:rFonts w:asciiTheme="majorBidi" w:hAnsiTheme="majorBidi" w:cstheme="majorBidi"/>
                <w:b/>
              </w:rPr>
              <w:t xml:space="preserve"> to </w:t>
            </w:r>
            <w:proofErr w:type="spellStart"/>
            <w:r w:rsidRPr="002B28C3">
              <w:rPr>
                <w:rFonts w:asciiTheme="majorBidi" w:hAnsiTheme="majorBidi" w:cstheme="majorBidi"/>
                <w:b/>
              </w:rPr>
              <w:t>caz-avi</w:t>
            </w:r>
            <w:proofErr w:type="spellEnd"/>
          </w:p>
        </w:tc>
      </w:tr>
      <w:tr w:rsidR="009F01D8" w:rsidRPr="002B28C3" w14:paraId="583C89E1" w14:textId="77777777" w:rsidTr="009F01D8">
        <w:tc>
          <w:tcPr>
            <w:tcW w:w="3375" w:type="dxa"/>
            <w:shd w:val="clear" w:color="auto" w:fill="auto"/>
            <w:tcMar>
              <w:top w:w="100" w:type="dxa"/>
              <w:left w:w="100" w:type="dxa"/>
              <w:bottom w:w="100" w:type="dxa"/>
              <w:right w:w="100" w:type="dxa"/>
            </w:tcMar>
          </w:tcPr>
          <w:p w14:paraId="5275570F"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Isolates not susceptible to any of the non-</w:t>
            </w:r>
            <w:proofErr w:type="spellStart"/>
            <w:r w:rsidRPr="002B28C3">
              <w:rPr>
                <w:rFonts w:asciiTheme="majorBidi" w:hAnsiTheme="majorBidi" w:cstheme="majorBidi"/>
              </w:rPr>
              <w:t>caz</w:t>
            </w:r>
            <w:proofErr w:type="spellEnd"/>
            <w:r w:rsidRPr="002B28C3">
              <w:rPr>
                <w:rFonts w:asciiTheme="majorBidi" w:hAnsiTheme="majorBidi" w:cstheme="majorBidi"/>
              </w:rPr>
              <w:t>-</w:t>
            </w:r>
            <w:proofErr w:type="spellStart"/>
            <w:r w:rsidRPr="002B28C3">
              <w:rPr>
                <w:rFonts w:asciiTheme="majorBidi" w:hAnsiTheme="majorBidi" w:cstheme="majorBidi"/>
              </w:rPr>
              <w:t>avi</w:t>
            </w:r>
            <w:proofErr w:type="spellEnd"/>
            <w:r w:rsidRPr="002B28C3">
              <w:rPr>
                <w:rFonts w:asciiTheme="majorBidi" w:hAnsiTheme="majorBidi" w:cstheme="majorBidi"/>
              </w:rPr>
              <w:t xml:space="preserve"> drugs listed in the following two rows</w:t>
            </w:r>
          </w:p>
        </w:tc>
        <w:tc>
          <w:tcPr>
            <w:tcW w:w="2085" w:type="dxa"/>
            <w:shd w:val="clear" w:color="auto" w:fill="auto"/>
            <w:tcMar>
              <w:top w:w="100" w:type="dxa"/>
              <w:left w:w="100" w:type="dxa"/>
              <w:bottom w:w="100" w:type="dxa"/>
              <w:right w:w="100" w:type="dxa"/>
            </w:tcMar>
          </w:tcPr>
          <w:p w14:paraId="7A99C179"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30</w:t>
            </w:r>
          </w:p>
        </w:tc>
        <w:tc>
          <w:tcPr>
            <w:tcW w:w="3555" w:type="dxa"/>
            <w:shd w:val="clear" w:color="auto" w:fill="auto"/>
            <w:tcMar>
              <w:top w:w="100" w:type="dxa"/>
              <w:left w:w="100" w:type="dxa"/>
              <w:bottom w:w="100" w:type="dxa"/>
              <w:right w:w="100" w:type="dxa"/>
            </w:tcMar>
          </w:tcPr>
          <w:p w14:paraId="77A035CA"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70%</w:t>
            </w:r>
          </w:p>
        </w:tc>
      </w:tr>
      <w:tr w:rsidR="009F01D8" w:rsidRPr="002B28C3" w14:paraId="5895DD99" w14:textId="77777777" w:rsidTr="009F01D8">
        <w:tc>
          <w:tcPr>
            <w:tcW w:w="3375" w:type="dxa"/>
            <w:shd w:val="clear" w:color="auto" w:fill="auto"/>
            <w:tcMar>
              <w:top w:w="100" w:type="dxa"/>
              <w:left w:w="100" w:type="dxa"/>
              <w:bottom w:w="100" w:type="dxa"/>
              <w:right w:w="100" w:type="dxa"/>
            </w:tcMar>
          </w:tcPr>
          <w:p w14:paraId="2582748D"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Isolates susceptible to colistin and/or an aminoglycoside but not susceptible to any of the drugs listed below</w:t>
            </w:r>
          </w:p>
        </w:tc>
        <w:tc>
          <w:tcPr>
            <w:tcW w:w="2085" w:type="dxa"/>
            <w:shd w:val="clear" w:color="auto" w:fill="auto"/>
            <w:tcMar>
              <w:top w:w="100" w:type="dxa"/>
              <w:left w:w="100" w:type="dxa"/>
              <w:bottom w:w="100" w:type="dxa"/>
              <w:right w:w="100" w:type="dxa"/>
            </w:tcMar>
          </w:tcPr>
          <w:p w14:paraId="18BE09B6"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100</w:t>
            </w:r>
          </w:p>
        </w:tc>
        <w:tc>
          <w:tcPr>
            <w:tcW w:w="3555" w:type="dxa"/>
            <w:shd w:val="clear" w:color="auto" w:fill="auto"/>
            <w:tcMar>
              <w:top w:w="100" w:type="dxa"/>
              <w:left w:w="100" w:type="dxa"/>
              <w:bottom w:w="100" w:type="dxa"/>
              <w:right w:w="100" w:type="dxa"/>
            </w:tcMar>
          </w:tcPr>
          <w:p w14:paraId="4D873F57"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80%</w:t>
            </w:r>
          </w:p>
        </w:tc>
      </w:tr>
      <w:tr w:rsidR="009F01D8" w:rsidRPr="002B28C3" w14:paraId="14AB26A3" w14:textId="77777777" w:rsidTr="009F01D8">
        <w:tc>
          <w:tcPr>
            <w:tcW w:w="3375" w:type="dxa"/>
            <w:shd w:val="clear" w:color="auto" w:fill="auto"/>
            <w:tcMar>
              <w:top w:w="100" w:type="dxa"/>
              <w:left w:w="100" w:type="dxa"/>
              <w:bottom w:w="100" w:type="dxa"/>
              <w:right w:w="100" w:type="dxa"/>
            </w:tcMar>
          </w:tcPr>
          <w:p w14:paraId="08630D21"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lastRenderedPageBreak/>
              <w:t>Isolates susceptible to any of the following drugs:</w:t>
            </w:r>
          </w:p>
          <w:p w14:paraId="5AFB5698"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 xml:space="preserve">meropenem, fluoroquinolones, tigecycline, </w:t>
            </w:r>
            <w:proofErr w:type="spellStart"/>
            <w:r w:rsidRPr="002B28C3">
              <w:rPr>
                <w:rFonts w:asciiTheme="majorBidi" w:hAnsiTheme="majorBidi" w:cstheme="majorBidi"/>
              </w:rPr>
              <w:t>fosfomycin</w:t>
            </w:r>
            <w:proofErr w:type="spellEnd"/>
            <w:r w:rsidRPr="002B28C3">
              <w:rPr>
                <w:rFonts w:asciiTheme="majorBidi" w:hAnsiTheme="majorBidi" w:cstheme="majorBidi"/>
              </w:rPr>
              <w:t>, cephalosporins, aztreonam, meropenem</w:t>
            </w:r>
          </w:p>
        </w:tc>
        <w:tc>
          <w:tcPr>
            <w:tcW w:w="2085" w:type="dxa"/>
            <w:shd w:val="clear" w:color="auto" w:fill="auto"/>
            <w:tcMar>
              <w:top w:w="100" w:type="dxa"/>
              <w:left w:w="100" w:type="dxa"/>
              <w:bottom w:w="100" w:type="dxa"/>
              <w:right w:w="100" w:type="dxa"/>
            </w:tcMar>
          </w:tcPr>
          <w:p w14:paraId="7735FA7A"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50</w:t>
            </w:r>
          </w:p>
        </w:tc>
        <w:tc>
          <w:tcPr>
            <w:tcW w:w="3555" w:type="dxa"/>
            <w:shd w:val="clear" w:color="auto" w:fill="auto"/>
            <w:tcMar>
              <w:top w:w="100" w:type="dxa"/>
              <w:left w:w="100" w:type="dxa"/>
              <w:bottom w:w="100" w:type="dxa"/>
              <w:right w:w="100" w:type="dxa"/>
            </w:tcMar>
          </w:tcPr>
          <w:p w14:paraId="6CD724C9" w14:textId="77777777" w:rsidR="009F01D8" w:rsidRPr="002B28C3" w:rsidRDefault="009F01D8" w:rsidP="009F01D8">
            <w:pPr>
              <w:widowControl w:val="0"/>
              <w:pBdr>
                <w:top w:val="nil"/>
                <w:left w:val="nil"/>
                <w:bottom w:val="nil"/>
                <w:right w:val="nil"/>
                <w:between w:val="nil"/>
              </w:pBdr>
              <w:spacing w:line="240" w:lineRule="auto"/>
              <w:jc w:val="both"/>
              <w:rPr>
                <w:rFonts w:asciiTheme="majorBidi" w:hAnsiTheme="majorBidi" w:cstheme="majorBidi"/>
              </w:rPr>
            </w:pPr>
            <w:r w:rsidRPr="002B28C3">
              <w:rPr>
                <w:rFonts w:asciiTheme="majorBidi" w:hAnsiTheme="majorBidi" w:cstheme="majorBidi"/>
              </w:rPr>
              <w:t>90%</w:t>
            </w:r>
          </w:p>
        </w:tc>
      </w:tr>
    </w:tbl>
    <w:p w14:paraId="04F5F92F" w14:textId="77777777" w:rsidR="009F01D8" w:rsidRPr="0052757E" w:rsidRDefault="009F01D8" w:rsidP="009F01D8">
      <w:pPr>
        <w:jc w:val="both"/>
      </w:pPr>
    </w:p>
    <w:p w14:paraId="6B653BDD" w14:textId="77777777" w:rsidR="009F01D8" w:rsidRPr="002E4F02" w:rsidRDefault="009F01D8" w:rsidP="009F01D8">
      <w:pPr>
        <w:jc w:val="both"/>
        <w:rPr>
          <w:rFonts w:asciiTheme="majorBidi" w:hAnsiTheme="majorBidi" w:cstheme="majorBidi"/>
          <w:b/>
          <w:bCs/>
        </w:rPr>
      </w:pPr>
      <w:r w:rsidRPr="002E4F02">
        <w:rPr>
          <w:rFonts w:asciiTheme="majorBidi" w:hAnsiTheme="majorBidi" w:cstheme="majorBidi"/>
          <w:b/>
          <w:bCs/>
        </w:rPr>
        <w:t>Pfizer’s response, received 25</w:t>
      </w:r>
      <w:r w:rsidRPr="002E4F02">
        <w:rPr>
          <w:rFonts w:asciiTheme="majorBidi" w:hAnsiTheme="majorBidi" w:cstheme="majorBidi"/>
          <w:b/>
          <w:bCs/>
          <w:vertAlign w:val="superscript"/>
        </w:rPr>
        <w:t>th</w:t>
      </w:r>
      <w:r w:rsidRPr="002E4F02">
        <w:rPr>
          <w:rFonts w:asciiTheme="majorBidi" w:hAnsiTheme="majorBidi" w:cstheme="majorBidi"/>
          <w:b/>
          <w:bCs/>
        </w:rPr>
        <w:t xml:space="preserve"> June 2021:</w:t>
      </w:r>
    </w:p>
    <w:p w14:paraId="52508E37" w14:textId="6DF00EAC" w:rsidR="009F01D8" w:rsidRPr="00454CF5" w:rsidRDefault="00454CF5" w:rsidP="00454CF5">
      <w:pPr>
        <w:spacing w:line="360" w:lineRule="auto"/>
        <w:jc w:val="both"/>
        <w:rPr>
          <w:rFonts w:asciiTheme="majorBidi" w:eastAsia="Times New Roman" w:hAnsiTheme="majorBidi" w:cstheme="majorBidi"/>
        </w:rPr>
      </w:pPr>
      <w:r w:rsidRPr="00454CF5">
        <w:rPr>
          <w:rFonts w:asciiTheme="majorBidi" w:eastAsia="Times New Roman" w:hAnsiTheme="majorBidi" w:cstheme="majorBidi"/>
        </w:rPr>
        <w:t>Pfizer was not able to provide the level of information in the required format. However, Pfizer provided additional studies reporting susceptibility data to support EEPRU’s analysis. Data from these reports is included</w:t>
      </w:r>
      <w:r w:rsidR="00571C25">
        <w:rPr>
          <w:rFonts w:asciiTheme="majorBidi" w:eastAsia="Times New Roman" w:hAnsiTheme="majorBidi" w:cstheme="majorBidi"/>
        </w:rPr>
        <w:t xml:space="preserve"> where appropriate</w:t>
      </w:r>
      <w:r w:rsidRPr="00454CF5">
        <w:rPr>
          <w:rFonts w:asciiTheme="majorBidi" w:eastAsia="Times New Roman" w:hAnsiTheme="majorBidi" w:cstheme="majorBidi"/>
        </w:rPr>
        <w:t xml:space="preserve"> throughout the EEPRU report</w:t>
      </w:r>
      <w:r>
        <w:rPr>
          <w:rFonts w:asciiTheme="majorBidi" w:eastAsia="Times New Roman" w:hAnsiTheme="majorBidi" w:cstheme="majorBidi"/>
        </w:rPr>
        <w:t>.</w:t>
      </w:r>
    </w:p>
    <w:p w14:paraId="74EB3264" w14:textId="77777777" w:rsidR="00BD6979" w:rsidRPr="00BD6979" w:rsidRDefault="00BD6979" w:rsidP="00BD6979">
      <w:pPr>
        <w:jc w:val="both"/>
        <w:rPr>
          <w:rFonts w:asciiTheme="majorBidi" w:hAnsiTheme="majorBidi" w:cstheme="majorBidi"/>
          <w:b/>
          <w:bCs/>
        </w:rPr>
      </w:pPr>
      <w:r w:rsidRPr="00BD6979">
        <w:rPr>
          <w:rFonts w:asciiTheme="majorBidi" w:hAnsiTheme="majorBidi" w:cstheme="majorBidi"/>
          <w:b/>
          <w:bCs/>
        </w:rPr>
        <w:t>a. EEPRU’s data request clarification 30th June 2021</w:t>
      </w:r>
    </w:p>
    <w:p w14:paraId="7DF91C1D" w14:textId="77777777" w:rsidR="00BD6979" w:rsidRPr="00BD6979" w:rsidRDefault="00BD6979" w:rsidP="00BD6979">
      <w:pPr>
        <w:spacing w:after="0" w:line="360" w:lineRule="auto"/>
        <w:jc w:val="both"/>
        <w:rPr>
          <w:rFonts w:asciiTheme="majorBidi" w:eastAsia="Times New Roman" w:hAnsiTheme="majorBidi" w:cstheme="majorBidi"/>
        </w:rPr>
      </w:pPr>
      <w:r w:rsidRPr="00BD6979">
        <w:rPr>
          <w:rFonts w:asciiTheme="majorBidi" w:eastAsia="Times New Roman" w:hAnsiTheme="majorBidi" w:cstheme="majorBidi"/>
        </w:rPr>
        <w:t>Thank you for your response to our data request.</w:t>
      </w:r>
    </w:p>
    <w:p w14:paraId="58B8730E" w14:textId="77777777" w:rsidR="00BD6979" w:rsidRPr="00BD6979" w:rsidRDefault="00BD6979" w:rsidP="00BD6979">
      <w:pPr>
        <w:spacing w:after="0" w:line="360" w:lineRule="auto"/>
        <w:jc w:val="both"/>
        <w:rPr>
          <w:rFonts w:asciiTheme="majorBidi" w:eastAsia="Times New Roman" w:hAnsiTheme="majorBidi" w:cstheme="majorBidi"/>
        </w:rPr>
      </w:pPr>
    </w:p>
    <w:p w14:paraId="3722B6EE" w14:textId="77777777" w:rsidR="00BD6979" w:rsidRPr="00BD6979" w:rsidRDefault="00BD6979" w:rsidP="00BD6979">
      <w:pPr>
        <w:spacing w:after="0" w:line="360" w:lineRule="auto"/>
        <w:jc w:val="both"/>
        <w:rPr>
          <w:rFonts w:asciiTheme="majorBidi" w:eastAsia="Times New Roman" w:hAnsiTheme="majorBidi" w:cstheme="majorBidi"/>
        </w:rPr>
      </w:pPr>
      <w:r w:rsidRPr="00BD6979">
        <w:rPr>
          <w:rFonts w:asciiTheme="majorBidi" w:eastAsia="Times New Roman" w:hAnsiTheme="majorBidi" w:cstheme="majorBidi"/>
        </w:rPr>
        <w:t xml:space="preserve">We thought it might be worth clarifying that the types of studies that we were expecting data to come from are susceptibility studies, such as the </w:t>
      </w:r>
      <w:proofErr w:type="spellStart"/>
      <w:r w:rsidRPr="00BD6979">
        <w:rPr>
          <w:rFonts w:asciiTheme="majorBidi" w:eastAsia="Times New Roman" w:hAnsiTheme="majorBidi" w:cstheme="majorBidi"/>
        </w:rPr>
        <w:t>Kazmierczak</w:t>
      </w:r>
      <w:proofErr w:type="spellEnd"/>
      <w:r w:rsidRPr="00BD6979">
        <w:rPr>
          <w:rFonts w:asciiTheme="majorBidi" w:eastAsia="Times New Roman" w:hAnsiTheme="majorBidi" w:cstheme="majorBidi"/>
        </w:rPr>
        <w:t xml:space="preserve"> paper and Deshpande's unpublished data that you highlight. We are not interested in clinical outcomes in this data request, just in vitro susceptibility. </w:t>
      </w:r>
    </w:p>
    <w:p w14:paraId="49D08FF1" w14:textId="77777777" w:rsidR="00BD6979" w:rsidRPr="00BD6979" w:rsidRDefault="00BD6979" w:rsidP="00BD6979">
      <w:pPr>
        <w:spacing w:after="0" w:line="360" w:lineRule="auto"/>
        <w:jc w:val="both"/>
        <w:rPr>
          <w:rFonts w:asciiTheme="majorBidi" w:eastAsia="Times New Roman" w:hAnsiTheme="majorBidi" w:cstheme="majorBidi"/>
        </w:rPr>
      </w:pPr>
    </w:p>
    <w:p w14:paraId="612EF554" w14:textId="77777777" w:rsidR="00BD6979" w:rsidRPr="00BD6979" w:rsidRDefault="00BD6979" w:rsidP="00BD6979">
      <w:pPr>
        <w:spacing w:after="0" w:line="360" w:lineRule="auto"/>
        <w:jc w:val="both"/>
        <w:rPr>
          <w:rFonts w:asciiTheme="majorBidi" w:eastAsia="Times New Roman" w:hAnsiTheme="majorBidi" w:cstheme="majorBidi"/>
        </w:rPr>
      </w:pPr>
      <w:r w:rsidRPr="00BD6979">
        <w:rPr>
          <w:rFonts w:asciiTheme="majorBidi" w:eastAsia="Times New Roman" w:hAnsiTheme="majorBidi" w:cstheme="majorBidi"/>
        </w:rPr>
        <w:t xml:space="preserve">We were hoping for an analysis that subgroups patients according to the susceptibility profiles listed in the request, and then provides the susceptibility to </w:t>
      </w:r>
      <w:proofErr w:type="spellStart"/>
      <w:r w:rsidRPr="00BD6979">
        <w:rPr>
          <w:rFonts w:asciiTheme="majorBidi" w:eastAsia="Times New Roman" w:hAnsiTheme="majorBidi" w:cstheme="majorBidi"/>
        </w:rPr>
        <w:t>caz-avi</w:t>
      </w:r>
      <w:proofErr w:type="spellEnd"/>
      <w:r w:rsidRPr="00BD6979">
        <w:rPr>
          <w:rFonts w:asciiTheme="majorBidi" w:eastAsia="Times New Roman" w:hAnsiTheme="majorBidi" w:cstheme="majorBidi"/>
        </w:rPr>
        <w:t xml:space="preserve"> according to these groups. If you have access to the IPD data for either of these studies, we believe this analysis should be </w:t>
      </w:r>
      <w:proofErr w:type="gramStart"/>
      <w:r w:rsidRPr="00BD6979">
        <w:rPr>
          <w:rFonts w:asciiTheme="majorBidi" w:eastAsia="Times New Roman" w:hAnsiTheme="majorBidi" w:cstheme="majorBidi"/>
        </w:rPr>
        <w:t>fairly straightforward</w:t>
      </w:r>
      <w:proofErr w:type="gramEnd"/>
      <w:r w:rsidRPr="00BD6979">
        <w:rPr>
          <w:rFonts w:asciiTheme="majorBidi" w:eastAsia="Times New Roman" w:hAnsiTheme="majorBidi" w:cstheme="majorBidi"/>
        </w:rPr>
        <w:t xml:space="preserve">. We would also be interested in analyses from any other studies you have similar IPD data for. Our reviewing work has found that the following studies were funded or part-funded by AstraZeneca and reported data for OXA-48-(Like) isolates. We assumed such studies would have been passed to Pfizer along with the marketing rights for the </w:t>
      </w:r>
      <w:proofErr w:type="gramStart"/>
      <w:r w:rsidRPr="00BD6979">
        <w:rPr>
          <w:rFonts w:asciiTheme="majorBidi" w:eastAsia="Times New Roman" w:hAnsiTheme="majorBidi" w:cstheme="majorBidi"/>
        </w:rPr>
        <w:t>drug?</w:t>
      </w:r>
      <w:proofErr w:type="gramEnd"/>
      <w:r w:rsidRPr="00BD6979">
        <w:rPr>
          <w:rFonts w:asciiTheme="majorBidi" w:eastAsia="Times New Roman" w:hAnsiTheme="majorBidi" w:cstheme="majorBidi"/>
        </w:rPr>
        <w:t xml:space="preserve"> There may also be additional studies not included in our reviewing work that contain OXA-48 isolates, which could be re-analysed to provide the relevant data, </w:t>
      </w:r>
      <w:proofErr w:type="gramStart"/>
      <w:r w:rsidRPr="00BD6979">
        <w:rPr>
          <w:rFonts w:asciiTheme="majorBidi" w:eastAsia="Times New Roman" w:hAnsiTheme="majorBidi" w:cstheme="majorBidi"/>
        </w:rPr>
        <w:t>e.g.</w:t>
      </w:r>
      <w:proofErr w:type="gramEnd"/>
      <w:r w:rsidRPr="00BD6979">
        <w:rPr>
          <w:rFonts w:asciiTheme="majorBidi" w:eastAsia="Times New Roman" w:hAnsiTheme="majorBidi" w:cstheme="majorBidi"/>
        </w:rPr>
        <w:t xml:space="preserve"> large surveillance studies. </w:t>
      </w:r>
    </w:p>
    <w:p w14:paraId="61867D1E" w14:textId="77777777" w:rsidR="00BD6979" w:rsidRPr="00BD6979" w:rsidRDefault="00BD6979" w:rsidP="00BD6979">
      <w:pPr>
        <w:spacing w:after="0" w:line="240" w:lineRule="auto"/>
        <w:jc w:val="both"/>
        <w:rPr>
          <w:rFonts w:asciiTheme="majorBidi" w:eastAsia="Times New Roman" w:hAnsiTheme="majorBidi" w:cstheme="majorBidi"/>
          <w:sz w:val="24"/>
          <w:szCs w:val="24"/>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6"/>
        <w:gridCol w:w="1270"/>
        <w:gridCol w:w="6422"/>
      </w:tblGrid>
      <w:tr w:rsidR="00BD6979" w:rsidRPr="00BD6979" w14:paraId="483C4BAA" w14:textId="77777777" w:rsidTr="00103E42">
        <w:trPr>
          <w:trHeight w:val="360"/>
        </w:trPr>
        <w:tc>
          <w:tcPr>
            <w:tcW w:w="804" w:type="dxa"/>
            <w:vMerge w:val="restart"/>
            <w:shd w:val="clear" w:color="auto" w:fill="FFFFFF"/>
            <w:hideMark/>
          </w:tcPr>
          <w:p w14:paraId="7F7ACD6C"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INFORM studies</w:t>
            </w:r>
          </w:p>
        </w:tc>
        <w:tc>
          <w:tcPr>
            <w:tcW w:w="1241" w:type="dxa"/>
            <w:shd w:val="clear" w:color="auto" w:fill="FFFFFF"/>
            <w:tcMar>
              <w:top w:w="30" w:type="dxa"/>
              <w:left w:w="45" w:type="dxa"/>
              <w:bottom w:w="30" w:type="dxa"/>
              <w:right w:w="45" w:type="dxa"/>
            </w:tcMar>
            <w:vAlign w:val="bottom"/>
            <w:hideMark/>
          </w:tcPr>
          <w:p w14:paraId="2527AD29"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Kazmierczak</w:t>
            </w:r>
            <w:proofErr w:type="spellEnd"/>
            <w:r w:rsidRPr="00BD6979">
              <w:rPr>
                <w:rFonts w:asciiTheme="majorBidi" w:eastAsia="Times New Roman" w:hAnsiTheme="majorBidi" w:cstheme="majorBidi"/>
              </w:rPr>
              <w:t xml:space="preserve"> 2018 (INFORM)</w:t>
            </w:r>
          </w:p>
        </w:tc>
        <w:tc>
          <w:tcPr>
            <w:tcW w:w="0" w:type="auto"/>
            <w:tcMar>
              <w:top w:w="30" w:type="dxa"/>
              <w:left w:w="45" w:type="dxa"/>
              <w:bottom w:w="30" w:type="dxa"/>
              <w:right w:w="45" w:type="dxa"/>
            </w:tcMar>
            <w:vAlign w:val="bottom"/>
            <w:hideMark/>
          </w:tcPr>
          <w:p w14:paraId="7E2ABA5C"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Kazmierczak</w:t>
            </w:r>
            <w:proofErr w:type="spellEnd"/>
            <w:r w:rsidRPr="00BD6979">
              <w:rPr>
                <w:rFonts w:asciiTheme="majorBidi" w:eastAsia="Times New Roman" w:hAnsiTheme="majorBidi" w:cstheme="majorBidi"/>
              </w:rPr>
              <w:t xml:space="preserve"> KM, Bradford PA, Stone GG, de </w:t>
            </w:r>
            <w:proofErr w:type="spellStart"/>
            <w:r w:rsidRPr="00BD6979">
              <w:rPr>
                <w:rFonts w:asciiTheme="majorBidi" w:eastAsia="Times New Roman" w:hAnsiTheme="majorBidi" w:cstheme="majorBidi"/>
              </w:rPr>
              <w:t>Jonge</w:t>
            </w:r>
            <w:proofErr w:type="spellEnd"/>
            <w:r w:rsidRPr="00BD6979">
              <w:rPr>
                <w:rFonts w:asciiTheme="majorBidi" w:eastAsia="Times New Roman" w:hAnsiTheme="majorBidi" w:cstheme="majorBidi"/>
              </w:rPr>
              <w:t xml:space="preserve"> BL, </w:t>
            </w:r>
            <w:proofErr w:type="spellStart"/>
            <w:r w:rsidRPr="00BD6979">
              <w:rPr>
                <w:rFonts w:asciiTheme="majorBidi" w:eastAsia="Times New Roman" w:hAnsiTheme="majorBidi" w:cstheme="majorBidi"/>
              </w:rPr>
              <w:t>Sahm</w:t>
            </w:r>
            <w:proofErr w:type="spellEnd"/>
            <w:r w:rsidRPr="00BD6979">
              <w:rPr>
                <w:rFonts w:asciiTheme="majorBidi" w:eastAsia="Times New Roman" w:hAnsiTheme="majorBidi" w:cstheme="majorBidi"/>
              </w:rPr>
              <w:t xml:space="preserve"> DF. In vitro activity of ceftazidime-avibactam and aztreonam-avibactam against OXA-48-carrying Enterobacteriaceae isolated as part of the International Network for Optimal Resistance Monitoring (INFORM) global surveillance program from 2012 to 2015. Antimicrobial agents and chemotherapy. 2018 Nov 26;62(12</w:t>
            </w:r>
            <w:proofErr w:type="gramStart"/>
            <w:r w:rsidRPr="00BD6979">
              <w:rPr>
                <w:rFonts w:asciiTheme="majorBidi" w:eastAsia="Times New Roman" w:hAnsiTheme="majorBidi" w:cstheme="majorBidi"/>
              </w:rPr>
              <w:t>):e</w:t>
            </w:r>
            <w:proofErr w:type="gramEnd"/>
            <w:r w:rsidRPr="00BD6979">
              <w:rPr>
                <w:rFonts w:asciiTheme="majorBidi" w:eastAsia="Times New Roman" w:hAnsiTheme="majorBidi" w:cstheme="majorBidi"/>
              </w:rPr>
              <w:t>00592-18.</w:t>
            </w:r>
          </w:p>
        </w:tc>
      </w:tr>
      <w:tr w:rsidR="00BD6979" w:rsidRPr="00BD6979" w14:paraId="293DEB22" w14:textId="77777777" w:rsidTr="00103E42">
        <w:trPr>
          <w:trHeight w:val="360"/>
        </w:trPr>
        <w:tc>
          <w:tcPr>
            <w:tcW w:w="0" w:type="auto"/>
            <w:vMerge/>
            <w:vAlign w:val="center"/>
            <w:hideMark/>
          </w:tcPr>
          <w:p w14:paraId="4C2F967E" w14:textId="77777777" w:rsidR="00BD6979" w:rsidRPr="00BD6979" w:rsidRDefault="00BD6979" w:rsidP="00103E42">
            <w:pPr>
              <w:spacing w:after="0" w:line="240" w:lineRule="auto"/>
              <w:jc w:val="both"/>
              <w:rPr>
                <w:rFonts w:asciiTheme="majorBidi" w:eastAsia="Times New Roman" w:hAnsiTheme="majorBidi" w:cstheme="majorBidi"/>
              </w:rPr>
            </w:pPr>
          </w:p>
        </w:tc>
        <w:tc>
          <w:tcPr>
            <w:tcW w:w="1241" w:type="dxa"/>
            <w:tcMar>
              <w:top w:w="30" w:type="dxa"/>
              <w:left w:w="45" w:type="dxa"/>
              <w:bottom w:w="30" w:type="dxa"/>
              <w:right w:w="45" w:type="dxa"/>
            </w:tcMar>
            <w:vAlign w:val="bottom"/>
            <w:hideMark/>
          </w:tcPr>
          <w:p w14:paraId="58AD4287"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xml:space="preserve">de </w:t>
            </w:r>
            <w:proofErr w:type="spellStart"/>
            <w:r w:rsidRPr="00BD6979">
              <w:rPr>
                <w:rFonts w:asciiTheme="majorBidi" w:eastAsia="Times New Roman" w:hAnsiTheme="majorBidi" w:cstheme="majorBidi"/>
              </w:rPr>
              <w:t>Jonge</w:t>
            </w:r>
            <w:proofErr w:type="spellEnd"/>
            <w:r w:rsidRPr="00BD6979">
              <w:rPr>
                <w:rFonts w:asciiTheme="majorBidi" w:eastAsia="Times New Roman" w:hAnsiTheme="majorBidi" w:cstheme="majorBidi"/>
              </w:rPr>
              <w:t xml:space="preserve"> 2016 (INFORM)</w:t>
            </w:r>
          </w:p>
        </w:tc>
        <w:tc>
          <w:tcPr>
            <w:tcW w:w="0" w:type="auto"/>
            <w:tcMar>
              <w:top w:w="30" w:type="dxa"/>
              <w:left w:w="45" w:type="dxa"/>
              <w:bottom w:w="30" w:type="dxa"/>
              <w:right w:w="45" w:type="dxa"/>
            </w:tcMar>
            <w:vAlign w:val="bottom"/>
            <w:hideMark/>
          </w:tcPr>
          <w:p w14:paraId="09DE1E52"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xml:space="preserve">de </w:t>
            </w:r>
            <w:proofErr w:type="spellStart"/>
            <w:r w:rsidRPr="00BD6979">
              <w:rPr>
                <w:rFonts w:asciiTheme="majorBidi" w:eastAsia="Times New Roman" w:hAnsiTheme="majorBidi" w:cstheme="majorBidi"/>
              </w:rPr>
              <w:t>Jonge</w:t>
            </w:r>
            <w:proofErr w:type="spellEnd"/>
            <w:r w:rsidRPr="00BD6979">
              <w:rPr>
                <w:rFonts w:asciiTheme="majorBidi" w:eastAsia="Times New Roman" w:hAnsiTheme="majorBidi" w:cstheme="majorBidi"/>
              </w:rPr>
              <w:t xml:space="preserve"> BL, </w:t>
            </w:r>
            <w:proofErr w:type="spellStart"/>
            <w:r w:rsidRPr="00BD6979">
              <w:rPr>
                <w:rFonts w:asciiTheme="majorBidi" w:eastAsia="Times New Roman" w:hAnsiTheme="majorBidi" w:cstheme="majorBidi"/>
              </w:rPr>
              <w:t>Karlowsky</w:t>
            </w:r>
            <w:proofErr w:type="spellEnd"/>
            <w:r w:rsidRPr="00BD6979">
              <w:rPr>
                <w:rFonts w:asciiTheme="majorBidi" w:eastAsia="Times New Roman" w:hAnsiTheme="majorBidi" w:cstheme="majorBidi"/>
              </w:rPr>
              <w:t xml:space="preserve"> JA, </w:t>
            </w:r>
            <w:proofErr w:type="spellStart"/>
            <w:r w:rsidRPr="00BD6979">
              <w:rPr>
                <w:rFonts w:asciiTheme="majorBidi" w:eastAsia="Times New Roman" w:hAnsiTheme="majorBidi" w:cstheme="majorBidi"/>
              </w:rPr>
              <w:t>Kazmierczak</w:t>
            </w:r>
            <w:proofErr w:type="spellEnd"/>
            <w:r w:rsidRPr="00BD6979">
              <w:rPr>
                <w:rFonts w:asciiTheme="majorBidi" w:eastAsia="Times New Roman" w:hAnsiTheme="majorBidi" w:cstheme="majorBidi"/>
              </w:rPr>
              <w:t xml:space="preserve"> KM, Biedenbach DJ, </w:t>
            </w:r>
            <w:proofErr w:type="spellStart"/>
            <w:r w:rsidRPr="00BD6979">
              <w:rPr>
                <w:rFonts w:asciiTheme="majorBidi" w:eastAsia="Times New Roman" w:hAnsiTheme="majorBidi" w:cstheme="majorBidi"/>
              </w:rPr>
              <w:t>Sahm</w:t>
            </w:r>
            <w:proofErr w:type="spellEnd"/>
            <w:r w:rsidRPr="00BD6979">
              <w:rPr>
                <w:rFonts w:asciiTheme="majorBidi" w:eastAsia="Times New Roman" w:hAnsiTheme="majorBidi" w:cstheme="majorBidi"/>
              </w:rPr>
              <w:t xml:space="preserve"> DF, Nichols WW. In vitro susceptibility to ceftazidime-avibactam of carbapenem-</w:t>
            </w:r>
            <w:proofErr w:type="spellStart"/>
            <w:r w:rsidRPr="00BD6979">
              <w:rPr>
                <w:rFonts w:asciiTheme="majorBidi" w:eastAsia="Times New Roman" w:hAnsiTheme="majorBidi" w:cstheme="majorBidi"/>
              </w:rPr>
              <w:t>nonsusceptible</w:t>
            </w:r>
            <w:proofErr w:type="spellEnd"/>
            <w:r w:rsidRPr="00BD6979">
              <w:rPr>
                <w:rFonts w:asciiTheme="majorBidi" w:eastAsia="Times New Roman" w:hAnsiTheme="majorBidi" w:cstheme="majorBidi"/>
              </w:rPr>
              <w:t xml:space="preserve"> Enterobacteriaceae isolates collected during the INFORM global surveillance study (2012 to 2014). Antimicrobial agents and chemotherapy. 2016 May 1;60(5):3163-9.</w:t>
            </w:r>
          </w:p>
        </w:tc>
      </w:tr>
      <w:tr w:rsidR="00BD6979" w:rsidRPr="00BD6979" w14:paraId="54C38AF5" w14:textId="77777777" w:rsidTr="00103E42">
        <w:trPr>
          <w:trHeight w:val="360"/>
        </w:trPr>
        <w:tc>
          <w:tcPr>
            <w:tcW w:w="0" w:type="auto"/>
            <w:vMerge/>
            <w:vAlign w:val="center"/>
            <w:hideMark/>
          </w:tcPr>
          <w:p w14:paraId="47724BCC" w14:textId="77777777" w:rsidR="00BD6979" w:rsidRPr="00BD6979" w:rsidRDefault="00BD6979" w:rsidP="00103E42">
            <w:pPr>
              <w:spacing w:after="0" w:line="240" w:lineRule="auto"/>
              <w:jc w:val="both"/>
              <w:rPr>
                <w:rFonts w:asciiTheme="majorBidi" w:eastAsia="Times New Roman" w:hAnsiTheme="majorBidi" w:cstheme="majorBidi"/>
              </w:rPr>
            </w:pPr>
          </w:p>
        </w:tc>
        <w:tc>
          <w:tcPr>
            <w:tcW w:w="1241" w:type="dxa"/>
            <w:tcMar>
              <w:top w:w="30" w:type="dxa"/>
              <w:left w:w="45" w:type="dxa"/>
              <w:bottom w:w="30" w:type="dxa"/>
              <w:right w:w="45" w:type="dxa"/>
            </w:tcMar>
            <w:vAlign w:val="bottom"/>
            <w:hideMark/>
          </w:tcPr>
          <w:p w14:paraId="06D29FCA"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Karlowski</w:t>
            </w:r>
            <w:proofErr w:type="spellEnd"/>
            <w:r w:rsidRPr="00BD6979">
              <w:rPr>
                <w:rFonts w:asciiTheme="majorBidi" w:eastAsia="Times New Roman" w:hAnsiTheme="majorBidi" w:cstheme="majorBidi"/>
              </w:rPr>
              <w:t xml:space="preserve"> 2019 (INFORM </w:t>
            </w:r>
            <w:proofErr w:type="spellStart"/>
            <w:r w:rsidRPr="00BD6979">
              <w:rPr>
                <w:rFonts w:asciiTheme="majorBidi" w:eastAsia="Times New Roman" w:hAnsiTheme="majorBidi" w:cstheme="majorBidi"/>
              </w:rPr>
              <w:t>latin</w:t>
            </w:r>
            <w:proofErr w:type="spellEnd"/>
            <w:r w:rsidRPr="00BD6979">
              <w:rPr>
                <w:rFonts w:asciiTheme="majorBidi" w:eastAsia="Times New Roman" w:hAnsiTheme="majorBidi" w:cstheme="majorBidi"/>
              </w:rPr>
              <w:t xml:space="preserve"> America)</w:t>
            </w:r>
          </w:p>
        </w:tc>
        <w:tc>
          <w:tcPr>
            <w:tcW w:w="0" w:type="auto"/>
            <w:tcMar>
              <w:top w:w="30" w:type="dxa"/>
              <w:left w:w="45" w:type="dxa"/>
              <w:bottom w:w="30" w:type="dxa"/>
              <w:right w:w="45" w:type="dxa"/>
            </w:tcMar>
            <w:vAlign w:val="bottom"/>
            <w:hideMark/>
          </w:tcPr>
          <w:p w14:paraId="5948B138"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Karlowsky</w:t>
            </w:r>
            <w:proofErr w:type="spellEnd"/>
            <w:r w:rsidRPr="00BD6979">
              <w:rPr>
                <w:rFonts w:asciiTheme="majorBidi" w:eastAsia="Times New Roman" w:hAnsiTheme="majorBidi" w:cstheme="majorBidi"/>
              </w:rPr>
              <w:t xml:space="preserve"> JA, </w:t>
            </w:r>
            <w:proofErr w:type="spellStart"/>
            <w:r w:rsidRPr="00BD6979">
              <w:rPr>
                <w:rFonts w:asciiTheme="majorBidi" w:eastAsia="Times New Roman" w:hAnsiTheme="majorBidi" w:cstheme="majorBidi"/>
              </w:rPr>
              <w:t>Kazmierczak</w:t>
            </w:r>
            <w:proofErr w:type="spellEnd"/>
            <w:r w:rsidRPr="00BD6979">
              <w:rPr>
                <w:rFonts w:asciiTheme="majorBidi" w:eastAsia="Times New Roman" w:hAnsiTheme="majorBidi" w:cstheme="majorBidi"/>
              </w:rPr>
              <w:t xml:space="preserve"> KM, </w:t>
            </w:r>
            <w:proofErr w:type="spellStart"/>
            <w:r w:rsidRPr="00BD6979">
              <w:rPr>
                <w:rFonts w:asciiTheme="majorBidi" w:eastAsia="Times New Roman" w:hAnsiTheme="majorBidi" w:cstheme="majorBidi"/>
              </w:rPr>
              <w:t>Bouchillon</w:t>
            </w:r>
            <w:proofErr w:type="spellEnd"/>
            <w:r w:rsidRPr="00BD6979">
              <w:rPr>
                <w:rFonts w:asciiTheme="majorBidi" w:eastAsia="Times New Roman" w:hAnsiTheme="majorBidi" w:cstheme="majorBidi"/>
              </w:rPr>
              <w:t xml:space="preserve"> SK, de </w:t>
            </w:r>
            <w:proofErr w:type="spellStart"/>
            <w:r w:rsidRPr="00BD6979">
              <w:rPr>
                <w:rFonts w:asciiTheme="majorBidi" w:eastAsia="Times New Roman" w:hAnsiTheme="majorBidi" w:cstheme="majorBidi"/>
              </w:rPr>
              <w:t>Jonge</w:t>
            </w:r>
            <w:proofErr w:type="spellEnd"/>
            <w:r w:rsidRPr="00BD6979">
              <w:rPr>
                <w:rFonts w:asciiTheme="majorBidi" w:eastAsia="Times New Roman" w:hAnsiTheme="majorBidi" w:cstheme="majorBidi"/>
              </w:rPr>
              <w:t xml:space="preserve"> BL, Stone GG, </w:t>
            </w:r>
            <w:proofErr w:type="spellStart"/>
            <w:r w:rsidRPr="00BD6979">
              <w:rPr>
                <w:rFonts w:asciiTheme="majorBidi" w:eastAsia="Times New Roman" w:hAnsiTheme="majorBidi" w:cstheme="majorBidi"/>
              </w:rPr>
              <w:t>Sahm</w:t>
            </w:r>
            <w:proofErr w:type="spellEnd"/>
            <w:r w:rsidRPr="00BD6979">
              <w:rPr>
                <w:rFonts w:asciiTheme="majorBidi" w:eastAsia="Times New Roman" w:hAnsiTheme="majorBidi" w:cstheme="majorBidi"/>
              </w:rPr>
              <w:t xml:space="preserve"> DF. In vitro activity of ceftazidime-avibactam against clinical isolates of Enterobacteriaceae and Pseudomonas aeruginosa collected in Latin American countries: results from the INFORM global surveillance program, 2012 to 2015. Antimicrobial agents and chemotherapy. 2019 Mar 27;63(4</w:t>
            </w:r>
            <w:proofErr w:type="gramStart"/>
            <w:r w:rsidRPr="00BD6979">
              <w:rPr>
                <w:rFonts w:asciiTheme="majorBidi" w:eastAsia="Times New Roman" w:hAnsiTheme="majorBidi" w:cstheme="majorBidi"/>
              </w:rPr>
              <w:t>):e</w:t>
            </w:r>
            <w:proofErr w:type="gramEnd"/>
            <w:r w:rsidRPr="00BD6979">
              <w:rPr>
                <w:rFonts w:asciiTheme="majorBidi" w:eastAsia="Times New Roman" w:hAnsiTheme="majorBidi" w:cstheme="majorBidi"/>
              </w:rPr>
              <w:t>01814-18</w:t>
            </w:r>
          </w:p>
        </w:tc>
      </w:tr>
      <w:tr w:rsidR="00BD6979" w:rsidRPr="00BD6979" w14:paraId="527C12B4" w14:textId="77777777" w:rsidTr="00103E42">
        <w:trPr>
          <w:trHeight w:val="360"/>
        </w:trPr>
        <w:tc>
          <w:tcPr>
            <w:tcW w:w="804" w:type="dxa"/>
            <w:vMerge w:val="restart"/>
            <w:shd w:val="clear" w:color="auto" w:fill="FFFFFF"/>
            <w:hideMark/>
          </w:tcPr>
          <w:p w14:paraId="6CB6BC22"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iCREST</w:t>
            </w:r>
            <w:proofErr w:type="spellEnd"/>
            <w:r w:rsidRPr="00BD6979">
              <w:rPr>
                <w:rFonts w:asciiTheme="majorBidi" w:eastAsia="Times New Roman" w:hAnsiTheme="majorBidi" w:cstheme="majorBidi"/>
              </w:rPr>
              <w:t xml:space="preserve"> studies</w:t>
            </w:r>
          </w:p>
        </w:tc>
        <w:tc>
          <w:tcPr>
            <w:tcW w:w="1241" w:type="dxa"/>
            <w:shd w:val="clear" w:color="auto" w:fill="FFFFFF"/>
            <w:tcMar>
              <w:top w:w="30" w:type="dxa"/>
              <w:left w:w="45" w:type="dxa"/>
              <w:bottom w:w="30" w:type="dxa"/>
              <w:right w:w="45" w:type="dxa"/>
            </w:tcMar>
            <w:vAlign w:val="bottom"/>
            <w:hideMark/>
          </w:tcPr>
          <w:p w14:paraId="395C4A1B"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Garcia-Castillo,2018 (</w:t>
            </w:r>
            <w:proofErr w:type="spellStart"/>
            <w:r w:rsidRPr="00BD6979">
              <w:rPr>
                <w:rFonts w:asciiTheme="majorBidi" w:eastAsia="Times New Roman" w:hAnsiTheme="majorBidi" w:cstheme="majorBidi"/>
              </w:rPr>
              <w:t>iCREST</w:t>
            </w:r>
            <w:proofErr w:type="spellEnd"/>
            <w:r w:rsidRPr="00BD6979">
              <w:rPr>
                <w:rFonts w:asciiTheme="majorBidi" w:eastAsia="Times New Roman" w:hAnsiTheme="majorBidi" w:cstheme="majorBidi"/>
              </w:rPr>
              <w:t xml:space="preserve"> - Spain)</w:t>
            </w:r>
          </w:p>
        </w:tc>
        <w:tc>
          <w:tcPr>
            <w:tcW w:w="0" w:type="auto"/>
            <w:tcMar>
              <w:top w:w="30" w:type="dxa"/>
              <w:left w:w="45" w:type="dxa"/>
              <w:bottom w:w="30" w:type="dxa"/>
              <w:right w:w="45" w:type="dxa"/>
            </w:tcMar>
            <w:vAlign w:val="bottom"/>
            <w:hideMark/>
          </w:tcPr>
          <w:p w14:paraId="2493BB10"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lang w:val="pt-PT"/>
              </w:rPr>
              <w:t xml:space="preserve">García-Castillo M, García-Fernández S, Gómez-Gil R, Pitart C, Oviaño M, Gracia-Ahufinger I, Díaz-Regañón J, Tato M, Cantón R, Bou G, Rodríguez JG. Activity of ceftazidime-avibactam against carbapenemase-producing Enterobacteriaceae from urine specimens obtained during the infection-carbapenem resistance evaluation surveillance trial (iCREST) in Spain. </w:t>
            </w:r>
            <w:r w:rsidRPr="00BD6979">
              <w:rPr>
                <w:rFonts w:asciiTheme="majorBidi" w:eastAsia="Times New Roman" w:hAnsiTheme="majorBidi" w:cstheme="majorBidi"/>
              </w:rPr>
              <w:t>International journal of antimicrobial agents. 2018 Mar 1;51(3):511-5.</w:t>
            </w:r>
          </w:p>
        </w:tc>
      </w:tr>
      <w:tr w:rsidR="00BD6979" w:rsidRPr="00BD6979" w14:paraId="1681C968" w14:textId="77777777" w:rsidTr="00103E42">
        <w:trPr>
          <w:trHeight w:val="360"/>
        </w:trPr>
        <w:tc>
          <w:tcPr>
            <w:tcW w:w="0" w:type="auto"/>
            <w:vMerge/>
            <w:vAlign w:val="center"/>
            <w:hideMark/>
          </w:tcPr>
          <w:p w14:paraId="7CE65E93" w14:textId="77777777" w:rsidR="00BD6979" w:rsidRPr="00BD6979" w:rsidRDefault="00BD6979" w:rsidP="00103E42">
            <w:pPr>
              <w:spacing w:after="0" w:line="240" w:lineRule="auto"/>
              <w:jc w:val="both"/>
              <w:rPr>
                <w:rFonts w:asciiTheme="majorBidi" w:eastAsia="Times New Roman" w:hAnsiTheme="majorBidi" w:cstheme="majorBidi"/>
              </w:rPr>
            </w:pPr>
          </w:p>
        </w:tc>
        <w:tc>
          <w:tcPr>
            <w:tcW w:w="1241" w:type="dxa"/>
            <w:shd w:val="clear" w:color="auto" w:fill="FFFFFF"/>
            <w:tcMar>
              <w:top w:w="30" w:type="dxa"/>
              <w:left w:w="45" w:type="dxa"/>
              <w:bottom w:w="30" w:type="dxa"/>
              <w:right w:w="45" w:type="dxa"/>
            </w:tcMar>
            <w:vAlign w:val="bottom"/>
            <w:hideMark/>
          </w:tcPr>
          <w:p w14:paraId="2CC72FC7" w14:textId="77777777" w:rsidR="00BD6979" w:rsidRPr="00BD6979" w:rsidRDefault="00BD6979" w:rsidP="00103E42">
            <w:pPr>
              <w:spacing w:after="0" w:line="240" w:lineRule="auto"/>
              <w:jc w:val="both"/>
              <w:rPr>
                <w:rFonts w:asciiTheme="majorBidi" w:eastAsia="Times New Roman" w:hAnsiTheme="majorBidi" w:cstheme="majorBidi"/>
              </w:rPr>
            </w:pPr>
            <w:proofErr w:type="spellStart"/>
            <w:r w:rsidRPr="00BD6979">
              <w:rPr>
                <w:rFonts w:asciiTheme="majorBidi" w:eastAsia="Times New Roman" w:hAnsiTheme="majorBidi" w:cstheme="majorBidi"/>
              </w:rPr>
              <w:t>Giani</w:t>
            </w:r>
            <w:proofErr w:type="spellEnd"/>
            <w:r w:rsidRPr="00BD6979">
              <w:rPr>
                <w:rFonts w:asciiTheme="majorBidi" w:eastAsia="Times New Roman" w:hAnsiTheme="majorBidi" w:cstheme="majorBidi"/>
              </w:rPr>
              <w:t xml:space="preserve"> 2020 (</w:t>
            </w:r>
            <w:proofErr w:type="spellStart"/>
            <w:r w:rsidRPr="00BD6979">
              <w:rPr>
                <w:rFonts w:asciiTheme="majorBidi" w:eastAsia="Times New Roman" w:hAnsiTheme="majorBidi" w:cstheme="majorBidi"/>
              </w:rPr>
              <w:t>iCREST</w:t>
            </w:r>
            <w:proofErr w:type="spellEnd"/>
            <w:r w:rsidRPr="00BD6979">
              <w:rPr>
                <w:rFonts w:asciiTheme="majorBidi" w:eastAsia="Times New Roman" w:hAnsiTheme="majorBidi" w:cstheme="majorBidi"/>
              </w:rPr>
              <w:t xml:space="preserve"> – Italy)</w:t>
            </w:r>
          </w:p>
        </w:tc>
        <w:tc>
          <w:tcPr>
            <w:tcW w:w="0" w:type="auto"/>
            <w:tcMar>
              <w:top w:w="30" w:type="dxa"/>
              <w:left w:w="45" w:type="dxa"/>
              <w:bottom w:w="30" w:type="dxa"/>
              <w:right w:w="45" w:type="dxa"/>
            </w:tcMar>
            <w:vAlign w:val="bottom"/>
            <w:hideMark/>
          </w:tcPr>
          <w:p w14:paraId="7080C13A"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lang w:val="it-IT"/>
              </w:rPr>
              <w:t xml:space="preserve">Giani T, Antonelli A, Sennati S, Di Pilato V, Chiarelli A, Cannatelli A, Gatsch C, Luzzaro F, Spanu T, Stefani S, Rossolini GM. </w:t>
            </w:r>
            <w:r w:rsidRPr="00BD6979">
              <w:rPr>
                <w:rFonts w:asciiTheme="majorBidi" w:eastAsia="Times New Roman" w:hAnsiTheme="majorBidi" w:cstheme="majorBidi"/>
              </w:rPr>
              <w:t>Results of the Italian infection-Carbapenem Resistance Evaluation Surveillance Trial (</w:t>
            </w:r>
            <w:proofErr w:type="spellStart"/>
            <w:r w:rsidRPr="00BD6979">
              <w:rPr>
                <w:rFonts w:asciiTheme="majorBidi" w:eastAsia="Times New Roman" w:hAnsiTheme="majorBidi" w:cstheme="majorBidi"/>
              </w:rPr>
              <w:t>iCREST</w:t>
            </w:r>
            <w:proofErr w:type="spellEnd"/>
            <w:r w:rsidRPr="00BD6979">
              <w:rPr>
                <w:rFonts w:asciiTheme="majorBidi" w:eastAsia="Times New Roman" w:hAnsiTheme="majorBidi" w:cstheme="majorBidi"/>
              </w:rPr>
              <w:t xml:space="preserve">-IT): activity of ceftazidime/avibactam against </w:t>
            </w:r>
            <w:proofErr w:type="spellStart"/>
            <w:r w:rsidRPr="00BD6979">
              <w:rPr>
                <w:rFonts w:asciiTheme="majorBidi" w:eastAsia="Times New Roman" w:hAnsiTheme="majorBidi" w:cstheme="majorBidi"/>
                <w:i/>
                <w:iCs/>
              </w:rPr>
              <w:t>Enterobacterales</w:t>
            </w:r>
            <w:proofErr w:type="spellEnd"/>
            <w:r w:rsidRPr="00BD6979">
              <w:rPr>
                <w:rFonts w:asciiTheme="majorBidi" w:eastAsia="Times New Roman" w:hAnsiTheme="majorBidi" w:cstheme="majorBidi"/>
              </w:rPr>
              <w:t xml:space="preserve"> isolated from urine. Journal of Antimicrobial Chemotherapy. 2020 Apr 1;75(4):979-83.</w:t>
            </w:r>
          </w:p>
        </w:tc>
      </w:tr>
      <w:tr w:rsidR="00BD6979" w:rsidRPr="00BD6979" w14:paraId="0DCDD145" w14:textId="77777777" w:rsidTr="00103E42">
        <w:trPr>
          <w:trHeight w:val="360"/>
        </w:trPr>
        <w:tc>
          <w:tcPr>
            <w:tcW w:w="804" w:type="dxa"/>
            <w:hideMark/>
          </w:tcPr>
          <w:p w14:paraId="0C184DA9"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w:t>
            </w:r>
          </w:p>
        </w:tc>
        <w:tc>
          <w:tcPr>
            <w:tcW w:w="1241" w:type="dxa"/>
            <w:tcMar>
              <w:top w:w="30" w:type="dxa"/>
              <w:left w:w="45" w:type="dxa"/>
              <w:bottom w:w="30" w:type="dxa"/>
              <w:right w:w="45" w:type="dxa"/>
            </w:tcMar>
            <w:vAlign w:val="bottom"/>
            <w:hideMark/>
          </w:tcPr>
          <w:p w14:paraId="1B680CB0"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Sherry 2018</w:t>
            </w:r>
          </w:p>
        </w:tc>
        <w:tc>
          <w:tcPr>
            <w:tcW w:w="0" w:type="auto"/>
            <w:tcMar>
              <w:top w:w="30" w:type="dxa"/>
              <w:left w:w="45" w:type="dxa"/>
              <w:bottom w:w="30" w:type="dxa"/>
              <w:right w:w="45" w:type="dxa"/>
            </w:tcMar>
            <w:vAlign w:val="bottom"/>
            <w:hideMark/>
          </w:tcPr>
          <w:p w14:paraId="01BB6993"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xml:space="preserve">Sherry NL, Baines SL, Howden BP. Ceftazidime/avibactam susceptibility by three different susceptibility testing methods in </w:t>
            </w:r>
            <w:proofErr w:type="spellStart"/>
            <w:r w:rsidRPr="00BD6979">
              <w:rPr>
                <w:rFonts w:asciiTheme="majorBidi" w:eastAsia="Times New Roman" w:hAnsiTheme="majorBidi" w:cstheme="majorBidi"/>
              </w:rPr>
              <w:t>carbapenemase</w:t>
            </w:r>
            <w:proofErr w:type="spellEnd"/>
            <w:r w:rsidRPr="00BD6979">
              <w:rPr>
                <w:rFonts w:asciiTheme="majorBidi" w:eastAsia="Times New Roman" w:hAnsiTheme="majorBidi" w:cstheme="majorBidi"/>
              </w:rPr>
              <w:t>-producing Gram-negative bacteria from Australia. International journal of antimicrobial agents. 2018 Jul 1;52(1):82-5.</w:t>
            </w:r>
          </w:p>
        </w:tc>
      </w:tr>
    </w:tbl>
    <w:p w14:paraId="2BE205A2" w14:textId="77777777" w:rsidR="00BD6979" w:rsidRPr="00BD6979" w:rsidRDefault="00BD6979" w:rsidP="00BD6979">
      <w:pPr>
        <w:spacing w:after="0" w:line="240" w:lineRule="auto"/>
        <w:jc w:val="both"/>
        <w:rPr>
          <w:rFonts w:asciiTheme="majorBidi" w:eastAsia="Times New Roman" w:hAnsiTheme="majorBidi" w:cstheme="majorBidi"/>
          <w:sz w:val="24"/>
          <w:szCs w:val="24"/>
        </w:rPr>
      </w:pPr>
    </w:p>
    <w:p w14:paraId="18FEDFDC" w14:textId="77777777" w:rsidR="00BD6979" w:rsidRPr="00BD6979" w:rsidRDefault="00BD6979" w:rsidP="00BD6979">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xml:space="preserve">To illustrate the type of analysis we were hoping for, please find attached some shell data tables we hope will be useful. </w:t>
      </w:r>
    </w:p>
    <w:p w14:paraId="04DEC3C2" w14:textId="77777777" w:rsidR="00BD6979" w:rsidRPr="00BD6979" w:rsidRDefault="00BD6979" w:rsidP="00BD6979">
      <w:pPr>
        <w:spacing w:after="0" w:line="240" w:lineRule="auto"/>
        <w:jc w:val="both"/>
        <w:rPr>
          <w:rFonts w:asciiTheme="majorBidi" w:eastAsia="Times New Roman" w:hAnsiTheme="majorBidi" w:cstheme="majorBidi"/>
        </w:rPr>
      </w:pPr>
    </w:p>
    <w:p w14:paraId="71088BDE" w14:textId="77777777" w:rsidR="00BD6979" w:rsidRPr="00BD6979" w:rsidRDefault="00BD6979" w:rsidP="00BD6979">
      <w:pPr>
        <w:spacing w:after="0" w:line="240" w:lineRule="auto"/>
        <w:jc w:val="both"/>
        <w:rPr>
          <w:rFonts w:asciiTheme="majorBidi" w:hAnsiTheme="majorBidi" w:cstheme="majorBidi"/>
        </w:rPr>
      </w:pPr>
    </w:p>
    <w:tbl>
      <w:tblPr>
        <w:tblW w:w="0" w:type="dxa"/>
        <w:tblCellMar>
          <w:left w:w="0" w:type="dxa"/>
          <w:right w:w="0" w:type="dxa"/>
        </w:tblCellMar>
        <w:tblLook w:val="04A0" w:firstRow="1" w:lastRow="0" w:firstColumn="1" w:lastColumn="0" w:noHBand="0" w:noVBand="1"/>
      </w:tblPr>
      <w:tblGrid>
        <w:gridCol w:w="7195"/>
        <w:gridCol w:w="96"/>
        <w:gridCol w:w="96"/>
        <w:gridCol w:w="628"/>
        <w:gridCol w:w="995"/>
      </w:tblGrid>
      <w:tr w:rsidR="00BD6979" w:rsidRPr="00BD6979" w14:paraId="220777CD"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EAABCC" w14:textId="77777777" w:rsidR="00BD6979" w:rsidRPr="00BD6979" w:rsidRDefault="00BD6979" w:rsidP="00103E42">
            <w:pPr>
              <w:spacing w:after="0" w:line="240" w:lineRule="auto"/>
              <w:jc w:val="both"/>
              <w:rPr>
                <w:rFonts w:asciiTheme="majorBidi" w:eastAsia="Times New Roman" w:hAnsiTheme="majorBidi" w:cstheme="majorBidi"/>
                <w:i/>
                <w:iCs/>
              </w:rPr>
            </w:pPr>
            <w:r w:rsidRPr="00BD6979">
              <w:rPr>
                <w:rFonts w:asciiTheme="majorBidi" w:eastAsia="Times New Roman" w:hAnsiTheme="majorBidi" w:cstheme="majorBidi"/>
                <w:i/>
                <w:iCs/>
              </w:rPr>
              <w:t xml:space="preserve">Inc. carbapenems as comparators in the </w:t>
            </w:r>
            <w:proofErr w:type="spellStart"/>
            <w:r w:rsidRPr="00BD6979">
              <w:rPr>
                <w:rFonts w:asciiTheme="majorBidi" w:eastAsia="Times New Roman" w:hAnsiTheme="majorBidi" w:cstheme="majorBidi"/>
                <w:i/>
                <w:iCs/>
              </w:rPr>
              <w:t>analsysis</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CD9D89" w14:textId="77777777" w:rsidR="00BD6979" w:rsidRPr="00BD6979" w:rsidRDefault="00BD6979" w:rsidP="00103E42">
            <w:pPr>
              <w:spacing w:after="0" w:line="240" w:lineRule="auto"/>
              <w:jc w:val="both"/>
              <w:rPr>
                <w:rFonts w:asciiTheme="majorBidi" w:eastAsia="Times New Roman" w:hAnsiTheme="majorBidi" w:cstheme="majorBidi"/>
                <w:i/>
                <w:iC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213DF4"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2816C"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Count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3BE685"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CAZ-AVI sus</w:t>
            </w:r>
          </w:p>
        </w:tc>
      </w:tr>
      <w:tr w:rsidR="00BD6979" w:rsidRPr="00BD6979" w14:paraId="64FE6164"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8BB424"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 xml:space="preserve">Susceptible to a non-toxic HVCS comparator (meropenem, fluoroquinolones (levofloxacin and ciprofloxacin), tigecycline, </w:t>
            </w:r>
            <w:proofErr w:type="spellStart"/>
            <w:r w:rsidRPr="00BD6979">
              <w:rPr>
                <w:rFonts w:asciiTheme="majorBidi" w:eastAsia="Times New Roman" w:hAnsiTheme="majorBidi" w:cstheme="majorBidi"/>
              </w:rPr>
              <w:t>fosfomycin</w:t>
            </w:r>
            <w:proofErr w:type="spellEnd"/>
            <w:r w:rsidRPr="00BD6979">
              <w:rPr>
                <w:rFonts w:asciiTheme="majorBidi" w:eastAsia="Times New Roman" w:hAnsiTheme="majorBidi" w:cstheme="majorBidi"/>
              </w:rPr>
              <w:t>,</w:t>
            </w:r>
            <w:r w:rsidRPr="00BD6979">
              <w:rPr>
                <w:rFonts w:asciiTheme="majorBidi" w:eastAsia="Times New Roman" w:hAnsiTheme="majorBidi" w:cstheme="majorBidi"/>
              </w:rPr>
              <w:br/>
              <w:t xml:space="preserve">cephalosporins (ceftriaxone, cefepime, ceftazidime, exc. </w:t>
            </w:r>
            <w:proofErr w:type="spellStart"/>
            <w:r w:rsidRPr="00BD6979">
              <w:rPr>
                <w:rFonts w:asciiTheme="majorBidi" w:eastAsia="Times New Roman" w:hAnsiTheme="majorBidi" w:cstheme="majorBidi"/>
              </w:rPr>
              <w:t>caz-avi</w:t>
            </w:r>
            <w:proofErr w:type="spellEnd"/>
            <w:r w:rsidRPr="00BD6979">
              <w:rPr>
                <w:rFonts w:asciiTheme="majorBidi" w:eastAsia="Times New Roman" w:hAnsiTheme="majorBidi" w:cstheme="majorBidi"/>
              </w:rPr>
              <w:t>), aztreonam)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A732F"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71D56C"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157A1C"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FA50E5" w14:textId="77777777" w:rsidR="00BD6979" w:rsidRPr="00BD6979" w:rsidRDefault="00BD6979" w:rsidP="00103E42">
            <w:pPr>
              <w:spacing w:after="0" w:line="240" w:lineRule="auto"/>
              <w:jc w:val="both"/>
              <w:rPr>
                <w:rFonts w:asciiTheme="majorBidi" w:eastAsia="Times New Roman" w:hAnsiTheme="majorBidi" w:cstheme="majorBidi"/>
              </w:rPr>
            </w:pPr>
          </w:p>
        </w:tc>
      </w:tr>
      <w:tr w:rsidR="00BD6979" w:rsidRPr="00BD6979" w14:paraId="15ABDE05"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B3171"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Susceptible to only colistin / aminoglycoside (gentamycin, amikacin)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D4760C"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C17476"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9DC55C"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A922E2" w14:textId="77777777" w:rsidR="00BD6979" w:rsidRPr="00BD6979" w:rsidRDefault="00BD6979" w:rsidP="00103E42">
            <w:pPr>
              <w:spacing w:after="0" w:line="240" w:lineRule="auto"/>
              <w:jc w:val="both"/>
              <w:rPr>
                <w:rFonts w:asciiTheme="majorBidi" w:eastAsia="Times New Roman" w:hAnsiTheme="majorBidi" w:cstheme="majorBidi"/>
              </w:rPr>
            </w:pPr>
          </w:p>
        </w:tc>
      </w:tr>
      <w:tr w:rsidR="00BD6979" w:rsidRPr="00BD6979" w14:paraId="3583D7A2"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115D8"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Not susceptible to any of the above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5FE9DD"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9BC0CA"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3FE8CF"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D34ED4" w14:textId="77777777" w:rsidR="00BD6979" w:rsidRPr="00BD6979" w:rsidRDefault="00BD6979" w:rsidP="00103E42">
            <w:pPr>
              <w:spacing w:after="0" w:line="240" w:lineRule="auto"/>
              <w:jc w:val="both"/>
              <w:rPr>
                <w:rFonts w:asciiTheme="majorBidi" w:eastAsia="Times New Roman" w:hAnsiTheme="majorBidi" w:cstheme="majorBidi"/>
              </w:rPr>
            </w:pPr>
          </w:p>
        </w:tc>
      </w:tr>
    </w:tbl>
    <w:p w14:paraId="1DF439AC" w14:textId="77777777" w:rsidR="00BD6979" w:rsidRPr="00BD6979" w:rsidRDefault="00BD6979" w:rsidP="00BD6979">
      <w:pPr>
        <w:jc w:val="both"/>
        <w:rPr>
          <w:rFonts w:asciiTheme="majorBidi" w:hAnsiTheme="majorBidi" w:cstheme="majorBidi"/>
        </w:rPr>
      </w:pPr>
    </w:p>
    <w:tbl>
      <w:tblPr>
        <w:tblW w:w="0" w:type="dxa"/>
        <w:tblCellMar>
          <w:left w:w="0" w:type="dxa"/>
          <w:right w:w="0" w:type="dxa"/>
        </w:tblCellMar>
        <w:tblLook w:val="04A0" w:firstRow="1" w:lastRow="0" w:firstColumn="1" w:lastColumn="0" w:noHBand="0" w:noVBand="1"/>
      </w:tblPr>
      <w:tblGrid>
        <w:gridCol w:w="7064"/>
        <w:gridCol w:w="96"/>
        <w:gridCol w:w="96"/>
        <w:gridCol w:w="628"/>
        <w:gridCol w:w="1126"/>
      </w:tblGrid>
      <w:tr w:rsidR="00BD6979" w:rsidRPr="00BD6979" w14:paraId="1CF1685D"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552A77" w14:textId="77777777" w:rsidR="00BD6979" w:rsidRPr="00BD6979" w:rsidRDefault="00BD6979" w:rsidP="00103E42">
            <w:pPr>
              <w:spacing w:after="0" w:line="240" w:lineRule="auto"/>
              <w:jc w:val="both"/>
              <w:rPr>
                <w:rFonts w:asciiTheme="majorBidi" w:eastAsia="Times New Roman" w:hAnsiTheme="majorBidi" w:cstheme="majorBidi"/>
                <w:i/>
                <w:iCs/>
              </w:rPr>
            </w:pPr>
            <w:r w:rsidRPr="00BD6979">
              <w:rPr>
                <w:rFonts w:asciiTheme="majorBidi" w:eastAsia="Times New Roman" w:hAnsiTheme="majorBidi" w:cstheme="majorBidi"/>
                <w:i/>
                <w:iCs/>
              </w:rPr>
              <w:t>Exc. Carbapenems as comparators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4AECCD" w14:textId="77777777" w:rsidR="00BD6979" w:rsidRPr="00BD6979" w:rsidRDefault="00BD6979" w:rsidP="00103E42">
            <w:pPr>
              <w:spacing w:after="0" w:line="240" w:lineRule="auto"/>
              <w:jc w:val="both"/>
              <w:rPr>
                <w:rFonts w:asciiTheme="majorBidi" w:eastAsia="Times New Roman" w:hAnsiTheme="majorBidi" w:cstheme="majorBidi"/>
                <w:i/>
                <w:iC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6B3895" w14:textId="77777777" w:rsidR="00BD6979" w:rsidRPr="00BD6979" w:rsidRDefault="00BD6979" w:rsidP="00103E42">
            <w:pPr>
              <w:spacing w:after="0" w:line="240" w:lineRule="auto"/>
              <w:jc w:val="both"/>
              <w:rPr>
                <w:rFonts w:asciiTheme="majorBidi" w:eastAsia="Times New Roman" w:hAnsiTheme="majorBidi" w:cstheme="majorBid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668A3E"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Count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D22565" w14:textId="77777777" w:rsidR="00BD6979" w:rsidRPr="00BD6979" w:rsidRDefault="00BD6979" w:rsidP="00103E42">
            <w:pPr>
              <w:spacing w:after="0" w:line="240" w:lineRule="auto"/>
              <w:jc w:val="both"/>
              <w:rPr>
                <w:rFonts w:asciiTheme="majorBidi" w:eastAsia="Times New Roman" w:hAnsiTheme="majorBidi" w:cstheme="majorBidi"/>
              </w:rPr>
            </w:pPr>
            <w:r w:rsidRPr="00BD6979">
              <w:rPr>
                <w:rFonts w:asciiTheme="majorBidi" w:eastAsia="Times New Roman" w:hAnsiTheme="majorBidi" w:cstheme="majorBidi"/>
              </w:rPr>
              <w:t>CAZ-AVI sus</w:t>
            </w:r>
          </w:p>
        </w:tc>
      </w:tr>
      <w:tr w:rsidR="00BD6979" w:rsidRPr="00BD6979" w14:paraId="31BBD9C3"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3D7500" w14:textId="77777777" w:rsidR="00BD6979" w:rsidRPr="00BD6979" w:rsidRDefault="00BD6979" w:rsidP="00103E42">
            <w:pPr>
              <w:spacing w:after="0" w:line="240" w:lineRule="auto"/>
              <w:jc w:val="both"/>
              <w:rPr>
                <w:rFonts w:eastAsia="Times New Roman" w:cstheme="minorHAnsi"/>
              </w:rPr>
            </w:pPr>
            <w:r w:rsidRPr="00BD6979">
              <w:rPr>
                <w:rFonts w:eastAsia="Times New Roman" w:cstheme="minorHAnsi"/>
              </w:rPr>
              <w:t xml:space="preserve">Susceptible to a HVCS drug (fluoroquinolones (levofloxacin and ciprofloxacin), tigecycline, </w:t>
            </w:r>
            <w:proofErr w:type="spellStart"/>
            <w:r w:rsidRPr="00BD6979">
              <w:rPr>
                <w:rFonts w:eastAsia="Times New Roman" w:cstheme="minorHAnsi"/>
              </w:rPr>
              <w:t>fosfomycin</w:t>
            </w:r>
            <w:proofErr w:type="spellEnd"/>
            <w:r w:rsidRPr="00BD6979">
              <w:rPr>
                <w:rFonts w:eastAsia="Times New Roman" w:cstheme="minorHAnsi"/>
              </w:rPr>
              <w:t>,</w:t>
            </w:r>
            <w:r w:rsidRPr="00BD6979">
              <w:rPr>
                <w:rFonts w:eastAsia="Times New Roman" w:cstheme="minorHAnsi"/>
              </w:rPr>
              <w:br/>
              <w:t xml:space="preserve">cephalosporins (ceftriaxone, cefepime, ceftazidime, exc. </w:t>
            </w:r>
            <w:proofErr w:type="spellStart"/>
            <w:r w:rsidRPr="00BD6979">
              <w:rPr>
                <w:rFonts w:eastAsia="Times New Roman" w:cstheme="minorHAnsi"/>
              </w:rPr>
              <w:t>caz-avi</w:t>
            </w:r>
            <w:proofErr w:type="spellEnd"/>
            <w:r w:rsidRPr="00BD6979">
              <w:rPr>
                <w:rFonts w:eastAsia="Times New Roman" w:cstheme="minorHAnsi"/>
              </w:rPr>
              <w:t>), aztreonam)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BE6A32"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FD0144"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266658"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31133C" w14:textId="77777777" w:rsidR="00BD6979" w:rsidRPr="00BD6979" w:rsidRDefault="00BD6979" w:rsidP="00103E42">
            <w:pPr>
              <w:spacing w:after="0" w:line="240" w:lineRule="auto"/>
              <w:jc w:val="both"/>
              <w:rPr>
                <w:rFonts w:eastAsia="Times New Roman" w:cstheme="minorHAnsi"/>
              </w:rPr>
            </w:pPr>
          </w:p>
        </w:tc>
      </w:tr>
      <w:tr w:rsidR="00BD6979" w:rsidRPr="00BD6979" w14:paraId="547A10FC"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9DD626" w14:textId="77777777" w:rsidR="00BD6979" w:rsidRPr="00BD6979" w:rsidRDefault="00BD6979" w:rsidP="00103E42">
            <w:pPr>
              <w:spacing w:after="0" w:line="240" w:lineRule="auto"/>
              <w:jc w:val="both"/>
              <w:rPr>
                <w:rFonts w:eastAsia="Times New Roman" w:cstheme="minorHAnsi"/>
              </w:rPr>
            </w:pPr>
            <w:r w:rsidRPr="00BD6979">
              <w:rPr>
                <w:rFonts w:eastAsia="Times New Roman" w:cstheme="minorHAnsi"/>
              </w:rPr>
              <w:t>Susceptible to only colistin / aminoglycoside (gentamycin, amikacin)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2D2E25"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02013"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EB628E"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309969" w14:textId="77777777" w:rsidR="00BD6979" w:rsidRPr="00BD6979" w:rsidRDefault="00BD6979" w:rsidP="00103E42">
            <w:pPr>
              <w:spacing w:after="0" w:line="240" w:lineRule="auto"/>
              <w:jc w:val="both"/>
              <w:rPr>
                <w:rFonts w:eastAsia="Times New Roman" w:cstheme="minorHAnsi"/>
              </w:rPr>
            </w:pPr>
          </w:p>
        </w:tc>
      </w:tr>
      <w:tr w:rsidR="00BD6979" w:rsidRPr="00BD6979" w14:paraId="7E798541" w14:textId="77777777" w:rsidTr="00103E4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EA6418" w14:textId="77777777" w:rsidR="00BD6979" w:rsidRPr="00BD6979" w:rsidRDefault="00BD6979" w:rsidP="00103E42">
            <w:pPr>
              <w:spacing w:after="0" w:line="240" w:lineRule="auto"/>
              <w:jc w:val="both"/>
              <w:rPr>
                <w:rFonts w:eastAsia="Times New Roman" w:cstheme="minorHAnsi"/>
              </w:rPr>
            </w:pPr>
            <w:r w:rsidRPr="00BD6979">
              <w:rPr>
                <w:rFonts w:eastAsia="Times New Roman" w:cstheme="minorHAnsi"/>
              </w:rPr>
              <w:t>Not susceptible to any of the above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ED0AC"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683C2A"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8DD64" w14:textId="77777777" w:rsidR="00BD6979" w:rsidRPr="00BD6979" w:rsidRDefault="00BD6979" w:rsidP="00103E42">
            <w:pPr>
              <w:spacing w:after="0" w:line="240" w:lineRule="auto"/>
              <w:jc w:val="both"/>
              <w:rPr>
                <w:rFonts w:eastAsia="Times New Roman" w:cstheme="minorHAns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21FC4" w14:textId="77777777" w:rsidR="00BD6979" w:rsidRPr="00BD6979" w:rsidRDefault="00BD6979" w:rsidP="00103E42">
            <w:pPr>
              <w:spacing w:after="0" w:line="240" w:lineRule="auto"/>
              <w:jc w:val="both"/>
              <w:rPr>
                <w:rFonts w:eastAsia="Times New Roman" w:cstheme="minorHAnsi"/>
              </w:rPr>
            </w:pPr>
          </w:p>
        </w:tc>
      </w:tr>
    </w:tbl>
    <w:p w14:paraId="16FA13C4" w14:textId="77777777" w:rsidR="00BD6979" w:rsidRPr="00F92DB0" w:rsidRDefault="00BD6979" w:rsidP="00BD6979">
      <w:pPr>
        <w:jc w:val="both"/>
        <w:rPr>
          <w:b/>
          <w:bCs/>
          <w:color w:val="A6A6A6" w:themeColor="background1" w:themeShade="A6"/>
        </w:rPr>
      </w:pPr>
    </w:p>
    <w:p w14:paraId="0048A789" w14:textId="0B7093B7" w:rsidR="009F01D8" w:rsidRPr="002E4F02" w:rsidRDefault="009F01D8" w:rsidP="009F01D8">
      <w:pPr>
        <w:jc w:val="both"/>
        <w:rPr>
          <w:rFonts w:asciiTheme="majorBidi" w:hAnsiTheme="majorBidi" w:cstheme="majorBidi"/>
          <w:b/>
          <w:bCs/>
        </w:rPr>
      </w:pPr>
      <w:r w:rsidRPr="002E4F02">
        <w:rPr>
          <w:rFonts w:asciiTheme="majorBidi" w:hAnsiTheme="majorBidi" w:cstheme="majorBidi"/>
          <w:b/>
          <w:bCs/>
        </w:rPr>
        <w:t>Pfizer’s response received 30</w:t>
      </w:r>
      <w:r w:rsidRPr="002E4F02">
        <w:rPr>
          <w:rFonts w:asciiTheme="majorBidi" w:hAnsiTheme="majorBidi" w:cstheme="majorBidi"/>
          <w:b/>
          <w:bCs/>
          <w:vertAlign w:val="superscript"/>
        </w:rPr>
        <w:t>th</w:t>
      </w:r>
      <w:r w:rsidRPr="002E4F02">
        <w:rPr>
          <w:rFonts w:asciiTheme="majorBidi" w:hAnsiTheme="majorBidi" w:cstheme="majorBidi"/>
          <w:b/>
          <w:bCs/>
        </w:rPr>
        <w:t xml:space="preserve"> July 2021: </w:t>
      </w:r>
    </w:p>
    <w:p w14:paraId="58BD6377" w14:textId="678BC2BE" w:rsidR="009F01D8" w:rsidRPr="002E4F02" w:rsidRDefault="00FF7AEE" w:rsidP="00FF7AEE">
      <w:pPr>
        <w:spacing w:before="100" w:beforeAutospacing="1" w:after="100" w:afterAutospacing="1" w:line="360" w:lineRule="auto"/>
        <w:jc w:val="both"/>
        <w:rPr>
          <w:rFonts w:asciiTheme="majorBidi" w:eastAsia="Times New Roman" w:hAnsiTheme="majorBidi" w:cstheme="majorBidi"/>
          <w:lang w:eastAsia="zh-CN"/>
        </w:rPr>
      </w:pPr>
      <w:r w:rsidRPr="00FF7AEE">
        <w:rPr>
          <w:rFonts w:asciiTheme="majorBidi" w:eastAsia="Times New Roman" w:hAnsiTheme="majorBidi" w:cstheme="majorBidi"/>
          <w:lang w:eastAsia="zh-CN"/>
        </w:rPr>
        <w:lastRenderedPageBreak/>
        <w:t>Pfizer provided a summary of the isolate susceptibility information requested, based on data held within ATLAS.</w:t>
      </w:r>
      <w:r w:rsidR="00195A57">
        <w:rPr>
          <w:rFonts w:asciiTheme="majorBidi" w:eastAsia="Times New Roman" w:hAnsiTheme="majorBidi" w:cstheme="majorBidi"/>
          <w:lang w:eastAsia="zh-CN"/>
        </w:rPr>
        <w:t xml:space="preserve"> Pfizer provided the data in a different format than requested by EEPRU.</w:t>
      </w:r>
      <w:r w:rsidRPr="00FF7AEE">
        <w:rPr>
          <w:rFonts w:asciiTheme="majorBidi" w:eastAsia="Times New Roman" w:hAnsiTheme="majorBidi" w:cstheme="majorBidi"/>
          <w:lang w:eastAsia="zh-CN"/>
        </w:rPr>
        <w:t xml:space="preserve"> Pfizer highlighted it is a summary of the global data</w:t>
      </w:r>
      <w:r w:rsidR="009F01D8" w:rsidRPr="002E4F02">
        <w:rPr>
          <w:rFonts w:asciiTheme="majorBidi" w:eastAsia="Times New Roman" w:hAnsiTheme="majorBidi" w:cstheme="majorBidi"/>
          <w:lang w:eastAsia="zh-CN"/>
        </w:rPr>
        <w:t>.  </w:t>
      </w:r>
    </w:p>
    <w:p w14:paraId="749DA2D8" w14:textId="77777777" w:rsidR="009F01D8" w:rsidRPr="00F92DB0" w:rsidRDefault="009F01D8" w:rsidP="009F01D8">
      <w:pPr>
        <w:spacing w:before="100" w:beforeAutospacing="1" w:after="100" w:afterAutospacing="1" w:line="240" w:lineRule="auto"/>
        <w:jc w:val="both"/>
        <w:rPr>
          <w:rFonts w:eastAsia="Times New Roman"/>
          <w:color w:val="A6A6A6" w:themeColor="background1" w:themeShade="A6"/>
          <w:sz w:val="24"/>
          <w:szCs w:val="24"/>
          <w:lang w:eastAsia="zh-CN"/>
        </w:rPr>
      </w:pPr>
      <w:r w:rsidRPr="00F92DB0">
        <w:rPr>
          <w:rFonts w:eastAsia="Times New Roman"/>
          <w:color w:val="A6A6A6" w:themeColor="background1" w:themeShade="A6"/>
          <w:sz w:val="24"/>
          <w:szCs w:val="24"/>
          <w:lang w:eastAsia="zh-CN"/>
        </w:rPr>
        <w:t> </w:t>
      </w:r>
    </w:p>
    <w:tbl>
      <w:tblPr>
        <w:tblW w:w="5000" w:type="pct"/>
        <w:shd w:val="clear" w:color="auto" w:fill="D9D9D9" w:themeFill="background1" w:themeFillShade="D9"/>
        <w:tblCellMar>
          <w:left w:w="0" w:type="dxa"/>
          <w:right w:w="0" w:type="dxa"/>
        </w:tblCellMar>
        <w:tblLook w:val="04A0" w:firstRow="1" w:lastRow="0" w:firstColumn="1" w:lastColumn="0" w:noHBand="0" w:noVBand="1"/>
      </w:tblPr>
      <w:tblGrid>
        <w:gridCol w:w="876"/>
        <w:gridCol w:w="1270"/>
        <w:gridCol w:w="5499"/>
        <w:gridCol w:w="1366"/>
      </w:tblGrid>
      <w:tr w:rsidR="009F01D8" w:rsidRPr="009F6FA6" w14:paraId="659EFEF8" w14:textId="77777777" w:rsidTr="00F82EBE">
        <w:trPr>
          <w:trHeight w:val="360"/>
        </w:trPr>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7D37C5"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9F6FA6">
              <w:rPr>
                <w:rFonts w:asciiTheme="majorBidi" w:eastAsia="Times New Roman" w:hAnsiTheme="majorBidi" w:cstheme="majorBidi"/>
                <w:lang w:eastAsia="zh-CN"/>
              </w:rPr>
              <w:t> </w:t>
            </w:r>
          </w:p>
        </w:tc>
        <w:tc>
          <w:tcPr>
            <w:tcW w:w="421" w:type="pct"/>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04D171C9"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9F6FA6">
              <w:rPr>
                <w:rFonts w:asciiTheme="majorBidi" w:eastAsia="Times New Roman" w:hAnsiTheme="majorBidi" w:cstheme="majorBidi"/>
                <w:lang w:eastAsia="zh-CN"/>
              </w:rPr>
              <w:t> </w:t>
            </w:r>
          </w:p>
        </w:tc>
        <w:tc>
          <w:tcPr>
            <w:tcW w:w="3291" w:type="pct"/>
            <w:tcBorders>
              <w:top w:val="single" w:sz="8" w:space="0" w:color="auto"/>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7206F11A"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9F6FA6">
              <w:rPr>
                <w:rFonts w:asciiTheme="majorBidi" w:eastAsia="Times New Roman" w:hAnsiTheme="majorBidi" w:cstheme="majorBidi"/>
                <w:b/>
                <w:bCs/>
                <w:u w:val="single"/>
                <w:lang w:eastAsia="zh-CN"/>
              </w:rPr>
              <w:t>Paper Summary</w:t>
            </w:r>
          </w:p>
        </w:tc>
        <w:tc>
          <w:tcPr>
            <w:tcW w:w="997" w:type="pct"/>
            <w:tcBorders>
              <w:top w:val="single" w:sz="8" w:space="0" w:color="auto"/>
              <w:left w:val="nil"/>
              <w:bottom w:val="single" w:sz="8" w:space="0" w:color="auto"/>
              <w:right w:val="single" w:sz="8" w:space="0" w:color="auto"/>
            </w:tcBorders>
            <w:shd w:val="clear" w:color="auto" w:fill="D9D9D9" w:themeFill="background1" w:themeFillShade="D9"/>
            <w:hideMark/>
          </w:tcPr>
          <w:p w14:paraId="0F5C5E6C"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9F6FA6">
              <w:rPr>
                <w:rFonts w:asciiTheme="majorBidi" w:eastAsia="Times New Roman" w:hAnsiTheme="majorBidi" w:cstheme="majorBidi"/>
                <w:b/>
                <w:bCs/>
                <w:u w:val="single"/>
                <w:lang w:eastAsia="zh-CN"/>
              </w:rPr>
              <w:t>Comment from Pfizer</w:t>
            </w:r>
          </w:p>
        </w:tc>
      </w:tr>
      <w:tr w:rsidR="009F01D8" w:rsidRPr="009F6FA6" w14:paraId="19C2B3AA" w14:textId="77777777" w:rsidTr="00F82EBE">
        <w:trPr>
          <w:trHeight w:val="360"/>
        </w:trPr>
        <w:tc>
          <w:tcPr>
            <w:tcW w:w="291" w:type="pct"/>
            <w:vMerge w:val="restart"/>
            <w:tcBorders>
              <w:top w:val="single" w:sz="4" w:space="0" w:color="auto"/>
              <w:left w:val="single" w:sz="8" w:space="0" w:color="CCCCCC"/>
              <w:bottom w:val="single" w:sz="8" w:space="0" w:color="CCCCCC"/>
              <w:right w:val="single" w:sz="8" w:space="0" w:color="CCCCCC"/>
            </w:tcBorders>
            <w:shd w:val="clear" w:color="auto" w:fill="D9D9D9" w:themeFill="background1" w:themeFillShade="D9"/>
            <w:hideMark/>
          </w:tcPr>
          <w:p w14:paraId="1FA8509B"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9F6FA6">
              <w:rPr>
                <w:rFonts w:asciiTheme="majorBidi" w:eastAsia="Times New Roman" w:hAnsiTheme="majorBidi" w:cstheme="majorBidi"/>
                <w:lang w:eastAsia="zh-CN"/>
              </w:rPr>
              <w:t>INFORM studies</w:t>
            </w: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1728FBFD"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9F6FA6">
              <w:rPr>
                <w:rFonts w:asciiTheme="majorBidi" w:eastAsia="Times New Roman" w:hAnsiTheme="majorBidi" w:cstheme="majorBidi"/>
                <w:lang w:eastAsia="zh-CN"/>
              </w:rPr>
              <w:t>Kazmierczak</w:t>
            </w:r>
            <w:proofErr w:type="spellEnd"/>
            <w:r w:rsidRPr="009F6FA6">
              <w:rPr>
                <w:rFonts w:asciiTheme="majorBidi" w:eastAsia="Times New Roman" w:hAnsiTheme="majorBidi" w:cstheme="majorBidi"/>
                <w:lang w:eastAsia="zh-CN"/>
              </w:rPr>
              <w:t xml:space="preserve"> 2018 (INFORM)</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1A57DCCC"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9F6FA6">
              <w:rPr>
                <w:rFonts w:asciiTheme="majorBidi" w:eastAsia="Times New Roman" w:hAnsiTheme="majorBidi" w:cstheme="majorBidi"/>
                <w:lang w:eastAsia="zh-CN"/>
              </w:rPr>
              <w:t>Kazmierczak</w:t>
            </w:r>
            <w:proofErr w:type="spellEnd"/>
            <w:r w:rsidRPr="009F6FA6">
              <w:rPr>
                <w:rFonts w:asciiTheme="majorBidi" w:eastAsia="Times New Roman" w:hAnsiTheme="majorBidi" w:cstheme="majorBidi"/>
                <w:lang w:eastAsia="zh-CN"/>
              </w:rPr>
              <w:t xml:space="preserve"> KM, Bradford PA, Stone GG, de </w:t>
            </w:r>
            <w:proofErr w:type="spellStart"/>
            <w:r w:rsidRPr="009F6FA6">
              <w:rPr>
                <w:rFonts w:asciiTheme="majorBidi" w:eastAsia="Times New Roman" w:hAnsiTheme="majorBidi" w:cstheme="majorBidi"/>
                <w:lang w:eastAsia="zh-CN"/>
              </w:rPr>
              <w:t>Jonge</w:t>
            </w:r>
            <w:proofErr w:type="spellEnd"/>
            <w:r w:rsidRPr="009F6FA6">
              <w:rPr>
                <w:rFonts w:asciiTheme="majorBidi" w:eastAsia="Times New Roman" w:hAnsiTheme="majorBidi" w:cstheme="majorBidi"/>
                <w:lang w:eastAsia="zh-CN"/>
              </w:rPr>
              <w:t xml:space="preserve"> BL, </w:t>
            </w:r>
            <w:proofErr w:type="spellStart"/>
            <w:r w:rsidRPr="009F6FA6">
              <w:rPr>
                <w:rFonts w:asciiTheme="majorBidi" w:eastAsia="Times New Roman" w:hAnsiTheme="majorBidi" w:cstheme="majorBidi"/>
                <w:lang w:eastAsia="zh-CN"/>
              </w:rPr>
              <w:t>Sahm</w:t>
            </w:r>
            <w:proofErr w:type="spellEnd"/>
            <w:r w:rsidRPr="009F6FA6">
              <w:rPr>
                <w:rFonts w:asciiTheme="majorBidi" w:eastAsia="Times New Roman" w:hAnsiTheme="majorBidi" w:cstheme="majorBidi"/>
                <w:lang w:eastAsia="zh-CN"/>
              </w:rPr>
              <w:t xml:space="preserve"> DF. In vitro activity of ceftazidime-avibactam and aztreonam-avibactam against OXA-48-carrying Enterobacteriaceae isolated as part of the International Network for Optimal Resistance Monitoring (INFORM) global surveillance program from 2012 to 2015. Antimicrobial agents and chemotherapy. 2018 Nov 26;62(12</w:t>
            </w:r>
            <w:proofErr w:type="gramStart"/>
            <w:r w:rsidRPr="009F6FA6">
              <w:rPr>
                <w:rFonts w:asciiTheme="majorBidi" w:eastAsia="Times New Roman" w:hAnsiTheme="majorBidi" w:cstheme="majorBidi"/>
                <w:lang w:eastAsia="zh-CN"/>
              </w:rPr>
              <w:t>):e</w:t>
            </w:r>
            <w:proofErr w:type="gramEnd"/>
            <w:r w:rsidRPr="009F6FA6">
              <w:rPr>
                <w:rFonts w:asciiTheme="majorBidi" w:eastAsia="Times New Roman" w:hAnsiTheme="majorBidi" w:cstheme="majorBidi"/>
                <w:lang w:eastAsia="zh-CN"/>
              </w:rPr>
              <w:t>00592-18.</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37BE4751" w14:textId="77777777" w:rsidR="009F01D8" w:rsidRPr="009F6FA6"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eastAsia="zh-CN"/>
              </w:rPr>
              <w:t>ATLAS data, analysis provided</w:t>
            </w:r>
          </w:p>
        </w:tc>
      </w:tr>
      <w:tr w:rsidR="009F01D8" w:rsidRPr="00F82EBE" w14:paraId="5E1F6CAF" w14:textId="77777777" w:rsidTr="00F82EBE">
        <w:trPr>
          <w:trHeight w:val="360"/>
        </w:trPr>
        <w:tc>
          <w:tcPr>
            <w:tcW w:w="291" w:type="pct"/>
            <w:vMerge/>
            <w:tcBorders>
              <w:top w:val="nil"/>
              <w:left w:val="single" w:sz="8" w:space="0" w:color="CCCCCC"/>
              <w:bottom w:val="single" w:sz="8" w:space="0" w:color="CCCCCC"/>
              <w:right w:val="single" w:sz="8" w:space="0" w:color="CCCCCC"/>
            </w:tcBorders>
            <w:shd w:val="clear" w:color="auto" w:fill="D9D9D9" w:themeFill="background1" w:themeFillShade="D9"/>
            <w:vAlign w:val="center"/>
            <w:hideMark/>
          </w:tcPr>
          <w:p w14:paraId="5D732DF0" w14:textId="77777777" w:rsidR="009F01D8" w:rsidRPr="00F82EBE" w:rsidRDefault="009F01D8" w:rsidP="009F01D8">
            <w:pPr>
              <w:spacing w:after="0" w:line="240" w:lineRule="auto"/>
              <w:jc w:val="both"/>
              <w:rPr>
                <w:rFonts w:asciiTheme="majorBidi" w:eastAsia="Times New Roman" w:hAnsiTheme="majorBidi" w:cstheme="majorBidi"/>
                <w:lang w:eastAsia="zh-CN"/>
              </w:rPr>
            </w:pP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26B63E55"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 xml:space="preserve">de </w:t>
            </w:r>
            <w:proofErr w:type="spellStart"/>
            <w:r w:rsidRPr="00F82EBE">
              <w:rPr>
                <w:rFonts w:asciiTheme="majorBidi" w:eastAsia="Times New Roman" w:hAnsiTheme="majorBidi" w:cstheme="majorBidi"/>
                <w:lang w:eastAsia="zh-CN"/>
              </w:rPr>
              <w:t>Jonge</w:t>
            </w:r>
            <w:proofErr w:type="spellEnd"/>
            <w:r w:rsidRPr="00F82EBE">
              <w:rPr>
                <w:rFonts w:asciiTheme="majorBidi" w:eastAsia="Times New Roman" w:hAnsiTheme="majorBidi" w:cstheme="majorBidi"/>
                <w:lang w:eastAsia="zh-CN"/>
              </w:rPr>
              <w:t xml:space="preserve"> 2016 (INFORM)</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38821D2B"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 xml:space="preserve">de </w:t>
            </w:r>
            <w:proofErr w:type="spellStart"/>
            <w:r w:rsidRPr="00F82EBE">
              <w:rPr>
                <w:rFonts w:asciiTheme="majorBidi" w:eastAsia="Times New Roman" w:hAnsiTheme="majorBidi" w:cstheme="majorBidi"/>
                <w:lang w:eastAsia="zh-CN"/>
              </w:rPr>
              <w:t>Jonge</w:t>
            </w:r>
            <w:proofErr w:type="spellEnd"/>
            <w:r w:rsidRPr="00F82EBE">
              <w:rPr>
                <w:rFonts w:asciiTheme="majorBidi" w:eastAsia="Times New Roman" w:hAnsiTheme="majorBidi" w:cstheme="majorBidi"/>
                <w:lang w:eastAsia="zh-CN"/>
              </w:rPr>
              <w:t xml:space="preserve"> BL, </w:t>
            </w:r>
            <w:proofErr w:type="spellStart"/>
            <w:r w:rsidRPr="00F82EBE">
              <w:rPr>
                <w:rFonts w:asciiTheme="majorBidi" w:eastAsia="Times New Roman" w:hAnsiTheme="majorBidi" w:cstheme="majorBidi"/>
                <w:lang w:eastAsia="zh-CN"/>
              </w:rPr>
              <w:t>Karlowsky</w:t>
            </w:r>
            <w:proofErr w:type="spellEnd"/>
            <w:r w:rsidRPr="00F82EBE">
              <w:rPr>
                <w:rFonts w:asciiTheme="majorBidi" w:eastAsia="Times New Roman" w:hAnsiTheme="majorBidi" w:cstheme="majorBidi"/>
                <w:lang w:eastAsia="zh-CN"/>
              </w:rPr>
              <w:t xml:space="preserve"> JA, </w:t>
            </w:r>
            <w:proofErr w:type="spellStart"/>
            <w:r w:rsidRPr="00F82EBE">
              <w:rPr>
                <w:rFonts w:asciiTheme="majorBidi" w:eastAsia="Times New Roman" w:hAnsiTheme="majorBidi" w:cstheme="majorBidi"/>
                <w:lang w:eastAsia="zh-CN"/>
              </w:rPr>
              <w:t>Kazmierczak</w:t>
            </w:r>
            <w:proofErr w:type="spellEnd"/>
            <w:r w:rsidRPr="00F82EBE">
              <w:rPr>
                <w:rFonts w:asciiTheme="majorBidi" w:eastAsia="Times New Roman" w:hAnsiTheme="majorBidi" w:cstheme="majorBidi"/>
                <w:lang w:eastAsia="zh-CN"/>
              </w:rPr>
              <w:t xml:space="preserve"> KM, Biedenbach DJ, </w:t>
            </w:r>
            <w:proofErr w:type="spellStart"/>
            <w:r w:rsidRPr="00F82EBE">
              <w:rPr>
                <w:rFonts w:asciiTheme="majorBidi" w:eastAsia="Times New Roman" w:hAnsiTheme="majorBidi" w:cstheme="majorBidi"/>
                <w:lang w:eastAsia="zh-CN"/>
              </w:rPr>
              <w:t>Sahm</w:t>
            </w:r>
            <w:proofErr w:type="spellEnd"/>
            <w:r w:rsidRPr="00F82EBE">
              <w:rPr>
                <w:rFonts w:asciiTheme="majorBidi" w:eastAsia="Times New Roman" w:hAnsiTheme="majorBidi" w:cstheme="majorBidi"/>
                <w:lang w:eastAsia="zh-CN"/>
              </w:rPr>
              <w:t xml:space="preserve"> DF, Nichols WW. In vitro susceptibility to ceftazidime-avibactam of carbapenem-</w:t>
            </w:r>
            <w:proofErr w:type="spellStart"/>
            <w:r w:rsidRPr="00F82EBE">
              <w:rPr>
                <w:rFonts w:asciiTheme="majorBidi" w:eastAsia="Times New Roman" w:hAnsiTheme="majorBidi" w:cstheme="majorBidi"/>
                <w:lang w:eastAsia="zh-CN"/>
              </w:rPr>
              <w:t>nonsusceptible</w:t>
            </w:r>
            <w:proofErr w:type="spellEnd"/>
            <w:r w:rsidRPr="00F82EBE">
              <w:rPr>
                <w:rFonts w:asciiTheme="majorBidi" w:eastAsia="Times New Roman" w:hAnsiTheme="majorBidi" w:cstheme="majorBidi"/>
                <w:lang w:eastAsia="zh-CN"/>
              </w:rPr>
              <w:t xml:space="preserve"> Enterobacteriaceae isolates collected during the INFORM global surveillance study (2012 to 2014). Antimicrobial agents and chemotherapy. 2016 May 1;60(5):3163-9.</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72A5CFBD"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eastAsia="zh-CN"/>
              </w:rPr>
              <w:t>ATLAS data, analysis provided in part for OXA-48 bugs only</w:t>
            </w:r>
          </w:p>
        </w:tc>
      </w:tr>
      <w:tr w:rsidR="009F01D8" w:rsidRPr="00F82EBE" w14:paraId="1D07E910" w14:textId="77777777" w:rsidTr="00F82EBE">
        <w:trPr>
          <w:trHeight w:val="360"/>
        </w:trPr>
        <w:tc>
          <w:tcPr>
            <w:tcW w:w="291" w:type="pct"/>
            <w:vMerge/>
            <w:tcBorders>
              <w:top w:val="nil"/>
              <w:left w:val="single" w:sz="8" w:space="0" w:color="CCCCCC"/>
              <w:bottom w:val="single" w:sz="8" w:space="0" w:color="CCCCCC"/>
              <w:right w:val="single" w:sz="8" w:space="0" w:color="CCCCCC"/>
            </w:tcBorders>
            <w:shd w:val="clear" w:color="auto" w:fill="D9D9D9" w:themeFill="background1" w:themeFillShade="D9"/>
            <w:vAlign w:val="center"/>
            <w:hideMark/>
          </w:tcPr>
          <w:p w14:paraId="76996C7B" w14:textId="77777777" w:rsidR="009F01D8" w:rsidRPr="00F82EBE" w:rsidRDefault="009F01D8" w:rsidP="009F01D8">
            <w:pPr>
              <w:spacing w:after="0" w:line="240" w:lineRule="auto"/>
              <w:jc w:val="both"/>
              <w:rPr>
                <w:rFonts w:asciiTheme="majorBidi" w:eastAsia="Times New Roman" w:hAnsiTheme="majorBidi" w:cstheme="majorBidi"/>
                <w:lang w:eastAsia="zh-CN"/>
              </w:rPr>
            </w:pP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76E3B500"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F82EBE">
              <w:rPr>
                <w:rFonts w:asciiTheme="majorBidi" w:eastAsia="Times New Roman" w:hAnsiTheme="majorBidi" w:cstheme="majorBidi"/>
                <w:lang w:eastAsia="zh-CN"/>
              </w:rPr>
              <w:t>Karlowski</w:t>
            </w:r>
            <w:proofErr w:type="spellEnd"/>
            <w:r w:rsidRPr="00F82EBE">
              <w:rPr>
                <w:rFonts w:asciiTheme="majorBidi" w:eastAsia="Times New Roman" w:hAnsiTheme="majorBidi" w:cstheme="majorBidi"/>
                <w:lang w:eastAsia="zh-CN"/>
              </w:rPr>
              <w:t xml:space="preserve"> 2019 (INFORM </w:t>
            </w:r>
            <w:proofErr w:type="spellStart"/>
            <w:r w:rsidRPr="00F82EBE">
              <w:rPr>
                <w:rFonts w:asciiTheme="majorBidi" w:eastAsia="Times New Roman" w:hAnsiTheme="majorBidi" w:cstheme="majorBidi"/>
                <w:lang w:eastAsia="zh-CN"/>
              </w:rPr>
              <w:t>latin</w:t>
            </w:r>
            <w:proofErr w:type="spellEnd"/>
            <w:r w:rsidRPr="00F82EBE">
              <w:rPr>
                <w:rFonts w:asciiTheme="majorBidi" w:eastAsia="Times New Roman" w:hAnsiTheme="majorBidi" w:cstheme="majorBidi"/>
                <w:lang w:eastAsia="zh-CN"/>
              </w:rPr>
              <w:t xml:space="preserve"> America)</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18A3A6D5"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F82EBE">
              <w:rPr>
                <w:rFonts w:asciiTheme="majorBidi" w:eastAsia="Times New Roman" w:hAnsiTheme="majorBidi" w:cstheme="majorBidi"/>
                <w:lang w:eastAsia="zh-CN"/>
              </w:rPr>
              <w:t>Karlowsky</w:t>
            </w:r>
            <w:proofErr w:type="spellEnd"/>
            <w:r w:rsidRPr="00F82EBE">
              <w:rPr>
                <w:rFonts w:asciiTheme="majorBidi" w:eastAsia="Times New Roman" w:hAnsiTheme="majorBidi" w:cstheme="majorBidi"/>
                <w:lang w:eastAsia="zh-CN"/>
              </w:rPr>
              <w:t xml:space="preserve"> JA, </w:t>
            </w:r>
            <w:proofErr w:type="spellStart"/>
            <w:r w:rsidRPr="00F82EBE">
              <w:rPr>
                <w:rFonts w:asciiTheme="majorBidi" w:eastAsia="Times New Roman" w:hAnsiTheme="majorBidi" w:cstheme="majorBidi"/>
                <w:lang w:eastAsia="zh-CN"/>
              </w:rPr>
              <w:t>Kazmierczak</w:t>
            </w:r>
            <w:proofErr w:type="spellEnd"/>
            <w:r w:rsidRPr="00F82EBE">
              <w:rPr>
                <w:rFonts w:asciiTheme="majorBidi" w:eastAsia="Times New Roman" w:hAnsiTheme="majorBidi" w:cstheme="majorBidi"/>
                <w:lang w:eastAsia="zh-CN"/>
              </w:rPr>
              <w:t xml:space="preserve"> KM, </w:t>
            </w:r>
            <w:proofErr w:type="spellStart"/>
            <w:r w:rsidRPr="00F82EBE">
              <w:rPr>
                <w:rFonts w:asciiTheme="majorBidi" w:eastAsia="Times New Roman" w:hAnsiTheme="majorBidi" w:cstheme="majorBidi"/>
                <w:lang w:eastAsia="zh-CN"/>
              </w:rPr>
              <w:t>Bouchillon</w:t>
            </w:r>
            <w:proofErr w:type="spellEnd"/>
            <w:r w:rsidRPr="00F82EBE">
              <w:rPr>
                <w:rFonts w:asciiTheme="majorBidi" w:eastAsia="Times New Roman" w:hAnsiTheme="majorBidi" w:cstheme="majorBidi"/>
                <w:lang w:eastAsia="zh-CN"/>
              </w:rPr>
              <w:t xml:space="preserve"> SK, de </w:t>
            </w:r>
            <w:proofErr w:type="spellStart"/>
            <w:r w:rsidRPr="00F82EBE">
              <w:rPr>
                <w:rFonts w:asciiTheme="majorBidi" w:eastAsia="Times New Roman" w:hAnsiTheme="majorBidi" w:cstheme="majorBidi"/>
                <w:lang w:eastAsia="zh-CN"/>
              </w:rPr>
              <w:t>Jonge</w:t>
            </w:r>
            <w:proofErr w:type="spellEnd"/>
            <w:r w:rsidRPr="00F82EBE">
              <w:rPr>
                <w:rFonts w:asciiTheme="majorBidi" w:eastAsia="Times New Roman" w:hAnsiTheme="majorBidi" w:cstheme="majorBidi"/>
                <w:lang w:eastAsia="zh-CN"/>
              </w:rPr>
              <w:t xml:space="preserve"> BL, Stone GG, </w:t>
            </w:r>
            <w:proofErr w:type="spellStart"/>
            <w:r w:rsidRPr="00F82EBE">
              <w:rPr>
                <w:rFonts w:asciiTheme="majorBidi" w:eastAsia="Times New Roman" w:hAnsiTheme="majorBidi" w:cstheme="majorBidi"/>
                <w:lang w:eastAsia="zh-CN"/>
              </w:rPr>
              <w:t>Sahm</w:t>
            </w:r>
            <w:proofErr w:type="spellEnd"/>
            <w:r w:rsidRPr="00F82EBE">
              <w:rPr>
                <w:rFonts w:asciiTheme="majorBidi" w:eastAsia="Times New Roman" w:hAnsiTheme="majorBidi" w:cstheme="majorBidi"/>
                <w:lang w:eastAsia="zh-CN"/>
              </w:rPr>
              <w:t xml:space="preserve"> DF. In vitro activity of ceftazidime-avibactam against clinical isolates of Enterobacteriaceae and Pseudomonas aeruginosa collected in Latin American countries: results from the INFORM global surveillance program, 2012 to 2015. Antimicrobial agents and chemotherapy. 2019 Mar 27;63(4</w:t>
            </w:r>
            <w:proofErr w:type="gramStart"/>
            <w:r w:rsidRPr="00F82EBE">
              <w:rPr>
                <w:rFonts w:asciiTheme="majorBidi" w:eastAsia="Times New Roman" w:hAnsiTheme="majorBidi" w:cstheme="majorBidi"/>
                <w:lang w:eastAsia="zh-CN"/>
              </w:rPr>
              <w:t>):e</w:t>
            </w:r>
            <w:proofErr w:type="gramEnd"/>
            <w:r w:rsidRPr="00F82EBE">
              <w:rPr>
                <w:rFonts w:asciiTheme="majorBidi" w:eastAsia="Times New Roman" w:hAnsiTheme="majorBidi" w:cstheme="majorBidi"/>
                <w:lang w:eastAsia="zh-CN"/>
              </w:rPr>
              <w:t>01814-18</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5943E729"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eastAsia="zh-CN"/>
              </w:rPr>
              <w:t>ATLAS data, analysis provided in part for OXA-48 bugs only</w:t>
            </w:r>
          </w:p>
        </w:tc>
      </w:tr>
      <w:tr w:rsidR="009F01D8" w:rsidRPr="00F82EBE" w14:paraId="1B850E0C" w14:textId="77777777" w:rsidTr="00F82EBE">
        <w:trPr>
          <w:trHeight w:val="360"/>
        </w:trPr>
        <w:tc>
          <w:tcPr>
            <w:tcW w:w="291" w:type="pct"/>
            <w:vMerge w:val="restart"/>
            <w:tcBorders>
              <w:top w:val="nil"/>
              <w:left w:val="single" w:sz="8" w:space="0" w:color="auto"/>
              <w:bottom w:val="single" w:sz="8" w:space="0" w:color="auto"/>
              <w:right w:val="single" w:sz="8" w:space="0" w:color="auto"/>
            </w:tcBorders>
            <w:shd w:val="clear" w:color="auto" w:fill="D9D9D9" w:themeFill="background1" w:themeFillShade="D9"/>
            <w:hideMark/>
          </w:tcPr>
          <w:p w14:paraId="5384C422"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F82EBE">
              <w:rPr>
                <w:rFonts w:asciiTheme="majorBidi" w:eastAsia="Times New Roman" w:hAnsiTheme="majorBidi" w:cstheme="majorBidi"/>
                <w:lang w:eastAsia="zh-CN"/>
              </w:rPr>
              <w:t>iCREST</w:t>
            </w:r>
            <w:proofErr w:type="spellEnd"/>
            <w:r w:rsidRPr="00F82EBE">
              <w:rPr>
                <w:rFonts w:asciiTheme="majorBidi" w:eastAsia="Times New Roman" w:hAnsiTheme="majorBidi" w:cstheme="majorBidi"/>
                <w:lang w:eastAsia="zh-CN"/>
              </w:rPr>
              <w:t xml:space="preserve"> studies</w:t>
            </w: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27652478"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Garcia-Castillo,2018 (</w:t>
            </w:r>
            <w:proofErr w:type="spellStart"/>
            <w:r w:rsidRPr="00F82EBE">
              <w:rPr>
                <w:rFonts w:asciiTheme="majorBidi" w:eastAsia="Times New Roman" w:hAnsiTheme="majorBidi" w:cstheme="majorBidi"/>
                <w:lang w:eastAsia="zh-CN"/>
              </w:rPr>
              <w:t>iCREST</w:t>
            </w:r>
            <w:proofErr w:type="spellEnd"/>
            <w:r w:rsidRPr="00F82EBE">
              <w:rPr>
                <w:rFonts w:asciiTheme="majorBidi" w:eastAsia="Times New Roman" w:hAnsiTheme="majorBidi" w:cstheme="majorBidi"/>
                <w:lang w:eastAsia="zh-CN"/>
              </w:rPr>
              <w:t xml:space="preserve"> - Spain)</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6E34DA72"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val="pt-PT" w:eastAsia="zh-CN"/>
              </w:rPr>
              <w:t>García-Castillo M, García-Fernández S, Gómez-Gil R, Pitart C, Oviaño M, Gracia-Ahufinger I, Díaz-Regañón J, Tato M, Cantón R, Bou G, Rodríguez JG. Activity of ceftazidime-avibactam against carbapenemase-producing Enterobacteriaceae from urine specimens obtained during the infection-carbapenem resistance evaluation surveillance trial (iCREST) in Spain. </w:t>
            </w:r>
            <w:r w:rsidRPr="00F82EBE">
              <w:rPr>
                <w:rFonts w:asciiTheme="majorBidi" w:eastAsia="Times New Roman" w:hAnsiTheme="majorBidi" w:cstheme="majorBidi"/>
                <w:lang w:eastAsia="zh-CN"/>
              </w:rPr>
              <w:t>International journal of antimicrobial agents. 2018 Mar 1;51(3):511-5.</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7CAD32DC"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val="pt-PT" w:eastAsia="zh-CN"/>
              </w:rPr>
              <w:t>Specific data not available</w:t>
            </w:r>
          </w:p>
        </w:tc>
      </w:tr>
      <w:tr w:rsidR="009F01D8" w:rsidRPr="00F82EBE" w14:paraId="29FED913" w14:textId="77777777" w:rsidTr="00F82EBE">
        <w:trPr>
          <w:trHeight w:val="360"/>
        </w:trPr>
        <w:tc>
          <w:tcPr>
            <w:tcW w:w="291"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A789A08" w14:textId="77777777" w:rsidR="009F01D8" w:rsidRPr="00F82EBE" w:rsidRDefault="009F01D8" w:rsidP="009F01D8">
            <w:pPr>
              <w:spacing w:after="0" w:line="240" w:lineRule="auto"/>
              <w:jc w:val="both"/>
              <w:rPr>
                <w:rFonts w:asciiTheme="majorBidi" w:eastAsia="Times New Roman" w:hAnsiTheme="majorBidi" w:cstheme="majorBidi"/>
                <w:lang w:eastAsia="zh-CN"/>
              </w:rPr>
            </w:pP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5FB9FD2C"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proofErr w:type="spellStart"/>
            <w:r w:rsidRPr="00F82EBE">
              <w:rPr>
                <w:rFonts w:asciiTheme="majorBidi" w:eastAsia="Times New Roman" w:hAnsiTheme="majorBidi" w:cstheme="majorBidi"/>
                <w:lang w:eastAsia="zh-CN"/>
              </w:rPr>
              <w:t>Giani</w:t>
            </w:r>
            <w:proofErr w:type="spellEnd"/>
            <w:r w:rsidRPr="00F82EBE">
              <w:rPr>
                <w:rFonts w:asciiTheme="majorBidi" w:eastAsia="Times New Roman" w:hAnsiTheme="majorBidi" w:cstheme="majorBidi"/>
                <w:lang w:eastAsia="zh-CN"/>
              </w:rPr>
              <w:t xml:space="preserve"> 2020 (</w:t>
            </w:r>
            <w:proofErr w:type="spellStart"/>
            <w:r w:rsidRPr="00F82EBE">
              <w:rPr>
                <w:rFonts w:asciiTheme="majorBidi" w:eastAsia="Times New Roman" w:hAnsiTheme="majorBidi" w:cstheme="majorBidi"/>
                <w:lang w:eastAsia="zh-CN"/>
              </w:rPr>
              <w:t>iCREST</w:t>
            </w:r>
            <w:proofErr w:type="spellEnd"/>
            <w:r w:rsidRPr="00F82EBE">
              <w:rPr>
                <w:rFonts w:asciiTheme="majorBidi" w:eastAsia="Times New Roman" w:hAnsiTheme="majorBidi" w:cstheme="majorBidi"/>
                <w:lang w:eastAsia="zh-CN"/>
              </w:rPr>
              <w:t xml:space="preserve"> – Italy)</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7D3259C5" w14:textId="0C97D15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val="it-IT" w:eastAsia="zh-CN"/>
              </w:rPr>
              <w:t>Giani T, Antonelli A, Sennati S, Di Pilato V, Chiarelli A, Cannatelli A, Gatsch C, Luzzaro F, Spanu T, Stefani S, Rossolini GM. </w:t>
            </w:r>
            <w:r w:rsidRPr="00F82EBE">
              <w:rPr>
                <w:rFonts w:asciiTheme="majorBidi" w:eastAsia="Times New Roman" w:hAnsiTheme="majorBidi" w:cstheme="majorBidi"/>
                <w:lang w:eastAsia="zh-CN"/>
              </w:rPr>
              <w:t>Results of the Italian infection-Carbapenem Resistance Evaluation Surveillance Trial (</w:t>
            </w:r>
            <w:proofErr w:type="spellStart"/>
            <w:r w:rsidRPr="00F82EBE">
              <w:rPr>
                <w:rFonts w:asciiTheme="majorBidi" w:eastAsia="Times New Roman" w:hAnsiTheme="majorBidi" w:cstheme="majorBidi"/>
                <w:lang w:eastAsia="zh-CN"/>
              </w:rPr>
              <w:t>iCREST</w:t>
            </w:r>
            <w:proofErr w:type="spellEnd"/>
            <w:r w:rsidRPr="00F82EBE">
              <w:rPr>
                <w:rFonts w:asciiTheme="majorBidi" w:eastAsia="Times New Roman" w:hAnsiTheme="majorBidi" w:cstheme="majorBidi"/>
                <w:lang w:eastAsia="zh-CN"/>
              </w:rPr>
              <w:t xml:space="preserve">-IT): activity of ceftazidime/avibactam against </w:t>
            </w:r>
            <w:proofErr w:type="spellStart"/>
            <w:r w:rsidR="00FE2007" w:rsidRPr="00F82EBE">
              <w:rPr>
                <w:rFonts w:asciiTheme="majorBidi" w:eastAsia="Times New Roman" w:hAnsiTheme="majorBidi" w:cstheme="majorBidi"/>
                <w:i/>
                <w:iCs/>
                <w:lang w:eastAsia="zh-CN"/>
              </w:rPr>
              <w:t>Enterobacterales</w:t>
            </w:r>
            <w:proofErr w:type="spellEnd"/>
            <w:r w:rsidRPr="00F82EBE">
              <w:rPr>
                <w:rFonts w:asciiTheme="majorBidi" w:eastAsia="Times New Roman" w:hAnsiTheme="majorBidi" w:cstheme="majorBidi"/>
                <w:lang w:eastAsia="zh-CN"/>
              </w:rPr>
              <w:t xml:space="preserve"> isolated from urine. Journal of Antimicrobial Chemotherapy. 2020 Apr 1;75(4):979-83.</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0FAAE423"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val="it-IT" w:eastAsia="zh-CN"/>
              </w:rPr>
              <w:t>Specific data not available</w:t>
            </w:r>
          </w:p>
        </w:tc>
      </w:tr>
      <w:tr w:rsidR="009F01D8" w:rsidRPr="00F82EBE" w14:paraId="42BD48CB" w14:textId="77777777" w:rsidTr="00F82EBE">
        <w:trPr>
          <w:trHeight w:val="360"/>
        </w:trPr>
        <w:tc>
          <w:tcPr>
            <w:tcW w:w="291" w:type="pct"/>
            <w:tcBorders>
              <w:top w:val="nil"/>
              <w:left w:val="single" w:sz="8" w:space="0" w:color="auto"/>
              <w:bottom w:val="single" w:sz="8" w:space="0" w:color="auto"/>
              <w:right w:val="single" w:sz="8" w:space="0" w:color="auto"/>
            </w:tcBorders>
            <w:shd w:val="clear" w:color="auto" w:fill="D9D9D9" w:themeFill="background1" w:themeFillShade="D9"/>
            <w:hideMark/>
          </w:tcPr>
          <w:p w14:paraId="30DA76E2"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 </w:t>
            </w:r>
          </w:p>
        </w:tc>
        <w:tc>
          <w:tcPr>
            <w:tcW w:w="42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480F92CB"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Sherry 2018</w:t>
            </w:r>
          </w:p>
        </w:tc>
        <w:tc>
          <w:tcPr>
            <w:tcW w:w="3291" w:type="pct"/>
            <w:tcBorders>
              <w:top w:val="nil"/>
              <w:left w:val="nil"/>
              <w:bottom w:val="single" w:sz="8" w:space="0" w:color="auto"/>
              <w:right w:val="single" w:sz="8" w:space="0" w:color="auto"/>
            </w:tcBorders>
            <w:shd w:val="clear" w:color="auto" w:fill="D9D9D9" w:themeFill="background1" w:themeFillShade="D9"/>
            <w:tcMar>
              <w:top w:w="30" w:type="dxa"/>
              <w:left w:w="45" w:type="dxa"/>
              <w:bottom w:w="30" w:type="dxa"/>
              <w:right w:w="45" w:type="dxa"/>
            </w:tcMar>
            <w:vAlign w:val="bottom"/>
            <w:hideMark/>
          </w:tcPr>
          <w:p w14:paraId="187F55A8"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F82EBE">
              <w:rPr>
                <w:rFonts w:asciiTheme="majorBidi" w:eastAsia="Times New Roman" w:hAnsiTheme="majorBidi" w:cstheme="majorBidi"/>
                <w:lang w:eastAsia="zh-CN"/>
              </w:rPr>
              <w:t xml:space="preserve">Sherry NL, Baines SL, Howden BP. Ceftazidime/avibactam susceptibility by three different susceptibility testing methods in </w:t>
            </w:r>
            <w:proofErr w:type="spellStart"/>
            <w:r w:rsidRPr="00F82EBE">
              <w:rPr>
                <w:rFonts w:asciiTheme="majorBidi" w:eastAsia="Times New Roman" w:hAnsiTheme="majorBidi" w:cstheme="majorBidi"/>
                <w:lang w:eastAsia="zh-CN"/>
              </w:rPr>
              <w:t>carbapenemase</w:t>
            </w:r>
            <w:proofErr w:type="spellEnd"/>
            <w:r w:rsidRPr="00F82EBE">
              <w:rPr>
                <w:rFonts w:asciiTheme="majorBidi" w:eastAsia="Times New Roman" w:hAnsiTheme="majorBidi" w:cstheme="majorBidi"/>
                <w:lang w:eastAsia="zh-CN"/>
              </w:rPr>
              <w:t>-producing Gram-negative bacteria from Australia. International journal of antimicrobial agents. 2018 Jul 1;52(1):82-5.</w:t>
            </w:r>
          </w:p>
        </w:tc>
        <w:tc>
          <w:tcPr>
            <w:tcW w:w="997" w:type="pct"/>
            <w:tcBorders>
              <w:top w:val="nil"/>
              <w:left w:val="nil"/>
              <w:bottom w:val="single" w:sz="8" w:space="0" w:color="auto"/>
              <w:right w:val="single" w:sz="8" w:space="0" w:color="auto"/>
            </w:tcBorders>
            <w:shd w:val="clear" w:color="auto" w:fill="D9D9D9" w:themeFill="background1" w:themeFillShade="D9"/>
            <w:hideMark/>
          </w:tcPr>
          <w:p w14:paraId="6805D4B0" w14:textId="77777777" w:rsidR="009F01D8" w:rsidRPr="00F82EBE" w:rsidRDefault="009F01D8" w:rsidP="009F01D8">
            <w:pPr>
              <w:spacing w:before="100" w:beforeAutospacing="1" w:after="100" w:afterAutospacing="1" w:line="240" w:lineRule="auto"/>
              <w:jc w:val="both"/>
              <w:rPr>
                <w:rFonts w:asciiTheme="majorBidi" w:eastAsia="Times New Roman" w:hAnsiTheme="majorBidi" w:cstheme="majorBidi"/>
                <w:lang w:eastAsia="zh-CN"/>
              </w:rPr>
            </w:pPr>
            <w:r w:rsidRPr="00A17E3D">
              <w:rPr>
                <w:rFonts w:asciiTheme="majorBidi" w:eastAsia="Times New Roman" w:hAnsiTheme="majorBidi" w:cstheme="majorBidi"/>
                <w:lang w:eastAsia="zh-CN"/>
              </w:rPr>
              <w:t>Specific data not available</w:t>
            </w:r>
          </w:p>
        </w:tc>
      </w:tr>
    </w:tbl>
    <w:p w14:paraId="68A47D42" w14:textId="77777777" w:rsidR="00D31AF7" w:rsidRPr="00F82EBE" w:rsidRDefault="00D31AF7" w:rsidP="00D31AF7">
      <w:pPr>
        <w:spacing w:after="0" w:line="276" w:lineRule="auto"/>
        <w:jc w:val="both"/>
        <w:rPr>
          <w:rFonts w:asciiTheme="majorBidi" w:hAnsiTheme="majorBidi" w:cstheme="majorBidi"/>
          <w:color w:val="A6A6A6" w:themeColor="background1" w:themeShade="A6"/>
        </w:rPr>
      </w:pPr>
    </w:p>
    <w:p w14:paraId="27AD87AD" w14:textId="77777777" w:rsidR="009F01D8" w:rsidRPr="00F82EBE" w:rsidRDefault="009F01D8" w:rsidP="009F01D8">
      <w:pPr>
        <w:jc w:val="both"/>
        <w:rPr>
          <w:rFonts w:asciiTheme="majorBidi" w:hAnsiTheme="majorBidi" w:cstheme="majorBidi"/>
          <w:color w:val="A6A6A6" w:themeColor="background1" w:themeShade="A6"/>
        </w:rPr>
      </w:pPr>
    </w:p>
    <w:p w14:paraId="473AD223" w14:textId="55194B85" w:rsidR="009F01D8" w:rsidRPr="002E4F02" w:rsidRDefault="002E4F02" w:rsidP="009F01D8">
      <w:pPr>
        <w:pStyle w:val="Heading3"/>
        <w:ind w:left="360"/>
        <w:rPr>
          <w:rFonts w:asciiTheme="majorBidi" w:hAnsiTheme="majorBidi"/>
          <w:sz w:val="26"/>
          <w:szCs w:val="26"/>
        </w:rPr>
      </w:pPr>
      <w:r>
        <w:rPr>
          <w:rFonts w:asciiTheme="majorBidi" w:hAnsiTheme="majorBidi"/>
          <w:sz w:val="26"/>
          <w:szCs w:val="26"/>
        </w:rPr>
        <w:tab/>
      </w:r>
      <w:bookmarkStart w:id="612" w:name="_Toc87463080"/>
      <w:r w:rsidR="009F01D8" w:rsidRPr="002E4F02">
        <w:rPr>
          <w:rFonts w:asciiTheme="majorBidi" w:hAnsiTheme="majorBidi"/>
          <w:sz w:val="26"/>
          <w:szCs w:val="26"/>
        </w:rPr>
        <w:t>A2.</w:t>
      </w:r>
      <w:r w:rsidR="00BD6979" w:rsidRPr="002E4F02">
        <w:rPr>
          <w:rFonts w:asciiTheme="majorBidi" w:hAnsiTheme="majorBidi"/>
          <w:sz w:val="26"/>
          <w:szCs w:val="26"/>
        </w:rPr>
        <w:t>3</w:t>
      </w:r>
      <w:r w:rsidR="009F01D8" w:rsidRPr="002E4F02">
        <w:rPr>
          <w:rFonts w:asciiTheme="majorBidi" w:hAnsiTheme="majorBidi"/>
          <w:sz w:val="26"/>
          <w:szCs w:val="26"/>
        </w:rPr>
        <w:t xml:space="preserve"> Data request to PHE</w:t>
      </w:r>
      <w:bookmarkEnd w:id="612"/>
    </w:p>
    <w:p w14:paraId="523CFF7C" w14:textId="77777777" w:rsidR="00D31AF7" w:rsidRPr="00F82EBE" w:rsidRDefault="00D31AF7" w:rsidP="00D31AF7">
      <w:pPr>
        <w:rPr>
          <w:rFonts w:asciiTheme="majorBidi" w:hAnsiTheme="majorBidi" w:cstheme="majorBidi"/>
        </w:rPr>
      </w:pPr>
      <w:r w:rsidRPr="00F82EBE">
        <w:rPr>
          <w:rFonts w:asciiTheme="majorBidi" w:hAnsiTheme="majorBidi" w:cstheme="majorBidi"/>
        </w:rPr>
        <w:t>We have several different evidential requirements, which will require different data sources / breakdowns of the data. Hence this request is broken-down by type of evidence. For all the following, we do not require a geographic breakdown (so data are requested for all of England).</w:t>
      </w:r>
    </w:p>
    <w:p w14:paraId="092220BA" w14:textId="77777777" w:rsidR="00D31AF7" w:rsidRPr="00F82EBE" w:rsidRDefault="00D31AF7" w:rsidP="00D31AF7">
      <w:pPr>
        <w:rPr>
          <w:rFonts w:asciiTheme="majorBidi" w:hAnsiTheme="majorBidi" w:cstheme="majorBidi"/>
        </w:rPr>
      </w:pPr>
    </w:p>
    <w:p w14:paraId="7D4E2987" w14:textId="77777777" w:rsidR="00D31AF7" w:rsidRPr="00F82EBE" w:rsidRDefault="00D31AF7" w:rsidP="00D31AF7">
      <w:pPr>
        <w:spacing w:after="120" w:line="276" w:lineRule="auto"/>
        <w:rPr>
          <w:rFonts w:asciiTheme="majorBidi" w:hAnsiTheme="majorBidi" w:cstheme="majorBidi"/>
          <w:b/>
          <w:bCs/>
          <w:u w:val="single"/>
        </w:rPr>
      </w:pPr>
      <w:bookmarkStart w:id="613" w:name="_4x3zf2mm1fgi" w:colFirst="0" w:colLast="0"/>
      <w:bookmarkEnd w:id="613"/>
      <w:r w:rsidRPr="00F82EBE">
        <w:rPr>
          <w:rFonts w:asciiTheme="majorBidi" w:hAnsiTheme="majorBidi" w:cstheme="majorBidi"/>
          <w:b/>
          <w:bCs/>
          <w:u w:val="single"/>
        </w:rPr>
        <w:t>1) Mechanisms of interest: changes in incidence of carbapenem-resistant gram-negative bacteria over time.</w:t>
      </w:r>
    </w:p>
    <w:p w14:paraId="3A9C1575" w14:textId="77777777" w:rsidR="00D31AF7" w:rsidRPr="00F82EBE" w:rsidRDefault="00D31AF7" w:rsidP="00D31AF7">
      <w:pPr>
        <w:rPr>
          <w:rFonts w:asciiTheme="majorBidi" w:hAnsiTheme="majorBidi" w:cstheme="majorBidi"/>
        </w:rPr>
      </w:pPr>
      <w:r w:rsidRPr="00F82EBE">
        <w:rPr>
          <w:rFonts w:asciiTheme="majorBidi" w:hAnsiTheme="majorBidi" w:cstheme="majorBidi"/>
        </w:rPr>
        <w:t>We are interested in the following five mechanism/pathogen combinations:</w:t>
      </w:r>
    </w:p>
    <w:p w14:paraId="10EFF542" w14:textId="77777777" w:rsidR="00D31AF7" w:rsidRPr="00F82EBE" w:rsidRDefault="00D31AF7" w:rsidP="005A3BE6">
      <w:pPr>
        <w:numPr>
          <w:ilvl w:val="0"/>
          <w:numId w:val="109"/>
        </w:numPr>
        <w:spacing w:after="0" w:line="276" w:lineRule="auto"/>
        <w:rPr>
          <w:rFonts w:asciiTheme="majorBidi" w:hAnsiTheme="majorBidi" w:cstheme="majorBidi"/>
        </w:rPr>
      </w:pPr>
      <w:proofErr w:type="spellStart"/>
      <w:r w:rsidRPr="00F82EBE">
        <w:rPr>
          <w:rFonts w:asciiTheme="majorBidi" w:hAnsiTheme="majorBidi" w:cstheme="majorBidi"/>
        </w:rPr>
        <w:t>Carbapenemase</w:t>
      </w:r>
      <w:proofErr w:type="spellEnd"/>
      <w:r w:rsidRPr="00F82EBE">
        <w:rPr>
          <w:rFonts w:asciiTheme="majorBidi" w:hAnsiTheme="majorBidi" w:cstheme="majorBidi"/>
        </w:rPr>
        <w:t xml:space="preserve">-producing </w:t>
      </w:r>
      <w:proofErr w:type="spellStart"/>
      <w:r w:rsidRPr="00F82EBE">
        <w:rPr>
          <w:rFonts w:asciiTheme="majorBidi" w:hAnsiTheme="majorBidi" w:cstheme="majorBidi"/>
        </w:rPr>
        <w:t>enterobacteriaceae</w:t>
      </w:r>
      <w:proofErr w:type="spellEnd"/>
      <w:r w:rsidRPr="00F82EBE">
        <w:rPr>
          <w:rFonts w:asciiTheme="majorBidi" w:hAnsiTheme="majorBidi" w:cstheme="majorBidi"/>
        </w:rPr>
        <w:t xml:space="preserve"> (CPE) with an OXA-48 mechanism</w:t>
      </w:r>
    </w:p>
    <w:p w14:paraId="60A0B0F4" w14:textId="77777777" w:rsidR="00D31AF7" w:rsidRPr="00F82EBE" w:rsidRDefault="00D31AF7" w:rsidP="005A3BE6">
      <w:pPr>
        <w:numPr>
          <w:ilvl w:val="0"/>
          <w:numId w:val="109"/>
        </w:numPr>
        <w:spacing w:after="0" w:line="276" w:lineRule="auto"/>
        <w:rPr>
          <w:rFonts w:asciiTheme="majorBidi" w:hAnsiTheme="majorBidi" w:cstheme="majorBidi"/>
        </w:rPr>
      </w:pPr>
      <w:r w:rsidRPr="00F82EBE">
        <w:rPr>
          <w:rFonts w:asciiTheme="majorBidi" w:hAnsiTheme="majorBidi" w:cstheme="majorBidi"/>
        </w:rPr>
        <w:t>CPE with a New Delhi metallo-beta-lactamase (NDM) mechanism</w:t>
      </w:r>
    </w:p>
    <w:p w14:paraId="0FB16187" w14:textId="77777777" w:rsidR="00D31AF7" w:rsidRPr="00F82EBE" w:rsidRDefault="00D31AF7" w:rsidP="005A3BE6">
      <w:pPr>
        <w:numPr>
          <w:ilvl w:val="0"/>
          <w:numId w:val="109"/>
        </w:numPr>
        <w:spacing w:after="0" w:line="276" w:lineRule="auto"/>
        <w:rPr>
          <w:rFonts w:asciiTheme="majorBidi" w:hAnsiTheme="majorBidi" w:cstheme="majorBidi"/>
        </w:rPr>
      </w:pPr>
      <w:r w:rsidRPr="00F82EBE">
        <w:rPr>
          <w:rFonts w:asciiTheme="majorBidi" w:hAnsiTheme="majorBidi" w:cstheme="majorBidi"/>
        </w:rPr>
        <w:t xml:space="preserve">CPE with a non-NDM metallo-beta-lactamase (MBL) </w:t>
      </w:r>
      <w:proofErr w:type="gramStart"/>
      <w:r w:rsidRPr="00F82EBE">
        <w:rPr>
          <w:rFonts w:asciiTheme="majorBidi" w:hAnsiTheme="majorBidi" w:cstheme="majorBidi"/>
        </w:rPr>
        <w:t>e.g.</w:t>
      </w:r>
      <w:proofErr w:type="gramEnd"/>
      <w:r w:rsidRPr="00F82EBE">
        <w:rPr>
          <w:rFonts w:asciiTheme="majorBidi" w:hAnsiTheme="majorBidi" w:cstheme="majorBidi"/>
        </w:rPr>
        <w:t xml:space="preserve"> VIM, IMP mechanism</w:t>
      </w:r>
    </w:p>
    <w:p w14:paraId="22F72633" w14:textId="77777777" w:rsidR="00D31AF7" w:rsidRPr="00F82EBE" w:rsidRDefault="00D31AF7" w:rsidP="005A3BE6">
      <w:pPr>
        <w:numPr>
          <w:ilvl w:val="0"/>
          <w:numId w:val="109"/>
        </w:numPr>
        <w:spacing w:after="0" w:line="276" w:lineRule="auto"/>
        <w:rPr>
          <w:rFonts w:asciiTheme="majorBidi" w:hAnsiTheme="majorBidi" w:cstheme="majorBidi"/>
        </w:rPr>
      </w:pPr>
      <w:r w:rsidRPr="00F82EBE">
        <w:rPr>
          <w:rFonts w:asciiTheme="majorBidi" w:hAnsiTheme="majorBidi" w:cstheme="majorBidi"/>
        </w:rPr>
        <w:t>Pseudomonas with an NDM mechanism.</w:t>
      </w:r>
    </w:p>
    <w:p w14:paraId="7E81482B" w14:textId="77777777" w:rsidR="00D31AF7" w:rsidRPr="00F82EBE" w:rsidRDefault="00D31AF7" w:rsidP="005A3BE6">
      <w:pPr>
        <w:numPr>
          <w:ilvl w:val="0"/>
          <w:numId w:val="109"/>
        </w:numPr>
        <w:spacing w:after="0" w:line="276" w:lineRule="auto"/>
        <w:rPr>
          <w:rFonts w:asciiTheme="majorBidi" w:hAnsiTheme="majorBidi" w:cstheme="majorBidi"/>
        </w:rPr>
      </w:pPr>
      <w:r w:rsidRPr="00F82EBE">
        <w:rPr>
          <w:rFonts w:asciiTheme="majorBidi" w:hAnsiTheme="majorBidi" w:cstheme="majorBidi"/>
        </w:rPr>
        <w:t>Pseudomonas with a non-NDM MBL mechanism.</w:t>
      </w:r>
    </w:p>
    <w:p w14:paraId="40BA8B10" w14:textId="77777777" w:rsidR="00D31AF7" w:rsidRPr="00F82EBE" w:rsidRDefault="00D31AF7" w:rsidP="00D31AF7">
      <w:pPr>
        <w:rPr>
          <w:rFonts w:asciiTheme="majorBidi" w:hAnsiTheme="majorBidi" w:cstheme="majorBidi"/>
        </w:rPr>
      </w:pPr>
      <w:r w:rsidRPr="00F82EBE">
        <w:rPr>
          <w:rFonts w:asciiTheme="majorBidi" w:hAnsiTheme="majorBidi" w:cstheme="majorBidi"/>
        </w:rPr>
        <w:t>If numbers are too small to split the MBL into (NDM, other), then please use MBL as a whole (which would give three mechanism/pathogen combinations</w:t>
      </w:r>
      <w:proofErr w:type="gramStart"/>
      <w:r w:rsidRPr="00F82EBE">
        <w:rPr>
          <w:rFonts w:asciiTheme="majorBidi" w:hAnsiTheme="majorBidi" w:cstheme="majorBidi"/>
        </w:rPr>
        <w:t>)..</w:t>
      </w:r>
      <w:proofErr w:type="gramEnd"/>
    </w:p>
    <w:p w14:paraId="4F75BEF3" w14:textId="77777777" w:rsidR="00D31AF7" w:rsidRPr="00F82EBE" w:rsidRDefault="00D31AF7" w:rsidP="00D31AF7">
      <w:pPr>
        <w:rPr>
          <w:rFonts w:asciiTheme="majorBidi" w:hAnsiTheme="majorBidi" w:cstheme="majorBidi"/>
        </w:rPr>
      </w:pPr>
    </w:p>
    <w:p w14:paraId="732B5DD2" w14:textId="77777777" w:rsidR="00D31AF7" w:rsidRPr="00F82EBE" w:rsidRDefault="00D31AF7" w:rsidP="00D31AF7">
      <w:pPr>
        <w:rPr>
          <w:rFonts w:asciiTheme="majorBidi" w:hAnsiTheme="majorBidi" w:cstheme="majorBidi"/>
        </w:rPr>
      </w:pPr>
      <w:r w:rsidRPr="00F82EBE">
        <w:rPr>
          <w:rFonts w:asciiTheme="majorBidi" w:hAnsiTheme="majorBidi" w:cstheme="majorBidi"/>
        </w:rPr>
        <w:t xml:space="preserve">Hence, we would like information about the number of </w:t>
      </w:r>
      <w:r w:rsidRPr="00F82EBE">
        <w:rPr>
          <w:rFonts w:asciiTheme="majorBidi" w:hAnsiTheme="majorBidi" w:cstheme="majorBidi"/>
          <w:b/>
          <w:bCs/>
        </w:rPr>
        <w:t>infections</w:t>
      </w:r>
      <w:r w:rsidRPr="00F82EBE">
        <w:rPr>
          <w:rFonts w:asciiTheme="majorBidi" w:hAnsiTheme="majorBidi" w:cstheme="majorBidi"/>
        </w:rPr>
        <w:t xml:space="preserve"> for which the isolate is confirmed as having one of the above mechanism/pathogen combinations (we do not require any data on patients who were colonised only / tested as part of screening, although see later low-priority request). Isolates that exhibit co-existence of the above categories (if any) may be reported as a separate category or, if present in small numbers, contribute to multiple categories.</w:t>
      </w:r>
    </w:p>
    <w:p w14:paraId="61BB308E" w14:textId="77777777" w:rsidR="00D31AF7" w:rsidRPr="00F82EBE" w:rsidRDefault="00D31AF7" w:rsidP="00D31AF7">
      <w:pPr>
        <w:rPr>
          <w:rFonts w:asciiTheme="majorBidi" w:hAnsiTheme="majorBidi" w:cstheme="majorBidi"/>
        </w:rPr>
      </w:pPr>
    </w:p>
    <w:p w14:paraId="6542ADBF" w14:textId="77777777" w:rsidR="00D31AF7" w:rsidRPr="00F82EBE" w:rsidRDefault="00D31AF7" w:rsidP="00D31AF7">
      <w:pPr>
        <w:rPr>
          <w:rFonts w:asciiTheme="majorBidi" w:hAnsiTheme="majorBidi" w:cstheme="majorBidi"/>
        </w:rPr>
      </w:pPr>
      <w:r w:rsidRPr="00F82EBE">
        <w:rPr>
          <w:rFonts w:asciiTheme="majorBidi" w:hAnsiTheme="majorBidi" w:cstheme="majorBidi"/>
        </w:rPr>
        <w:t>Relevant datasets:</w:t>
      </w:r>
    </w:p>
    <w:p w14:paraId="4A106362" w14:textId="77777777" w:rsidR="00D31AF7" w:rsidRPr="00F82EBE" w:rsidRDefault="00D31AF7" w:rsidP="00D31AF7">
      <w:pPr>
        <w:rPr>
          <w:rFonts w:asciiTheme="majorBidi" w:hAnsiTheme="majorBidi" w:cstheme="majorBidi"/>
        </w:rPr>
      </w:pPr>
      <w:r w:rsidRPr="00F82EBE">
        <w:rPr>
          <w:rFonts w:asciiTheme="majorBidi" w:hAnsiTheme="majorBidi" w:cstheme="majorBidi"/>
        </w:rPr>
        <w:t xml:space="preserve">-We would like this data from the </w:t>
      </w:r>
      <w:r w:rsidRPr="00F82EBE">
        <w:rPr>
          <w:rFonts w:asciiTheme="majorBidi" w:hAnsiTheme="majorBidi" w:cstheme="majorBidi"/>
          <w:u w:val="single"/>
        </w:rPr>
        <w:t>Reference laboratory (AMRHAI) from as early as possible to current.</w:t>
      </w:r>
      <w:r w:rsidRPr="00F82EBE">
        <w:rPr>
          <w:rFonts w:asciiTheme="majorBidi" w:hAnsiTheme="majorBidi" w:cstheme="majorBidi"/>
        </w:rPr>
        <w:t xml:space="preserve"> We would ideally like this as a time-series (one per each of the three mechanism/pathogen combinations) with the smallest possible time intervals available (such as monthly or quarterly). We appreciate that numbers may be small for certain combinations, so different time intervals could be used for each combination.</w:t>
      </w:r>
    </w:p>
    <w:p w14:paraId="71C18F20" w14:textId="77777777" w:rsidR="00D31AF7" w:rsidRPr="00F82EBE" w:rsidRDefault="00D31AF7" w:rsidP="00D31AF7">
      <w:pPr>
        <w:rPr>
          <w:rFonts w:asciiTheme="majorBidi" w:hAnsiTheme="majorBidi" w:cstheme="majorBidi"/>
        </w:rPr>
      </w:pPr>
    </w:p>
    <w:p w14:paraId="299CA760" w14:textId="77777777" w:rsidR="00D31AF7" w:rsidRPr="00F82EBE" w:rsidRDefault="00D31AF7" w:rsidP="00D31AF7">
      <w:pPr>
        <w:rPr>
          <w:rFonts w:asciiTheme="majorBidi" w:hAnsiTheme="majorBidi" w:cstheme="majorBidi"/>
        </w:rPr>
      </w:pPr>
      <w:r w:rsidRPr="00F82EBE">
        <w:rPr>
          <w:rFonts w:asciiTheme="majorBidi" w:hAnsiTheme="majorBidi" w:cstheme="majorBidi"/>
        </w:rPr>
        <w:t xml:space="preserve">-Given that the AMHRAI dataset may have an artificial drop off from 2018 and is unlikely to be nationally representative, we would like to also request this evidence from the </w:t>
      </w:r>
      <w:r w:rsidRPr="00F82EBE">
        <w:rPr>
          <w:rFonts w:asciiTheme="majorBidi" w:hAnsiTheme="majorBidi" w:cstheme="majorBidi"/>
          <w:u w:val="single"/>
        </w:rPr>
        <w:t xml:space="preserve">SCGSS for the </w:t>
      </w:r>
      <w:proofErr w:type="gramStart"/>
      <w:r w:rsidRPr="00F82EBE">
        <w:rPr>
          <w:rFonts w:asciiTheme="majorBidi" w:hAnsiTheme="majorBidi" w:cstheme="majorBidi"/>
          <w:u w:val="single"/>
        </w:rPr>
        <w:t>time period</w:t>
      </w:r>
      <w:proofErr w:type="gramEnd"/>
      <w:r w:rsidRPr="00F82EBE">
        <w:rPr>
          <w:rFonts w:asciiTheme="majorBidi" w:hAnsiTheme="majorBidi" w:cstheme="majorBidi"/>
          <w:u w:val="single"/>
        </w:rPr>
        <w:t xml:space="preserve"> Oct/Dec 2020 quarter to present.</w:t>
      </w:r>
      <w:r w:rsidRPr="00F82EBE">
        <w:rPr>
          <w:rFonts w:asciiTheme="majorBidi" w:hAnsiTheme="majorBidi" w:cstheme="majorBidi"/>
        </w:rPr>
        <w:t xml:space="preserve"> This does not need to be reported as a time-series.</w:t>
      </w:r>
    </w:p>
    <w:p w14:paraId="79CDE550" w14:textId="77777777" w:rsidR="00D31AF7" w:rsidRPr="00F82EBE" w:rsidRDefault="00D31AF7" w:rsidP="00D31AF7">
      <w:pPr>
        <w:rPr>
          <w:rFonts w:asciiTheme="majorBidi" w:hAnsiTheme="majorBidi" w:cstheme="majorBidi"/>
        </w:rPr>
      </w:pPr>
    </w:p>
    <w:p w14:paraId="6AE32D4A" w14:textId="77777777" w:rsidR="00D31AF7" w:rsidRPr="00F82EBE" w:rsidRDefault="00D31AF7" w:rsidP="00D31AF7">
      <w:pPr>
        <w:rPr>
          <w:rFonts w:asciiTheme="majorBidi" w:hAnsiTheme="majorBidi" w:cstheme="majorBidi"/>
        </w:rPr>
      </w:pPr>
      <w:r w:rsidRPr="00F82EBE">
        <w:rPr>
          <w:rFonts w:asciiTheme="majorBidi" w:hAnsiTheme="majorBidi" w:cstheme="majorBidi"/>
        </w:rPr>
        <w:t>As a low-priority request, we are also interested in numbers of individuals colonised for the above five categories (again as a time-series -</w:t>
      </w:r>
      <w:r w:rsidRPr="00F82EBE">
        <w:rPr>
          <w:rFonts w:asciiTheme="majorBidi" w:hAnsiTheme="majorBidi" w:cstheme="majorBidi"/>
          <w:u w:val="single"/>
        </w:rPr>
        <w:t xml:space="preserve"> from as early as possible to current</w:t>
      </w:r>
      <w:r w:rsidRPr="00F82EBE">
        <w:rPr>
          <w:rFonts w:asciiTheme="majorBidi" w:hAnsiTheme="majorBidi" w:cstheme="majorBidi"/>
        </w:rPr>
        <w:t xml:space="preserve">). As this is </w:t>
      </w:r>
      <w:proofErr w:type="gramStart"/>
      <w:r w:rsidRPr="00F82EBE">
        <w:rPr>
          <w:rFonts w:asciiTheme="majorBidi" w:hAnsiTheme="majorBidi" w:cstheme="majorBidi"/>
        </w:rPr>
        <w:t>low-priority</w:t>
      </w:r>
      <w:proofErr w:type="gramEnd"/>
      <w:r w:rsidRPr="00F82EBE">
        <w:rPr>
          <w:rFonts w:asciiTheme="majorBidi" w:hAnsiTheme="majorBidi" w:cstheme="majorBidi"/>
        </w:rPr>
        <w:t>, this could be received after the other evidence that we are requesting.</w:t>
      </w:r>
    </w:p>
    <w:p w14:paraId="284D5A35" w14:textId="77777777" w:rsidR="00D31AF7" w:rsidRPr="00F82EBE" w:rsidRDefault="00D31AF7" w:rsidP="00D31AF7">
      <w:pPr>
        <w:rPr>
          <w:rFonts w:asciiTheme="majorBidi" w:hAnsiTheme="majorBidi" w:cstheme="majorBidi"/>
        </w:rPr>
      </w:pPr>
    </w:p>
    <w:p w14:paraId="3A8A7381" w14:textId="77777777" w:rsidR="00D31AF7" w:rsidRPr="00F82EBE" w:rsidRDefault="00D31AF7" w:rsidP="00D31AF7">
      <w:pPr>
        <w:spacing w:after="120" w:line="276" w:lineRule="auto"/>
        <w:rPr>
          <w:rFonts w:asciiTheme="majorBidi" w:hAnsiTheme="majorBidi" w:cstheme="majorBidi"/>
        </w:rPr>
      </w:pPr>
      <w:bookmarkStart w:id="614" w:name="_i2a1tync1sq2" w:colFirst="0" w:colLast="0"/>
      <w:bookmarkEnd w:id="614"/>
      <w:r w:rsidRPr="00F82EBE">
        <w:rPr>
          <w:rFonts w:asciiTheme="majorBidi" w:hAnsiTheme="majorBidi" w:cstheme="majorBidi"/>
          <w:b/>
          <w:bCs/>
          <w:u w:val="single"/>
        </w:rPr>
        <w:t>2) Mechanisms of interest: changes in susceptibility patterns over time.</w:t>
      </w:r>
    </w:p>
    <w:p w14:paraId="6C7DE3F1" w14:textId="77777777" w:rsidR="00D31AF7" w:rsidRPr="00F82EBE" w:rsidRDefault="00D31AF7" w:rsidP="00D31AF7">
      <w:pPr>
        <w:rPr>
          <w:rFonts w:asciiTheme="majorBidi" w:hAnsiTheme="majorBidi" w:cstheme="majorBidi"/>
        </w:rPr>
      </w:pPr>
      <w:r w:rsidRPr="00F82EBE">
        <w:rPr>
          <w:rFonts w:asciiTheme="majorBidi" w:hAnsiTheme="majorBidi" w:cstheme="majorBidi"/>
        </w:rPr>
        <w:lastRenderedPageBreak/>
        <w:t>For isolates (infections) within each of the five mechanism/pathogen combinations listed above, we would want to know their susceptibility to the following drugs / classes of drug (where available):</w:t>
      </w:r>
    </w:p>
    <w:p w14:paraId="349E8AB7"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Polymyxin (</w:t>
      </w:r>
      <w:proofErr w:type="gramStart"/>
      <w:r w:rsidRPr="00F82EBE">
        <w:rPr>
          <w:rFonts w:asciiTheme="majorBidi" w:hAnsiTheme="majorBidi" w:cstheme="majorBidi"/>
        </w:rPr>
        <w:t>e.g.</w:t>
      </w:r>
      <w:proofErr w:type="gramEnd"/>
      <w:r w:rsidRPr="00F82EBE">
        <w:rPr>
          <w:rFonts w:asciiTheme="majorBidi" w:hAnsiTheme="majorBidi" w:cstheme="majorBidi"/>
        </w:rPr>
        <w:t xml:space="preserve"> colistin)</w:t>
      </w:r>
    </w:p>
    <w:p w14:paraId="413C5331"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Aminoglycosides</w:t>
      </w:r>
    </w:p>
    <w:p w14:paraId="425047EE"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Cephalosporins (3rd / 4th generation, excluding ceftazidime-avibactam)</w:t>
      </w:r>
    </w:p>
    <w:p w14:paraId="1CE45A18"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Ceftazidime-avibactam</w:t>
      </w:r>
    </w:p>
    <w:p w14:paraId="7F60FC05"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Fluoroquinolones</w:t>
      </w:r>
    </w:p>
    <w:p w14:paraId="46B13996"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Tigecycline</w:t>
      </w:r>
    </w:p>
    <w:p w14:paraId="17FB0D61"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Fosfomycin</w:t>
      </w:r>
    </w:p>
    <w:p w14:paraId="153D0C92"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Aztreonam</w:t>
      </w:r>
    </w:p>
    <w:p w14:paraId="6217F7B5" w14:textId="77777777" w:rsidR="00D31AF7" w:rsidRPr="00F82EBE" w:rsidRDefault="00D31AF7" w:rsidP="005A3BE6">
      <w:pPr>
        <w:numPr>
          <w:ilvl w:val="0"/>
          <w:numId w:val="107"/>
        </w:numPr>
        <w:spacing w:after="0" w:line="276" w:lineRule="auto"/>
        <w:rPr>
          <w:rFonts w:asciiTheme="majorBidi" w:hAnsiTheme="majorBidi" w:cstheme="majorBidi"/>
        </w:rPr>
      </w:pPr>
      <w:r w:rsidRPr="00F82EBE">
        <w:rPr>
          <w:rFonts w:asciiTheme="majorBidi" w:hAnsiTheme="majorBidi" w:cstheme="majorBidi"/>
        </w:rPr>
        <w:t>Meropenem.</w:t>
      </w:r>
    </w:p>
    <w:p w14:paraId="4C86BD36" w14:textId="77777777" w:rsidR="00D31AF7" w:rsidRPr="00F82EBE" w:rsidRDefault="00D31AF7" w:rsidP="005A3BE6">
      <w:pPr>
        <w:numPr>
          <w:ilvl w:val="0"/>
          <w:numId w:val="107"/>
        </w:numPr>
        <w:spacing w:after="0" w:line="276" w:lineRule="auto"/>
        <w:rPr>
          <w:rFonts w:asciiTheme="majorBidi" w:hAnsiTheme="majorBidi" w:cstheme="majorBidi"/>
        </w:rPr>
      </w:pPr>
      <w:proofErr w:type="spellStart"/>
      <w:r w:rsidRPr="00F82EBE">
        <w:rPr>
          <w:rFonts w:asciiTheme="majorBidi" w:hAnsiTheme="majorBidi" w:cstheme="majorBidi"/>
        </w:rPr>
        <w:t>Cefiderocol</w:t>
      </w:r>
      <w:proofErr w:type="spellEnd"/>
      <w:r w:rsidRPr="00F82EBE">
        <w:rPr>
          <w:rFonts w:asciiTheme="majorBidi" w:hAnsiTheme="majorBidi" w:cstheme="majorBidi"/>
        </w:rPr>
        <w:t xml:space="preserve"> </w:t>
      </w:r>
    </w:p>
    <w:p w14:paraId="68158E04" w14:textId="77777777" w:rsidR="00D31AF7" w:rsidRPr="00F82EBE" w:rsidRDefault="00D31AF7" w:rsidP="00D31AF7">
      <w:pPr>
        <w:rPr>
          <w:rFonts w:asciiTheme="majorBidi" w:hAnsiTheme="majorBidi" w:cstheme="majorBidi"/>
        </w:rPr>
      </w:pPr>
    </w:p>
    <w:p w14:paraId="1DF621A5" w14:textId="77777777" w:rsidR="00D31AF7" w:rsidRPr="00F82EBE" w:rsidRDefault="00D31AF7" w:rsidP="00D31AF7">
      <w:pPr>
        <w:rPr>
          <w:rFonts w:asciiTheme="majorBidi" w:hAnsiTheme="majorBidi" w:cstheme="majorBidi"/>
        </w:rPr>
      </w:pPr>
      <w:r w:rsidRPr="00F82EBE">
        <w:rPr>
          <w:rFonts w:asciiTheme="majorBidi" w:hAnsiTheme="majorBidi" w:cstheme="majorBidi"/>
        </w:rPr>
        <w:t>Again, we would like this as a time-series from AMRHAI (with different time intervals per mechanism-drug combination if needed. See first example table shell), and from the SGSS (not as a time series). For both, the time periods are the same as the previous section.</w:t>
      </w:r>
    </w:p>
    <w:p w14:paraId="067589E4" w14:textId="77777777" w:rsidR="00D31AF7" w:rsidRPr="00F82EBE" w:rsidRDefault="00D31AF7" w:rsidP="00D31AF7">
      <w:pPr>
        <w:rPr>
          <w:rFonts w:asciiTheme="majorBidi" w:hAnsiTheme="majorBidi" w:cstheme="majorBidi"/>
        </w:rPr>
      </w:pPr>
      <w:r w:rsidRPr="00F82EBE">
        <w:rPr>
          <w:rFonts w:asciiTheme="majorBidi" w:hAnsiTheme="majorBidi" w:cstheme="majorBidi"/>
        </w:rPr>
        <w:t>Also, if you have information on which drug(s) are tested for within each class that would be good to know.</w:t>
      </w:r>
    </w:p>
    <w:p w14:paraId="6637A639" w14:textId="77777777" w:rsidR="00D31AF7" w:rsidRPr="00F82EBE" w:rsidRDefault="00D31AF7" w:rsidP="00D31AF7">
      <w:pPr>
        <w:rPr>
          <w:rFonts w:asciiTheme="majorBidi" w:hAnsiTheme="majorBidi" w:cstheme="majorBidi"/>
        </w:rPr>
      </w:pPr>
    </w:p>
    <w:p w14:paraId="7FF0D3F6" w14:textId="77777777" w:rsidR="00D31AF7" w:rsidRPr="00F82EBE" w:rsidRDefault="00D31AF7" w:rsidP="00D31AF7">
      <w:pPr>
        <w:rPr>
          <w:rFonts w:asciiTheme="majorBidi" w:hAnsiTheme="majorBidi" w:cstheme="majorBidi"/>
        </w:rPr>
      </w:pPr>
      <w:r w:rsidRPr="00F82EBE">
        <w:rPr>
          <w:rFonts w:asciiTheme="majorBidi" w:hAnsiTheme="majorBidi" w:cstheme="majorBidi"/>
        </w:rPr>
        <w:t>When reporting the number of isolates that are resistant, except for meropenem, please include those isolates classified as ‘</w:t>
      </w:r>
      <w:proofErr w:type="spellStart"/>
      <w:r w:rsidRPr="00F82EBE">
        <w:rPr>
          <w:rFonts w:asciiTheme="majorBidi" w:hAnsiTheme="majorBidi" w:cstheme="majorBidi"/>
        </w:rPr>
        <w:t>intermediate’with</w:t>
      </w:r>
      <w:proofErr w:type="spellEnd"/>
      <w:r w:rsidRPr="00F82EBE">
        <w:rPr>
          <w:rFonts w:asciiTheme="majorBidi" w:hAnsiTheme="majorBidi" w:cstheme="majorBidi"/>
        </w:rPr>
        <w:t xml:space="preserve"> the resistant group. For meropenem, however, we would be interested in keeping those ‘intermediate’ as a separate category (so three rows for meropenem) </w:t>
      </w:r>
    </w:p>
    <w:p w14:paraId="55007CDA" w14:textId="77777777" w:rsidR="00D31AF7" w:rsidRPr="00F82EBE" w:rsidRDefault="00D31AF7" w:rsidP="00D31AF7">
      <w:pPr>
        <w:ind w:left="720"/>
        <w:rPr>
          <w:rFonts w:asciiTheme="majorBidi" w:hAnsiTheme="majorBidi" w:cstheme="majorBidi"/>
        </w:rPr>
      </w:pPr>
    </w:p>
    <w:p w14:paraId="0EC29409" w14:textId="77777777" w:rsidR="00D31AF7" w:rsidRPr="00F82EBE" w:rsidRDefault="00D31AF7" w:rsidP="00D31AF7">
      <w:pPr>
        <w:rPr>
          <w:rFonts w:asciiTheme="majorBidi" w:hAnsiTheme="majorBidi" w:cstheme="majorBidi"/>
          <w:u w:val="single"/>
        </w:rPr>
      </w:pPr>
      <w:r w:rsidRPr="00F82EBE">
        <w:rPr>
          <w:rFonts w:asciiTheme="majorBidi" w:hAnsiTheme="majorBidi" w:cstheme="majorBidi"/>
          <w:u w:val="single"/>
        </w:rPr>
        <w:t>Example table shells:</w:t>
      </w:r>
    </w:p>
    <w:p w14:paraId="59B5D2C4" w14:textId="77777777" w:rsidR="00D31AF7" w:rsidRPr="00F82EBE" w:rsidRDefault="00D31AF7" w:rsidP="00D31AF7">
      <w:pPr>
        <w:rPr>
          <w:rFonts w:asciiTheme="majorBidi" w:hAnsiTheme="majorBidi" w:cstheme="majorBidi"/>
        </w:rPr>
      </w:pPr>
    </w:p>
    <w:p w14:paraId="2F639D91" w14:textId="77777777" w:rsidR="00D31AF7" w:rsidRPr="00F82EBE" w:rsidRDefault="00D31AF7" w:rsidP="005A3BE6">
      <w:pPr>
        <w:pStyle w:val="ListParagraph"/>
        <w:numPr>
          <w:ilvl w:val="0"/>
          <w:numId w:val="112"/>
        </w:numPr>
        <w:spacing w:after="0" w:line="276" w:lineRule="auto"/>
        <w:rPr>
          <w:rFonts w:asciiTheme="majorBidi" w:hAnsiTheme="majorBidi" w:cstheme="majorBidi"/>
          <w:b/>
          <w:bCs/>
        </w:rPr>
      </w:pPr>
      <w:r w:rsidRPr="00F82EBE">
        <w:rPr>
          <w:rFonts w:asciiTheme="majorBidi" w:hAnsiTheme="majorBidi" w:cstheme="majorBidi"/>
          <w:b/>
          <w:bCs/>
        </w:rPr>
        <w:t>Resistance to a single drug: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3"/>
        <w:gridCol w:w="2330"/>
        <w:gridCol w:w="1212"/>
        <w:gridCol w:w="1147"/>
        <w:gridCol w:w="944"/>
      </w:tblGrid>
      <w:tr w:rsidR="00D31AF7" w:rsidRPr="00E052E9" w14:paraId="0EF94EEF" w14:textId="77777777" w:rsidTr="00381A08">
        <w:tc>
          <w:tcPr>
            <w:tcW w:w="5340" w:type="dxa"/>
            <w:shd w:val="clear" w:color="auto" w:fill="auto"/>
            <w:tcMar>
              <w:top w:w="100" w:type="dxa"/>
              <w:left w:w="100" w:type="dxa"/>
              <w:bottom w:w="100" w:type="dxa"/>
              <w:right w:w="100" w:type="dxa"/>
            </w:tcMar>
          </w:tcPr>
          <w:p w14:paraId="1BA0A0E4"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b/>
                <w:bCs/>
              </w:rPr>
            </w:pPr>
            <w:r w:rsidRPr="00E052E9">
              <w:rPr>
                <w:rFonts w:asciiTheme="majorBidi" w:hAnsiTheme="majorBidi" w:cstheme="majorBidi"/>
                <w:b/>
                <w:bCs/>
              </w:rPr>
              <w:t>CPE with OXA-48</w:t>
            </w:r>
          </w:p>
        </w:tc>
        <w:tc>
          <w:tcPr>
            <w:tcW w:w="3645" w:type="dxa"/>
            <w:shd w:val="clear" w:color="auto" w:fill="auto"/>
            <w:tcMar>
              <w:top w:w="100" w:type="dxa"/>
              <w:left w:w="100" w:type="dxa"/>
              <w:bottom w:w="100" w:type="dxa"/>
              <w:right w:w="100" w:type="dxa"/>
            </w:tcMar>
          </w:tcPr>
          <w:p w14:paraId="7C48FCCD"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b/>
                <w:bCs/>
              </w:rPr>
            </w:pPr>
            <w:r w:rsidRPr="00E052E9">
              <w:rPr>
                <w:rFonts w:asciiTheme="majorBidi" w:hAnsiTheme="majorBidi" w:cstheme="majorBidi"/>
                <w:b/>
                <w:bCs/>
              </w:rPr>
              <w:t>Time interval 1 (</w:t>
            </w:r>
            <w:proofErr w:type="gramStart"/>
            <w:r w:rsidRPr="00E052E9">
              <w:rPr>
                <w:rFonts w:asciiTheme="majorBidi" w:hAnsiTheme="majorBidi" w:cstheme="majorBidi"/>
                <w:b/>
                <w:bCs/>
              </w:rPr>
              <w:t>e.g.</w:t>
            </w:r>
            <w:proofErr w:type="gramEnd"/>
            <w:r w:rsidRPr="00E052E9">
              <w:rPr>
                <w:rFonts w:asciiTheme="majorBidi" w:hAnsiTheme="majorBidi" w:cstheme="majorBidi"/>
                <w:b/>
                <w:bCs/>
              </w:rPr>
              <w:t xml:space="preserve"> January 2003, </w:t>
            </w:r>
            <w:r w:rsidRPr="00E052E9">
              <w:rPr>
                <w:rFonts w:asciiTheme="majorBidi" w:hAnsiTheme="majorBidi" w:cstheme="majorBidi"/>
                <w:b/>
                <w:bCs/>
                <w:i/>
              </w:rPr>
              <w:t>or</w:t>
            </w:r>
            <w:r w:rsidRPr="00E052E9">
              <w:rPr>
                <w:rFonts w:asciiTheme="majorBidi" w:hAnsiTheme="majorBidi" w:cstheme="majorBidi"/>
                <w:b/>
                <w:bCs/>
              </w:rPr>
              <w:t xml:space="preserve"> 2003 Quarter 1, </w:t>
            </w:r>
            <w:r w:rsidRPr="00E052E9">
              <w:rPr>
                <w:rFonts w:asciiTheme="majorBidi" w:hAnsiTheme="majorBidi" w:cstheme="majorBidi"/>
                <w:b/>
                <w:bCs/>
                <w:i/>
              </w:rPr>
              <w:t>or</w:t>
            </w:r>
            <w:r w:rsidRPr="00E052E9">
              <w:rPr>
                <w:rFonts w:asciiTheme="majorBidi" w:hAnsiTheme="majorBidi" w:cstheme="majorBidi"/>
                <w:b/>
                <w:bCs/>
              </w:rPr>
              <w:t xml:space="preserve"> 2003)</w:t>
            </w:r>
          </w:p>
        </w:tc>
        <w:tc>
          <w:tcPr>
            <w:tcW w:w="1830" w:type="dxa"/>
            <w:shd w:val="clear" w:color="auto" w:fill="auto"/>
            <w:tcMar>
              <w:top w:w="100" w:type="dxa"/>
              <w:left w:w="100" w:type="dxa"/>
              <w:bottom w:w="100" w:type="dxa"/>
              <w:right w:w="100" w:type="dxa"/>
            </w:tcMar>
          </w:tcPr>
          <w:p w14:paraId="17174A99" w14:textId="77777777" w:rsidR="00D31AF7" w:rsidRPr="00E052E9" w:rsidRDefault="00D31AF7" w:rsidP="00381A08">
            <w:pPr>
              <w:widowControl w:val="0"/>
              <w:spacing w:line="240" w:lineRule="auto"/>
              <w:rPr>
                <w:rFonts w:asciiTheme="majorBidi" w:hAnsiTheme="majorBidi" w:cstheme="majorBidi"/>
                <w:b/>
                <w:bCs/>
              </w:rPr>
            </w:pPr>
            <w:r w:rsidRPr="00E052E9">
              <w:rPr>
                <w:rFonts w:asciiTheme="majorBidi" w:hAnsiTheme="majorBidi" w:cstheme="majorBidi"/>
                <w:b/>
                <w:bCs/>
              </w:rPr>
              <w:t xml:space="preserve">Time interval 2 </w:t>
            </w:r>
          </w:p>
        </w:tc>
        <w:tc>
          <w:tcPr>
            <w:tcW w:w="1725" w:type="dxa"/>
            <w:shd w:val="clear" w:color="auto" w:fill="auto"/>
            <w:tcMar>
              <w:top w:w="100" w:type="dxa"/>
              <w:left w:w="100" w:type="dxa"/>
              <w:bottom w:w="100" w:type="dxa"/>
              <w:right w:w="100" w:type="dxa"/>
            </w:tcMar>
          </w:tcPr>
          <w:p w14:paraId="73958873" w14:textId="77777777" w:rsidR="00D31AF7" w:rsidRPr="00E052E9" w:rsidRDefault="00D31AF7" w:rsidP="00381A08">
            <w:pPr>
              <w:widowControl w:val="0"/>
              <w:spacing w:line="240" w:lineRule="auto"/>
              <w:rPr>
                <w:rFonts w:asciiTheme="majorBidi" w:hAnsiTheme="majorBidi" w:cstheme="majorBidi"/>
                <w:b/>
                <w:bCs/>
              </w:rPr>
            </w:pPr>
            <w:r w:rsidRPr="00E052E9">
              <w:rPr>
                <w:rFonts w:asciiTheme="majorBidi" w:hAnsiTheme="majorBidi" w:cstheme="majorBidi"/>
                <w:b/>
                <w:bCs/>
              </w:rPr>
              <w:t xml:space="preserve">Time interval 3 </w:t>
            </w:r>
          </w:p>
        </w:tc>
        <w:tc>
          <w:tcPr>
            <w:tcW w:w="1395" w:type="dxa"/>
            <w:shd w:val="clear" w:color="auto" w:fill="auto"/>
            <w:tcMar>
              <w:top w:w="100" w:type="dxa"/>
              <w:left w:w="100" w:type="dxa"/>
              <w:bottom w:w="100" w:type="dxa"/>
              <w:right w:w="100" w:type="dxa"/>
            </w:tcMar>
          </w:tcPr>
          <w:p w14:paraId="4AA09ECF"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b/>
                <w:bCs/>
              </w:rPr>
            </w:pPr>
            <w:r w:rsidRPr="00E052E9">
              <w:rPr>
                <w:rFonts w:asciiTheme="majorBidi" w:hAnsiTheme="majorBidi" w:cstheme="majorBidi"/>
                <w:b/>
                <w:bCs/>
              </w:rPr>
              <w:t>...etc</w:t>
            </w:r>
          </w:p>
        </w:tc>
      </w:tr>
      <w:tr w:rsidR="00D31AF7" w:rsidRPr="00E052E9" w14:paraId="772ADA7A" w14:textId="77777777" w:rsidTr="00381A08">
        <w:tc>
          <w:tcPr>
            <w:tcW w:w="5340" w:type="dxa"/>
            <w:shd w:val="clear" w:color="auto" w:fill="auto"/>
            <w:tcMar>
              <w:top w:w="100" w:type="dxa"/>
              <w:left w:w="100" w:type="dxa"/>
              <w:bottom w:w="100" w:type="dxa"/>
              <w:right w:w="100" w:type="dxa"/>
            </w:tcMar>
          </w:tcPr>
          <w:p w14:paraId="0D55D13D" w14:textId="77777777" w:rsidR="00D31AF7" w:rsidRPr="00E052E9" w:rsidRDefault="00D31AF7" w:rsidP="00381A08">
            <w:pPr>
              <w:rPr>
                <w:rFonts w:asciiTheme="majorBidi" w:hAnsiTheme="majorBidi" w:cstheme="majorBidi"/>
              </w:rPr>
            </w:pPr>
            <w:r w:rsidRPr="00E052E9">
              <w:rPr>
                <w:rFonts w:asciiTheme="majorBidi" w:hAnsiTheme="majorBidi" w:cstheme="majorBidi"/>
              </w:rPr>
              <w:t>Aminoglycosides: number resistant</w:t>
            </w:r>
          </w:p>
        </w:tc>
        <w:tc>
          <w:tcPr>
            <w:tcW w:w="3645" w:type="dxa"/>
            <w:shd w:val="clear" w:color="auto" w:fill="auto"/>
            <w:tcMar>
              <w:top w:w="100" w:type="dxa"/>
              <w:left w:w="100" w:type="dxa"/>
              <w:bottom w:w="100" w:type="dxa"/>
              <w:right w:w="100" w:type="dxa"/>
            </w:tcMar>
          </w:tcPr>
          <w:p w14:paraId="3048BD4B"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830" w:type="dxa"/>
            <w:shd w:val="clear" w:color="auto" w:fill="auto"/>
            <w:tcMar>
              <w:top w:w="100" w:type="dxa"/>
              <w:left w:w="100" w:type="dxa"/>
              <w:bottom w:w="100" w:type="dxa"/>
              <w:right w:w="100" w:type="dxa"/>
            </w:tcMar>
          </w:tcPr>
          <w:p w14:paraId="7192BF8F"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725" w:type="dxa"/>
            <w:shd w:val="clear" w:color="auto" w:fill="auto"/>
            <w:tcMar>
              <w:top w:w="100" w:type="dxa"/>
              <w:left w:w="100" w:type="dxa"/>
              <w:bottom w:w="100" w:type="dxa"/>
              <w:right w:w="100" w:type="dxa"/>
            </w:tcMar>
          </w:tcPr>
          <w:p w14:paraId="25CBBE92"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395" w:type="dxa"/>
            <w:shd w:val="clear" w:color="auto" w:fill="auto"/>
            <w:tcMar>
              <w:top w:w="100" w:type="dxa"/>
              <w:left w:w="100" w:type="dxa"/>
              <w:bottom w:w="100" w:type="dxa"/>
              <w:right w:w="100" w:type="dxa"/>
            </w:tcMar>
          </w:tcPr>
          <w:p w14:paraId="145AB6FE"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r>
      <w:tr w:rsidR="00D31AF7" w:rsidRPr="00E052E9" w14:paraId="52F5FC41" w14:textId="77777777" w:rsidTr="00381A08">
        <w:tc>
          <w:tcPr>
            <w:tcW w:w="5340" w:type="dxa"/>
            <w:shd w:val="clear" w:color="auto" w:fill="auto"/>
            <w:tcMar>
              <w:top w:w="100" w:type="dxa"/>
              <w:left w:w="100" w:type="dxa"/>
              <w:bottom w:w="100" w:type="dxa"/>
              <w:right w:w="100" w:type="dxa"/>
            </w:tcMar>
          </w:tcPr>
          <w:p w14:paraId="420C80F7" w14:textId="77777777" w:rsidR="00D31AF7" w:rsidRPr="00E052E9" w:rsidRDefault="00D31AF7" w:rsidP="00381A08">
            <w:pPr>
              <w:rPr>
                <w:rFonts w:asciiTheme="majorBidi" w:hAnsiTheme="majorBidi" w:cstheme="majorBidi"/>
              </w:rPr>
            </w:pPr>
            <w:r w:rsidRPr="00E052E9">
              <w:rPr>
                <w:rFonts w:asciiTheme="majorBidi" w:hAnsiTheme="majorBidi" w:cstheme="majorBidi"/>
              </w:rPr>
              <w:t>Aminoglycosides: number susceptible</w:t>
            </w:r>
          </w:p>
        </w:tc>
        <w:tc>
          <w:tcPr>
            <w:tcW w:w="3645" w:type="dxa"/>
            <w:shd w:val="clear" w:color="auto" w:fill="auto"/>
            <w:tcMar>
              <w:top w:w="100" w:type="dxa"/>
              <w:left w:w="100" w:type="dxa"/>
              <w:bottom w:w="100" w:type="dxa"/>
              <w:right w:w="100" w:type="dxa"/>
            </w:tcMar>
          </w:tcPr>
          <w:p w14:paraId="74BC6D4D"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830" w:type="dxa"/>
            <w:shd w:val="clear" w:color="auto" w:fill="auto"/>
            <w:tcMar>
              <w:top w:w="100" w:type="dxa"/>
              <w:left w:w="100" w:type="dxa"/>
              <w:bottom w:w="100" w:type="dxa"/>
              <w:right w:w="100" w:type="dxa"/>
            </w:tcMar>
          </w:tcPr>
          <w:p w14:paraId="7BBA208D"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725" w:type="dxa"/>
            <w:shd w:val="clear" w:color="auto" w:fill="auto"/>
            <w:tcMar>
              <w:top w:w="100" w:type="dxa"/>
              <w:left w:w="100" w:type="dxa"/>
              <w:bottom w:w="100" w:type="dxa"/>
              <w:right w:w="100" w:type="dxa"/>
            </w:tcMar>
          </w:tcPr>
          <w:p w14:paraId="2E7FAB8C"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395" w:type="dxa"/>
            <w:shd w:val="clear" w:color="auto" w:fill="auto"/>
            <w:tcMar>
              <w:top w:w="100" w:type="dxa"/>
              <w:left w:w="100" w:type="dxa"/>
              <w:bottom w:w="100" w:type="dxa"/>
              <w:right w:w="100" w:type="dxa"/>
            </w:tcMar>
          </w:tcPr>
          <w:p w14:paraId="72E4EA1B"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r>
      <w:tr w:rsidR="00D31AF7" w:rsidRPr="00E052E9" w14:paraId="7B6277BE" w14:textId="77777777" w:rsidTr="00381A08">
        <w:tc>
          <w:tcPr>
            <w:tcW w:w="5340" w:type="dxa"/>
            <w:shd w:val="clear" w:color="auto" w:fill="auto"/>
            <w:tcMar>
              <w:top w:w="100" w:type="dxa"/>
              <w:left w:w="100" w:type="dxa"/>
              <w:bottom w:w="100" w:type="dxa"/>
              <w:right w:w="100" w:type="dxa"/>
            </w:tcMar>
          </w:tcPr>
          <w:p w14:paraId="41DB1990" w14:textId="77777777" w:rsidR="00D31AF7" w:rsidRPr="00E052E9" w:rsidRDefault="00D31AF7" w:rsidP="00381A08">
            <w:pPr>
              <w:rPr>
                <w:rFonts w:asciiTheme="majorBidi" w:hAnsiTheme="majorBidi" w:cstheme="majorBidi"/>
              </w:rPr>
            </w:pPr>
            <w:r w:rsidRPr="00E052E9">
              <w:rPr>
                <w:rFonts w:asciiTheme="majorBidi" w:hAnsiTheme="majorBidi" w:cstheme="majorBidi"/>
              </w:rPr>
              <w:t>Fluoroquinolones: number resistant</w:t>
            </w:r>
          </w:p>
        </w:tc>
        <w:tc>
          <w:tcPr>
            <w:tcW w:w="3645" w:type="dxa"/>
            <w:shd w:val="clear" w:color="auto" w:fill="auto"/>
            <w:tcMar>
              <w:top w:w="100" w:type="dxa"/>
              <w:left w:w="100" w:type="dxa"/>
              <w:bottom w:w="100" w:type="dxa"/>
              <w:right w:w="100" w:type="dxa"/>
            </w:tcMar>
          </w:tcPr>
          <w:p w14:paraId="0D707BE3"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830" w:type="dxa"/>
            <w:shd w:val="clear" w:color="auto" w:fill="auto"/>
            <w:tcMar>
              <w:top w:w="100" w:type="dxa"/>
              <w:left w:w="100" w:type="dxa"/>
              <w:bottom w:w="100" w:type="dxa"/>
              <w:right w:w="100" w:type="dxa"/>
            </w:tcMar>
          </w:tcPr>
          <w:p w14:paraId="2F4D6D63"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725" w:type="dxa"/>
            <w:shd w:val="clear" w:color="auto" w:fill="auto"/>
            <w:tcMar>
              <w:top w:w="100" w:type="dxa"/>
              <w:left w:w="100" w:type="dxa"/>
              <w:bottom w:w="100" w:type="dxa"/>
              <w:right w:w="100" w:type="dxa"/>
            </w:tcMar>
          </w:tcPr>
          <w:p w14:paraId="486A321A"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395" w:type="dxa"/>
            <w:shd w:val="clear" w:color="auto" w:fill="auto"/>
            <w:tcMar>
              <w:top w:w="100" w:type="dxa"/>
              <w:left w:w="100" w:type="dxa"/>
              <w:bottom w:w="100" w:type="dxa"/>
              <w:right w:w="100" w:type="dxa"/>
            </w:tcMar>
          </w:tcPr>
          <w:p w14:paraId="2D10DFB2"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r>
      <w:tr w:rsidR="00D31AF7" w:rsidRPr="00E052E9" w14:paraId="189B389C" w14:textId="77777777" w:rsidTr="00381A08">
        <w:tc>
          <w:tcPr>
            <w:tcW w:w="5340" w:type="dxa"/>
            <w:shd w:val="clear" w:color="auto" w:fill="auto"/>
            <w:tcMar>
              <w:top w:w="100" w:type="dxa"/>
              <w:left w:w="100" w:type="dxa"/>
              <w:bottom w:w="100" w:type="dxa"/>
              <w:right w:w="100" w:type="dxa"/>
            </w:tcMar>
          </w:tcPr>
          <w:p w14:paraId="0B98AA30" w14:textId="77777777" w:rsidR="00D31AF7" w:rsidRPr="00E052E9" w:rsidRDefault="00D31AF7" w:rsidP="00381A08">
            <w:pPr>
              <w:rPr>
                <w:rFonts w:asciiTheme="majorBidi" w:hAnsiTheme="majorBidi" w:cstheme="majorBidi"/>
              </w:rPr>
            </w:pPr>
            <w:r w:rsidRPr="00E052E9">
              <w:rPr>
                <w:rFonts w:asciiTheme="majorBidi" w:hAnsiTheme="majorBidi" w:cstheme="majorBidi"/>
              </w:rPr>
              <w:t>Fluoroquinolones: number susceptible</w:t>
            </w:r>
          </w:p>
        </w:tc>
        <w:tc>
          <w:tcPr>
            <w:tcW w:w="3645" w:type="dxa"/>
            <w:shd w:val="clear" w:color="auto" w:fill="auto"/>
            <w:tcMar>
              <w:top w:w="100" w:type="dxa"/>
              <w:left w:w="100" w:type="dxa"/>
              <w:bottom w:w="100" w:type="dxa"/>
              <w:right w:w="100" w:type="dxa"/>
            </w:tcMar>
          </w:tcPr>
          <w:p w14:paraId="7AC5B825"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830" w:type="dxa"/>
            <w:shd w:val="clear" w:color="auto" w:fill="auto"/>
            <w:tcMar>
              <w:top w:w="100" w:type="dxa"/>
              <w:left w:w="100" w:type="dxa"/>
              <w:bottom w:w="100" w:type="dxa"/>
              <w:right w:w="100" w:type="dxa"/>
            </w:tcMar>
          </w:tcPr>
          <w:p w14:paraId="0E3652F0"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725" w:type="dxa"/>
            <w:shd w:val="clear" w:color="auto" w:fill="auto"/>
            <w:tcMar>
              <w:top w:w="100" w:type="dxa"/>
              <w:left w:w="100" w:type="dxa"/>
              <w:bottom w:w="100" w:type="dxa"/>
              <w:right w:w="100" w:type="dxa"/>
            </w:tcMar>
          </w:tcPr>
          <w:p w14:paraId="55187F74"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395" w:type="dxa"/>
            <w:shd w:val="clear" w:color="auto" w:fill="auto"/>
            <w:tcMar>
              <w:top w:w="100" w:type="dxa"/>
              <w:left w:w="100" w:type="dxa"/>
              <w:bottom w:w="100" w:type="dxa"/>
              <w:right w:w="100" w:type="dxa"/>
            </w:tcMar>
          </w:tcPr>
          <w:p w14:paraId="27DE5CCF"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r>
      <w:tr w:rsidR="00D31AF7" w:rsidRPr="00E052E9" w14:paraId="6E36D639" w14:textId="77777777" w:rsidTr="00381A08">
        <w:tc>
          <w:tcPr>
            <w:tcW w:w="5340" w:type="dxa"/>
            <w:shd w:val="clear" w:color="auto" w:fill="auto"/>
            <w:tcMar>
              <w:top w:w="100" w:type="dxa"/>
              <w:left w:w="100" w:type="dxa"/>
              <w:bottom w:w="100" w:type="dxa"/>
              <w:right w:w="100" w:type="dxa"/>
            </w:tcMar>
          </w:tcPr>
          <w:p w14:paraId="15D7701F"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r w:rsidRPr="00E052E9">
              <w:rPr>
                <w:rFonts w:asciiTheme="majorBidi" w:hAnsiTheme="majorBidi" w:cstheme="majorBidi"/>
              </w:rPr>
              <w:t>...etc</w:t>
            </w:r>
          </w:p>
        </w:tc>
        <w:tc>
          <w:tcPr>
            <w:tcW w:w="3645" w:type="dxa"/>
            <w:shd w:val="clear" w:color="auto" w:fill="auto"/>
            <w:tcMar>
              <w:top w:w="100" w:type="dxa"/>
              <w:left w:w="100" w:type="dxa"/>
              <w:bottom w:w="100" w:type="dxa"/>
              <w:right w:w="100" w:type="dxa"/>
            </w:tcMar>
          </w:tcPr>
          <w:p w14:paraId="04F518A0"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830" w:type="dxa"/>
            <w:shd w:val="clear" w:color="auto" w:fill="auto"/>
            <w:tcMar>
              <w:top w:w="100" w:type="dxa"/>
              <w:left w:w="100" w:type="dxa"/>
              <w:bottom w:w="100" w:type="dxa"/>
              <w:right w:w="100" w:type="dxa"/>
            </w:tcMar>
          </w:tcPr>
          <w:p w14:paraId="49BE70EA"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725" w:type="dxa"/>
            <w:shd w:val="clear" w:color="auto" w:fill="auto"/>
            <w:tcMar>
              <w:top w:w="100" w:type="dxa"/>
              <w:left w:w="100" w:type="dxa"/>
              <w:bottom w:w="100" w:type="dxa"/>
              <w:right w:w="100" w:type="dxa"/>
            </w:tcMar>
          </w:tcPr>
          <w:p w14:paraId="29FEA317"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c>
          <w:tcPr>
            <w:tcW w:w="1395" w:type="dxa"/>
            <w:shd w:val="clear" w:color="auto" w:fill="auto"/>
            <w:tcMar>
              <w:top w:w="100" w:type="dxa"/>
              <w:left w:w="100" w:type="dxa"/>
              <w:bottom w:w="100" w:type="dxa"/>
              <w:right w:w="100" w:type="dxa"/>
            </w:tcMar>
          </w:tcPr>
          <w:p w14:paraId="28C37A48" w14:textId="77777777" w:rsidR="00D31AF7" w:rsidRPr="00E052E9" w:rsidRDefault="00D31AF7" w:rsidP="00381A08">
            <w:pPr>
              <w:widowControl w:val="0"/>
              <w:pBdr>
                <w:top w:val="nil"/>
                <w:left w:val="nil"/>
                <w:bottom w:val="nil"/>
                <w:right w:val="nil"/>
                <w:between w:val="nil"/>
              </w:pBdr>
              <w:spacing w:line="240" w:lineRule="auto"/>
              <w:rPr>
                <w:rFonts w:asciiTheme="majorBidi" w:hAnsiTheme="majorBidi" w:cstheme="majorBidi"/>
              </w:rPr>
            </w:pPr>
          </w:p>
        </w:tc>
      </w:tr>
    </w:tbl>
    <w:p w14:paraId="48C54024" w14:textId="77777777" w:rsidR="00D31AF7" w:rsidRPr="00F82EBE" w:rsidRDefault="00D31AF7" w:rsidP="00D31AF7">
      <w:pPr>
        <w:rPr>
          <w:rFonts w:asciiTheme="majorBidi" w:hAnsiTheme="majorBidi" w:cstheme="majorBidi"/>
        </w:rPr>
      </w:pPr>
    </w:p>
    <w:p w14:paraId="523A9399" w14:textId="77777777" w:rsidR="00D31AF7" w:rsidRPr="00F82EBE" w:rsidRDefault="00D31AF7" w:rsidP="00D31AF7">
      <w:pPr>
        <w:rPr>
          <w:rFonts w:asciiTheme="majorBidi" w:hAnsiTheme="majorBidi" w:cstheme="majorBidi"/>
        </w:rPr>
      </w:pPr>
    </w:p>
    <w:p w14:paraId="2C3D2B5A" w14:textId="77777777" w:rsidR="00D31AF7" w:rsidRPr="00F82EBE" w:rsidRDefault="00D31AF7" w:rsidP="00D31AF7">
      <w:pPr>
        <w:rPr>
          <w:rFonts w:asciiTheme="majorBidi" w:hAnsiTheme="majorBidi" w:cstheme="majorBidi"/>
        </w:rPr>
      </w:pPr>
      <w:r w:rsidRPr="00F82EBE">
        <w:rPr>
          <w:rFonts w:asciiTheme="majorBidi" w:hAnsiTheme="majorBidi" w:cstheme="majorBidi"/>
        </w:rPr>
        <w:t xml:space="preserve">We are also interested in the proportion of isolates that exhibit multi-drug resistance. but have changed this to now request two different tables (see Shells B and C). For both, example table shells are provided, and we do not need these as time-series, so data may be pooled over time (but we would still like these </w:t>
      </w:r>
      <w:r w:rsidRPr="00F82EBE">
        <w:rPr>
          <w:rFonts w:asciiTheme="majorBidi" w:hAnsiTheme="majorBidi" w:cstheme="majorBidi"/>
          <w:u w:val="single"/>
        </w:rPr>
        <w:t>separately for each five mechanism/pathogen combinations</w:t>
      </w:r>
      <w:r w:rsidRPr="00F82EBE">
        <w:rPr>
          <w:rFonts w:asciiTheme="majorBidi" w:hAnsiTheme="majorBidi" w:cstheme="majorBidi"/>
        </w:rPr>
        <w:t>).</w:t>
      </w:r>
    </w:p>
    <w:p w14:paraId="5270C627" w14:textId="422263E7" w:rsidR="00D31AF7" w:rsidRPr="00F82EBE" w:rsidRDefault="00D31AF7" w:rsidP="005A3BE6">
      <w:pPr>
        <w:pStyle w:val="ListParagraph"/>
        <w:numPr>
          <w:ilvl w:val="0"/>
          <w:numId w:val="112"/>
        </w:numPr>
        <w:spacing w:after="0" w:line="276" w:lineRule="auto"/>
        <w:rPr>
          <w:rFonts w:asciiTheme="majorBidi" w:hAnsiTheme="majorBidi" w:cstheme="majorBidi"/>
          <w:b/>
          <w:bCs/>
        </w:rPr>
      </w:pPr>
      <w:r w:rsidRPr="00F82EBE">
        <w:rPr>
          <w:rFonts w:asciiTheme="majorBidi" w:hAnsiTheme="majorBidi" w:cstheme="majorBidi"/>
          <w:b/>
          <w:bCs/>
        </w:rPr>
        <w:t xml:space="preserve">Multidrug resistance: matrix of susceptibility given resistance. </w:t>
      </w:r>
    </w:p>
    <w:p w14:paraId="4B6EAB65" w14:textId="2A69AD59" w:rsidR="00D31AF7" w:rsidRDefault="00D31AF7" w:rsidP="00D31AF7">
      <w:pPr>
        <w:rPr>
          <w:rFonts w:asciiTheme="majorBidi" w:hAnsiTheme="majorBidi" w:cstheme="majorBidi"/>
        </w:rPr>
      </w:pPr>
    </w:p>
    <w:p w14:paraId="332C0ABF" w14:textId="35B3D77E" w:rsidR="00E052E9" w:rsidRDefault="00E052E9" w:rsidP="00D31AF7">
      <w:pPr>
        <w:rPr>
          <w:rFonts w:asciiTheme="majorBidi" w:hAnsiTheme="majorBidi" w:cstheme="majorBidi"/>
        </w:rPr>
      </w:pPr>
    </w:p>
    <w:p w14:paraId="4F5ECBE6" w14:textId="54DCAFB3" w:rsidR="00E052E9" w:rsidRPr="00E052E9" w:rsidRDefault="00E052E9" w:rsidP="00D31AF7">
      <w:pPr>
        <w:rPr>
          <w:rFonts w:asciiTheme="majorBidi" w:hAnsiTheme="majorBidi" w:cstheme="majorBidi"/>
        </w:rPr>
      </w:pPr>
    </w:p>
    <w:p w14:paraId="314D5718" w14:textId="77777777" w:rsidR="00E052E9" w:rsidRPr="00F82EBE" w:rsidRDefault="00E052E9" w:rsidP="00D31AF7">
      <w:pPr>
        <w:rPr>
          <w:rFonts w:asciiTheme="majorBidi" w:hAnsiTheme="majorBidi" w:cstheme="majorBidi"/>
        </w:rPr>
      </w:pPr>
    </w:p>
    <w:tbl>
      <w:tblPr>
        <w:tblStyle w:val="TableGrid"/>
        <w:tblpPr w:leftFromText="180" w:rightFromText="180" w:horzAnchor="page" w:tblpX="1351" w:tblpY="-13509"/>
        <w:tblW w:w="5000" w:type="pct"/>
        <w:tblLayout w:type="fixed"/>
        <w:tblLook w:val="04A0" w:firstRow="1" w:lastRow="0" w:firstColumn="1" w:lastColumn="0" w:noHBand="0" w:noVBand="1"/>
      </w:tblPr>
      <w:tblGrid>
        <w:gridCol w:w="460"/>
        <w:gridCol w:w="1426"/>
        <w:gridCol w:w="1426"/>
        <w:gridCol w:w="1426"/>
        <w:gridCol w:w="1426"/>
        <w:gridCol w:w="1426"/>
        <w:gridCol w:w="1426"/>
      </w:tblGrid>
      <w:tr w:rsidR="00D31AF7" w:rsidRPr="00F82EBE" w14:paraId="2B4D8A89" w14:textId="77777777" w:rsidTr="00381A08">
        <w:trPr>
          <w:trHeight w:val="340"/>
        </w:trPr>
        <w:tc>
          <w:tcPr>
            <w:tcW w:w="460" w:type="dxa"/>
            <w:textDirection w:val="btLr"/>
          </w:tcPr>
          <w:p w14:paraId="6FB22ABD" w14:textId="77777777" w:rsidR="00D31AF7" w:rsidRPr="00F82EBE" w:rsidRDefault="00D31AF7" w:rsidP="00381A08">
            <w:pPr>
              <w:ind w:left="113" w:right="113"/>
              <w:contextualSpacing/>
              <w:rPr>
                <w:rFonts w:asciiTheme="majorBidi" w:hAnsiTheme="majorBidi" w:cstheme="majorBidi"/>
                <w:sz w:val="20"/>
                <w:szCs w:val="20"/>
              </w:rPr>
            </w:pPr>
          </w:p>
        </w:tc>
        <w:tc>
          <w:tcPr>
            <w:tcW w:w="8556" w:type="dxa"/>
            <w:gridSpan w:val="6"/>
            <w:vAlign w:val="center"/>
          </w:tcPr>
          <w:p w14:paraId="211E87D4"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Of the isolates that are resistant to the drug listed in each column…</w:t>
            </w:r>
          </w:p>
        </w:tc>
      </w:tr>
      <w:tr w:rsidR="00D31AF7" w:rsidRPr="00F82EBE" w14:paraId="7BA727A9" w14:textId="77777777" w:rsidTr="00381A08">
        <w:trPr>
          <w:trHeight w:val="340"/>
        </w:trPr>
        <w:tc>
          <w:tcPr>
            <w:tcW w:w="460" w:type="dxa"/>
            <w:vMerge w:val="restart"/>
            <w:textDirection w:val="btLr"/>
          </w:tcPr>
          <w:p w14:paraId="58C87E4A" w14:textId="77777777" w:rsidR="00D31AF7" w:rsidRPr="00E052E9" w:rsidRDefault="00D31AF7" w:rsidP="00381A08">
            <w:pPr>
              <w:ind w:left="113" w:right="113"/>
              <w:contextualSpacing/>
              <w:rPr>
                <w:rFonts w:asciiTheme="majorBidi" w:hAnsiTheme="majorBidi" w:cstheme="majorBidi"/>
              </w:rPr>
            </w:pPr>
            <w:r w:rsidRPr="00E052E9">
              <w:rPr>
                <w:rFonts w:asciiTheme="majorBidi" w:hAnsiTheme="majorBidi" w:cstheme="majorBidi"/>
              </w:rPr>
              <w:t>…the % that are susceptible to the drug listed in each row</w:t>
            </w:r>
          </w:p>
        </w:tc>
        <w:tc>
          <w:tcPr>
            <w:tcW w:w="1426" w:type="dxa"/>
            <w:vAlign w:val="center"/>
          </w:tcPr>
          <w:p w14:paraId="1EA1B287" w14:textId="77777777" w:rsidR="00D31AF7" w:rsidRPr="00F82EBE" w:rsidRDefault="00D31AF7" w:rsidP="00381A08">
            <w:pPr>
              <w:contextualSpacing/>
              <w:jc w:val="center"/>
              <w:rPr>
                <w:rFonts w:asciiTheme="majorBidi" w:hAnsiTheme="majorBidi" w:cstheme="majorBidi"/>
                <w:sz w:val="20"/>
                <w:szCs w:val="20"/>
              </w:rPr>
            </w:pPr>
          </w:p>
        </w:tc>
        <w:tc>
          <w:tcPr>
            <w:tcW w:w="1426" w:type="dxa"/>
            <w:vAlign w:val="center"/>
          </w:tcPr>
          <w:p w14:paraId="3C4AB01F"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Colistin</w:t>
            </w:r>
          </w:p>
        </w:tc>
        <w:tc>
          <w:tcPr>
            <w:tcW w:w="1426" w:type="dxa"/>
            <w:vAlign w:val="center"/>
          </w:tcPr>
          <w:p w14:paraId="18536F41"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Aminoglycosides</w:t>
            </w:r>
          </w:p>
        </w:tc>
        <w:tc>
          <w:tcPr>
            <w:tcW w:w="1426" w:type="dxa"/>
            <w:vAlign w:val="center"/>
          </w:tcPr>
          <w:p w14:paraId="53DFC9DC"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Cephalosporins (exc. Caz-</w:t>
            </w:r>
            <w:proofErr w:type="spellStart"/>
            <w:r w:rsidRPr="00E052E9">
              <w:rPr>
                <w:rFonts w:asciiTheme="majorBidi" w:hAnsiTheme="majorBidi" w:cstheme="majorBidi"/>
              </w:rPr>
              <w:t>avi</w:t>
            </w:r>
            <w:proofErr w:type="spellEnd"/>
            <w:r w:rsidRPr="00E052E9">
              <w:rPr>
                <w:rFonts w:asciiTheme="majorBidi" w:hAnsiTheme="majorBidi" w:cstheme="majorBidi"/>
              </w:rPr>
              <w:t>)</w:t>
            </w:r>
          </w:p>
        </w:tc>
        <w:tc>
          <w:tcPr>
            <w:tcW w:w="1426" w:type="dxa"/>
            <w:vAlign w:val="center"/>
          </w:tcPr>
          <w:p w14:paraId="4B4FCE12"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Ceftazidime-avibactam</w:t>
            </w:r>
          </w:p>
        </w:tc>
        <w:tc>
          <w:tcPr>
            <w:tcW w:w="1426" w:type="dxa"/>
            <w:vAlign w:val="center"/>
          </w:tcPr>
          <w:p w14:paraId="4FA15783"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Fluoroquinolones</w:t>
            </w:r>
          </w:p>
        </w:tc>
      </w:tr>
      <w:tr w:rsidR="00D31AF7" w:rsidRPr="00F82EBE" w14:paraId="2EC1251B" w14:textId="77777777" w:rsidTr="00381A08">
        <w:trPr>
          <w:trHeight w:val="340"/>
        </w:trPr>
        <w:tc>
          <w:tcPr>
            <w:tcW w:w="460" w:type="dxa"/>
            <w:vMerge/>
          </w:tcPr>
          <w:p w14:paraId="56A96DE3"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3CE98218"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color w:val="000000"/>
              </w:rPr>
              <w:t>Colistin</w:t>
            </w:r>
          </w:p>
        </w:tc>
        <w:tc>
          <w:tcPr>
            <w:tcW w:w="1426" w:type="dxa"/>
            <w:vAlign w:val="center"/>
          </w:tcPr>
          <w:p w14:paraId="6530AA62"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w:t>
            </w:r>
          </w:p>
        </w:tc>
        <w:tc>
          <w:tcPr>
            <w:tcW w:w="1426" w:type="dxa"/>
            <w:vAlign w:val="center"/>
          </w:tcPr>
          <w:p w14:paraId="17055F60"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44289D52"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5283C83"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53A652BE" w14:textId="77777777" w:rsidR="00D31AF7" w:rsidRPr="00E052E9" w:rsidRDefault="00D31AF7" w:rsidP="00381A08">
            <w:pPr>
              <w:contextualSpacing/>
              <w:jc w:val="center"/>
              <w:rPr>
                <w:rFonts w:asciiTheme="majorBidi" w:hAnsiTheme="majorBidi" w:cstheme="majorBidi"/>
              </w:rPr>
            </w:pPr>
          </w:p>
        </w:tc>
      </w:tr>
      <w:tr w:rsidR="00D31AF7" w:rsidRPr="00F82EBE" w14:paraId="0998212D" w14:textId="77777777" w:rsidTr="00381A08">
        <w:trPr>
          <w:trHeight w:val="340"/>
        </w:trPr>
        <w:tc>
          <w:tcPr>
            <w:tcW w:w="460" w:type="dxa"/>
            <w:vMerge/>
          </w:tcPr>
          <w:p w14:paraId="42B94DBB"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59E7DF5D" w14:textId="77777777" w:rsidR="00D31AF7" w:rsidRPr="00E052E9" w:rsidRDefault="00D31AF7" w:rsidP="00381A08">
            <w:pPr>
              <w:contextualSpacing/>
              <w:jc w:val="center"/>
              <w:rPr>
                <w:rFonts w:asciiTheme="majorBidi" w:hAnsiTheme="majorBidi" w:cstheme="majorBidi"/>
              </w:rPr>
            </w:pPr>
            <w:proofErr w:type="spellStart"/>
            <w:proofErr w:type="gramStart"/>
            <w:r w:rsidRPr="00E052E9">
              <w:rPr>
                <w:rFonts w:asciiTheme="majorBidi" w:hAnsiTheme="majorBidi" w:cstheme="majorBidi"/>
                <w:color w:val="000000"/>
              </w:rPr>
              <w:t>Aminoglyc</w:t>
            </w:r>
            <w:proofErr w:type="spellEnd"/>
            <w:r w:rsidRPr="00E052E9">
              <w:rPr>
                <w:rFonts w:asciiTheme="majorBidi" w:hAnsiTheme="majorBidi" w:cstheme="majorBidi"/>
                <w:color w:val="000000"/>
              </w:rPr>
              <w:t>..</w:t>
            </w:r>
            <w:proofErr w:type="gramEnd"/>
          </w:p>
        </w:tc>
        <w:tc>
          <w:tcPr>
            <w:tcW w:w="1426" w:type="dxa"/>
            <w:vAlign w:val="center"/>
          </w:tcPr>
          <w:p w14:paraId="2F70EA39"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19D654B7"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w:t>
            </w:r>
          </w:p>
        </w:tc>
        <w:tc>
          <w:tcPr>
            <w:tcW w:w="1426" w:type="dxa"/>
            <w:vAlign w:val="center"/>
          </w:tcPr>
          <w:p w14:paraId="4E7CB94F"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1DDFAD2"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5BEC0C13" w14:textId="77777777" w:rsidR="00D31AF7" w:rsidRPr="00E052E9" w:rsidRDefault="00D31AF7" w:rsidP="00381A08">
            <w:pPr>
              <w:contextualSpacing/>
              <w:jc w:val="center"/>
              <w:rPr>
                <w:rFonts w:asciiTheme="majorBidi" w:hAnsiTheme="majorBidi" w:cstheme="majorBidi"/>
              </w:rPr>
            </w:pPr>
          </w:p>
        </w:tc>
      </w:tr>
      <w:tr w:rsidR="00D31AF7" w:rsidRPr="00F82EBE" w14:paraId="4E6F2C55" w14:textId="77777777" w:rsidTr="00381A08">
        <w:trPr>
          <w:trHeight w:val="340"/>
        </w:trPr>
        <w:tc>
          <w:tcPr>
            <w:tcW w:w="460" w:type="dxa"/>
            <w:vMerge/>
          </w:tcPr>
          <w:p w14:paraId="2C3D80E2"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4E862728" w14:textId="77777777" w:rsidR="00D31AF7" w:rsidRPr="00E052E9" w:rsidRDefault="00D31AF7" w:rsidP="00381A08">
            <w:pPr>
              <w:contextualSpacing/>
              <w:jc w:val="center"/>
              <w:rPr>
                <w:rFonts w:asciiTheme="majorBidi" w:hAnsiTheme="majorBidi" w:cstheme="majorBidi"/>
              </w:rPr>
            </w:pPr>
            <w:proofErr w:type="spellStart"/>
            <w:proofErr w:type="gramStart"/>
            <w:r w:rsidRPr="00E052E9">
              <w:rPr>
                <w:rFonts w:asciiTheme="majorBidi" w:hAnsiTheme="majorBidi" w:cstheme="majorBidi"/>
                <w:color w:val="000000"/>
              </w:rPr>
              <w:t>Cephalosp</w:t>
            </w:r>
            <w:proofErr w:type="spellEnd"/>
            <w:r w:rsidRPr="00E052E9">
              <w:rPr>
                <w:rFonts w:asciiTheme="majorBidi" w:hAnsiTheme="majorBidi" w:cstheme="majorBidi"/>
                <w:color w:val="000000"/>
              </w:rPr>
              <w:t>..</w:t>
            </w:r>
            <w:proofErr w:type="gramEnd"/>
            <w:r w:rsidRPr="00E052E9">
              <w:rPr>
                <w:rFonts w:asciiTheme="majorBidi" w:hAnsiTheme="majorBidi" w:cstheme="majorBidi"/>
                <w:color w:val="000000"/>
              </w:rPr>
              <w:t xml:space="preserve"> (exc. Caz-</w:t>
            </w:r>
            <w:proofErr w:type="spellStart"/>
            <w:r w:rsidRPr="00E052E9">
              <w:rPr>
                <w:rFonts w:asciiTheme="majorBidi" w:hAnsiTheme="majorBidi" w:cstheme="majorBidi"/>
                <w:color w:val="000000"/>
              </w:rPr>
              <w:t>avi</w:t>
            </w:r>
            <w:proofErr w:type="spellEnd"/>
            <w:r w:rsidRPr="00E052E9">
              <w:rPr>
                <w:rFonts w:asciiTheme="majorBidi" w:hAnsiTheme="majorBidi" w:cstheme="majorBidi"/>
                <w:color w:val="000000"/>
              </w:rPr>
              <w:t>)</w:t>
            </w:r>
          </w:p>
        </w:tc>
        <w:tc>
          <w:tcPr>
            <w:tcW w:w="1426" w:type="dxa"/>
            <w:vAlign w:val="center"/>
          </w:tcPr>
          <w:p w14:paraId="0B990732"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08B5BE97"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3F5D6DE3"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w:t>
            </w:r>
          </w:p>
        </w:tc>
        <w:tc>
          <w:tcPr>
            <w:tcW w:w="1426" w:type="dxa"/>
            <w:vAlign w:val="center"/>
          </w:tcPr>
          <w:p w14:paraId="7E4D7ECB"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7E063012" w14:textId="77777777" w:rsidR="00D31AF7" w:rsidRPr="00E052E9" w:rsidRDefault="00D31AF7" w:rsidP="00381A08">
            <w:pPr>
              <w:contextualSpacing/>
              <w:jc w:val="center"/>
              <w:rPr>
                <w:rFonts w:asciiTheme="majorBidi" w:hAnsiTheme="majorBidi" w:cstheme="majorBidi"/>
              </w:rPr>
            </w:pPr>
          </w:p>
        </w:tc>
      </w:tr>
      <w:tr w:rsidR="00D31AF7" w:rsidRPr="00F82EBE" w14:paraId="16D080F7" w14:textId="77777777" w:rsidTr="00381A08">
        <w:trPr>
          <w:trHeight w:val="340"/>
        </w:trPr>
        <w:tc>
          <w:tcPr>
            <w:tcW w:w="460" w:type="dxa"/>
            <w:vMerge/>
          </w:tcPr>
          <w:p w14:paraId="1A049438"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3CB6EBEE"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Caz-</w:t>
            </w:r>
            <w:proofErr w:type="spellStart"/>
            <w:r w:rsidRPr="00E052E9">
              <w:rPr>
                <w:rFonts w:asciiTheme="majorBidi" w:hAnsiTheme="majorBidi" w:cstheme="majorBidi"/>
              </w:rPr>
              <w:t>avi</w:t>
            </w:r>
            <w:proofErr w:type="spellEnd"/>
          </w:p>
        </w:tc>
        <w:tc>
          <w:tcPr>
            <w:tcW w:w="1426" w:type="dxa"/>
            <w:vAlign w:val="center"/>
          </w:tcPr>
          <w:p w14:paraId="5085DD28"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3A821D40"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CA8F24C"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864237A"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w:t>
            </w:r>
          </w:p>
        </w:tc>
        <w:tc>
          <w:tcPr>
            <w:tcW w:w="1426" w:type="dxa"/>
            <w:vAlign w:val="center"/>
          </w:tcPr>
          <w:p w14:paraId="64B1DF4D" w14:textId="77777777" w:rsidR="00D31AF7" w:rsidRPr="00E052E9" w:rsidRDefault="00D31AF7" w:rsidP="00381A08">
            <w:pPr>
              <w:contextualSpacing/>
              <w:jc w:val="center"/>
              <w:rPr>
                <w:rFonts w:asciiTheme="majorBidi" w:hAnsiTheme="majorBidi" w:cstheme="majorBidi"/>
              </w:rPr>
            </w:pPr>
          </w:p>
        </w:tc>
      </w:tr>
      <w:tr w:rsidR="00D31AF7" w:rsidRPr="00F82EBE" w14:paraId="42D5F46C" w14:textId="77777777" w:rsidTr="00381A08">
        <w:trPr>
          <w:trHeight w:val="340"/>
        </w:trPr>
        <w:tc>
          <w:tcPr>
            <w:tcW w:w="460" w:type="dxa"/>
            <w:vMerge/>
          </w:tcPr>
          <w:p w14:paraId="57F03E19"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368B3207" w14:textId="77777777" w:rsidR="00D31AF7" w:rsidRPr="00E052E9" w:rsidRDefault="00D31AF7" w:rsidP="00381A08">
            <w:pPr>
              <w:contextualSpacing/>
              <w:jc w:val="center"/>
              <w:rPr>
                <w:rFonts w:asciiTheme="majorBidi" w:hAnsiTheme="majorBidi" w:cstheme="majorBidi"/>
              </w:rPr>
            </w:pPr>
            <w:proofErr w:type="spellStart"/>
            <w:r w:rsidRPr="00E052E9">
              <w:rPr>
                <w:rFonts w:asciiTheme="majorBidi" w:hAnsiTheme="majorBidi" w:cstheme="majorBidi"/>
                <w:color w:val="000000"/>
              </w:rPr>
              <w:t>Fluoroquin</w:t>
            </w:r>
            <w:proofErr w:type="spellEnd"/>
            <w:r w:rsidRPr="00E052E9">
              <w:rPr>
                <w:rFonts w:asciiTheme="majorBidi" w:hAnsiTheme="majorBidi" w:cstheme="majorBidi"/>
                <w:color w:val="000000"/>
              </w:rPr>
              <w:t>…</w:t>
            </w:r>
          </w:p>
        </w:tc>
        <w:tc>
          <w:tcPr>
            <w:tcW w:w="1426" w:type="dxa"/>
            <w:vAlign w:val="center"/>
          </w:tcPr>
          <w:p w14:paraId="150B146E"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51B8A4A"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C9519EA"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F100877"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15218AC9"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rPr>
              <w:t>-</w:t>
            </w:r>
          </w:p>
        </w:tc>
      </w:tr>
      <w:tr w:rsidR="00D31AF7" w:rsidRPr="00F82EBE" w14:paraId="33F54B64" w14:textId="77777777" w:rsidTr="00381A08">
        <w:trPr>
          <w:trHeight w:val="340"/>
        </w:trPr>
        <w:tc>
          <w:tcPr>
            <w:tcW w:w="460" w:type="dxa"/>
            <w:vMerge/>
          </w:tcPr>
          <w:p w14:paraId="250E9DF1"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3CCDDDB3"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color w:val="000000"/>
              </w:rPr>
              <w:t>Tigecycline</w:t>
            </w:r>
          </w:p>
        </w:tc>
        <w:tc>
          <w:tcPr>
            <w:tcW w:w="1426" w:type="dxa"/>
            <w:vAlign w:val="center"/>
          </w:tcPr>
          <w:p w14:paraId="40BEE9E1"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771F2C02"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01E84FAD"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48455891"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7639FC7" w14:textId="77777777" w:rsidR="00D31AF7" w:rsidRPr="00E052E9" w:rsidRDefault="00D31AF7" w:rsidP="00381A08">
            <w:pPr>
              <w:contextualSpacing/>
              <w:jc w:val="center"/>
              <w:rPr>
                <w:rFonts w:asciiTheme="majorBidi" w:hAnsiTheme="majorBidi" w:cstheme="majorBidi"/>
              </w:rPr>
            </w:pPr>
          </w:p>
        </w:tc>
      </w:tr>
      <w:tr w:rsidR="00D31AF7" w:rsidRPr="00F82EBE" w14:paraId="1387E27C" w14:textId="77777777" w:rsidTr="00381A08">
        <w:trPr>
          <w:trHeight w:val="340"/>
        </w:trPr>
        <w:tc>
          <w:tcPr>
            <w:tcW w:w="460" w:type="dxa"/>
            <w:vMerge/>
          </w:tcPr>
          <w:p w14:paraId="645A1AB6"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6FBF9AB8"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color w:val="000000"/>
              </w:rPr>
              <w:t>Fosfomycin</w:t>
            </w:r>
          </w:p>
        </w:tc>
        <w:tc>
          <w:tcPr>
            <w:tcW w:w="1426" w:type="dxa"/>
            <w:vAlign w:val="center"/>
          </w:tcPr>
          <w:p w14:paraId="249F868C"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16F96C86"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79C504FA"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165CE2C9"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0474E528" w14:textId="77777777" w:rsidR="00D31AF7" w:rsidRPr="00E052E9" w:rsidRDefault="00D31AF7" w:rsidP="00381A08">
            <w:pPr>
              <w:contextualSpacing/>
              <w:jc w:val="center"/>
              <w:rPr>
                <w:rFonts w:asciiTheme="majorBidi" w:hAnsiTheme="majorBidi" w:cstheme="majorBidi"/>
              </w:rPr>
            </w:pPr>
          </w:p>
        </w:tc>
      </w:tr>
      <w:tr w:rsidR="00D31AF7" w:rsidRPr="00F82EBE" w14:paraId="5D31F019" w14:textId="77777777" w:rsidTr="00381A08">
        <w:trPr>
          <w:trHeight w:val="340"/>
        </w:trPr>
        <w:tc>
          <w:tcPr>
            <w:tcW w:w="460" w:type="dxa"/>
            <w:vMerge/>
          </w:tcPr>
          <w:p w14:paraId="5F08764D"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62AF5E35" w14:textId="77777777" w:rsidR="00D31AF7" w:rsidRPr="00E052E9" w:rsidRDefault="00D31AF7" w:rsidP="00381A08">
            <w:pPr>
              <w:contextualSpacing/>
              <w:jc w:val="center"/>
              <w:rPr>
                <w:rFonts w:asciiTheme="majorBidi" w:hAnsiTheme="majorBidi" w:cstheme="majorBidi"/>
              </w:rPr>
            </w:pPr>
            <w:r w:rsidRPr="00E052E9">
              <w:rPr>
                <w:rFonts w:asciiTheme="majorBidi" w:hAnsiTheme="majorBidi" w:cstheme="majorBidi"/>
                <w:color w:val="000000"/>
              </w:rPr>
              <w:t>Aztreonam</w:t>
            </w:r>
          </w:p>
        </w:tc>
        <w:tc>
          <w:tcPr>
            <w:tcW w:w="1426" w:type="dxa"/>
            <w:vAlign w:val="center"/>
          </w:tcPr>
          <w:p w14:paraId="7CBE0937"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1748DC0"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0F6EC184"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702925D"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8B5B01C" w14:textId="77777777" w:rsidR="00D31AF7" w:rsidRPr="00E052E9" w:rsidRDefault="00D31AF7" w:rsidP="00381A08">
            <w:pPr>
              <w:contextualSpacing/>
              <w:jc w:val="center"/>
              <w:rPr>
                <w:rFonts w:asciiTheme="majorBidi" w:hAnsiTheme="majorBidi" w:cstheme="majorBidi"/>
              </w:rPr>
            </w:pPr>
          </w:p>
        </w:tc>
      </w:tr>
      <w:tr w:rsidR="00D31AF7" w:rsidRPr="00F82EBE" w14:paraId="426C3FF7" w14:textId="77777777" w:rsidTr="00381A08">
        <w:trPr>
          <w:trHeight w:val="340"/>
        </w:trPr>
        <w:tc>
          <w:tcPr>
            <w:tcW w:w="460" w:type="dxa"/>
            <w:vMerge/>
          </w:tcPr>
          <w:p w14:paraId="5FD4C553"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00A2DD9E" w14:textId="77777777" w:rsidR="00D31AF7" w:rsidRPr="00E052E9" w:rsidRDefault="00D31AF7" w:rsidP="00381A08">
            <w:pPr>
              <w:contextualSpacing/>
              <w:jc w:val="center"/>
              <w:rPr>
                <w:rFonts w:asciiTheme="majorBidi" w:hAnsiTheme="majorBidi" w:cstheme="majorBidi"/>
                <w:color w:val="000000"/>
              </w:rPr>
            </w:pPr>
            <w:r w:rsidRPr="00E052E9">
              <w:rPr>
                <w:rFonts w:asciiTheme="majorBidi" w:hAnsiTheme="majorBidi" w:cstheme="majorBidi"/>
                <w:color w:val="000000"/>
              </w:rPr>
              <w:t xml:space="preserve">Meropenem </w:t>
            </w:r>
            <w:r w:rsidRPr="00E052E9">
              <w:rPr>
                <w:rFonts w:asciiTheme="majorBidi" w:hAnsiTheme="majorBidi" w:cstheme="majorBidi"/>
              </w:rPr>
              <w:t>intermediate susceptible</w:t>
            </w:r>
          </w:p>
        </w:tc>
        <w:tc>
          <w:tcPr>
            <w:tcW w:w="1426" w:type="dxa"/>
            <w:vAlign w:val="center"/>
          </w:tcPr>
          <w:p w14:paraId="031CAF6C"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7E827E79"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F3AF528"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43DBE12A"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6559D5CF" w14:textId="77777777" w:rsidR="00D31AF7" w:rsidRPr="00E052E9" w:rsidRDefault="00D31AF7" w:rsidP="00381A08">
            <w:pPr>
              <w:contextualSpacing/>
              <w:jc w:val="center"/>
              <w:rPr>
                <w:rFonts w:asciiTheme="majorBidi" w:hAnsiTheme="majorBidi" w:cstheme="majorBidi"/>
              </w:rPr>
            </w:pPr>
          </w:p>
        </w:tc>
      </w:tr>
      <w:tr w:rsidR="00D31AF7" w:rsidRPr="00F82EBE" w14:paraId="7531BC7C" w14:textId="77777777" w:rsidTr="00381A08">
        <w:trPr>
          <w:trHeight w:val="340"/>
        </w:trPr>
        <w:tc>
          <w:tcPr>
            <w:tcW w:w="460" w:type="dxa"/>
            <w:vMerge/>
          </w:tcPr>
          <w:p w14:paraId="4DDEB16F"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7349CCD5" w14:textId="77777777" w:rsidR="00D31AF7" w:rsidRPr="00E052E9" w:rsidRDefault="00D31AF7" w:rsidP="00381A08">
            <w:pPr>
              <w:contextualSpacing/>
              <w:jc w:val="center"/>
              <w:rPr>
                <w:rFonts w:asciiTheme="majorBidi" w:hAnsiTheme="majorBidi" w:cstheme="majorBidi"/>
                <w:color w:val="000000"/>
              </w:rPr>
            </w:pPr>
            <w:r w:rsidRPr="00E052E9">
              <w:rPr>
                <w:rFonts w:asciiTheme="majorBidi" w:hAnsiTheme="majorBidi" w:cstheme="majorBidi"/>
                <w:color w:val="000000"/>
              </w:rPr>
              <w:t xml:space="preserve">Meropenem </w:t>
            </w:r>
            <w:r w:rsidRPr="00E052E9">
              <w:rPr>
                <w:rFonts w:asciiTheme="majorBidi" w:hAnsiTheme="majorBidi" w:cstheme="majorBidi"/>
              </w:rPr>
              <w:t>fully susceptible</w:t>
            </w:r>
          </w:p>
        </w:tc>
        <w:tc>
          <w:tcPr>
            <w:tcW w:w="1426" w:type="dxa"/>
            <w:vAlign w:val="center"/>
          </w:tcPr>
          <w:p w14:paraId="7143FB97"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5817C591"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2303334E"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4CD3F2D4" w14:textId="77777777" w:rsidR="00D31AF7" w:rsidRPr="00E052E9" w:rsidRDefault="00D31AF7" w:rsidP="00381A08">
            <w:pPr>
              <w:contextualSpacing/>
              <w:jc w:val="center"/>
              <w:rPr>
                <w:rFonts w:asciiTheme="majorBidi" w:hAnsiTheme="majorBidi" w:cstheme="majorBidi"/>
              </w:rPr>
            </w:pPr>
          </w:p>
        </w:tc>
        <w:tc>
          <w:tcPr>
            <w:tcW w:w="1426" w:type="dxa"/>
            <w:vAlign w:val="center"/>
          </w:tcPr>
          <w:p w14:paraId="7A179165" w14:textId="77777777" w:rsidR="00D31AF7" w:rsidRPr="00E052E9" w:rsidRDefault="00D31AF7" w:rsidP="00381A08">
            <w:pPr>
              <w:contextualSpacing/>
              <w:jc w:val="center"/>
              <w:rPr>
                <w:rFonts w:asciiTheme="majorBidi" w:hAnsiTheme="majorBidi" w:cstheme="majorBidi"/>
              </w:rPr>
            </w:pPr>
          </w:p>
        </w:tc>
      </w:tr>
      <w:tr w:rsidR="00D31AF7" w:rsidRPr="00F82EBE" w14:paraId="007CFDF7" w14:textId="77777777" w:rsidTr="00381A08">
        <w:trPr>
          <w:trHeight w:val="340"/>
        </w:trPr>
        <w:tc>
          <w:tcPr>
            <w:tcW w:w="460" w:type="dxa"/>
            <w:vMerge/>
          </w:tcPr>
          <w:p w14:paraId="1018D75D" w14:textId="77777777" w:rsidR="00D31AF7" w:rsidRPr="00F82EBE" w:rsidRDefault="00D31AF7" w:rsidP="00381A08">
            <w:pPr>
              <w:contextualSpacing/>
              <w:rPr>
                <w:rFonts w:asciiTheme="majorBidi" w:hAnsiTheme="majorBidi" w:cstheme="majorBidi"/>
                <w:sz w:val="20"/>
                <w:szCs w:val="20"/>
              </w:rPr>
            </w:pPr>
          </w:p>
        </w:tc>
        <w:tc>
          <w:tcPr>
            <w:tcW w:w="1426" w:type="dxa"/>
            <w:vAlign w:val="center"/>
          </w:tcPr>
          <w:p w14:paraId="240AB712" w14:textId="77777777" w:rsidR="00D31AF7" w:rsidRPr="00E052E9" w:rsidRDefault="00D31AF7" w:rsidP="00381A08">
            <w:pPr>
              <w:contextualSpacing/>
              <w:jc w:val="center"/>
              <w:rPr>
                <w:rFonts w:asciiTheme="majorBidi" w:hAnsiTheme="majorBidi" w:cstheme="majorBidi"/>
                <w:color w:val="000000"/>
              </w:rPr>
            </w:pPr>
            <w:proofErr w:type="spellStart"/>
            <w:r w:rsidRPr="00E052E9">
              <w:rPr>
                <w:rFonts w:asciiTheme="majorBidi" w:hAnsiTheme="majorBidi" w:cstheme="majorBidi"/>
                <w:color w:val="000000"/>
              </w:rPr>
              <w:t>Cefiderocol</w:t>
            </w:r>
            <w:proofErr w:type="spellEnd"/>
          </w:p>
        </w:tc>
        <w:tc>
          <w:tcPr>
            <w:tcW w:w="1426" w:type="dxa"/>
            <w:vAlign w:val="center"/>
          </w:tcPr>
          <w:p w14:paraId="4A1DEE6D" w14:textId="77777777" w:rsidR="00D31AF7" w:rsidRPr="00F82EBE" w:rsidRDefault="00D31AF7" w:rsidP="00381A08">
            <w:pPr>
              <w:contextualSpacing/>
              <w:jc w:val="center"/>
              <w:rPr>
                <w:rFonts w:asciiTheme="majorBidi" w:hAnsiTheme="majorBidi" w:cstheme="majorBidi"/>
                <w:sz w:val="20"/>
                <w:szCs w:val="20"/>
              </w:rPr>
            </w:pPr>
          </w:p>
        </w:tc>
        <w:tc>
          <w:tcPr>
            <w:tcW w:w="1426" w:type="dxa"/>
            <w:vAlign w:val="center"/>
          </w:tcPr>
          <w:p w14:paraId="7950B0F9" w14:textId="77777777" w:rsidR="00D31AF7" w:rsidRPr="00F82EBE" w:rsidRDefault="00D31AF7" w:rsidP="00381A08">
            <w:pPr>
              <w:contextualSpacing/>
              <w:jc w:val="center"/>
              <w:rPr>
                <w:rFonts w:asciiTheme="majorBidi" w:hAnsiTheme="majorBidi" w:cstheme="majorBidi"/>
                <w:sz w:val="20"/>
                <w:szCs w:val="20"/>
              </w:rPr>
            </w:pPr>
          </w:p>
        </w:tc>
        <w:tc>
          <w:tcPr>
            <w:tcW w:w="1426" w:type="dxa"/>
            <w:vAlign w:val="center"/>
          </w:tcPr>
          <w:p w14:paraId="27A23772" w14:textId="77777777" w:rsidR="00D31AF7" w:rsidRPr="00F82EBE" w:rsidRDefault="00D31AF7" w:rsidP="00381A08">
            <w:pPr>
              <w:contextualSpacing/>
              <w:jc w:val="center"/>
              <w:rPr>
                <w:rFonts w:asciiTheme="majorBidi" w:hAnsiTheme="majorBidi" w:cstheme="majorBidi"/>
                <w:sz w:val="20"/>
                <w:szCs w:val="20"/>
              </w:rPr>
            </w:pPr>
          </w:p>
        </w:tc>
        <w:tc>
          <w:tcPr>
            <w:tcW w:w="1426" w:type="dxa"/>
            <w:vAlign w:val="center"/>
          </w:tcPr>
          <w:p w14:paraId="1535D4FA" w14:textId="77777777" w:rsidR="00D31AF7" w:rsidRPr="00F82EBE" w:rsidRDefault="00D31AF7" w:rsidP="00381A08">
            <w:pPr>
              <w:contextualSpacing/>
              <w:jc w:val="center"/>
              <w:rPr>
                <w:rFonts w:asciiTheme="majorBidi" w:hAnsiTheme="majorBidi" w:cstheme="majorBidi"/>
                <w:sz w:val="20"/>
                <w:szCs w:val="20"/>
              </w:rPr>
            </w:pPr>
          </w:p>
        </w:tc>
        <w:tc>
          <w:tcPr>
            <w:tcW w:w="1426" w:type="dxa"/>
            <w:vAlign w:val="center"/>
          </w:tcPr>
          <w:p w14:paraId="4D383603" w14:textId="77777777" w:rsidR="00D31AF7" w:rsidRPr="00F82EBE" w:rsidRDefault="00D31AF7" w:rsidP="00381A08">
            <w:pPr>
              <w:contextualSpacing/>
              <w:jc w:val="center"/>
              <w:rPr>
                <w:rFonts w:asciiTheme="majorBidi" w:hAnsiTheme="majorBidi" w:cstheme="majorBidi"/>
                <w:sz w:val="20"/>
                <w:szCs w:val="20"/>
              </w:rPr>
            </w:pPr>
          </w:p>
        </w:tc>
      </w:tr>
    </w:tbl>
    <w:p w14:paraId="56279D48" w14:textId="77777777" w:rsidR="00D31AF7" w:rsidRPr="00F82EBE" w:rsidRDefault="00D31AF7" w:rsidP="00D31AF7">
      <w:pPr>
        <w:rPr>
          <w:rFonts w:asciiTheme="majorBidi" w:hAnsiTheme="majorBidi" w:cstheme="majorBidi"/>
        </w:rPr>
      </w:pPr>
      <w:r w:rsidRPr="00F82EBE">
        <w:rPr>
          <w:rFonts w:asciiTheme="majorBidi" w:hAnsiTheme="majorBidi" w:cstheme="majorBidi"/>
        </w:rPr>
        <w:t>(</w:t>
      </w:r>
      <w:proofErr w:type="gramStart"/>
      <w:r w:rsidRPr="00F82EBE">
        <w:rPr>
          <w:rFonts w:asciiTheme="majorBidi" w:hAnsiTheme="majorBidi" w:cstheme="majorBidi"/>
        </w:rPr>
        <w:t>the</w:t>
      </w:r>
      <w:proofErr w:type="gramEnd"/>
      <w:r w:rsidRPr="00F82EBE">
        <w:rPr>
          <w:rFonts w:asciiTheme="majorBidi" w:hAnsiTheme="majorBidi" w:cstheme="majorBidi"/>
        </w:rPr>
        <w:t xml:space="preserve"> above table also included columns for: Tigecycline, Fosfomycin, Aztreonam, Meropenem, (intermediate resistant), Meropenem (fully resistant), and </w:t>
      </w:r>
      <w:proofErr w:type="spellStart"/>
      <w:r w:rsidRPr="00F82EBE">
        <w:rPr>
          <w:rFonts w:asciiTheme="majorBidi" w:hAnsiTheme="majorBidi" w:cstheme="majorBidi"/>
        </w:rPr>
        <w:t>Cefiderocol</w:t>
      </w:r>
      <w:proofErr w:type="spellEnd"/>
    </w:p>
    <w:p w14:paraId="48C9C7F8" w14:textId="77777777" w:rsidR="00D31AF7" w:rsidRPr="00F82EBE" w:rsidRDefault="00D31AF7" w:rsidP="00D31AF7">
      <w:pPr>
        <w:rPr>
          <w:rFonts w:asciiTheme="majorBidi" w:hAnsiTheme="majorBidi" w:cstheme="majorBidi"/>
        </w:rPr>
      </w:pPr>
    </w:p>
    <w:p w14:paraId="00096138" w14:textId="77777777" w:rsidR="00D31AF7" w:rsidRPr="00F82EBE" w:rsidRDefault="00D31AF7" w:rsidP="005A3BE6">
      <w:pPr>
        <w:pStyle w:val="ListParagraph"/>
        <w:numPr>
          <w:ilvl w:val="0"/>
          <w:numId w:val="112"/>
        </w:numPr>
        <w:spacing w:after="0" w:line="276" w:lineRule="auto"/>
        <w:rPr>
          <w:rFonts w:asciiTheme="majorBidi" w:hAnsiTheme="majorBidi" w:cstheme="majorBidi"/>
          <w:b/>
          <w:bCs/>
        </w:rPr>
      </w:pPr>
      <w:r w:rsidRPr="00F82EBE">
        <w:rPr>
          <w:rFonts w:asciiTheme="majorBidi" w:hAnsiTheme="majorBidi" w:cstheme="majorBidi"/>
          <w:b/>
          <w:bCs/>
        </w:rPr>
        <w:t>Multidrug resistance: categories of resistance:</w:t>
      </w:r>
    </w:p>
    <w:p w14:paraId="02E358F2" w14:textId="77777777" w:rsidR="00D31AF7" w:rsidRPr="00F82EBE" w:rsidRDefault="00D31AF7" w:rsidP="00D31AF7">
      <w:pPr>
        <w:rPr>
          <w:rFonts w:asciiTheme="majorBidi" w:hAnsiTheme="majorBidi" w:cstheme="majorBidi"/>
          <w:b/>
          <w:bCs/>
        </w:rPr>
      </w:pPr>
    </w:p>
    <w:tbl>
      <w:tblPr>
        <w:tblStyle w:val="TableGrid"/>
        <w:tblW w:w="5081" w:type="pct"/>
        <w:tblLook w:val="04A0" w:firstRow="1" w:lastRow="0" w:firstColumn="1" w:lastColumn="0" w:noHBand="0" w:noVBand="1"/>
      </w:tblPr>
      <w:tblGrid>
        <w:gridCol w:w="1042"/>
        <w:gridCol w:w="4454"/>
        <w:gridCol w:w="1930"/>
        <w:gridCol w:w="1736"/>
      </w:tblGrid>
      <w:tr w:rsidR="00D31AF7" w:rsidRPr="00E052E9" w14:paraId="29E17AA4" w14:textId="77777777" w:rsidTr="00381A08">
        <w:tc>
          <w:tcPr>
            <w:tcW w:w="1271" w:type="dxa"/>
          </w:tcPr>
          <w:p w14:paraId="66D7E6D9" w14:textId="77777777" w:rsidR="00D31AF7" w:rsidRPr="00E052E9" w:rsidRDefault="00D31AF7" w:rsidP="00381A08">
            <w:pPr>
              <w:rPr>
                <w:rFonts w:asciiTheme="majorBidi" w:hAnsiTheme="majorBidi" w:cstheme="majorBidi"/>
              </w:rPr>
            </w:pPr>
            <w:r w:rsidRPr="00E052E9">
              <w:rPr>
                <w:rFonts w:asciiTheme="majorBidi" w:hAnsiTheme="majorBidi" w:cstheme="majorBidi"/>
              </w:rPr>
              <w:t>Total number of isolates</w:t>
            </w:r>
          </w:p>
        </w:tc>
        <w:tc>
          <w:tcPr>
            <w:tcW w:w="7938" w:type="dxa"/>
          </w:tcPr>
          <w:p w14:paraId="03BFFD67" w14:textId="77777777" w:rsidR="00D31AF7" w:rsidRPr="00E052E9" w:rsidRDefault="00D31AF7" w:rsidP="00381A08">
            <w:pPr>
              <w:rPr>
                <w:rFonts w:asciiTheme="majorBidi" w:hAnsiTheme="majorBidi" w:cstheme="majorBidi"/>
              </w:rPr>
            </w:pPr>
            <w:r w:rsidRPr="00E052E9">
              <w:rPr>
                <w:rFonts w:asciiTheme="majorBidi" w:hAnsiTheme="majorBidi" w:cstheme="majorBidi"/>
              </w:rPr>
              <w:t xml:space="preserve">Number fully susceptible to one or more of the below listed agents: </w:t>
            </w:r>
          </w:p>
          <w:p w14:paraId="77690F43" w14:textId="77777777" w:rsidR="00D31AF7" w:rsidRPr="00E052E9" w:rsidRDefault="00D31AF7" w:rsidP="005A3BE6">
            <w:pPr>
              <w:pStyle w:val="ListParagraph"/>
              <w:numPr>
                <w:ilvl w:val="0"/>
                <w:numId w:val="111"/>
              </w:numPr>
              <w:rPr>
                <w:rFonts w:asciiTheme="majorBidi" w:hAnsiTheme="majorBidi" w:cstheme="majorBidi"/>
              </w:rPr>
            </w:pPr>
            <w:r w:rsidRPr="00E052E9">
              <w:rPr>
                <w:rFonts w:asciiTheme="majorBidi" w:hAnsiTheme="majorBidi" w:cstheme="majorBidi"/>
              </w:rPr>
              <w:t xml:space="preserve">fluoroquinolones, </w:t>
            </w:r>
            <w:proofErr w:type="spellStart"/>
            <w:r w:rsidRPr="00E052E9">
              <w:rPr>
                <w:rFonts w:asciiTheme="majorBidi" w:hAnsiTheme="majorBidi" w:cstheme="majorBidi"/>
              </w:rPr>
              <w:t>fosfomycin</w:t>
            </w:r>
            <w:proofErr w:type="spellEnd"/>
            <w:r w:rsidRPr="00E052E9">
              <w:rPr>
                <w:rFonts w:asciiTheme="majorBidi" w:hAnsiTheme="majorBidi" w:cstheme="majorBidi"/>
              </w:rPr>
              <w:t xml:space="preserve">, cephalosporins, aztreonam, or tigecycline (OXA-48 mechanisms only) </w:t>
            </w:r>
          </w:p>
          <w:p w14:paraId="147B7C0C" w14:textId="77777777" w:rsidR="00D31AF7" w:rsidRPr="00E052E9" w:rsidRDefault="00D31AF7" w:rsidP="00381A08">
            <w:pPr>
              <w:pStyle w:val="ListParagraph"/>
              <w:ind w:left="360"/>
              <w:rPr>
                <w:rFonts w:asciiTheme="majorBidi" w:hAnsiTheme="majorBidi" w:cstheme="majorBidi"/>
              </w:rPr>
            </w:pPr>
            <w:r w:rsidRPr="00E052E9">
              <w:rPr>
                <w:rFonts w:asciiTheme="majorBidi" w:hAnsiTheme="majorBidi" w:cstheme="majorBidi"/>
                <w:b/>
                <w:bCs/>
              </w:rPr>
              <w:t>OR</w:t>
            </w:r>
          </w:p>
          <w:p w14:paraId="605291D4" w14:textId="77777777" w:rsidR="00D31AF7" w:rsidRPr="00E052E9" w:rsidRDefault="00D31AF7" w:rsidP="005A3BE6">
            <w:pPr>
              <w:pStyle w:val="ListParagraph"/>
              <w:numPr>
                <w:ilvl w:val="0"/>
                <w:numId w:val="111"/>
              </w:numPr>
              <w:rPr>
                <w:rFonts w:asciiTheme="majorBidi" w:hAnsiTheme="majorBidi" w:cstheme="majorBidi"/>
              </w:rPr>
            </w:pPr>
            <w:proofErr w:type="spellStart"/>
            <w:r w:rsidRPr="00E052E9">
              <w:rPr>
                <w:rFonts w:asciiTheme="majorBidi" w:hAnsiTheme="majorBidi" w:cstheme="majorBidi"/>
              </w:rPr>
              <w:t>fosfomycin</w:t>
            </w:r>
            <w:proofErr w:type="spellEnd"/>
            <w:r w:rsidRPr="00E052E9">
              <w:rPr>
                <w:rFonts w:asciiTheme="majorBidi" w:hAnsiTheme="majorBidi" w:cstheme="majorBidi"/>
              </w:rPr>
              <w:t>, aztreonam, or tigecycline (MBL mechanisms only)</w:t>
            </w:r>
          </w:p>
          <w:p w14:paraId="5AB15811" w14:textId="77777777" w:rsidR="00D31AF7" w:rsidRPr="00E052E9" w:rsidRDefault="00D31AF7" w:rsidP="00381A08">
            <w:pPr>
              <w:pStyle w:val="ListParagraph"/>
              <w:ind w:left="360"/>
              <w:rPr>
                <w:rFonts w:asciiTheme="majorBidi" w:hAnsiTheme="majorBidi" w:cstheme="majorBidi"/>
              </w:rPr>
            </w:pPr>
            <w:r w:rsidRPr="00E052E9">
              <w:rPr>
                <w:rFonts w:asciiTheme="majorBidi" w:hAnsiTheme="majorBidi" w:cstheme="majorBidi"/>
              </w:rPr>
              <w:t>OR</w:t>
            </w:r>
          </w:p>
          <w:p w14:paraId="608C6D26" w14:textId="77777777" w:rsidR="00D31AF7" w:rsidRPr="00E052E9" w:rsidRDefault="00D31AF7" w:rsidP="005A3BE6">
            <w:pPr>
              <w:pStyle w:val="ListParagraph"/>
              <w:numPr>
                <w:ilvl w:val="0"/>
                <w:numId w:val="111"/>
              </w:numPr>
              <w:rPr>
                <w:rFonts w:asciiTheme="majorBidi" w:hAnsiTheme="majorBidi" w:cstheme="majorBidi"/>
              </w:rPr>
            </w:pPr>
            <w:r w:rsidRPr="00E052E9">
              <w:rPr>
                <w:rFonts w:asciiTheme="majorBidi" w:hAnsiTheme="majorBidi" w:cstheme="majorBidi"/>
              </w:rPr>
              <w:t xml:space="preserve">meropenem (full or intermediate susceptible - all mechanisms) </w:t>
            </w:r>
          </w:p>
        </w:tc>
        <w:tc>
          <w:tcPr>
            <w:tcW w:w="2410" w:type="dxa"/>
          </w:tcPr>
          <w:p w14:paraId="06443701" w14:textId="77777777" w:rsidR="00D31AF7" w:rsidRPr="00E052E9" w:rsidRDefault="00D31AF7" w:rsidP="00381A08">
            <w:pPr>
              <w:rPr>
                <w:rFonts w:asciiTheme="majorBidi" w:hAnsiTheme="majorBidi" w:cstheme="majorBidi"/>
              </w:rPr>
            </w:pPr>
            <w:r w:rsidRPr="00E052E9">
              <w:rPr>
                <w:rFonts w:asciiTheme="majorBidi" w:hAnsiTheme="majorBidi" w:cstheme="majorBidi"/>
              </w:rPr>
              <w:t>Number susceptible to only colistin or an aminoglycoside</w:t>
            </w:r>
          </w:p>
        </w:tc>
        <w:tc>
          <w:tcPr>
            <w:tcW w:w="2551" w:type="dxa"/>
          </w:tcPr>
          <w:p w14:paraId="01FEDFEF" w14:textId="77777777" w:rsidR="00D31AF7" w:rsidRPr="00E052E9" w:rsidRDefault="00D31AF7" w:rsidP="00381A08">
            <w:pPr>
              <w:rPr>
                <w:rFonts w:asciiTheme="majorBidi" w:hAnsiTheme="majorBidi" w:cstheme="majorBidi"/>
              </w:rPr>
            </w:pPr>
            <w:r w:rsidRPr="00E052E9">
              <w:rPr>
                <w:rFonts w:asciiTheme="majorBidi" w:hAnsiTheme="majorBidi" w:cstheme="majorBidi"/>
              </w:rPr>
              <w:t>Number not susceptible to any of the previously listed drugs</w:t>
            </w:r>
          </w:p>
        </w:tc>
      </w:tr>
    </w:tbl>
    <w:p w14:paraId="4A2A9C81" w14:textId="77777777" w:rsidR="00D31AF7" w:rsidRPr="00F82EBE" w:rsidRDefault="00D31AF7" w:rsidP="00D31AF7">
      <w:pPr>
        <w:rPr>
          <w:rFonts w:asciiTheme="majorBidi" w:hAnsiTheme="majorBidi" w:cstheme="majorBidi"/>
        </w:rPr>
      </w:pPr>
    </w:p>
    <w:p w14:paraId="5FC2D0CF" w14:textId="77777777" w:rsidR="00D31AF7" w:rsidRPr="00F82EBE" w:rsidRDefault="00D31AF7" w:rsidP="00D31AF7">
      <w:pPr>
        <w:rPr>
          <w:rFonts w:asciiTheme="majorBidi" w:hAnsiTheme="majorBidi" w:cstheme="majorBidi"/>
        </w:rPr>
      </w:pPr>
      <w:r w:rsidRPr="00F82EBE">
        <w:rPr>
          <w:rFonts w:asciiTheme="majorBidi" w:hAnsiTheme="majorBidi" w:cstheme="majorBidi"/>
        </w:rPr>
        <w:t>If possible, we would like two versions of table shell C. One where meropenem susceptibility includes ‘intermediate susceptible’ and one where meropenem susceptibility excludes ‘intermediate susceptible’</w:t>
      </w:r>
    </w:p>
    <w:p w14:paraId="4FD18E22" w14:textId="77777777" w:rsidR="00D31AF7" w:rsidRPr="00F82EBE" w:rsidRDefault="00D31AF7" w:rsidP="00D31AF7">
      <w:pPr>
        <w:rPr>
          <w:rFonts w:asciiTheme="majorBidi" w:hAnsiTheme="majorBidi" w:cstheme="majorBidi"/>
          <w:b/>
          <w:color w:val="434343"/>
          <w:sz w:val="24"/>
          <w:szCs w:val="24"/>
        </w:rPr>
      </w:pPr>
    </w:p>
    <w:p w14:paraId="35468EA3" w14:textId="77777777" w:rsidR="00D31AF7" w:rsidRPr="00F82EBE" w:rsidRDefault="00D31AF7" w:rsidP="00D31AF7">
      <w:pPr>
        <w:spacing w:after="120" w:line="276" w:lineRule="auto"/>
        <w:rPr>
          <w:rFonts w:asciiTheme="majorBidi" w:hAnsiTheme="majorBidi" w:cstheme="majorBidi"/>
        </w:rPr>
      </w:pPr>
      <w:r w:rsidRPr="00F82EBE">
        <w:rPr>
          <w:rFonts w:asciiTheme="majorBidi" w:hAnsiTheme="majorBidi" w:cstheme="majorBidi"/>
          <w:b/>
          <w:bCs/>
          <w:u w:val="single"/>
        </w:rPr>
        <w:t>3) Distributions of mechanisms across clinical sites.</w:t>
      </w:r>
    </w:p>
    <w:p w14:paraId="6EDAC659" w14:textId="71E7E7E3" w:rsidR="00D31AF7" w:rsidRPr="00F82EBE" w:rsidRDefault="00D31AF7" w:rsidP="005A3BE6">
      <w:pPr>
        <w:numPr>
          <w:ilvl w:val="0"/>
          <w:numId w:val="110"/>
        </w:numPr>
        <w:spacing w:after="0" w:line="276" w:lineRule="auto"/>
        <w:rPr>
          <w:rFonts w:asciiTheme="majorBidi" w:hAnsiTheme="majorBidi" w:cstheme="majorBidi"/>
        </w:rPr>
      </w:pPr>
      <w:r w:rsidRPr="00F82EBE">
        <w:rPr>
          <w:rFonts w:asciiTheme="majorBidi" w:hAnsiTheme="majorBidi" w:cstheme="majorBidi"/>
        </w:rPr>
        <w:t xml:space="preserve">We would like this information for the following </w:t>
      </w:r>
      <w:r w:rsidR="00AE639B">
        <w:rPr>
          <w:rFonts w:asciiTheme="majorBidi" w:hAnsiTheme="majorBidi" w:cstheme="majorBidi"/>
        </w:rPr>
        <w:t>pathogen-mechanism</w:t>
      </w:r>
      <w:r w:rsidRPr="00F82EBE">
        <w:rPr>
          <w:rFonts w:asciiTheme="majorBidi" w:hAnsiTheme="majorBidi" w:cstheme="majorBidi"/>
        </w:rPr>
        <w:t xml:space="preserve">s combinations (note that there are two new categories with the </w:t>
      </w:r>
      <w:r w:rsidRPr="00F82EBE">
        <w:rPr>
          <w:rFonts w:asciiTheme="majorBidi" w:hAnsiTheme="majorBidi" w:cstheme="majorBidi"/>
          <w:u w:val="single"/>
        </w:rPr>
        <w:t>inclusion of Stenotrophomonas and non-MBL Pseudomonas</w:t>
      </w:r>
      <w:r w:rsidRPr="00F82EBE">
        <w:rPr>
          <w:rFonts w:asciiTheme="majorBidi" w:hAnsiTheme="majorBidi" w:cstheme="majorBidi"/>
        </w:rPr>
        <w:t xml:space="preserve"> and that for this we do not require the split of MBL isolates) OXA-48 CPE</w:t>
      </w:r>
    </w:p>
    <w:p w14:paraId="59F83AF1" w14:textId="77777777" w:rsidR="00D31AF7" w:rsidRPr="00F82EBE" w:rsidRDefault="00D31AF7" w:rsidP="005A3BE6">
      <w:pPr>
        <w:numPr>
          <w:ilvl w:val="0"/>
          <w:numId w:val="110"/>
        </w:numPr>
        <w:spacing w:after="0" w:line="276" w:lineRule="auto"/>
        <w:rPr>
          <w:rFonts w:asciiTheme="majorBidi" w:hAnsiTheme="majorBidi" w:cstheme="majorBidi"/>
        </w:rPr>
      </w:pPr>
      <w:r w:rsidRPr="00F82EBE">
        <w:rPr>
          <w:rFonts w:asciiTheme="majorBidi" w:hAnsiTheme="majorBidi" w:cstheme="majorBidi"/>
        </w:rPr>
        <w:t>MBL CPE</w:t>
      </w:r>
    </w:p>
    <w:p w14:paraId="22FA1E12" w14:textId="77777777" w:rsidR="00D31AF7" w:rsidRPr="00F82EBE" w:rsidRDefault="00D31AF7" w:rsidP="005A3BE6">
      <w:pPr>
        <w:numPr>
          <w:ilvl w:val="0"/>
          <w:numId w:val="110"/>
        </w:numPr>
        <w:spacing w:after="0" w:line="276" w:lineRule="auto"/>
        <w:rPr>
          <w:rFonts w:asciiTheme="majorBidi" w:hAnsiTheme="majorBidi" w:cstheme="majorBidi"/>
        </w:rPr>
      </w:pPr>
      <w:r w:rsidRPr="00F82EBE">
        <w:rPr>
          <w:rFonts w:asciiTheme="majorBidi" w:hAnsiTheme="majorBidi" w:cstheme="majorBidi"/>
        </w:rPr>
        <w:t>MBL Pseudomonas</w:t>
      </w:r>
    </w:p>
    <w:p w14:paraId="70606F4E" w14:textId="77777777" w:rsidR="00D31AF7" w:rsidRPr="00F82EBE" w:rsidRDefault="00D31AF7" w:rsidP="005A3BE6">
      <w:pPr>
        <w:numPr>
          <w:ilvl w:val="0"/>
          <w:numId w:val="110"/>
        </w:numPr>
        <w:spacing w:after="0" w:line="276" w:lineRule="auto"/>
        <w:rPr>
          <w:rFonts w:asciiTheme="majorBidi" w:hAnsiTheme="majorBidi" w:cstheme="majorBidi"/>
        </w:rPr>
      </w:pPr>
      <w:r w:rsidRPr="00F82EBE">
        <w:rPr>
          <w:rFonts w:asciiTheme="majorBidi" w:hAnsiTheme="majorBidi" w:cstheme="majorBidi"/>
        </w:rPr>
        <w:t>Non-MBL Pseudomonas</w:t>
      </w:r>
    </w:p>
    <w:p w14:paraId="3E9AEA37" w14:textId="77777777" w:rsidR="00D31AF7" w:rsidRPr="00F82EBE" w:rsidRDefault="00D31AF7" w:rsidP="005A3BE6">
      <w:pPr>
        <w:numPr>
          <w:ilvl w:val="0"/>
          <w:numId w:val="110"/>
        </w:numPr>
        <w:spacing w:after="0" w:line="276" w:lineRule="auto"/>
        <w:rPr>
          <w:rFonts w:asciiTheme="majorBidi" w:hAnsiTheme="majorBidi" w:cstheme="majorBidi"/>
        </w:rPr>
      </w:pPr>
      <w:r w:rsidRPr="00F82EBE">
        <w:rPr>
          <w:rFonts w:asciiTheme="majorBidi" w:hAnsiTheme="majorBidi" w:cstheme="majorBidi"/>
        </w:rPr>
        <w:t xml:space="preserve">Stenotrophomonas </w:t>
      </w:r>
    </w:p>
    <w:p w14:paraId="58180297" w14:textId="77777777" w:rsidR="00D31AF7" w:rsidRPr="00F82EBE" w:rsidRDefault="00D31AF7" w:rsidP="00D31AF7">
      <w:pPr>
        <w:rPr>
          <w:rFonts w:asciiTheme="majorBidi" w:hAnsiTheme="majorBidi" w:cstheme="majorBidi"/>
        </w:rPr>
      </w:pPr>
    </w:p>
    <w:p w14:paraId="2C28470E" w14:textId="77777777" w:rsidR="00D31AF7" w:rsidRPr="00F82EBE" w:rsidRDefault="00D31AF7" w:rsidP="00D31AF7">
      <w:pPr>
        <w:rPr>
          <w:rFonts w:asciiTheme="majorBidi" w:hAnsiTheme="majorBidi" w:cstheme="majorBidi"/>
        </w:rPr>
      </w:pPr>
      <w:r w:rsidRPr="00F82EBE">
        <w:rPr>
          <w:rFonts w:asciiTheme="majorBidi" w:hAnsiTheme="majorBidi" w:cstheme="majorBidi"/>
        </w:rPr>
        <w:t>For these mechanism/pathogen combinations we would like to know how many infections are found by clinical site (as determined by the specimen source), grouped as:</w:t>
      </w:r>
    </w:p>
    <w:p w14:paraId="203AA2A7" w14:textId="77777777" w:rsidR="00D31AF7" w:rsidRPr="00F82EBE" w:rsidRDefault="00D31AF7" w:rsidP="005A3BE6">
      <w:pPr>
        <w:numPr>
          <w:ilvl w:val="0"/>
          <w:numId w:val="108"/>
        </w:numPr>
        <w:spacing w:after="0" w:line="276" w:lineRule="auto"/>
        <w:rPr>
          <w:rFonts w:asciiTheme="majorBidi" w:hAnsiTheme="majorBidi" w:cstheme="majorBidi"/>
        </w:rPr>
      </w:pPr>
      <w:r w:rsidRPr="00F82EBE">
        <w:rPr>
          <w:rFonts w:asciiTheme="majorBidi" w:hAnsiTheme="majorBidi" w:cstheme="majorBidi"/>
        </w:rPr>
        <w:t>Pneumonia.</w:t>
      </w:r>
    </w:p>
    <w:p w14:paraId="047EADD9" w14:textId="77777777" w:rsidR="00D31AF7" w:rsidRPr="00F82EBE" w:rsidRDefault="00D31AF7" w:rsidP="005A3BE6">
      <w:pPr>
        <w:numPr>
          <w:ilvl w:val="0"/>
          <w:numId w:val="108"/>
        </w:numPr>
        <w:spacing w:after="0" w:line="276" w:lineRule="auto"/>
        <w:rPr>
          <w:rFonts w:asciiTheme="majorBidi" w:hAnsiTheme="majorBidi" w:cstheme="majorBidi"/>
        </w:rPr>
      </w:pPr>
      <w:r w:rsidRPr="00F82EBE">
        <w:rPr>
          <w:rFonts w:asciiTheme="majorBidi" w:hAnsiTheme="majorBidi" w:cstheme="majorBidi"/>
        </w:rPr>
        <w:t>Complicated urinary tract infection (we understand you may have an existing definition of ‘complicated’, which we are happy for you to use. If not, let us know and we can try to define this).</w:t>
      </w:r>
    </w:p>
    <w:p w14:paraId="0AE014C2" w14:textId="77777777" w:rsidR="00D31AF7" w:rsidRPr="00F82EBE" w:rsidRDefault="00D31AF7" w:rsidP="005A3BE6">
      <w:pPr>
        <w:numPr>
          <w:ilvl w:val="0"/>
          <w:numId w:val="108"/>
        </w:numPr>
        <w:spacing w:after="0" w:line="276" w:lineRule="auto"/>
        <w:rPr>
          <w:rFonts w:asciiTheme="majorBidi" w:hAnsiTheme="majorBidi" w:cstheme="majorBidi"/>
        </w:rPr>
      </w:pPr>
      <w:r w:rsidRPr="00F82EBE">
        <w:rPr>
          <w:rFonts w:asciiTheme="majorBidi" w:hAnsiTheme="majorBidi" w:cstheme="majorBidi"/>
        </w:rPr>
        <w:t xml:space="preserve">Other (if you can further sub-divide this by clinically meaningful sites, such as BSI, that would be useful). </w:t>
      </w:r>
    </w:p>
    <w:p w14:paraId="51890F6C" w14:textId="77777777" w:rsidR="00D31AF7" w:rsidRPr="00F82EBE" w:rsidRDefault="00D31AF7" w:rsidP="00D31AF7">
      <w:pPr>
        <w:pStyle w:val="NoSpacing"/>
        <w:rPr>
          <w:rFonts w:asciiTheme="majorBidi" w:hAnsiTheme="majorBidi" w:cstheme="majorBidi"/>
        </w:rPr>
      </w:pPr>
    </w:p>
    <w:p w14:paraId="12217DE0" w14:textId="77777777" w:rsidR="00D31AF7" w:rsidRPr="00F82EBE" w:rsidRDefault="00D31AF7" w:rsidP="00D31AF7">
      <w:pPr>
        <w:rPr>
          <w:rFonts w:asciiTheme="majorBidi" w:hAnsiTheme="majorBidi" w:cstheme="majorBidi"/>
        </w:rPr>
      </w:pPr>
      <w:r w:rsidRPr="00F82EBE">
        <w:rPr>
          <w:rFonts w:asciiTheme="majorBidi" w:hAnsiTheme="majorBidi" w:cstheme="majorBidi"/>
        </w:rPr>
        <w:t xml:space="preserve">This would use data from the </w:t>
      </w:r>
      <w:r w:rsidRPr="00F82EBE">
        <w:rPr>
          <w:rFonts w:asciiTheme="majorBidi" w:hAnsiTheme="majorBidi" w:cstheme="majorBidi"/>
          <w:u w:val="single"/>
        </w:rPr>
        <w:t>SGSS from the Oct/Dec 2020 quarter to present</w:t>
      </w:r>
      <w:r w:rsidRPr="00F82EBE">
        <w:rPr>
          <w:rFonts w:asciiTheme="majorBidi" w:hAnsiTheme="majorBidi" w:cstheme="majorBidi"/>
        </w:rPr>
        <w:t>. This does not need to be reported as a time-series. Hence it could be presented as a cross-tabulation (rows = mechanism, columns = site, cells = count or % whichever’s easiest).</w:t>
      </w:r>
      <w:bookmarkStart w:id="615" w:name="_9zccsawzyc51" w:colFirst="0" w:colLast="0"/>
      <w:bookmarkStart w:id="616" w:name="_628bf990vo6i" w:colFirst="0" w:colLast="0"/>
      <w:bookmarkEnd w:id="615"/>
      <w:bookmarkEnd w:id="616"/>
      <w:r w:rsidRPr="00F82EBE">
        <w:rPr>
          <w:rFonts w:asciiTheme="majorBidi" w:hAnsiTheme="majorBidi" w:cstheme="majorBidi"/>
        </w:rPr>
        <w:t xml:space="preserve"> See example table shell.</w:t>
      </w:r>
    </w:p>
    <w:p w14:paraId="29E6B379" w14:textId="77777777" w:rsidR="00D31AF7" w:rsidRPr="00F82EBE" w:rsidRDefault="00D31AF7" w:rsidP="00D31AF7">
      <w:pPr>
        <w:pStyle w:val="NoSpacing"/>
        <w:rPr>
          <w:rFonts w:asciiTheme="majorBidi" w:hAnsiTheme="majorBidi" w:cstheme="majorBid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8"/>
        <w:gridCol w:w="1704"/>
        <w:gridCol w:w="1789"/>
        <w:gridCol w:w="1619"/>
        <w:gridCol w:w="1856"/>
      </w:tblGrid>
      <w:tr w:rsidR="00D31AF7" w:rsidRPr="00F82EBE" w14:paraId="49F16E1E" w14:textId="77777777" w:rsidTr="00381A08">
        <w:tc>
          <w:tcPr>
            <w:tcW w:w="3251" w:type="dxa"/>
            <w:shd w:val="clear" w:color="auto" w:fill="auto"/>
            <w:tcMar>
              <w:top w:w="100" w:type="dxa"/>
              <w:left w:w="100" w:type="dxa"/>
              <w:bottom w:w="100" w:type="dxa"/>
              <w:right w:w="100" w:type="dxa"/>
            </w:tcMar>
          </w:tcPr>
          <w:p w14:paraId="127FEC2C"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b/>
                <w:bCs/>
              </w:rPr>
            </w:pPr>
          </w:p>
        </w:tc>
        <w:tc>
          <w:tcPr>
            <w:tcW w:w="2693" w:type="dxa"/>
            <w:shd w:val="clear" w:color="auto" w:fill="auto"/>
            <w:tcMar>
              <w:top w:w="100" w:type="dxa"/>
              <w:left w:w="100" w:type="dxa"/>
              <w:bottom w:w="100" w:type="dxa"/>
              <w:right w:w="100" w:type="dxa"/>
            </w:tcMar>
          </w:tcPr>
          <w:p w14:paraId="509404D6"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b/>
                <w:bCs/>
              </w:rPr>
            </w:pPr>
            <w:r w:rsidRPr="00F82EBE">
              <w:rPr>
                <w:rFonts w:asciiTheme="majorBidi" w:hAnsiTheme="majorBidi" w:cstheme="majorBidi"/>
                <w:b/>
                <w:bCs/>
              </w:rPr>
              <w:t>Pneumonia (% or count)</w:t>
            </w:r>
          </w:p>
        </w:tc>
        <w:tc>
          <w:tcPr>
            <w:tcW w:w="2835" w:type="dxa"/>
            <w:shd w:val="clear" w:color="auto" w:fill="auto"/>
            <w:tcMar>
              <w:top w:w="100" w:type="dxa"/>
              <w:left w:w="100" w:type="dxa"/>
              <w:bottom w:w="100" w:type="dxa"/>
              <w:right w:w="100" w:type="dxa"/>
            </w:tcMar>
          </w:tcPr>
          <w:p w14:paraId="598A7010" w14:textId="77777777" w:rsidR="00D31AF7" w:rsidRPr="00F82EBE" w:rsidRDefault="00D31AF7" w:rsidP="00381A08">
            <w:pPr>
              <w:widowControl w:val="0"/>
              <w:spacing w:line="240" w:lineRule="auto"/>
              <w:contextualSpacing/>
              <w:rPr>
                <w:rFonts w:asciiTheme="majorBidi" w:hAnsiTheme="majorBidi" w:cstheme="majorBidi"/>
                <w:b/>
                <w:bCs/>
              </w:rPr>
            </w:pPr>
            <w:proofErr w:type="spellStart"/>
            <w:r w:rsidRPr="00F82EBE">
              <w:rPr>
                <w:rFonts w:asciiTheme="majorBidi" w:hAnsiTheme="majorBidi" w:cstheme="majorBidi"/>
                <w:b/>
                <w:bCs/>
              </w:rPr>
              <w:t>cUTI</w:t>
            </w:r>
            <w:proofErr w:type="spellEnd"/>
            <w:r w:rsidRPr="00F82EBE">
              <w:rPr>
                <w:rFonts w:asciiTheme="majorBidi" w:hAnsiTheme="majorBidi" w:cstheme="majorBidi"/>
                <w:b/>
                <w:bCs/>
              </w:rPr>
              <w:t xml:space="preserve"> (% or count)</w:t>
            </w:r>
          </w:p>
        </w:tc>
        <w:tc>
          <w:tcPr>
            <w:tcW w:w="2551" w:type="dxa"/>
            <w:shd w:val="clear" w:color="auto" w:fill="auto"/>
            <w:tcMar>
              <w:top w:w="100" w:type="dxa"/>
              <w:left w:w="100" w:type="dxa"/>
              <w:bottom w:w="100" w:type="dxa"/>
              <w:right w:w="100" w:type="dxa"/>
            </w:tcMar>
          </w:tcPr>
          <w:p w14:paraId="2EFA0C5A" w14:textId="77777777" w:rsidR="00D31AF7" w:rsidRPr="00F82EBE" w:rsidRDefault="00D31AF7" w:rsidP="00381A08">
            <w:pPr>
              <w:widowControl w:val="0"/>
              <w:spacing w:line="240" w:lineRule="auto"/>
              <w:contextualSpacing/>
              <w:rPr>
                <w:rFonts w:asciiTheme="majorBidi" w:hAnsiTheme="majorBidi" w:cstheme="majorBidi"/>
                <w:b/>
                <w:bCs/>
              </w:rPr>
            </w:pPr>
            <w:r w:rsidRPr="00F82EBE">
              <w:rPr>
                <w:rFonts w:asciiTheme="majorBidi" w:hAnsiTheme="majorBidi" w:cstheme="majorBidi"/>
                <w:b/>
                <w:bCs/>
              </w:rPr>
              <w:t>Other (% or count)</w:t>
            </w:r>
          </w:p>
        </w:tc>
        <w:tc>
          <w:tcPr>
            <w:tcW w:w="2935" w:type="dxa"/>
          </w:tcPr>
          <w:p w14:paraId="49B899CF" w14:textId="77777777" w:rsidR="00D31AF7" w:rsidRPr="00F82EBE" w:rsidRDefault="00D31AF7" w:rsidP="00381A08">
            <w:pPr>
              <w:widowControl w:val="0"/>
              <w:spacing w:line="240" w:lineRule="auto"/>
              <w:contextualSpacing/>
              <w:rPr>
                <w:rFonts w:asciiTheme="majorBidi" w:hAnsiTheme="majorBidi" w:cstheme="majorBidi"/>
                <w:b/>
                <w:bCs/>
              </w:rPr>
            </w:pPr>
            <w:r w:rsidRPr="00F82EBE">
              <w:rPr>
                <w:rFonts w:asciiTheme="majorBidi" w:hAnsiTheme="majorBidi" w:cstheme="majorBidi"/>
                <w:b/>
                <w:bCs/>
              </w:rPr>
              <w:t>TOTAL across sites (n)</w:t>
            </w:r>
          </w:p>
        </w:tc>
      </w:tr>
      <w:tr w:rsidR="00D31AF7" w:rsidRPr="00F82EBE" w14:paraId="587A4806" w14:textId="77777777" w:rsidTr="00381A08">
        <w:tc>
          <w:tcPr>
            <w:tcW w:w="3251" w:type="dxa"/>
            <w:shd w:val="clear" w:color="auto" w:fill="auto"/>
            <w:tcMar>
              <w:top w:w="100" w:type="dxa"/>
              <w:left w:w="100" w:type="dxa"/>
              <w:bottom w:w="100" w:type="dxa"/>
              <w:right w:w="100" w:type="dxa"/>
            </w:tcMar>
          </w:tcPr>
          <w:p w14:paraId="4E1A5F85" w14:textId="77777777" w:rsidR="00D31AF7" w:rsidRPr="00F82EBE" w:rsidRDefault="00D31AF7" w:rsidP="00381A08">
            <w:pPr>
              <w:spacing w:line="240" w:lineRule="auto"/>
              <w:contextualSpacing/>
              <w:rPr>
                <w:rFonts w:asciiTheme="majorBidi" w:hAnsiTheme="majorBidi" w:cstheme="majorBidi"/>
              </w:rPr>
            </w:pPr>
            <w:r w:rsidRPr="00F82EBE">
              <w:rPr>
                <w:rFonts w:asciiTheme="majorBidi" w:hAnsiTheme="majorBidi" w:cstheme="majorBidi"/>
              </w:rPr>
              <w:t>OXA-48 CPE</w:t>
            </w:r>
          </w:p>
        </w:tc>
        <w:tc>
          <w:tcPr>
            <w:tcW w:w="2693" w:type="dxa"/>
            <w:shd w:val="clear" w:color="auto" w:fill="auto"/>
            <w:tcMar>
              <w:top w:w="100" w:type="dxa"/>
              <w:left w:w="100" w:type="dxa"/>
              <w:bottom w:w="100" w:type="dxa"/>
              <w:right w:w="100" w:type="dxa"/>
            </w:tcMar>
          </w:tcPr>
          <w:p w14:paraId="64CF5D5C"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835" w:type="dxa"/>
            <w:shd w:val="clear" w:color="auto" w:fill="auto"/>
            <w:tcMar>
              <w:top w:w="100" w:type="dxa"/>
              <w:left w:w="100" w:type="dxa"/>
              <w:bottom w:w="100" w:type="dxa"/>
              <w:right w:w="100" w:type="dxa"/>
            </w:tcMar>
          </w:tcPr>
          <w:p w14:paraId="023D8FC8"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551" w:type="dxa"/>
            <w:shd w:val="clear" w:color="auto" w:fill="auto"/>
            <w:tcMar>
              <w:top w:w="100" w:type="dxa"/>
              <w:left w:w="100" w:type="dxa"/>
              <w:bottom w:w="100" w:type="dxa"/>
              <w:right w:w="100" w:type="dxa"/>
            </w:tcMar>
          </w:tcPr>
          <w:p w14:paraId="0EC19AB7"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935" w:type="dxa"/>
          </w:tcPr>
          <w:p w14:paraId="345914A8"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r>
      <w:tr w:rsidR="00D31AF7" w:rsidRPr="00F82EBE" w14:paraId="5DECD5EF" w14:textId="77777777" w:rsidTr="00381A08">
        <w:tc>
          <w:tcPr>
            <w:tcW w:w="3251" w:type="dxa"/>
            <w:shd w:val="clear" w:color="auto" w:fill="auto"/>
            <w:tcMar>
              <w:top w:w="100" w:type="dxa"/>
              <w:left w:w="100" w:type="dxa"/>
              <w:bottom w:w="100" w:type="dxa"/>
              <w:right w:w="100" w:type="dxa"/>
            </w:tcMar>
          </w:tcPr>
          <w:p w14:paraId="6629E399" w14:textId="77777777" w:rsidR="00D31AF7" w:rsidRPr="00F82EBE" w:rsidRDefault="00D31AF7" w:rsidP="00381A08">
            <w:pPr>
              <w:spacing w:line="240" w:lineRule="auto"/>
              <w:contextualSpacing/>
              <w:rPr>
                <w:rFonts w:asciiTheme="majorBidi" w:hAnsiTheme="majorBidi" w:cstheme="majorBidi"/>
              </w:rPr>
            </w:pPr>
            <w:r w:rsidRPr="00F82EBE">
              <w:rPr>
                <w:rFonts w:asciiTheme="majorBidi" w:hAnsiTheme="majorBidi" w:cstheme="majorBidi"/>
              </w:rPr>
              <w:t>MBL CPE</w:t>
            </w:r>
          </w:p>
        </w:tc>
        <w:tc>
          <w:tcPr>
            <w:tcW w:w="2693" w:type="dxa"/>
            <w:shd w:val="clear" w:color="auto" w:fill="auto"/>
            <w:tcMar>
              <w:top w:w="100" w:type="dxa"/>
              <w:left w:w="100" w:type="dxa"/>
              <w:bottom w:w="100" w:type="dxa"/>
              <w:right w:w="100" w:type="dxa"/>
            </w:tcMar>
          </w:tcPr>
          <w:p w14:paraId="700D411E"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835" w:type="dxa"/>
            <w:shd w:val="clear" w:color="auto" w:fill="auto"/>
            <w:tcMar>
              <w:top w:w="100" w:type="dxa"/>
              <w:left w:w="100" w:type="dxa"/>
              <w:bottom w:w="100" w:type="dxa"/>
              <w:right w:w="100" w:type="dxa"/>
            </w:tcMar>
          </w:tcPr>
          <w:p w14:paraId="47880240"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551" w:type="dxa"/>
            <w:shd w:val="clear" w:color="auto" w:fill="auto"/>
            <w:tcMar>
              <w:top w:w="100" w:type="dxa"/>
              <w:left w:w="100" w:type="dxa"/>
              <w:bottom w:w="100" w:type="dxa"/>
              <w:right w:w="100" w:type="dxa"/>
            </w:tcMar>
          </w:tcPr>
          <w:p w14:paraId="47CB2FE2"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935" w:type="dxa"/>
          </w:tcPr>
          <w:p w14:paraId="58F8DAC0"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r>
      <w:tr w:rsidR="00D31AF7" w:rsidRPr="00F82EBE" w14:paraId="5C64B8F3" w14:textId="77777777" w:rsidTr="00381A08">
        <w:tc>
          <w:tcPr>
            <w:tcW w:w="3251" w:type="dxa"/>
            <w:shd w:val="clear" w:color="auto" w:fill="auto"/>
            <w:tcMar>
              <w:top w:w="100" w:type="dxa"/>
              <w:left w:w="100" w:type="dxa"/>
              <w:bottom w:w="100" w:type="dxa"/>
              <w:right w:w="100" w:type="dxa"/>
            </w:tcMar>
          </w:tcPr>
          <w:p w14:paraId="61D81806" w14:textId="77777777" w:rsidR="00D31AF7" w:rsidRPr="00F82EBE" w:rsidRDefault="00D31AF7" w:rsidP="00381A08">
            <w:pPr>
              <w:spacing w:line="240" w:lineRule="auto"/>
              <w:contextualSpacing/>
              <w:rPr>
                <w:rFonts w:asciiTheme="majorBidi" w:hAnsiTheme="majorBidi" w:cstheme="majorBidi"/>
              </w:rPr>
            </w:pPr>
            <w:r w:rsidRPr="00F82EBE">
              <w:rPr>
                <w:rFonts w:asciiTheme="majorBidi" w:hAnsiTheme="majorBidi" w:cstheme="majorBidi"/>
              </w:rPr>
              <w:t>MBL Pseudomonas</w:t>
            </w:r>
          </w:p>
        </w:tc>
        <w:tc>
          <w:tcPr>
            <w:tcW w:w="2693" w:type="dxa"/>
            <w:shd w:val="clear" w:color="auto" w:fill="auto"/>
            <w:tcMar>
              <w:top w:w="100" w:type="dxa"/>
              <w:left w:w="100" w:type="dxa"/>
              <w:bottom w:w="100" w:type="dxa"/>
              <w:right w:w="100" w:type="dxa"/>
            </w:tcMar>
          </w:tcPr>
          <w:p w14:paraId="3A1E9517"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835" w:type="dxa"/>
            <w:shd w:val="clear" w:color="auto" w:fill="auto"/>
            <w:tcMar>
              <w:top w:w="100" w:type="dxa"/>
              <w:left w:w="100" w:type="dxa"/>
              <w:bottom w:w="100" w:type="dxa"/>
              <w:right w:w="100" w:type="dxa"/>
            </w:tcMar>
          </w:tcPr>
          <w:p w14:paraId="424A774F"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551" w:type="dxa"/>
            <w:shd w:val="clear" w:color="auto" w:fill="auto"/>
            <w:tcMar>
              <w:top w:w="100" w:type="dxa"/>
              <w:left w:w="100" w:type="dxa"/>
              <w:bottom w:w="100" w:type="dxa"/>
              <w:right w:w="100" w:type="dxa"/>
            </w:tcMar>
          </w:tcPr>
          <w:p w14:paraId="3DCFF761"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935" w:type="dxa"/>
          </w:tcPr>
          <w:p w14:paraId="6E520A5E"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r>
      <w:tr w:rsidR="00D31AF7" w:rsidRPr="00F82EBE" w14:paraId="1586D712" w14:textId="77777777" w:rsidTr="00381A08">
        <w:tc>
          <w:tcPr>
            <w:tcW w:w="3251" w:type="dxa"/>
            <w:shd w:val="clear" w:color="auto" w:fill="auto"/>
            <w:tcMar>
              <w:top w:w="100" w:type="dxa"/>
              <w:left w:w="100" w:type="dxa"/>
              <w:bottom w:w="100" w:type="dxa"/>
              <w:right w:w="100" w:type="dxa"/>
            </w:tcMar>
          </w:tcPr>
          <w:p w14:paraId="1F182569" w14:textId="77777777" w:rsidR="00D31AF7" w:rsidRPr="00F82EBE" w:rsidRDefault="00D31AF7" w:rsidP="00381A08">
            <w:pPr>
              <w:spacing w:line="240" w:lineRule="auto"/>
              <w:contextualSpacing/>
              <w:rPr>
                <w:rFonts w:asciiTheme="majorBidi" w:hAnsiTheme="majorBidi" w:cstheme="majorBidi"/>
              </w:rPr>
            </w:pPr>
            <w:r w:rsidRPr="00F82EBE">
              <w:rPr>
                <w:rFonts w:asciiTheme="majorBidi" w:hAnsiTheme="majorBidi" w:cstheme="majorBidi"/>
              </w:rPr>
              <w:t>Non-MBL Pseudomonas</w:t>
            </w:r>
          </w:p>
        </w:tc>
        <w:tc>
          <w:tcPr>
            <w:tcW w:w="2693" w:type="dxa"/>
            <w:shd w:val="clear" w:color="auto" w:fill="auto"/>
            <w:tcMar>
              <w:top w:w="100" w:type="dxa"/>
              <w:left w:w="100" w:type="dxa"/>
              <w:bottom w:w="100" w:type="dxa"/>
              <w:right w:w="100" w:type="dxa"/>
            </w:tcMar>
          </w:tcPr>
          <w:p w14:paraId="7C5FEC88"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835" w:type="dxa"/>
            <w:shd w:val="clear" w:color="auto" w:fill="auto"/>
            <w:tcMar>
              <w:top w:w="100" w:type="dxa"/>
              <w:left w:w="100" w:type="dxa"/>
              <w:bottom w:w="100" w:type="dxa"/>
              <w:right w:w="100" w:type="dxa"/>
            </w:tcMar>
          </w:tcPr>
          <w:p w14:paraId="070210E0"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551" w:type="dxa"/>
            <w:shd w:val="clear" w:color="auto" w:fill="auto"/>
            <w:tcMar>
              <w:top w:w="100" w:type="dxa"/>
              <w:left w:w="100" w:type="dxa"/>
              <w:bottom w:w="100" w:type="dxa"/>
              <w:right w:w="100" w:type="dxa"/>
            </w:tcMar>
          </w:tcPr>
          <w:p w14:paraId="754E1167"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935" w:type="dxa"/>
          </w:tcPr>
          <w:p w14:paraId="4EFE86D1"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r>
      <w:tr w:rsidR="00D31AF7" w:rsidRPr="00F82EBE" w14:paraId="5E22D707" w14:textId="77777777" w:rsidTr="00381A08">
        <w:tc>
          <w:tcPr>
            <w:tcW w:w="3251" w:type="dxa"/>
            <w:shd w:val="clear" w:color="auto" w:fill="auto"/>
            <w:tcMar>
              <w:top w:w="100" w:type="dxa"/>
              <w:left w:w="100" w:type="dxa"/>
              <w:bottom w:w="100" w:type="dxa"/>
              <w:right w:w="100" w:type="dxa"/>
            </w:tcMar>
          </w:tcPr>
          <w:p w14:paraId="70F58A87" w14:textId="77777777" w:rsidR="00D31AF7" w:rsidRPr="00F82EBE" w:rsidRDefault="00D31AF7" w:rsidP="00381A08">
            <w:pPr>
              <w:spacing w:line="240" w:lineRule="auto"/>
              <w:contextualSpacing/>
              <w:rPr>
                <w:rFonts w:asciiTheme="majorBidi" w:hAnsiTheme="majorBidi" w:cstheme="majorBidi"/>
              </w:rPr>
            </w:pPr>
            <w:r w:rsidRPr="00F82EBE">
              <w:rPr>
                <w:rFonts w:asciiTheme="majorBidi" w:hAnsiTheme="majorBidi" w:cstheme="majorBidi"/>
              </w:rPr>
              <w:t xml:space="preserve">Stenotrophomonas </w:t>
            </w:r>
          </w:p>
        </w:tc>
        <w:tc>
          <w:tcPr>
            <w:tcW w:w="2693" w:type="dxa"/>
            <w:shd w:val="clear" w:color="auto" w:fill="auto"/>
            <w:tcMar>
              <w:top w:w="100" w:type="dxa"/>
              <w:left w:w="100" w:type="dxa"/>
              <w:bottom w:w="100" w:type="dxa"/>
              <w:right w:w="100" w:type="dxa"/>
            </w:tcMar>
          </w:tcPr>
          <w:p w14:paraId="16D057B4"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835" w:type="dxa"/>
            <w:shd w:val="clear" w:color="auto" w:fill="auto"/>
            <w:tcMar>
              <w:top w:w="100" w:type="dxa"/>
              <w:left w:w="100" w:type="dxa"/>
              <w:bottom w:w="100" w:type="dxa"/>
              <w:right w:w="100" w:type="dxa"/>
            </w:tcMar>
          </w:tcPr>
          <w:p w14:paraId="51C15534"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551" w:type="dxa"/>
            <w:shd w:val="clear" w:color="auto" w:fill="auto"/>
            <w:tcMar>
              <w:top w:w="100" w:type="dxa"/>
              <w:left w:w="100" w:type="dxa"/>
              <w:bottom w:w="100" w:type="dxa"/>
              <w:right w:w="100" w:type="dxa"/>
            </w:tcMar>
          </w:tcPr>
          <w:p w14:paraId="00EE8A4E"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c>
          <w:tcPr>
            <w:tcW w:w="2935" w:type="dxa"/>
          </w:tcPr>
          <w:p w14:paraId="5A3C80B7" w14:textId="77777777" w:rsidR="00D31AF7" w:rsidRPr="00F82EBE" w:rsidRDefault="00D31AF7" w:rsidP="00381A08">
            <w:pPr>
              <w:widowControl w:val="0"/>
              <w:pBdr>
                <w:top w:val="nil"/>
                <w:left w:val="nil"/>
                <w:bottom w:val="nil"/>
                <w:right w:val="nil"/>
                <w:between w:val="nil"/>
              </w:pBdr>
              <w:spacing w:line="240" w:lineRule="auto"/>
              <w:contextualSpacing/>
              <w:rPr>
                <w:rFonts w:asciiTheme="majorBidi" w:hAnsiTheme="majorBidi" w:cstheme="majorBidi"/>
              </w:rPr>
            </w:pPr>
          </w:p>
        </w:tc>
      </w:tr>
    </w:tbl>
    <w:p w14:paraId="79A01815" w14:textId="77777777" w:rsidR="00D31AF7" w:rsidRDefault="00D31AF7" w:rsidP="00D31AF7"/>
    <w:p w14:paraId="0DC8D717" w14:textId="77777777" w:rsidR="00D31AF7" w:rsidRDefault="00D31AF7" w:rsidP="00D31AF7"/>
    <w:p w14:paraId="6CF051C3" w14:textId="1E4195B7" w:rsidR="00D31AF7" w:rsidRPr="002E4F02" w:rsidRDefault="002E4F02" w:rsidP="00D31AF7">
      <w:pPr>
        <w:pStyle w:val="Heading3"/>
        <w:ind w:left="360"/>
        <w:rPr>
          <w:rFonts w:asciiTheme="majorBidi" w:hAnsiTheme="majorBidi"/>
          <w:sz w:val="26"/>
          <w:szCs w:val="26"/>
        </w:rPr>
      </w:pPr>
      <w:r>
        <w:rPr>
          <w:rFonts w:asciiTheme="majorBidi" w:hAnsiTheme="majorBidi"/>
          <w:sz w:val="26"/>
          <w:szCs w:val="26"/>
        </w:rPr>
        <w:lastRenderedPageBreak/>
        <w:tab/>
      </w:r>
      <w:bookmarkStart w:id="617" w:name="_Toc87463081"/>
      <w:r w:rsidR="00D31AF7" w:rsidRPr="002E4F02">
        <w:rPr>
          <w:rFonts w:asciiTheme="majorBidi" w:hAnsiTheme="majorBidi"/>
          <w:sz w:val="26"/>
          <w:szCs w:val="26"/>
        </w:rPr>
        <w:t>A2.</w:t>
      </w:r>
      <w:r w:rsidR="00BD6979" w:rsidRPr="002E4F02">
        <w:rPr>
          <w:rFonts w:asciiTheme="majorBidi" w:hAnsiTheme="majorBidi"/>
          <w:sz w:val="26"/>
          <w:szCs w:val="26"/>
        </w:rPr>
        <w:t>4</w:t>
      </w:r>
      <w:r w:rsidR="00D31AF7" w:rsidRPr="002E4F02">
        <w:rPr>
          <w:rFonts w:asciiTheme="majorBidi" w:hAnsiTheme="majorBidi"/>
          <w:sz w:val="26"/>
          <w:szCs w:val="26"/>
        </w:rPr>
        <w:t xml:space="preserve"> Further information on PHE data</w:t>
      </w:r>
      <w:bookmarkEnd w:id="617"/>
    </w:p>
    <w:p w14:paraId="5A7D9FD2" w14:textId="3DA135C5" w:rsidR="00D31AF7" w:rsidRPr="00327655" w:rsidRDefault="00D31AF7" w:rsidP="00BD6979">
      <w:pPr>
        <w:spacing w:line="360" w:lineRule="auto"/>
        <w:jc w:val="both"/>
        <w:rPr>
          <w:rFonts w:asciiTheme="majorBidi" w:eastAsia="Calibri" w:hAnsiTheme="majorBidi" w:cstheme="majorBidi"/>
        </w:rPr>
      </w:pPr>
      <w:r>
        <w:rPr>
          <w:rFonts w:asciiTheme="majorBidi" w:eastAsia="Calibri" w:hAnsiTheme="majorBidi" w:cstheme="majorBidi"/>
        </w:rPr>
        <w:t xml:space="preserve">As noted in the request, data come from two evidence </w:t>
      </w:r>
      <w:r w:rsidR="00BD6979">
        <w:rPr>
          <w:rFonts w:asciiTheme="majorBidi" w:eastAsia="Calibri" w:hAnsiTheme="majorBidi" w:cstheme="majorBidi"/>
        </w:rPr>
        <w:t>sources</w:t>
      </w:r>
      <w:r>
        <w:rPr>
          <w:rFonts w:asciiTheme="majorBidi" w:eastAsia="Calibri" w:hAnsiTheme="majorBidi" w:cstheme="majorBidi"/>
        </w:rPr>
        <w:t xml:space="preserve">: AMRHAI and the SCGSS. </w:t>
      </w:r>
      <w:r w:rsidRPr="00327655">
        <w:rPr>
          <w:rFonts w:asciiTheme="majorBidi" w:eastAsia="Calibri" w:hAnsiTheme="majorBidi" w:cstheme="majorBidi"/>
        </w:rPr>
        <w:t>The AMRHAI represents the longest time series of pathogen-mechanism data available to PHE and is, therefore, used to understand trends over time in numbers of individuals with the infections of interest. It is not used to inform estimates of the absolute size of the population as the reference laboratory only receives selected samples. In addition, during 2018, guidance on which samples should be sent to AMRHAI changed, and charges were introduced. This led to an “artificial” decrease in referrals. This decrease was gradual, so it was not possible to identify an exact time-point at which temporal trends became affected by this decrease.</w:t>
      </w:r>
    </w:p>
    <w:p w14:paraId="7E72B595" w14:textId="77777777" w:rsidR="00D31AF7" w:rsidRDefault="00D31AF7" w:rsidP="00BD6979">
      <w:pPr>
        <w:spacing w:line="360" w:lineRule="auto"/>
        <w:jc w:val="both"/>
        <w:rPr>
          <w:rFonts w:asciiTheme="majorBidi" w:eastAsia="Calibri" w:hAnsiTheme="majorBidi" w:cstheme="majorBidi"/>
        </w:rPr>
      </w:pPr>
      <w:r w:rsidRPr="00327655">
        <w:rPr>
          <w:rFonts w:asciiTheme="majorBidi" w:eastAsia="Calibri" w:hAnsiTheme="majorBidi" w:cstheme="majorBidi"/>
        </w:rPr>
        <w:t xml:space="preserve">Cross-sectional data on the size of the HVCS population were also available from the </w:t>
      </w:r>
      <w:proofErr w:type="gramStart"/>
      <w:r w:rsidRPr="00327655">
        <w:rPr>
          <w:rFonts w:asciiTheme="majorBidi" w:eastAsia="Calibri" w:hAnsiTheme="majorBidi" w:cstheme="majorBidi"/>
        </w:rPr>
        <w:t>Second Generation</w:t>
      </w:r>
      <w:proofErr w:type="gramEnd"/>
      <w:r w:rsidRPr="00327655">
        <w:rPr>
          <w:rFonts w:asciiTheme="majorBidi" w:eastAsia="Calibri" w:hAnsiTheme="majorBidi" w:cstheme="majorBidi"/>
        </w:rPr>
        <w:t xml:space="preserve"> Surveillance System (SGSS), which is the successor to the Electronic Reporting System (ERS) (120). This is a national surveillance system. It is primarily voluntary, with varying levels of engagement from microbiology laboratories over time. In 2020, acquired </w:t>
      </w:r>
      <w:proofErr w:type="spellStart"/>
      <w:r w:rsidRPr="00327655">
        <w:rPr>
          <w:rFonts w:asciiTheme="majorBidi" w:eastAsia="Calibri" w:hAnsiTheme="majorBidi" w:cstheme="majorBidi"/>
        </w:rPr>
        <w:t>carbapenemase</w:t>
      </w:r>
      <w:proofErr w:type="spellEnd"/>
      <w:r w:rsidRPr="00327655">
        <w:rPr>
          <w:rFonts w:asciiTheme="majorBidi" w:eastAsia="Calibri" w:hAnsiTheme="majorBidi" w:cstheme="majorBidi"/>
        </w:rPr>
        <w:t xml:space="preserve">-producing Gram-negative bacteria were added to the Health Protection Regulations, making it a legal requirement for laboratories to report these organisms to the SGSS, and reporting levels were expected to be almost complete by October 2020 (120, 121). Hence data were provided from October 2020 to March 2021 for invasive isolates. These data represent the baseline numbers of infections of interest to which the growth rates obtained from the AMRHAI time series analysis are applied. The analysis of the SGSS data includes patients both within the HVCS and in </w:t>
      </w:r>
      <w:r>
        <w:rPr>
          <w:rFonts w:asciiTheme="majorBidi" w:eastAsia="Calibri" w:hAnsiTheme="majorBidi" w:cstheme="majorBidi"/>
        </w:rPr>
        <w:t>the</w:t>
      </w:r>
      <w:r w:rsidRPr="00327655">
        <w:rPr>
          <w:rFonts w:asciiTheme="majorBidi" w:eastAsia="Calibri" w:hAnsiTheme="majorBidi" w:cstheme="majorBidi"/>
        </w:rPr>
        <w:t xml:space="preserve"> areas of wider expected usage</w:t>
      </w:r>
    </w:p>
    <w:p w14:paraId="37717721" w14:textId="47455751" w:rsidR="00D31AF7" w:rsidRDefault="009A6BE5" w:rsidP="00BD6979">
      <w:pPr>
        <w:spacing w:line="360" w:lineRule="auto"/>
        <w:jc w:val="both"/>
        <w:rPr>
          <w:rFonts w:asciiTheme="majorBidi" w:eastAsia="Calibri" w:hAnsiTheme="majorBidi" w:cstheme="majorBidi"/>
        </w:rPr>
      </w:pPr>
      <w:r>
        <w:rPr>
          <w:rFonts w:asciiTheme="majorBidi" w:eastAsia="Calibri" w:hAnsiTheme="majorBidi" w:cstheme="majorBidi"/>
        </w:rPr>
        <w:t xml:space="preserve">The </w:t>
      </w:r>
      <w:r w:rsidR="007669DF">
        <w:rPr>
          <w:rFonts w:asciiTheme="majorBidi" w:eastAsia="Calibri" w:hAnsiTheme="majorBidi" w:cstheme="majorBidi"/>
        </w:rPr>
        <w:t>AMRHAI</w:t>
      </w:r>
      <w:r>
        <w:rPr>
          <w:rFonts w:asciiTheme="majorBidi" w:eastAsia="Calibri" w:hAnsiTheme="majorBidi" w:cstheme="majorBidi"/>
        </w:rPr>
        <w:t xml:space="preserve"> data was analysed to provide estimates for the network meta-analysis.  </w:t>
      </w:r>
      <w:r w:rsidR="00D31AF7" w:rsidRPr="009F6FA6">
        <w:rPr>
          <w:rFonts w:asciiTheme="majorBidi" w:eastAsia="Calibri" w:hAnsiTheme="majorBidi" w:cstheme="majorBidi"/>
        </w:rPr>
        <w:t xml:space="preserve">Multiple AMs were included in the aminoglycoside group (amikacin, gentamicin, tobramycin) and the cephalosporin group (cefotaxime, ceftazidime, cefepime, cefpirome). Of the fluoroquinolones, there was only evidence for ciprofloxacin. The time-series data only provided data at the group level, for which results for the most resistant individual AM were used. For the isolate data results were available for each individual AM and so the preferred approach of using the most susceptible AM was used. As the time-series data were only used to inform future relative rates of change in susceptibility (not absolute levels of susceptibility) the impact of using the most resistant AM on results is expected to be negligible. For both types of data reporting for </w:t>
      </w:r>
      <w:proofErr w:type="spellStart"/>
      <w:r w:rsidR="00D31AF7" w:rsidRPr="009F6FA6">
        <w:rPr>
          <w:rFonts w:asciiTheme="majorBidi" w:eastAsia="Calibri" w:hAnsiTheme="majorBidi" w:cstheme="majorBidi"/>
        </w:rPr>
        <w:t>fosfomycin</w:t>
      </w:r>
      <w:proofErr w:type="spellEnd"/>
      <w:r w:rsidR="00D31AF7" w:rsidRPr="009F6FA6">
        <w:rPr>
          <w:rFonts w:asciiTheme="majorBidi" w:eastAsia="Calibri" w:hAnsiTheme="majorBidi" w:cstheme="majorBidi"/>
        </w:rPr>
        <w:t xml:space="preserve"> was very low (</w:t>
      </w:r>
      <w:proofErr w:type="gramStart"/>
      <w:r w:rsidR="00D31AF7" w:rsidRPr="009F6FA6">
        <w:rPr>
          <w:rFonts w:asciiTheme="majorBidi" w:eastAsia="Calibri" w:hAnsiTheme="majorBidi" w:cstheme="majorBidi"/>
        </w:rPr>
        <w:t>e.g.</w:t>
      </w:r>
      <w:proofErr w:type="gramEnd"/>
      <w:r w:rsidR="00D31AF7" w:rsidRPr="009F6FA6">
        <w:rPr>
          <w:rFonts w:asciiTheme="majorBidi" w:eastAsia="Calibri" w:hAnsiTheme="majorBidi" w:cstheme="majorBidi"/>
        </w:rPr>
        <w:t xml:space="preserve"> in the isolate-level dataset there were eight isolates with </w:t>
      </w:r>
      <w:proofErr w:type="spellStart"/>
      <w:r w:rsidR="00D31AF7" w:rsidRPr="009F6FA6">
        <w:rPr>
          <w:rFonts w:asciiTheme="majorBidi" w:eastAsia="Calibri" w:hAnsiTheme="majorBidi" w:cstheme="majorBidi"/>
        </w:rPr>
        <w:t>fosfomycin</w:t>
      </w:r>
      <w:proofErr w:type="spellEnd"/>
      <w:r w:rsidR="00D31AF7" w:rsidRPr="009F6FA6">
        <w:rPr>
          <w:rFonts w:asciiTheme="majorBidi" w:eastAsia="Calibri" w:hAnsiTheme="majorBidi" w:cstheme="majorBidi"/>
        </w:rPr>
        <w:t xml:space="preserve"> susceptibility data)</w:t>
      </w:r>
      <w:r w:rsidR="00D31AF7">
        <w:rPr>
          <w:rFonts w:asciiTheme="majorBidi" w:eastAsia="Calibri" w:hAnsiTheme="majorBidi" w:cstheme="majorBidi"/>
        </w:rPr>
        <w:t xml:space="preserve">. There were concerns that this </w:t>
      </w:r>
      <w:proofErr w:type="spellStart"/>
      <w:r w:rsidR="00D31AF7">
        <w:rPr>
          <w:rFonts w:asciiTheme="majorBidi" w:eastAsia="Calibri" w:hAnsiTheme="majorBidi" w:cstheme="majorBidi"/>
        </w:rPr>
        <w:t>fosfomycin</w:t>
      </w:r>
      <w:proofErr w:type="spellEnd"/>
      <w:r w:rsidR="00D31AF7">
        <w:rPr>
          <w:rFonts w:asciiTheme="majorBidi" w:eastAsia="Calibri" w:hAnsiTheme="majorBidi" w:cstheme="majorBidi"/>
        </w:rPr>
        <w:t xml:space="preserve"> data may not be representative (that missing evidence was not at random), so the </w:t>
      </w:r>
      <w:proofErr w:type="spellStart"/>
      <w:r w:rsidR="00D31AF7">
        <w:rPr>
          <w:rFonts w:asciiTheme="majorBidi" w:eastAsia="Calibri" w:hAnsiTheme="majorBidi" w:cstheme="majorBidi"/>
        </w:rPr>
        <w:t>fosfomycin</w:t>
      </w:r>
      <w:proofErr w:type="spellEnd"/>
      <w:r w:rsidR="00D31AF7">
        <w:rPr>
          <w:rFonts w:asciiTheme="majorBidi" w:eastAsia="Calibri" w:hAnsiTheme="majorBidi" w:cstheme="majorBidi"/>
        </w:rPr>
        <w:t xml:space="preserve"> data from PHE was not used further.</w:t>
      </w:r>
    </w:p>
    <w:p w14:paraId="023370E6" w14:textId="53A45996" w:rsidR="00D31AF7" w:rsidRDefault="00D31AF7" w:rsidP="00BD6979">
      <w:pPr>
        <w:spacing w:line="360" w:lineRule="auto"/>
        <w:jc w:val="both"/>
        <w:rPr>
          <w:rFonts w:asciiTheme="majorBidi" w:eastAsia="Calibri" w:hAnsiTheme="majorBidi" w:cstheme="majorBidi"/>
        </w:rPr>
      </w:pPr>
      <w:r w:rsidRPr="00D31AF7">
        <w:rPr>
          <w:rFonts w:asciiTheme="majorBidi" w:eastAsia="Calibri" w:hAnsiTheme="majorBidi" w:cstheme="majorBidi"/>
        </w:rPr>
        <w:t xml:space="preserve">Susceptibility testing was inconsistent across isolates. For example, one isolate may have only been tested for susceptibility to a single isolate, whilst another isolate may have been tested for susceptibility to all relevant comparators. The PHE data included evidence for CAZ-AVI, which is a relatively new AM. To remove any potential confounding by time when comparing the susceptibility of AMs, it was </w:t>
      </w:r>
      <w:r w:rsidRPr="00D31AF7">
        <w:rPr>
          <w:rFonts w:asciiTheme="majorBidi" w:eastAsia="Calibri" w:hAnsiTheme="majorBidi" w:cstheme="majorBidi"/>
        </w:rPr>
        <w:lastRenderedPageBreak/>
        <w:t xml:space="preserve">decided to first restrict the dataset to isolates which had been tested for CAZ-AVI susceptibility. This resulted in 105 isolates, of which 85 had been tested for </w:t>
      </w:r>
      <w:proofErr w:type="gramStart"/>
      <w:r w:rsidRPr="00D31AF7">
        <w:rPr>
          <w:rFonts w:asciiTheme="majorBidi" w:eastAsia="Calibri" w:hAnsiTheme="majorBidi" w:cstheme="majorBidi"/>
        </w:rPr>
        <w:t>all of</w:t>
      </w:r>
      <w:proofErr w:type="gramEnd"/>
      <w:r w:rsidRPr="00D31AF7">
        <w:rPr>
          <w:rFonts w:asciiTheme="majorBidi" w:eastAsia="Calibri" w:hAnsiTheme="majorBidi" w:cstheme="majorBidi"/>
        </w:rPr>
        <w:t xml:space="preserve"> the comparator AMs. Hence, to increase comparability across isolates, analyses of absolute susceptibility and susceptibility groups were restricted to isolates with full testing for all the AMs in the PICO, excluding </w:t>
      </w:r>
      <w:proofErr w:type="spellStart"/>
      <w:r w:rsidRPr="00D31AF7">
        <w:rPr>
          <w:rFonts w:asciiTheme="majorBidi" w:eastAsia="Calibri" w:hAnsiTheme="majorBidi" w:cstheme="majorBidi"/>
        </w:rPr>
        <w:t>fosfomycin</w:t>
      </w:r>
      <w:proofErr w:type="spellEnd"/>
      <w:r w:rsidRPr="00D31AF7">
        <w:rPr>
          <w:rFonts w:asciiTheme="majorBidi" w:eastAsia="Calibri" w:hAnsiTheme="majorBidi" w:cstheme="majorBidi"/>
        </w:rPr>
        <w:t xml:space="preserve"> (due to the paucity of reported tests for this AM). This included testing for each of the individual AMs amongst the aminoglycosides and the cephalosporins.</w:t>
      </w:r>
    </w:p>
    <w:p w14:paraId="0A7ECF7F" w14:textId="77777777" w:rsidR="00D31AF7" w:rsidRPr="009F6FA6" w:rsidRDefault="00D31AF7" w:rsidP="00BD6979">
      <w:pPr>
        <w:spacing w:line="360" w:lineRule="auto"/>
        <w:jc w:val="both"/>
        <w:rPr>
          <w:rFonts w:asciiTheme="majorBidi" w:eastAsia="Calibri" w:hAnsiTheme="majorBidi" w:cstheme="majorBidi"/>
        </w:rPr>
      </w:pPr>
      <w:proofErr w:type="gramStart"/>
      <w:r w:rsidRPr="009F6FA6">
        <w:rPr>
          <w:rFonts w:asciiTheme="majorBidi" w:eastAsia="Calibri" w:hAnsiTheme="majorBidi" w:cstheme="majorBidi"/>
        </w:rPr>
        <w:t>All of</w:t>
      </w:r>
      <w:proofErr w:type="gramEnd"/>
      <w:r w:rsidRPr="009F6FA6">
        <w:rPr>
          <w:rFonts w:asciiTheme="majorBidi" w:eastAsia="Calibri" w:hAnsiTheme="majorBidi" w:cstheme="majorBidi"/>
        </w:rPr>
        <w:t xml:space="preserve"> the supplied data were for invasive infections only, and there was no de-duplication. In the entire dataset were 21 isolates with co-carriage of OXA-48 and an MBL. It was not possible to identify isolates with co-carriage in the analysis</w:t>
      </w:r>
      <w:r>
        <w:rPr>
          <w:rFonts w:asciiTheme="majorBidi" w:eastAsia="Calibri" w:hAnsiTheme="majorBidi" w:cstheme="majorBidi"/>
        </w:rPr>
        <w:t>, so there was no removal of these</w:t>
      </w:r>
      <w:r w:rsidRPr="009F6FA6">
        <w:rPr>
          <w:rFonts w:asciiTheme="majorBidi" w:eastAsia="Calibri" w:hAnsiTheme="majorBidi" w:cstheme="majorBidi"/>
        </w:rPr>
        <w:t>.</w:t>
      </w:r>
    </w:p>
    <w:p w14:paraId="206A6271" w14:textId="77777777" w:rsidR="00D31AF7" w:rsidRPr="009F6FA6" w:rsidRDefault="00D31AF7" w:rsidP="00BD6979">
      <w:pPr>
        <w:spacing w:line="360" w:lineRule="auto"/>
        <w:jc w:val="both"/>
        <w:rPr>
          <w:rFonts w:asciiTheme="majorBidi" w:eastAsia="Calibri" w:hAnsiTheme="majorBidi" w:cstheme="majorBidi"/>
        </w:rPr>
      </w:pPr>
    </w:p>
    <w:p w14:paraId="1B9A3A1A" w14:textId="39A47C57" w:rsidR="009F01D8" w:rsidRPr="00E052E9" w:rsidRDefault="009F01D8" w:rsidP="00C03BFF">
      <w:pPr>
        <w:pStyle w:val="Heading2"/>
        <w:ind w:left="720" w:hanging="720"/>
        <w:jc w:val="both"/>
        <w:rPr>
          <w:b w:val="0"/>
          <w:bCs w:val="0"/>
          <w:sz w:val="32"/>
          <w:szCs w:val="32"/>
        </w:rPr>
      </w:pPr>
      <w:r>
        <w:br w:type="page"/>
      </w:r>
      <w:bookmarkStart w:id="618" w:name="_Ref82437818"/>
      <w:bookmarkStart w:id="619" w:name="_Toc87463082"/>
      <w:bookmarkStart w:id="620" w:name="_Hlk85404334"/>
      <w:r w:rsidRPr="00E052E9">
        <w:rPr>
          <w:sz w:val="32"/>
          <w:szCs w:val="32"/>
        </w:rPr>
        <w:lastRenderedPageBreak/>
        <w:t xml:space="preserve">Appendix </w:t>
      </w:r>
      <w:bookmarkEnd w:id="607"/>
      <w:r w:rsidRPr="00E052E9">
        <w:rPr>
          <w:sz w:val="32"/>
          <w:szCs w:val="32"/>
        </w:rPr>
        <w:t>3</w:t>
      </w:r>
      <w:bookmarkEnd w:id="618"/>
      <w:r w:rsidRPr="00E052E9">
        <w:rPr>
          <w:sz w:val="32"/>
          <w:szCs w:val="32"/>
        </w:rPr>
        <w:t>: Data extraction fields</w:t>
      </w:r>
      <w:bookmarkEnd w:id="619"/>
    </w:p>
    <w:p w14:paraId="06B3A7A1"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Data extraction fields</w:t>
      </w:r>
      <w:bookmarkEnd w:id="608"/>
    </w:p>
    <w:p w14:paraId="35328299" w14:textId="77777777" w:rsidR="009F01D8" w:rsidRPr="009F6FA6" w:rsidRDefault="009F01D8" w:rsidP="009F01D8">
      <w:pPr>
        <w:jc w:val="both"/>
        <w:rPr>
          <w:rFonts w:asciiTheme="majorBidi" w:hAnsiTheme="majorBidi" w:cstheme="majorBidi"/>
          <w:u w:val="single"/>
        </w:rPr>
      </w:pPr>
      <w:r w:rsidRPr="009F6FA6">
        <w:rPr>
          <w:rFonts w:asciiTheme="majorBidi" w:hAnsiTheme="majorBidi" w:cstheme="majorBidi"/>
          <w:u w:val="single"/>
        </w:rPr>
        <w:t>RCTs and Observational studies</w:t>
      </w:r>
    </w:p>
    <w:p w14:paraId="6DC90521" w14:textId="77777777" w:rsidR="009F01D8" w:rsidRPr="009F6FA6" w:rsidRDefault="009F01D8" w:rsidP="009F01D8">
      <w:pPr>
        <w:spacing w:after="0"/>
        <w:jc w:val="both"/>
        <w:rPr>
          <w:rFonts w:asciiTheme="majorBidi" w:hAnsiTheme="majorBidi" w:cstheme="majorBidi"/>
          <w:b/>
          <w:bCs/>
        </w:rPr>
        <w:sectPr w:rsidR="009F01D8" w:rsidRPr="009F6FA6" w:rsidSect="00D76748">
          <w:pgSz w:w="11906" w:h="16838"/>
          <w:pgMar w:top="1440" w:right="1440" w:bottom="1440" w:left="1440" w:header="709" w:footer="709" w:gutter="0"/>
          <w:cols w:space="720"/>
        </w:sectPr>
      </w:pPr>
    </w:p>
    <w:p w14:paraId="53D6A781"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Study details</w:t>
      </w:r>
    </w:p>
    <w:p w14:paraId="6CE4E04B"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Author (date) Acronym</w:t>
      </w:r>
    </w:p>
    <w:p w14:paraId="237D94AF"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Limitations (factors that may limit relevance to project research questions)</w:t>
      </w:r>
    </w:p>
    <w:p w14:paraId="23BDC5BB"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Study design</w:t>
      </w:r>
    </w:p>
    <w:p w14:paraId="42576DB3"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Study objectives</w:t>
      </w:r>
    </w:p>
    <w:p w14:paraId="2F1852E8"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Study design</w:t>
      </w:r>
    </w:p>
    <w:p w14:paraId="533150D1"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 xml:space="preserve">Country </w:t>
      </w:r>
    </w:p>
    <w:p w14:paraId="25F64728"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Date of recruitment</w:t>
      </w:r>
    </w:p>
    <w:p w14:paraId="74148C37"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Intervention</w:t>
      </w:r>
    </w:p>
    <w:p w14:paraId="53540D25"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Comparator</w:t>
      </w:r>
    </w:p>
    <w:p w14:paraId="5A892553"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Study design: population recruitment</w:t>
      </w:r>
    </w:p>
    <w:p w14:paraId="5A69B5AC"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Site of infection (and outcome data available by site or pathogen)</w:t>
      </w:r>
    </w:p>
    <w:p w14:paraId="246B5D21"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Inclusion criteria</w:t>
      </w:r>
    </w:p>
    <w:p w14:paraId="45E08611"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Exclusion criteria</w:t>
      </w:r>
    </w:p>
    <w:p w14:paraId="5184142A"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Pathogen(s) - what pathogens were eligible for inclusion. What pathogens were included</w:t>
      </w:r>
    </w:p>
    <w:p w14:paraId="53066EDE"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Mechanism(s) - what mechanisms were eligible for inclusion. What mechanisms were reported. How diagnosed</w:t>
      </w:r>
    </w:p>
    <w:p w14:paraId="38D80BCC"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Any subgroups reported</w:t>
      </w:r>
    </w:p>
    <w:p w14:paraId="53496015"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Empiric or MD treatment in the study</w:t>
      </w:r>
    </w:p>
    <w:p w14:paraId="40F7F0B4"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Line of treatment</w:t>
      </w:r>
    </w:p>
    <w:p w14:paraId="02D9F286"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Patient characteristics</w:t>
      </w:r>
    </w:p>
    <w:p w14:paraId="7E39BCF1"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Patients randomised / included</w:t>
      </w:r>
    </w:p>
    <w:p w14:paraId="08126796"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Outcomes</w:t>
      </w:r>
    </w:p>
    <w:p w14:paraId="451C9D9D"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Co-morbidities</w:t>
      </w:r>
    </w:p>
    <w:p w14:paraId="75D76BBF"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Primary outcomes</w:t>
      </w:r>
    </w:p>
    <w:p w14:paraId="644D64D0"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Secondary outcomes</w:t>
      </w:r>
    </w:p>
    <w:p w14:paraId="08216518"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Adverse events</w:t>
      </w:r>
    </w:p>
    <w:p w14:paraId="043001EB"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Susceptibility outcomes</w:t>
      </w:r>
    </w:p>
    <w:p w14:paraId="40C650B0"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Susceptibility population number of isolates</w:t>
      </w:r>
    </w:p>
    <w:p w14:paraId="1312523F"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Susceptibility data</w:t>
      </w:r>
    </w:p>
    <w:p w14:paraId="40E9FA5A"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Susceptibility treatments tested</w:t>
      </w:r>
    </w:p>
    <w:p w14:paraId="6B3622C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b/>
          <w:bCs/>
        </w:rPr>
        <w:t>Resistance outcomes</w:t>
      </w:r>
    </w:p>
    <w:p w14:paraId="16E08B67" w14:textId="77777777" w:rsidR="009F01D8" w:rsidRPr="009F6FA6" w:rsidRDefault="009F01D8" w:rsidP="005A3BE6">
      <w:pPr>
        <w:pStyle w:val="ListParagraph"/>
        <w:numPr>
          <w:ilvl w:val="0"/>
          <w:numId w:val="74"/>
        </w:numPr>
        <w:spacing w:line="256" w:lineRule="auto"/>
        <w:jc w:val="both"/>
        <w:rPr>
          <w:rFonts w:asciiTheme="majorBidi" w:hAnsiTheme="majorBidi" w:cstheme="majorBidi"/>
        </w:rPr>
      </w:pPr>
      <w:r w:rsidRPr="009F6FA6">
        <w:rPr>
          <w:rFonts w:asciiTheme="majorBidi" w:hAnsiTheme="majorBidi" w:cstheme="majorBidi"/>
        </w:rPr>
        <w:t>Data unique to susceptibility</w:t>
      </w:r>
    </w:p>
    <w:p w14:paraId="3F50ABEF" w14:textId="77777777" w:rsidR="009F01D8" w:rsidRPr="009F6FA6" w:rsidRDefault="009F01D8" w:rsidP="009F01D8">
      <w:pPr>
        <w:jc w:val="both"/>
        <w:rPr>
          <w:rFonts w:asciiTheme="majorBidi" w:hAnsiTheme="majorBidi" w:cstheme="majorBidi"/>
        </w:rPr>
      </w:pPr>
    </w:p>
    <w:p w14:paraId="14E0CE89" w14:textId="77777777" w:rsidR="009F01D8" w:rsidRPr="009F6FA6" w:rsidRDefault="009F01D8" w:rsidP="009F01D8">
      <w:pPr>
        <w:spacing w:after="0"/>
        <w:jc w:val="both"/>
        <w:rPr>
          <w:rFonts w:asciiTheme="majorBidi" w:hAnsiTheme="majorBidi" w:cstheme="majorBidi"/>
        </w:rPr>
        <w:sectPr w:rsidR="009F01D8" w:rsidRPr="009F6FA6">
          <w:type w:val="continuous"/>
          <w:pgSz w:w="11906" w:h="16838"/>
          <w:pgMar w:top="1440" w:right="1440" w:bottom="1440" w:left="1440" w:header="708" w:footer="708" w:gutter="0"/>
          <w:cols w:num="2" w:space="708"/>
        </w:sectPr>
      </w:pPr>
    </w:p>
    <w:p w14:paraId="0F602807" w14:textId="4805EC34" w:rsidR="009F01D8" w:rsidRDefault="009F01D8" w:rsidP="009F01D8">
      <w:pPr>
        <w:jc w:val="both"/>
        <w:rPr>
          <w:rFonts w:asciiTheme="majorBidi" w:hAnsiTheme="majorBidi" w:cstheme="majorBidi"/>
        </w:rPr>
      </w:pPr>
    </w:p>
    <w:p w14:paraId="76EC483E" w14:textId="77777777" w:rsidR="009F01D8" w:rsidRPr="009F6FA6" w:rsidRDefault="009F01D8" w:rsidP="009F01D8">
      <w:pPr>
        <w:jc w:val="both"/>
        <w:rPr>
          <w:rFonts w:asciiTheme="majorBidi" w:hAnsiTheme="majorBidi" w:cstheme="majorBidi"/>
          <w:u w:val="single"/>
        </w:rPr>
      </w:pPr>
      <w:r w:rsidRPr="009F6FA6">
        <w:rPr>
          <w:rFonts w:asciiTheme="majorBidi" w:hAnsiTheme="majorBidi" w:cstheme="majorBidi"/>
          <w:u w:val="single"/>
        </w:rPr>
        <w:t>Caz-</w:t>
      </w:r>
      <w:proofErr w:type="spellStart"/>
      <w:r w:rsidRPr="009F6FA6">
        <w:rPr>
          <w:rFonts w:asciiTheme="majorBidi" w:hAnsiTheme="majorBidi" w:cstheme="majorBidi"/>
          <w:u w:val="single"/>
        </w:rPr>
        <w:t>avi</w:t>
      </w:r>
      <w:proofErr w:type="spellEnd"/>
      <w:r w:rsidRPr="009F6FA6">
        <w:rPr>
          <w:rFonts w:asciiTheme="majorBidi" w:hAnsiTheme="majorBidi" w:cstheme="majorBidi"/>
          <w:u w:val="single"/>
        </w:rPr>
        <w:t xml:space="preserve"> susceptibility data</w:t>
      </w:r>
    </w:p>
    <w:p w14:paraId="4613078C"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Study details</w:t>
      </w:r>
    </w:p>
    <w:p w14:paraId="63155C2D"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Author (date) Acronym</w:t>
      </w:r>
    </w:p>
    <w:p w14:paraId="457E0DC7"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Funding</w:t>
      </w:r>
    </w:p>
    <w:p w14:paraId="0FE3668F"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Country</w:t>
      </w:r>
    </w:p>
    <w:p w14:paraId="21E23892"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Start date</w:t>
      </w:r>
    </w:p>
    <w:p w14:paraId="7EA0EA7D"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End date</w:t>
      </w:r>
    </w:p>
    <w:p w14:paraId="7E50B91D"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Recruitment</w:t>
      </w:r>
    </w:p>
    <w:p w14:paraId="79DA898A"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Recruitment (Consecutive or Multi-site, single-site, outbreak organism(s))</w:t>
      </w:r>
    </w:p>
    <w:p w14:paraId="4FDB64A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Definition of selection criteria</w:t>
      </w:r>
    </w:p>
    <w:p w14:paraId="2EB11557"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 xml:space="preserve">% </w:t>
      </w:r>
      <w:proofErr w:type="gramStart"/>
      <w:r w:rsidRPr="009F6FA6">
        <w:rPr>
          <w:rFonts w:asciiTheme="majorBidi" w:hAnsiTheme="majorBidi" w:cstheme="majorBidi"/>
        </w:rPr>
        <w:t>meropenem</w:t>
      </w:r>
      <w:proofErr w:type="gramEnd"/>
      <w:r w:rsidRPr="009F6FA6">
        <w:rPr>
          <w:rFonts w:asciiTheme="majorBidi" w:hAnsiTheme="majorBidi" w:cstheme="majorBidi"/>
        </w:rPr>
        <w:t xml:space="preserve"> resistant</w:t>
      </w:r>
    </w:p>
    <w:p w14:paraId="5A8C66B2"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 xml:space="preserve">% </w:t>
      </w:r>
      <w:proofErr w:type="gramStart"/>
      <w:r w:rsidRPr="009F6FA6">
        <w:rPr>
          <w:rFonts w:asciiTheme="majorBidi" w:hAnsiTheme="majorBidi" w:cstheme="majorBidi"/>
        </w:rPr>
        <w:t>meropenem</w:t>
      </w:r>
      <w:proofErr w:type="gramEnd"/>
      <w:r w:rsidRPr="009F6FA6">
        <w:rPr>
          <w:rFonts w:asciiTheme="majorBidi" w:hAnsiTheme="majorBidi" w:cstheme="majorBidi"/>
        </w:rPr>
        <w:t xml:space="preserve"> non-susceptible; if not meropenem, imipenem data</w:t>
      </w:r>
    </w:p>
    <w:p w14:paraId="574CAE6D" w14:textId="77777777" w:rsidR="009F01D8" w:rsidRPr="009F6FA6" w:rsidRDefault="009F01D8" w:rsidP="009F01D8">
      <w:pPr>
        <w:keepNext/>
        <w:jc w:val="both"/>
        <w:rPr>
          <w:rFonts w:asciiTheme="majorBidi" w:hAnsiTheme="majorBidi" w:cstheme="majorBidi"/>
          <w:b/>
          <w:bCs/>
        </w:rPr>
      </w:pPr>
      <w:r w:rsidRPr="009F6FA6">
        <w:rPr>
          <w:rFonts w:asciiTheme="majorBidi" w:hAnsiTheme="majorBidi" w:cstheme="majorBidi"/>
          <w:b/>
          <w:bCs/>
        </w:rPr>
        <w:t>Mechanisms</w:t>
      </w:r>
    </w:p>
    <w:p w14:paraId="33CC7DCA"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OXA-48 CPE N</w:t>
      </w:r>
    </w:p>
    <w:p w14:paraId="47028154"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OXA-48-like CPE N</w:t>
      </w:r>
    </w:p>
    <w:p w14:paraId="46285047"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unclear if oxa-48 or oxa-48-like</w:t>
      </w:r>
    </w:p>
    <w:p w14:paraId="139C88B1"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MBL+ OXA-48 co-carriage?</w:t>
      </w:r>
    </w:p>
    <w:p w14:paraId="77349A0E"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n/N (%) co-carriage</w:t>
      </w:r>
    </w:p>
    <w:p w14:paraId="38070E49"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 xml:space="preserve">MIC methodology </w:t>
      </w:r>
    </w:p>
    <w:p w14:paraId="01BBE27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Breakpoint</w:t>
      </w:r>
    </w:p>
    <w:p w14:paraId="1FEB777A"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Estimated by reviewer</w:t>
      </w:r>
    </w:p>
    <w:p w14:paraId="2753360D"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Same method and breakpoint</w:t>
      </w:r>
    </w:p>
    <w:p w14:paraId="3E4D5A14"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Pros</w:t>
      </w:r>
    </w:p>
    <w:p w14:paraId="38858470"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Cons</w:t>
      </w:r>
    </w:p>
    <w:p w14:paraId="753687FD"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Contingent data</w:t>
      </w:r>
    </w:p>
    <w:p w14:paraId="480BE3CE"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CAZ-AVI</w:t>
      </w:r>
    </w:p>
    <w:p w14:paraId="0B2F2916" w14:textId="77777777" w:rsidR="009F01D8" w:rsidRPr="009F6FA6" w:rsidRDefault="009F01D8" w:rsidP="009F01D8">
      <w:pPr>
        <w:keepNext/>
        <w:jc w:val="both"/>
        <w:rPr>
          <w:rFonts w:asciiTheme="majorBidi" w:hAnsiTheme="majorBidi" w:cstheme="majorBidi"/>
          <w:b/>
          <w:bCs/>
        </w:rPr>
      </w:pPr>
      <w:r w:rsidRPr="009F6FA6">
        <w:rPr>
          <w:rFonts w:asciiTheme="majorBidi" w:hAnsiTheme="majorBidi" w:cstheme="majorBidi"/>
          <w:b/>
          <w:bCs/>
        </w:rPr>
        <w:t>Monotherapies tested (later expanded to include susceptibility data)</w:t>
      </w:r>
    </w:p>
    <w:p w14:paraId="2B47DCE7"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Colistin</w:t>
      </w:r>
    </w:p>
    <w:p w14:paraId="7EF24E53"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proofErr w:type="spellStart"/>
      <w:r w:rsidRPr="009F6FA6">
        <w:rPr>
          <w:rFonts w:asciiTheme="majorBidi" w:hAnsiTheme="majorBidi" w:cstheme="majorBidi"/>
        </w:rPr>
        <w:t>Meropenam</w:t>
      </w:r>
      <w:proofErr w:type="spellEnd"/>
    </w:p>
    <w:p w14:paraId="30B3C023"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Tigecycline</w:t>
      </w:r>
    </w:p>
    <w:p w14:paraId="7ADECD7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Aztreonam</w:t>
      </w:r>
    </w:p>
    <w:p w14:paraId="507D246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Fosfomycin</w:t>
      </w:r>
    </w:p>
    <w:p w14:paraId="6BEA32B2"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Levofloxacin</w:t>
      </w:r>
    </w:p>
    <w:p w14:paraId="12A7C81C"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Ciprofloxacin</w:t>
      </w:r>
    </w:p>
    <w:p w14:paraId="49B48DF2"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Gentamicin</w:t>
      </w:r>
    </w:p>
    <w:p w14:paraId="2EB66A7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Amikacin</w:t>
      </w:r>
    </w:p>
    <w:p w14:paraId="271EF9C6"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Tobramycin</w:t>
      </w:r>
    </w:p>
    <w:p w14:paraId="6A60F0A7"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Ceftriaxone</w:t>
      </w:r>
    </w:p>
    <w:p w14:paraId="23FD1AB3"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Cefepime</w:t>
      </w:r>
    </w:p>
    <w:p w14:paraId="6491BEFE"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Ceftazidime</w:t>
      </w:r>
    </w:p>
    <w:p w14:paraId="4659064B" w14:textId="77777777" w:rsidR="009F01D8" w:rsidRPr="009F6FA6" w:rsidRDefault="009F01D8" w:rsidP="005A3BE6">
      <w:pPr>
        <w:pStyle w:val="ListParagraph"/>
        <w:numPr>
          <w:ilvl w:val="0"/>
          <w:numId w:val="75"/>
        </w:numPr>
        <w:spacing w:line="256" w:lineRule="auto"/>
        <w:jc w:val="both"/>
        <w:rPr>
          <w:rFonts w:asciiTheme="majorBidi" w:hAnsiTheme="majorBidi" w:cstheme="majorBidi"/>
        </w:rPr>
      </w:pPr>
      <w:r w:rsidRPr="009F6FA6">
        <w:rPr>
          <w:rFonts w:asciiTheme="majorBidi" w:hAnsiTheme="majorBidi" w:cstheme="majorBidi"/>
        </w:rPr>
        <w:t>Number of comparators</w:t>
      </w:r>
    </w:p>
    <w:bookmarkEnd w:id="620"/>
    <w:p w14:paraId="605333ED" w14:textId="77777777" w:rsidR="009F01D8" w:rsidRDefault="009F01D8" w:rsidP="009F01D8">
      <w:pPr>
        <w:jc w:val="both"/>
        <w:rPr>
          <w:i/>
          <w:iCs/>
        </w:rPr>
      </w:pPr>
      <w:r>
        <w:rPr>
          <w:i/>
          <w:iCs/>
        </w:rPr>
        <w:br w:type="page"/>
      </w:r>
    </w:p>
    <w:p w14:paraId="72FBEC47" w14:textId="77777777" w:rsidR="009F01D8" w:rsidRDefault="009F01D8" w:rsidP="009F01D8">
      <w:pPr>
        <w:spacing w:line="360" w:lineRule="auto"/>
        <w:jc w:val="both"/>
        <w:rPr>
          <w:i/>
          <w:iCs/>
        </w:rPr>
      </w:pPr>
    </w:p>
    <w:p w14:paraId="45A4502F" w14:textId="77777777" w:rsidR="009F01D8" w:rsidRPr="002E4F02" w:rsidRDefault="009F01D8" w:rsidP="009F01D8">
      <w:pPr>
        <w:pStyle w:val="Heading2"/>
        <w:ind w:left="720" w:hanging="720"/>
        <w:jc w:val="both"/>
        <w:rPr>
          <w:sz w:val="32"/>
          <w:szCs w:val="32"/>
        </w:rPr>
      </w:pPr>
      <w:bookmarkStart w:id="621" w:name="_Ref82649277"/>
      <w:bookmarkStart w:id="622" w:name="_Toc87463083"/>
      <w:bookmarkStart w:id="623" w:name="_Hlk85404462"/>
      <w:r w:rsidRPr="002E4F02">
        <w:rPr>
          <w:sz w:val="32"/>
          <w:szCs w:val="32"/>
        </w:rPr>
        <w:t>Appendix 4</w:t>
      </w:r>
      <w:bookmarkEnd w:id="621"/>
      <w:r w:rsidRPr="002E4F02">
        <w:rPr>
          <w:sz w:val="32"/>
          <w:szCs w:val="32"/>
        </w:rPr>
        <w:t>: Risk of bias assessment tool and scores</w:t>
      </w:r>
      <w:bookmarkEnd w:id="622"/>
    </w:p>
    <w:p w14:paraId="4BA50699" w14:textId="2F6FD33A" w:rsidR="009F01D8" w:rsidRPr="002E4F02" w:rsidRDefault="002E4F02" w:rsidP="009F01D8">
      <w:pPr>
        <w:pStyle w:val="Heading3"/>
        <w:ind w:left="360"/>
        <w:rPr>
          <w:rFonts w:asciiTheme="majorBidi" w:hAnsiTheme="majorBidi"/>
          <w:sz w:val="26"/>
          <w:szCs w:val="26"/>
        </w:rPr>
      </w:pPr>
      <w:r>
        <w:rPr>
          <w:rFonts w:asciiTheme="majorBidi" w:hAnsiTheme="majorBidi"/>
          <w:sz w:val="26"/>
          <w:szCs w:val="26"/>
        </w:rPr>
        <w:tab/>
      </w:r>
      <w:bookmarkStart w:id="624" w:name="_Toc87463084"/>
      <w:r w:rsidR="009F01D8" w:rsidRPr="002E4F02">
        <w:rPr>
          <w:rFonts w:asciiTheme="majorBidi" w:hAnsiTheme="majorBidi"/>
          <w:sz w:val="26"/>
          <w:szCs w:val="26"/>
        </w:rPr>
        <w:t>A4.1 The bespoke risk of bias assessment tool</w:t>
      </w:r>
      <w:bookmarkEnd w:id="624"/>
    </w:p>
    <w:p w14:paraId="14FAE829" w14:textId="784AA50F" w:rsidR="009F01D8" w:rsidRPr="009F6FA6" w:rsidRDefault="009F01D8" w:rsidP="009F01D8">
      <w:pPr>
        <w:pStyle w:val="Caption"/>
        <w:jc w:val="both"/>
        <w:rPr>
          <w:rFonts w:asciiTheme="majorBidi" w:hAnsiTheme="majorBidi" w:cstheme="majorBidi"/>
          <w:b/>
          <w:bCs/>
          <w:i w:val="0"/>
          <w:iCs w:val="0"/>
          <w:sz w:val="20"/>
          <w:szCs w:val="20"/>
        </w:rPr>
      </w:pPr>
      <w:bookmarkStart w:id="625" w:name="_Toc86419026"/>
      <w:r w:rsidRPr="009F6FA6">
        <w:rPr>
          <w:rFonts w:asciiTheme="majorBidi" w:hAnsiTheme="majorBidi" w:cstheme="majorBidi"/>
          <w:b/>
          <w:bCs/>
          <w:i w:val="0"/>
          <w:iCs w:val="0"/>
          <w:sz w:val="20"/>
          <w:szCs w:val="20"/>
        </w:rPr>
        <w:t xml:space="preserve">Table </w:t>
      </w:r>
      <w:r w:rsidR="00F10F0A">
        <w:rPr>
          <w:rFonts w:asciiTheme="majorBidi" w:hAnsiTheme="majorBidi" w:cstheme="majorBidi"/>
          <w:b/>
          <w:bCs/>
          <w:i w:val="0"/>
          <w:iCs w:val="0"/>
          <w:noProof/>
          <w:sz w:val="20"/>
          <w:szCs w:val="20"/>
        </w:rPr>
        <w:t>49</w:t>
      </w:r>
      <w:r w:rsidRPr="009F6FA6">
        <w:rPr>
          <w:rFonts w:asciiTheme="majorBidi" w:hAnsiTheme="majorBidi" w:cstheme="majorBidi"/>
          <w:b/>
          <w:bCs/>
          <w:i w:val="0"/>
          <w:iCs w:val="0"/>
          <w:sz w:val="20"/>
          <w:szCs w:val="20"/>
        </w:rPr>
        <w:tab/>
        <w:t>Bespoke risk of bias assessment tool for in vitro susceptibility studies.</w:t>
      </w:r>
      <w:bookmarkEnd w:id="625"/>
    </w:p>
    <w:tbl>
      <w:tblPr>
        <w:tblStyle w:val="TableGrid"/>
        <w:tblW w:w="5000" w:type="pct"/>
        <w:tblLook w:val="04A0" w:firstRow="1" w:lastRow="0" w:firstColumn="1" w:lastColumn="0" w:noHBand="0" w:noVBand="1"/>
      </w:tblPr>
      <w:tblGrid>
        <w:gridCol w:w="6517"/>
        <w:gridCol w:w="2499"/>
      </w:tblGrid>
      <w:tr w:rsidR="009F01D8" w:rsidRPr="009F6FA6" w14:paraId="177FE475" w14:textId="77777777" w:rsidTr="009F01D8">
        <w:tc>
          <w:tcPr>
            <w:tcW w:w="3614" w:type="pct"/>
          </w:tcPr>
          <w:p w14:paraId="78A938CB"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 xml:space="preserve">Questions </w:t>
            </w:r>
          </w:p>
        </w:tc>
        <w:tc>
          <w:tcPr>
            <w:tcW w:w="1386" w:type="pct"/>
          </w:tcPr>
          <w:p w14:paraId="0EF4C407"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 xml:space="preserve">Score </w:t>
            </w:r>
          </w:p>
          <w:p w14:paraId="5F10F2D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Low risk</w:t>
            </w:r>
          </w:p>
          <w:p w14:paraId="2840378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 risk</w:t>
            </w:r>
          </w:p>
          <w:p w14:paraId="42A0378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High risk</w:t>
            </w:r>
          </w:p>
        </w:tc>
      </w:tr>
      <w:tr w:rsidR="009F01D8" w:rsidRPr="009F6FA6" w14:paraId="4C0BEA43" w14:textId="77777777" w:rsidTr="009F01D8">
        <w:trPr>
          <w:trHeight w:val="321"/>
        </w:trPr>
        <w:tc>
          <w:tcPr>
            <w:tcW w:w="3614" w:type="pct"/>
            <w:shd w:val="clear" w:color="auto" w:fill="BFBFBF" w:themeFill="background1" w:themeFillShade="BF"/>
          </w:tcPr>
          <w:p w14:paraId="206C13E1" w14:textId="77777777" w:rsidR="009F01D8" w:rsidRPr="009F6FA6" w:rsidRDefault="009F01D8" w:rsidP="005A3BE6">
            <w:pPr>
              <w:pStyle w:val="ListParagraph"/>
              <w:numPr>
                <w:ilvl w:val="0"/>
                <w:numId w:val="69"/>
              </w:numPr>
              <w:jc w:val="both"/>
              <w:rPr>
                <w:rFonts w:asciiTheme="majorBidi" w:hAnsiTheme="majorBidi" w:cstheme="majorBidi"/>
                <w:b/>
                <w:bCs/>
              </w:rPr>
            </w:pPr>
            <w:r w:rsidRPr="009F6FA6">
              <w:rPr>
                <w:rFonts w:asciiTheme="majorBidi" w:hAnsiTheme="majorBidi" w:cstheme="majorBidi"/>
                <w:b/>
                <w:bCs/>
              </w:rPr>
              <w:t xml:space="preserve">Target population </w:t>
            </w:r>
          </w:p>
        </w:tc>
        <w:tc>
          <w:tcPr>
            <w:tcW w:w="1386" w:type="pct"/>
            <w:shd w:val="clear" w:color="auto" w:fill="BFBFBF" w:themeFill="background1" w:themeFillShade="BF"/>
          </w:tcPr>
          <w:p w14:paraId="6D435B21" w14:textId="77777777" w:rsidR="009F01D8" w:rsidRPr="009F6FA6" w:rsidRDefault="009F01D8" w:rsidP="009F01D8">
            <w:pPr>
              <w:jc w:val="both"/>
              <w:rPr>
                <w:rFonts w:asciiTheme="majorBidi" w:hAnsiTheme="majorBidi" w:cstheme="majorBidi"/>
              </w:rPr>
            </w:pPr>
          </w:p>
        </w:tc>
      </w:tr>
      <w:tr w:rsidR="009F01D8" w:rsidRPr="009F6FA6" w14:paraId="511D3E84" w14:textId="77777777" w:rsidTr="009F01D8">
        <w:tc>
          <w:tcPr>
            <w:tcW w:w="3614" w:type="pct"/>
          </w:tcPr>
          <w:p w14:paraId="0026EE2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Is the target population of the study broadly appropriate to the HVCS? Consider:</w:t>
            </w:r>
          </w:p>
          <w:p w14:paraId="7089F6AC" w14:textId="77777777" w:rsidR="009F01D8" w:rsidRPr="009F6FA6" w:rsidRDefault="009F01D8" w:rsidP="005A3BE6">
            <w:pPr>
              <w:pStyle w:val="ListParagraph"/>
              <w:numPr>
                <w:ilvl w:val="0"/>
                <w:numId w:val="64"/>
              </w:numPr>
              <w:jc w:val="both"/>
              <w:rPr>
                <w:rFonts w:asciiTheme="majorBidi" w:hAnsiTheme="majorBidi" w:cstheme="majorBidi"/>
              </w:rPr>
            </w:pPr>
            <w:r w:rsidRPr="009F6FA6">
              <w:rPr>
                <w:rFonts w:asciiTheme="majorBidi" w:hAnsiTheme="majorBidi" w:cstheme="majorBidi"/>
              </w:rPr>
              <w:t>Location – in our case, UK based or country with high levels of travel to UK (Europe, India, Asia, Middle East, North America, Australia, Africa)</w:t>
            </w:r>
          </w:p>
          <w:p w14:paraId="77C91566" w14:textId="77777777" w:rsidR="009F01D8" w:rsidRPr="009F6FA6" w:rsidRDefault="009F01D8" w:rsidP="005A3BE6">
            <w:pPr>
              <w:pStyle w:val="ListParagraph"/>
              <w:numPr>
                <w:ilvl w:val="0"/>
                <w:numId w:val="64"/>
              </w:numPr>
              <w:jc w:val="both"/>
              <w:rPr>
                <w:rFonts w:asciiTheme="majorBidi" w:hAnsiTheme="majorBidi" w:cstheme="majorBidi"/>
              </w:rPr>
            </w:pPr>
            <w:r w:rsidRPr="009F6FA6">
              <w:rPr>
                <w:rFonts w:asciiTheme="majorBidi" w:hAnsiTheme="majorBidi" w:cstheme="majorBidi"/>
              </w:rPr>
              <w:t xml:space="preserve">Not based on outbreak samples, or an over-representation of outbreak samples, unless this is the HVCS. </w:t>
            </w:r>
          </w:p>
          <w:p w14:paraId="7846EE73" w14:textId="77777777" w:rsidR="009F01D8" w:rsidRPr="009F6FA6" w:rsidRDefault="009F01D8" w:rsidP="009F01D8">
            <w:pPr>
              <w:jc w:val="both"/>
              <w:rPr>
                <w:rFonts w:asciiTheme="majorBidi" w:hAnsiTheme="majorBidi" w:cstheme="majorBidi"/>
              </w:rPr>
            </w:pPr>
          </w:p>
        </w:tc>
        <w:tc>
          <w:tcPr>
            <w:tcW w:w="1386" w:type="pct"/>
          </w:tcPr>
          <w:p w14:paraId="5436B07B" w14:textId="77777777" w:rsidR="009F01D8" w:rsidRPr="009F6FA6" w:rsidRDefault="009F01D8" w:rsidP="009F01D8">
            <w:pPr>
              <w:jc w:val="both"/>
              <w:rPr>
                <w:rFonts w:asciiTheme="majorBidi" w:hAnsiTheme="majorBidi" w:cstheme="majorBidi"/>
              </w:rPr>
            </w:pPr>
          </w:p>
        </w:tc>
      </w:tr>
      <w:tr w:rsidR="009F01D8" w:rsidRPr="009F6FA6" w14:paraId="7BF49992" w14:textId="77777777" w:rsidTr="009F01D8">
        <w:tc>
          <w:tcPr>
            <w:tcW w:w="3614" w:type="pct"/>
          </w:tcPr>
          <w:p w14:paraId="69F4340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Were isolates selected based on resistance to comparators?</w:t>
            </w:r>
          </w:p>
          <w:p w14:paraId="587BF356" w14:textId="77777777" w:rsidR="009F01D8" w:rsidRPr="009F6FA6" w:rsidRDefault="009F01D8" w:rsidP="005A3BE6">
            <w:pPr>
              <w:pStyle w:val="ListParagraph"/>
              <w:numPr>
                <w:ilvl w:val="0"/>
                <w:numId w:val="71"/>
              </w:numPr>
              <w:jc w:val="both"/>
              <w:rPr>
                <w:rFonts w:asciiTheme="majorBidi" w:hAnsiTheme="majorBidi" w:cstheme="majorBidi"/>
              </w:rPr>
            </w:pPr>
            <w:r w:rsidRPr="009F6FA6">
              <w:rPr>
                <w:rFonts w:asciiTheme="majorBidi" w:hAnsiTheme="majorBidi" w:cstheme="majorBidi"/>
              </w:rPr>
              <w:t>Score high risk if isolates selected on resistance to comparators, or resistance to treatments that may affect susceptibility to comparators (</w:t>
            </w:r>
            <w:proofErr w:type="gramStart"/>
            <w:r w:rsidRPr="009F6FA6">
              <w:rPr>
                <w:rFonts w:asciiTheme="majorBidi" w:hAnsiTheme="majorBidi" w:cstheme="majorBidi"/>
              </w:rPr>
              <w:t>e.g.</w:t>
            </w:r>
            <w:proofErr w:type="gramEnd"/>
            <w:r w:rsidRPr="009F6FA6">
              <w:rPr>
                <w:rFonts w:asciiTheme="majorBidi" w:hAnsiTheme="majorBidi" w:cstheme="majorBidi"/>
              </w:rPr>
              <w:t xml:space="preserve"> in the same class)</w:t>
            </w:r>
          </w:p>
          <w:p w14:paraId="26331671" w14:textId="77777777" w:rsidR="009F01D8" w:rsidRPr="009F6FA6" w:rsidRDefault="009F01D8" w:rsidP="005A3BE6">
            <w:pPr>
              <w:pStyle w:val="ListParagraph"/>
              <w:numPr>
                <w:ilvl w:val="0"/>
                <w:numId w:val="71"/>
              </w:numPr>
              <w:jc w:val="both"/>
              <w:rPr>
                <w:rFonts w:asciiTheme="majorBidi" w:hAnsiTheme="majorBidi" w:cstheme="majorBidi"/>
              </w:rPr>
            </w:pPr>
            <w:r w:rsidRPr="009F6FA6">
              <w:rPr>
                <w:rFonts w:asciiTheme="majorBidi" w:hAnsiTheme="majorBidi" w:cstheme="majorBidi"/>
              </w:rPr>
              <w:t>Selection based on carbapenem-resistance may be appropriate since this is how patients are generally selected for treatment.</w:t>
            </w:r>
          </w:p>
        </w:tc>
        <w:tc>
          <w:tcPr>
            <w:tcW w:w="1386" w:type="pct"/>
          </w:tcPr>
          <w:p w14:paraId="10F0AB9E" w14:textId="77777777" w:rsidR="009F01D8" w:rsidRPr="009F6FA6" w:rsidRDefault="009F01D8" w:rsidP="009F01D8">
            <w:pPr>
              <w:jc w:val="both"/>
              <w:rPr>
                <w:rFonts w:asciiTheme="majorBidi" w:hAnsiTheme="majorBidi" w:cstheme="majorBidi"/>
              </w:rPr>
            </w:pPr>
          </w:p>
        </w:tc>
      </w:tr>
      <w:tr w:rsidR="009F01D8" w:rsidRPr="009F6FA6" w14:paraId="6E2DADE6" w14:textId="77777777" w:rsidTr="009F01D8">
        <w:tc>
          <w:tcPr>
            <w:tcW w:w="3614" w:type="pct"/>
          </w:tcPr>
          <w:p w14:paraId="71B479A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Was there appropriate inclusion or exclusion of isolates with co-carriage of other significant mechanisms, as per HVCS?</w:t>
            </w:r>
          </w:p>
          <w:p w14:paraId="33AD3453" w14:textId="77777777" w:rsidR="009F01D8" w:rsidRPr="009F6FA6" w:rsidRDefault="009F01D8" w:rsidP="005A3BE6">
            <w:pPr>
              <w:pStyle w:val="ListParagraph"/>
              <w:numPr>
                <w:ilvl w:val="0"/>
                <w:numId w:val="72"/>
              </w:numPr>
              <w:jc w:val="both"/>
              <w:rPr>
                <w:rFonts w:asciiTheme="majorBidi" w:hAnsiTheme="majorBidi" w:cstheme="majorBidi"/>
              </w:rPr>
            </w:pPr>
            <w:r w:rsidRPr="009F6FA6">
              <w:rPr>
                <w:rFonts w:asciiTheme="majorBidi" w:hAnsiTheme="majorBidi" w:cstheme="majorBidi"/>
              </w:rPr>
              <w:t xml:space="preserve">Where co-carriage with a particular mechanism would preclude treatment </w:t>
            </w:r>
            <w:proofErr w:type="gramStart"/>
            <w:r w:rsidRPr="009F6FA6">
              <w:rPr>
                <w:rFonts w:asciiTheme="majorBidi" w:hAnsiTheme="majorBidi" w:cstheme="majorBidi"/>
              </w:rPr>
              <w:t>with  the</w:t>
            </w:r>
            <w:proofErr w:type="gramEnd"/>
            <w:r w:rsidRPr="009F6FA6">
              <w:rPr>
                <w:rFonts w:asciiTheme="majorBidi" w:hAnsiTheme="majorBidi" w:cstheme="majorBidi"/>
              </w:rPr>
              <w:t xml:space="preserve"> drug being assessed, it may be appropriate for these isolates to be excluded</w:t>
            </w:r>
          </w:p>
        </w:tc>
        <w:tc>
          <w:tcPr>
            <w:tcW w:w="1386" w:type="pct"/>
          </w:tcPr>
          <w:p w14:paraId="16BD1079" w14:textId="77777777" w:rsidR="009F01D8" w:rsidRPr="009F6FA6" w:rsidRDefault="009F01D8" w:rsidP="009F01D8">
            <w:pPr>
              <w:jc w:val="both"/>
              <w:rPr>
                <w:rFonts w:asciiTheme="majorBidi" w:hAnsiTheme="majorBidi" w:cstheme="majorBidi"/>
              </w:rPr>
            </w:pPr>
          </w:p>
        </w:tc>
      </w:tr>
      <w:tr w:rsidR="009F01D8" w:rsidRPr="009F6FA6" w14:paraId="628D97CD" w14:textId="77777777" w:rsidTr="009F01D8">
        <w:trPr>
          <w:trHeight w:val="694"/>
        </w:trPr>
        <w:tc>
          <w:tcPr>
            <w:tcW w:w="3614" w:type="pct"/>
          </w:tcPr>
          <w:p w14:paraId="6975366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Were all isolates tested for the pathogen-mechanism of interest in a standard way, and does this match the HVCS?</w:t>
            </w:r>
          </w:p>
          <w:p w14:paraId="50B421BF"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 xml:space="preserve">All eligible isolates tested for beta-lactamases, or screening methodology applied matches HVCS practice and likely to capture all beta-lactamase carriage. </w:t>
            </w:r>
          </w:p>
          <w:p w14:paraId="297F758E"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If it is not clear whether the screening methodology applied would capture all beta-lactamases, score unclear risk of bias. Where a low carbapenem MIC screening threshold (thresholds 1mg/L or less) was used, score low risk of bias.</w:t>
            </w:r>
          </w:p>
          <w:p w14:paraId="19CD81E9"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 xml:space="preserve">The definition of the target beta-lactamase is consistent with the definition in the HVCS, </w:t>
            </w:r>
            <w:proofErr w:type="gramStart"/>
            <w:r w:rsidRPr="009F6FA6">
              <w:rPr>
                <w:rFonts w:asciiTheme="majorBidi" w:hAnsiTheme="majorBidi" w:cstheme="majorBidi"/>
              </w:rPr>
              <w:t>e.g.</w:t>
            </w:r>
            <w:proofErr w:type="gramEnd"/>
            <w:r w:rsidRPr="009F6FA6">
              <w:rPr>
                <w:rFonts w:asciiTheme="majorBidi" w:hAnsiTheme="majorBidi" w:cstheme="majorBidi"/>
              </w:rPr>
              <w:t xml:space="preserve"> OXA-48 or OXA-48-like. In our case, either is eligible. </w:t>
            </w:r>
          </w:p>
          <w:p w14:paraId="7BFD7965" w14:textId="77777777" w:rsidR="009F01D8" w:rsidRPr="009F6FA6" w:rsidRDefault="009F01D8" w:rsidP="009F01D8">
            <w:pPr>
              <w:pStyle w:val="ListParagraph"/>
              <w:jc w:val="both"/>
              <w:rPr>
                <w:rFonts w:asciiTheme="majorBidi" w:hAnsiTheme="majorBidi" w:cstheme="majorBidi"/>
              </w:rPr>
            </w:pPr>
          </w:p>
        </w:tc>
        <w:tc>
          <w:tcPr>
            <w:tcW w:w="1386" w:type="pct"/>
          </w:tcPr>
          <w:p w14:paraId="462708E8" w14:textId="77777777" w:rsidR="009F01D8" w:rsidRPr="009F6FA6" w:rsidRDefault="009F01D8" w:rsidP="009F01D8">
            <w:pPr>
              <w:jc w:val="both"/>
              <w:rPr>
                <w:rFonts w:asciiTheme="majorBidi" w:hAnsiTheme="majorBidi" w:cstheme="majorBidi"/>
              </w:rPr>
            </w:pPr>
          </w:p>
        </w:tc>
      </w:tr>
      <w:tr w:rsidR="009F01D8" w:rsidRPr="009F6FA6" w14:paraId="2526C5EE" w14:textId="77777777" w:rsidTr="009F01D8">
        <w:tc>
          <w:tcPr>
            <w:tcW w:w="3614" w:type="pct"/>
          </w:tcPr>
          <w:p w14:paraId="6D05866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Was the beta-lactamase test appropriate?</w:t>
            </w:r>
          </w:p>
          <w:p w14:paraId="08025C6A"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Score low risk if PCR or validated test assay</w:t>
            </w:r>
          </w:p>
          <w:p w14:paraId="5DA00222"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Score high risk if based on susceptibility phenotype only</w:t>
            </w:r>
          </w:p>
          <w:p w14:paraId="5E7EB1F5" w14:textId="77777777" w:rsidR="009F01D8" w:rsidRPr="009F6FA6" w:rsidRDefault="009F01D8" w:rsidP="009F01D8">
            <w:pPr>
              <w:jc w:val="both"/>
              <w:rPr>
                <w:rFonts w:asciiTheme="majorBidi" w:hAnsiTheme="majorBidi" w:cstheme="majorBidi"/>
              </w:rPr>
            </w:pPr>
          </w:p>
        </w:tc>
        <w:tc>
          <w:tcPr>
            <w:tcW w:w="1386" w:type="pct"/>
          </w:tcPr>
          <w:p w14:paraId="3D7DFB84" w14:textId="77777777" w:rsidR="009F01D8" w:rsidRPr="009F6FA6" w:rsidRDefault="009F01D8" w:rsidP="009F01D8">
            <w:pPr>
              <w:jc w:val="both"/>
              <w:rPr>
                <w:rFonts w:asciiTheme="majorBidi" w:hAnsiTheme="majorBidi" w:cstheme="majorBidi"/>
              </w:rPr>
            </w:pPr>
          </w:p>
        </w:tc>
      </w:tr>
      <w:tr w:rsidR="009F01D8" w:rsidRPr="009F6FA6" w14:paraId="36B14F60" w14:textId="77777777" w:rsidTr="009F01D8">
        <w:tc>
          <w:tcPr>
            <w:tcW w:w="3614" w:type="pct"/>
          </w:tcPr>
          <w:p w14:paraId="5B84002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Were data collected over an appropriate </w:t>
            </w:r>
            <w:proofErr w:type="gramStart"/>
            <w:r w:rsidRPr="009F6FA6">
              <w:rPr>
                <w:rFonts w:asciiTheme="majorBidi" w:hAnsiTheme="majorBidi" w:cstheme="majorBidi"/>
              </w:rPr>
              <w:t>time period</w:t>
            </w:r>
            <w:proofErr w:type="gramEnd"/>
            <w:r w:rsidRPr="009F6FA6">
              <w:rPr>
                <w:rFonts w:asciiTheme="majorBidi" w:hAnsiTheme="majorBidi" w:cstheme="majorBidi"/>
              </w:rPr>
              <w:t>? Consider</w:t>
            </w:r>
          </w:p>
          <w:p w14:paraId="7207611D" w14:textId="77777777" w:rsidR="009F01D8" w:rsidRPr="009F6FA6" w:rsidRDefault="009F01D8" w:rsidP="005A3BE6">
            <w:pPr>
              <w:pStyle w:val="ListParagraph"/>
              <w:numPr>
                <w:ilvl w:val="0"/>
                <w:numId w:val="68"/>
              </w:numPr>
              <w:jc w:val="both"/>
              <w:rPr>
                <w:rFonts w:asciiTheme="majorBidi" w:hAnsiTheme="majorBidi" w:cstheme="majorBidi"/>
              </w:rPr>
            </w:pPr>
            <w:r w:rsidRPr="009F6FA6">
              <w:rPr>
                <w:rFonts w:asciiTheme="majorBidi" w:hAnsiTheme="majorBidi" w:cstheme="majorBidi"/>
              </w:rPr>
              <w:lastRenderedPageBreak/>
              <w:t>Start and end dates of isolate recruitment, with respect to recency and introduction of changes (</w:t>
            </w:r>
            <w:proofErr w:type="gramStart"/>
            <w:r w:rsidRPr="009F6FA6">
              <w:rPr>
                <w:rFonts w:asciiTheme="majorBidi" w:hAnsiTheme="majorBidi" w:cstheme="majorBidi"/>
              </w:rPr>
              <w:t>e.g.</w:t>
            </w:r>
            <w:proofErr w:type="gramEnd"/>
            <w:r w:rsidRPr="009F6FA6">
              <w:rPr>
                <w:rFonts w:asciiTheme="majorBidi" w:hAnsiTheme="majorBidi" w:cstheme="majorBidi"/>
              </w:rPr>
              <w:t xml:space="preserve"> to clinical practice) that may affect resistance profiles</w:t>
            </w:r>
          </w:p>
          <w:p w14:paraId="20257A2B" w14:textId="77777777" w:rsidR="009F01D8" w:rsidRPr="009F6FA6" w:rsidRDefault="009F01D8" w:rsidP="009F01D8">
            <w:pPr>
              <w:jc w:val="both"/>
              <w:rPr>
                <w:rFonts w:asciiTheme="majorBidi" w:hAnsiTheme="majorBidi" w:cstheme="majorBidi"/>
              </w:rPr>
            </w:pPr>
          </w:p>
        </w:tc>
        <w:tc>
          <w:tcPr>
            <w:tcW w:w="1386" w:type="pct"/>
          </w:tcPr>
          <w:p w14:paraId="58CC74FF" w14:textId="77777777" w:rsidR="009F01D8" w:rsidRPr="009F6FA6" w:rsidRDefault="009F01D8" w:rsidP="009F01D8">
            <w:pPr>
              <w:jc w:val="both"/>
              <w:rPr>
                <w:rFonts w:asciiTheme="majorBidi" w:hAnsiTheme="majorBidi" w:cstheme="majorBidi"/>
              </w:rPr>
            </w:pPr>
          </w:p>
        </w:tc>
      </w:tr>
      <w:tr w:rsidR="009F01D8" w:rsidRPr="009F6FA6" w14:paraId="4E46F583" w14:textId="77777777" w:rsidTr="009F01D8">
        <w:tc>
          <w:tcPr>
            <w:tcW w:w="3614" w:type="pct"/>
            <w:shd w:val="clear" w:color="auto" w:fill="D9D9D9" w:themeFill="background1" w:themeFillShade="D9"/>
          </w:tcPr>
          <w:p w14:paraId="4B3EEF90"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Target population overall judgement</w:t>
            </w:r>
          </w:p>
          <w:p w14:paraId="48795169" w14:textId="77777777" w:rsidR="009F01D8" w:rsidRPr="009F6FA6" w:rsidRDefault="009F01D8" w:rsidP="005A3BE6">
            <w:pPr>
              <w:pStyle w:val="ListParagraph"/>
              <w:numPr>
                <w:ilvl w:val="0"/>
                <w:numId w:val="68"/>
              </w:numPr>
              <w:jc w:val="both"/>
              <w:rPr>
                <w:rFonts w:asciiTheme="majorBidi" w:hAnsiTheme="majorBidi" w:cstheme="majorBidi"/>
              </w:rPr>
            </w:pPr>
            <w:r w:rsidRPr="009F6FA6">
              <w:rPr>
                <w:rFonts w:asciiTheme="majorBidi" w:hAnsiTheme="majorBidi" w:cstheme="majorBidi"/>
              </w:rPr>
              <w:t xml:space="preserve">If any item scores high risk or unclear risk, the overall judgement should be high or unclear risk respectively. </w:t>
            </w:r>
          </w:p>
          <w:p w14:paraId="71350AC6" w14:textId="77777777" w:rsidR="009F01D8" w:rsidRPr="009F6FA6" w:rsidRDefault="009F01D8" w:rsidP="005A3BE6">
            <w:pPr>
              <w:pStyle w:val="ListParagraph"/>
              <w:numPr>
                <w:ilvl w:val="0"/>
                <w:numId w:val="68"/>
              </w:numPr>
              <w:jc w:val="both"/>
              <w:rPr>
                <w:rFonts w:asciiTheme="majorBidi" w:hAnsiTheme="majorBidi" w:cstheme="majorBidi"/>
              </w:rPr>
            </w:pPr>
            <w:r w:rsidRPr="009F6FA6">
              <w:rPr>
                <w:rFonts w:asciiTheme="majorBidi" w:hAnsiTheme="majorBidi" w:cstheme="majorBidi"/>
              </w:rPr>
              <w:t>If all items score low risk, the overall judgement should be low risk</w:t>
            </w:r>
          </w:p>
        </w:tc>
        <w:tc>
          <w:tcPr>
            <w:tcW w:w="1386" w:type="pct"/>
            <w:shd w:val="clear" w:color="auto" w:fill="D9D9D9" w:themeFill="background1" w:themeFillShade="D9"/>
          </w:tcPr>
          <w:p w14:paraId="1AEB41C5" w14:textId="77777777" w:rsidR="009F01D8" w:rsidRPr="009F6FA6" w:rsidRDefault="009F01D8" w:rsidP="009F01D8">
            <w:pPr>
              <w:jc w:val="both"/>
              <w:rPr>
                <w:rFonts w:asciiTheme="majorBidi" w:hAnsiTheme="majorBidi" w:cstheme="majorBidi"/>
              </w:rPr>
            </w:pPr>
          </w:p>
        </w:tc>
      </w:tr>
      <w:tr w:rsidR="009F01D8" w:rsidRPr="009F6FA6" w14:paraId="0D0C96FB" w14:textId="77777777" w:rsidTr="009F01D8">
        <w:trPr>
          <w:trHeight w:val="317"/>
        </w:trPr>
        <w:tc>
          <w:tcPr>
            <w:tcW w:w="3614" w:type="pct"/>
            <w:shd w:val="clear" w:color="auto" w:fill="BFBFBF" w:themeFill="background1" w:themeFillShade="BF"/>
          </w:tcPr>
          <w:p w14:paraId="13457F5B" w14:textId="77777777" w:rsidR="009F01D8" w:rsidRPr="009F6FA6" w:rsidRDefault="009F01D8" w:rsidP="005A3BE6">
            <w:pPr>
              <w:pStyle w:val="ListParagraph"/>
              <w:numPr>
                <w:ilvl w:val="0"/>
                <w:numId w:val="69"/>
              </w:numPr>
              <w:jc w:val="both"/>
              <w:rPr>
                <w:rFonts w:asciiTheme="majorBidi" w:hAnsiTheme="majorBidi" w:cstheme="majorBidi"/>
                <w:b/>
                <w:bCs/>
              </w:rPr>
            </w:pPr>
            <w:r w:rsidRPr="009F6FA6">
              <w:rPr>
                <w:rFonts w:asciiTheme="majorBidi" w:hAnsiTheme="majorBidi" w:cstheme="majorBidi"/>
                <w:b/>
                <w:bCs/>
              </w:rPr>
              <w:t>Sampling strategy</w:t>
            </w:r>
          </w:p>
        </w:tc>
        <w:tc>
          <w:tcPr>
            <w:tcW w:w="1386" w:type="pct"/>
            <w:shd w:val="clear" w:color="auto" w:fill="BFBFBF" w:themeFill="background1" w:themeFillShade="BF"/>
          </w:tcPr>
          <w:p w14:paraId="6C337496" w14:textId="77777777" w:rsidR="009F01D8" w:rsidRPr="009F6FA6" w:rsidRDefault="009F01D8" w:rsidP="009F01D8">
            <w:pPr>
              <w:jc w:val="both"/>
              <w:rPr>
                <w:rFonts w:asciiTheme="majorBidi" w:hAnsiTheme="majorBidi" w:cstheme="majorBidi"/>
              </w:rPr>
            </w:pPr>
          </w:p>
        </w:tc>
      </w:tr>
      <w:tr w:rsidR="009F01D8" w:rsidRPr="009F6FA6" w14:paraId="78A38CED" w14:textId="77777777" w:rsidTr="009F01D8">
        <w:trPr>
          <w:trHeight w:val="694"/>
        </w:trPr>
        <w:tc>
          <w:tcPr>
            <w:tcW w:w="3614" w:type="pct"/>
          </w:tcPr>
          <w:p w14:paraId="3708D1A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Were isolates </w:t>
            </w:r>
            <w:r w:rsidRPr="009F6FA6">
              <w:rPr>
                <w:rFonts w:asciiTheme="majorBidi" w:hAnsiTheme="majorBidi" w:cstheme="majorBidi"/>
                <w:b/>
                <w:bCs/>
              </w:rPr>
              <w:t>sampled</w:t>
            </w:r>
            <w:r w:rsidRPr="009F6FA6">
              <w:rPr>
                <w:rFonts w:asciiTheme="majorBidi" w:hAnsiTheme="majorBidi" w:cstheme="majorBidi"/>
              </w:rPr>
              <w:t xml:space="preserve"> from the target population in an appropriate way?</w:t>
            </w:r>
          </w:p>
          <w:p w14:paraId="685FF5E4"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Random sample from a large target population</w:t>
            </w:r>
          </w:p>
          <w:p w14:paraId="44692031"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 xml:space="preserve">Consecutive samples from </w:t>
            </w:r>
            <w:proofErr w:type="gramStart"/>
            <w:r w:rsidRPr="009F6FA6">
              <w:rPr>
                <w:rFonts w:asciiTheme="majorBidi" w:hAnsiTheme="majorBidi" w:cstheme="majorBidi"/>
              </w:rPr>
              <w:t>a number of</w:t>
            </w:r>
            <w:proofErr w:type="gramEnd"/>
            <w:r w:rsidRPr="009F6FA6">
              <w:rPr>
                <w:rFonts w:asciiTheme="majorBidi" w:hAnsiTheme="majorBidi" w:cstheme="majorBidi"/>
              </w:rPr>
              <w:t xml:space="preserve"> different sites</w:t>
            </w:r>
          </w:p>
          <w:p w14:paraId="1004D504"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NB</w:t>
            </w:r>
          </w:p>
          <w:p w14:paraId="246CAC6F" w14:textId="77777777" w:rsidR="009F01D8" w:rsidRPr="009F6FA6" w:rsidRDefault="009F01D8" w:rsidP="005A3BE6">
            <w:pPr>
              <w:pStyle w:val="ListParagraph"/>
              <w:numPr>
                <w:ilvl w:val="0"/>
                <w:numId w:val="66"/>
              </w:numPr>
              <w:jc w:val="both"/>
              <w:rPr>
                <w:rFonts w:asciiTheme="majorBidi" w:hAnsiTheme="majorBidi" w:cstheme="majorBidi"/>
              </w:rPr>
            </w:pPr>
            <w:r w:rsidRPr="009F6FA6">
              <w:rPr>
                <w:rFonts w:asciiTheme="majorBidi" w:hAnsiTheme="majorBidi" w:cstheme="majorBidi"/>
              </w:rPr>
              <w:t xml:space="preserve">Purposive sampling is thought unlikely to result in a sample that is representative of any true population and should score high or unclear risk unless a convincing case is made to support the sampling strategy. </w:t>
            </w:r>
          </w:p>
        </w:tc>
        <w:tc>
          <w:tcPr>
            <w:tcW w:w="1386" w:type="pct"/>
          </w:tcPr>
          <w:p w14:paraId="781FD7B7" w14:textId="77777777" w:rsidR="009F01D8" w:rsidRPr="009F6FA6" w:rsidRDefault="009F01D8" w:rsidP="009F01D8">
            <w:pPr>
              <w:jc w:val="both"/>
              <w:rPr>
                <w:rFonts w:asciiTheme="majorBidi" w:hAnsiTheme="majorBidi" w:cstheme="majorBidi"/>
              </w:rPr>
            </w:pPr>
          </w:p>
        </w:tc>
      </w:tr>
      <w:tr w:rsidR="009F01D8" w:rsidRPr="009F6FA6" w14:paraId="223A890B" w14:textId="77777777" w:rsidTr="009F01D8">
        <w:tc>
          <w:tcPr>
            <w:tcW w:w="3614" w:type="pct"/>
            <w:shd w:val="clear" w:color="auto" w:fill="D9D9D9" w:themeFill="background1" w:themeFillShade="D9"/>
          </w:tcPr>
          <w:p w14:paraId="35624D45"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Sampling strategy overall judgement</w:t>
            </w:r>
          </w:p>
          <w:p w14:paraId="173B1C9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If any item scores high risk or unclear risk, the overall judgement should be high or unclear risk respectively. </w:t>
            </w:r>
          </w:p>
          <w:p w14:paraId="51C3D1F9"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rPr>
              <w:t>If all items score low risk, the overall judgement should be low risk</w:t>
            </w:r>
          </w:p>
        </w:tc>
        <w:tc>
          <w:tcPr>
            <w:tcW w:w="1386" w:type="pct"/>
            <w:shd w:val="clear" w:color="auto" w:fill="D9D9D9" w:themeFill="background1" w:themeFillShade="D9"/>
          </w:tcPr>
          <w:p w14:paraId="605B1B7E" w14:textId="77777777" w:rsidR="009F01D8" w:rsidRPr="009F6FA6" w:rsidRDefault="009F01D8" w:rsidP="009F01D8">
            <w:pPr>
              <w:jc w:val="both"/>
              <w:rPr>
                <w:rFonts w:asciiTheme="majorBidi" w:hAnsiTheme="majorBidi" w:cstheme="majorBidi"/>
                <w:b/>
                <w:bCs/>
              </w:rPr>
            </w:pPr>
          </w:p>
        </w:tc>
      </w:tr>
      <w:tr w:rsidR="009F01D8" w:rsidRPr="009F6FA6" w14:paraId="13C10469" w14:textId="77777777" w:rsidTr="009F01D8">
        <w:tc>
          <w:tcPr>
            <w:tcW w:w="3614" w:type="pct"/>
            <w:shd w:val="clear" w:color="auto" w:fill="BFBFBF" w:themeFill="background1" w:themeFillShade="BF"/>
          </w:tcPr>
          <w:p w14:paraId="3AA81D6C" w14:textId="77777777" w:rsidR="009F01D8" w:rsidRPr="009F6FA6" w:rsidRDefault="009F01D8" w:rsidP="005A3BE6">
            <w:pPr>
              <w:pStyle w:val="ListParagraph"/>
              <w:numPr>
                <w:ilvl w:val="0"/>
                <w:numId w:val="69"/>
              </w:numPr>
              <w:jc w:val="both"/>
              <w:rPr>
                <w:rFonts w:asciiTheme="majorBidi" w:hAnsiTheme="majorBidi" w:cstheme="majorBidi"/>
                <w:b/>
                <w:bCs/>
              </w:rPr>
            </w:pPr>
            <w:r w:rsidRPr="009F6FA6">
              <w:rPr>
                <w:rFonts w:asciiTheme="majorBidi" w:hAnsiTheme="majorBidi" w:cstheme="majorBidi"/>
                <w:b/>
                <w:bCs/>
              </w:rPr>
              <w:t>Outcome measurement</w:t>
            </w:r>
          </w:p>
        </w:tc>
        <w:tc>
          <w:tcPr>
            <w:tcW w:w="1386" w:type="pct"/>
            <w:shd w:val="clear" w:color="auto" w:fill="D9D9D9" w:themeFill="background1" w:themeFillShade="D9"/>
          </w:tcPr>
          <w:p w14:paraId="5E7D9B70" w14:textId="77777777" w:rsidR="009F01D8" w:rsidRPr="009F6FA6" w:rsidRDefault="009F01D8" w:rsidP="009F01D8">
            <w:pPr>
              <w:jc w:val="both"/>
              <w:rPr>
                <w:rFonts w:asciiTheme="majorBidi" w:hAnsiTheme="majorBidi" w:cstheme="majorBidi"/>
                <w:b/>
                <w:bCs/>
              </w:rPr>
            </w:pPr>
          </w:p>
        </w:tc>
      </w:tr>
      <w:tr w:rsidR="009F01D8" w:rsidRPr="009F6FA6" w14:paraId="18C4C58F" w14:textId="77777777" w:rsidTr="009F01D8">
        <w:trPr>
          <w:trHeight w:val="274"/>
        </w:trPr>
        <w:tc>
          <w:tcPr>
            <w:tcW w:w="3614" w:type="pct"/>
          </w:tcPr>
          <w:p w14:paraId="6ED2F91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Was susceptibility measured in an appropriate, standard way? Consider:</w:t>
            </w:r>
          </w:p>
          <w:p w14:paraId="2EAC1752"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 xml:space="preserve">Which guidelines are followed locally, e.g. EUCAST, </w:t>
            </w:r>
            <w:proofErr w:type="gramStart"/>
            <w:r w:rsidRPr="009F6FA6">
              <w:rPr>
                <w:rFonts w:asciiTheme="majorBidi" w:hAnsiTheme="majorBidi" w:cstheme="majorBidi"/>
              </w:rPr>
              <w:t>CLSI.</w:t>
            </w:r>
            <w:proofErr w:type="gramEnd"/>
            <w:r w:rsidRPr="009F6FA6">
              <w:rPr>
                <w:rFonts w:asciiTheme="majorBidi" w:hAnsiTheme="majorBidi" w:cstheme="majorBidi"/>
              </w:rPr>
              <w:t xml:space="preserve"> If the guideline used in the study differs from that used in the target population, and the equivalence of the guidelines not known, score unclear risk of bias. If the equivalence of the guidelines has been demonstrated or the guidelines are the same as those used in the target population, score low risk of bias. If there are known differences in the proportion scored susceptible when comparing the guideline used in the study to that used in the target population, score high risk of bias.</w:t>
            </w:r>
          </w:p>
          <w:p w14:paraId="1B075E69"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Whether lab methods and breakpoints from the same guideline group have been applied. Score unclear risk of bias if different sources have been used for lab methods compared to breakpoints, and the equivalence of the measurement system and breakpoints have not been demonstrated. Score high risk bias if different sources have been used for lab methods compared to breakpoints, and if there are known differences between guideline groups in either the breakpoints, or the absolute values produced by the lab methods</w:t>
            </w:r>
          </w:p>
          <w:p w14:paraId="04BDAFC6" w14:textId="77777777" w:rsidR="009F01D8" w:rsidRPr="009F6FA6" w:rsidRDefault="009F01D8" w:rsidP="005A3BE6">
            <w:pPr>
              <w:pStyle w:val="ListParagraph"/>
              <w:numPr>
                <w:ilvl w:val="0"/>
                <w:numId w:val="65"/>
              </w:numPr>
              <w:jc w:val="both"/>
              <w:rPr>
                <w:rFonts w:asciiTheme="majorBidi" w:hAnsiTheme="majorBidi" w:cstheme="majorBidi"/>
              </w:rPr>
            </w:pPr>
            <w:r w:rsidRPr="009F6FA6">
              <w:rPr>
                <w:rFonts w:asciiTheme="majorBidi" w:hAnsiTheme="majorBidi" w:cstheme="majorBidi"/>
              </w:rPr>
              <w:t xml:space="preserve">Whether lab methods and breakpoints from the same guideline were used for all treatments, or where unavailable, an appropriate alternative used </w:t>
            </w:r>
            <w:proofErr w:type="gramStart"/>
            <w:r w:rsidRPr="009F6FA6">
              <w:rPr>
                <w:rFonts w:asciiTheme="majorBidi" w:hAnsiTheme="majorBidi" w:cstheme="majorBidi"/>
              </w:rPr>
              <w:t>e.g.</w:t>
            </w:r>
            <w:proofErr w:type="gramEnd"/>
            <w:r w:rsidRPr="009F6FA6">
              <w:rPr>
                <w:rFonts w:asciiTheme="majorBidi" w:hAnsiTheme="majorBidi" w:cstheme="majorBidi"/>
              </w:rPr>
              <w:t xml:space="preserve"> were some breakpoints from CLSI, whilst some were from EUCAST? If some lab methods or breakpoints were from one guideline, and some from another, this may differentially advantage treatments and should be scored high risk. Where a guideline does not publish a lab method or breakpoint, and another has been used, it is acceptable to score “unclear risk” or “low risk”</w:t>
            </w:r>
          </w:p>
        </w:tc>
        <w:tc>
          <w:tcPr>
            <w:tcW w:w="1386" w:type="pct"/>
          </w:tcPr>
          <w:p w14:paraId="7C0CF94C" w14:textId="77777777" w:rsidR="009F01D8" w:rsidRPr="009F6FA6" w:rsidRDefault="009F01D8" w:rsidP="009F01D8">
            <w:pPr>
              <w:jc w:val="both"/>
              <w:rPr>
                <w:rFonts w:asciiTheme="majorBidi" w:hAnsiTheme="majorBidi" w:cstheme="majorBidi"/>
              </w:rPr>
            </w:pPr>
          </w:p>
        </w:tc>
      </w:tr>
      <w:tr w:rsidR="009F01D8" w:rsidRPr="009F6FA6" w14:paraId="6D656B15" w14:textId="77777777" w:rsidTr="009F01D8">
        <w:tc>
          <w:tcPr>
            <w:tcW w:w="3614" w:type="pct"/>
          </w:tcPr>
          <w:p w14:paraId="4FDBB69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lastRenderedPageBreak/>
              <w:t xml:space="preserve">Does the study demonstrate selective analysis reporting, with respect to S, I and R? </w:t>
            </w:r>
          </w:p>
          <w:p w14:paraId="3AF9CA07" w14:textId="77777777" w:rsidR="009F01D8" w:rsidRPr="009F6FA6" w:rsidRDefault="009F01D8" w:rsidP="009F01D8">
            <w:pPr>
              <w:pStyle w:val="ListParagraph"/>
              <w:jc w:val="both"/>
              <w:rPr>
                <w:rFonts w:asciiTheme="majorBidi" w:hAnsiTheme="majorBidi" w:cstheme="majorBidi"/>
              </w:rPr>
            </w:pPr>
            <w:r w:rsidRPr="009F6FA6">
              <w:rPr>
                <w:rFonts w:asciiTheme="majorBidi" w:hAnsiTheme="majorBidi" w:cstheme="majorBidi"/>
              </w:rPr>
              <w:t xml:space="preserve">Susceptibility testing reports either S, I and R, or where no I category is defined by the guideline group, just S and R. Selective analysis reporting may occur where I is reported as S or R inappropriately for all treatments. Inappropriate would depend on the review question, in our context this would be to report I and S as one category. </w:t>
            </w:r>
          </w:p>
        </w:tc>
        <w:tc>
          <w:tcPr>
            <w:tcW w:w="1386" w:type="pct"/>
          </w:tcPr>
          <w:p w14:paraId="1BC84756" w14:textId="77777777" w:rsidR="009F01D8" w:rsidRPr="009F6FA6" w:rsidRDefault="009F01D8" w:rsidP="009F01D8">
            <w:pPr>
              <w:jc w:val="both"/>
              <w:rPr>
                <w:rFonts w:asciiTheme="majorBidi" w:hAnsiTheme="majorBidi" w:cstheme="majorBidi"/>
              </w:rPr>
            </w:pPr>
          </w:p>
        </w:tc>
      </w:tr>
      <w:tr w:rsidR="009F01D8" w:rsidRPr="009F6FA6" w14:paraId="1B09718C" w14:textId="77777777" w:rsidTr="009F01D8">
        <w:tc>
          <w:tcPr>
            <w:tcW w:w="3614" w:type="pct"/>
          </w:tcPr>
          <w:p w14:paraId="66C9F15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Were S, I and R reported consistently for all treatments? </w:t>
            </w:r>
          </w:p>
          <w:p w14:paraId="6C3CD2BF" w14:textId="77777777" w:rsidR="009F01D8" w:rsidRPr="009F6FA6" w:rsidRDefault="009F01D8" w:rsidP="005A3BE6">
            <w:pPr>
              <w:pStyle w:val="ListParagraph"/>
              <w:numPr>
                <w:ilvl w:val="0"/>
                <w:numId w:val="67"/>
              </w:numPr>
              <w:jc w:val="both"/>
              <w:rPr>
                <w:rFonts w:asciiTheme="majorBidi" w:hAnsiTheme="majorBidi" w:cstheme="majorBidi"/>
              </w:rPr>
            </w:pPr>
            <w:r w:rsidRPr="009F6FA6">
              <w:rPr>
                <w:rFonts w:asciiTheme="majorBidi" w:hAnsiTheme="majorBidi" w:cstheme="majorBidi"/>
              </w:rPr>
              <w:t xml:space="preserve">Where I </w:t>
            </w:r>
            <w:proofErr w:type="gramStart"/>
            <w:r w:rsidRPr="009F6FA6">
              <w:rPr>
                <w:rFonts w:asciiTheme="majorBidi" w:hAnsiTheme="majorBidi" w:cstheme="majorBidi"/>
              </w:rPr>
              <w:t>is</w:t>
            </w:r>
            <w:proofErr w:type="gramEnd"/>
            <w:r w:rsidRPr="009F6FA6">
              <w:rPr>
                <w:rFonts w:asciiTheme="majorBidi" w:hAnsiTheme="majorBidi" w:cstheme="majorBidi"/>
              </w:rPr>
              <w:t xml:space="preserve"> treated as S for some treatments but not others, score high risk of bias</w:t>
            </w:r>
          </w:p>
          <w:p w14:paraId="746DED68" w14:textId="77777777" w:rsidR="009F01D8" w:rsidRPr="009F6FA6" w:rsidRDefault="009F01D8" w:rsidP="005A3BE6">
            <w:pPr>
              <w:pStyle w:val="ListParagraph"/>
              <w:numPr>
                <w:ilvl w:val="0"/>
                <w:numId w:val="67"/>
              </w:numPr>
              <w:jc w:val="both"/>
              <w:rPr>
                <w:rFonts w:asciiTheme="majorBidi" w:hAnsiTheme="majorBidi" w:cstheme="majorBidi"/>
              </w:rPr>
            </w:pPr>
            <w:r w:rsidRPr="009F6FA6">
              <w:rPr>
                <w:rFonts w:asciiTheme="majorBidi" w:hAnsiTheme="majorBidi" w:cstheme="majorBidi"/>
              </w:rPr>
              <w:t>(</w:t>
            </w:r>
            <w:proofErr w:type="spellStart"/>
            <w:proofErr w:type="gramStart"/>
            <w:r w:rsidRPr="009F6FA6">
              <w:rPr>
                <w:rFonts w:asciiTheme="majorBidi" w:hAnsiTheme="majorBidi" w:cstheme="majorBidi"/>
                <w:i/>
                <w:iCs/>
              </w:rPr>
              <w:t>nb</w:t>
            </w:r>
            <w:proofErr w:type="gramEnd"/>
            <w:r w:rsidRPr="009F6FA6">
              <w:rPr>
                <w:rFonts w:asciiTheme="majorBidi" w:hAnsiTheme="majorBidi" w:cstheme="majorBidi"/>
                <w:i/>
                <w:iCs/>
              </w:rPr>
              <w:t>.</w:t>
            </w:r>
            <w:proofErr w:type="spellEnd"/>
            <w:r w:rsidRPr="009F6FA6">
              <w:rPr>
                <w:rFonts w:asciiTheme="majorBidi" w:hAnsiTheme="majorBidi" w:cstheme="majorBidi"/>
              </w:rPr>
              <w:t xml:space="preserve"> Where there is no I category for a treatment, S and R can be reported and this item can score low risk) </w:t>
            </w:r>
          </w:p>
          <w:p w14:paraId="3839B115" w14:textId="77777777" w:rsidR="009F01D8" w:rsidRPr="009F6FA6" w:rsidRDefault="009F01D8" w:rsidP="009F01D8">
            <w:pPr>
              <w:pStyle w:val="ListParagraph"/>
              <w:jc w:val="both"/>
              <w:rPr>
                <w:rFonts w:asciiTheme="majorBidi" w:hAnsiTheme="majorBidi" w:cstheme="majorBidi"/>
              </w:rPr>
            </w:pPr>
          </w:p>
        </w:tc>
        <w:tc>
          <w:tcPr>
            <w:tcW w:w="1386" w:type="pct"/>
          </w:tcPr>
          <w:p w14:paraId="184B47AD" w14:textId="77777777" w:rsidR="009F01D8" w:rsidRPr="009F6FA6" w:rsidRDefault="009F01D8" w:rsidP="009F01D8">
            <w:pPr>
              <w:jc w:val="both"/>
              <w:rPr>
                <w:rFonts w:asciiTheme="majorBidi" w:hAnsiTheme="majorBidi" w:cstheme="majorBidi"/>
              </w:rPr>
            </w:pPr>
          </w:p>
        </w:tc>
      </w:tr>
      <w:tr w:rsidR="009F01D8" w:rsidRPr="009F6FA6" w14:paraId="4E79D5F3" w14:textId="77777777" w:rsidTr="009F01D8">
        <w:tc>
          <w:tcPr>
            <w:tcW w:w="3614" w:type="pct"/>
            <w:shd w:val="clear" w:color="auto" w:fill="D9D9D9" w:themeFill="background1" w:themeFillShade="D9"/>
          </w:tcPr>
          <w:p w14:paraId="5455B617"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Outcome measurement overall judgement</w:t>
            </w:r>
          </w:p>
          <w:p w14:paraId="77376CF7" w14:textId="77777777" w:rsidR="009F01D8" w:rsidRPr="009F6FA6" w:rsidRDefault="009F01D8" w:rsidP="005A3BE6">
            <w:pPr>
              <w:pStyle w:val="ListParagraph"/>
              <w:numPr>
                <w:ilvl w:val="0"/>
                <w:numId w:val="70"/>
              </w:numPr>
              <w:jc w:val="both"/>
              <w:rPr>
                <w:rFonts w:asciiTheme="majorBidi" w:hAnsiTheme="majorBidi" w:cstheme="majorBidi"/>
              </w:rPr>
            </w:pPr>
            <w:r w:rsidRPr="009F6FA6">
              <w:rPr>
                <w:rFonts w:asciiTheme="majorBidi" w:hAnsiTheme="majorBidi" w:cstheme="majorBidi"/>
              </w:rPr>
              <w:t xml:space="preserve">If any item scores high risk or unclear risk, the overall judgement should be high or unclear risk respectively. </w:t>
            </w:r>
          </w:p>
          <w:p w14:paraId="245C2D0E" w14:textId="77777777" w:rsidR="009F01D8" w:rsidRPr="009F6FA6" w:rsidRDefault="009F01D8" w:rsidP="005A3BE6">
            <w:pPr>
              <w:pStyle w:val="ListParagraph"/>
              <w:numPr>
                <w:ilvl w:val="0"/>
                <w:numId w:val="70"/>
              </w:numPr>
              <w:jc w:val="both"/>
              <w:rPr>
                <w:rFonts w:asciiTheme="majorBidi" w:hAnsiTheme="majorBidi" w:cstheme="majorBidi"/>
              </w:rPr>
            </w:pPr>
            <w:r w:rsidRPr="009F6FA6">
              <w:rPr>
                <w:rFonts w:asciiTheme="majorBidi" w:hAnsiTheme="majorBidi" w:cstheme="majorBidi"/>
              </w:rPr>
              <w:t>If all items score low risk, the overall judgement should be low risk</w:t>
            </w:r>
          </w:p>
        </w:tc>
        <w:tc>
          <w:tcPr>
            <w:tcW w:w="1386" w:type="pct"/>
            <w:shd w:val="clear" w:color="auto" w:fill="D9D9D9" w:themeFill="background1" w:themeFillShade="D9"/>
          </w:tcPr>
          <w:p w14:paraId="7F392628" w14:textId="77777777" w:rsidR="009F01D8" w:rsidRPr="009F6FA6" w:rsidRDefault="009F01D8" w:rsidP="009F01D8">
            <w:pPr>
              <w:jc w:val="both"/>
              <w:rPr>
                <w:rFonts w:asciiTheme="majorBidi" w:hAnsiTheme="majorBidi" w:cstheme="majorBidi"/>
              </w:rPr>
            </w:pPr>
          </w:p>
        </w:tc>
      </w:tr>
      <w:tr w:rsidR="009F01D8" w:rsidRPr="009F6FA6" w14:paraId="07AC77FF" w14:textId="77777777" w:rsidTr="009F01D8">
        <w:trPr>
          <w:trHeight w:val="70"/>
        </w:trPr>
        <w:tc>
          <w:tcPr>
            <w:tcW w:w="3614" w:type="pct"/>
            <w:shd w:val="clear" w:color="auto" w:fill="BFBFBF" w:themeFill="background1" w:themeFillShade="BF"/>
          </w:tcPr>
          <w:p w14:paraId="3311AA36" w14:textId="77777777" w:rsidR="009F01D8" w:rsidRPr="009F6FA6" w:rsidRDefault="009F01D8" w:rsidP="005A3BE6">
            <w:pPr>
              <w:pStyle w:val="ListParagraph"/>
              <w:numPr>
                <w:ilvl w:val="0"/>
                <w:numId w:val="69"/>
              </w:numPr>
              <w:jc w:val="both"/>
              <w:rPr>
                <w:rFonts w:asciiTheme="majorBidi" w:hAnsiTheme="majorBidi" w:cstheme="majorBidi"/>
                <w:b/>
                <w:bCs/>
              </w:rPr>
            </w:pPr>
            <w:r w:rsidRPr="009F6FA6">
              <w:rPr>
                <w:rFonts w:asciiTheme="majorBidi" w:hAnsiTheme="majorBidi" w:cstheme="majorBidi"/>
                <w:b/>
                <w:bCs/>
              </w:rPr>
              <w:t>Missing data</w:t>
            </w:r>
          </w:p>
        </w:tc>
        <w:tc>
          <w:tcPr>
            <w:tcW w:w="1386" w:type="pct"/>
            <w:shd w:val="clear" w:color="auto" w:fill="D9D9D9" w:themeFill="background1" w:themeFillShade="D9"/>
          </w:tcPr>
          <w:p w14:paraId="47BBB8C7" w14:textId="77777777" w:rsidR="009F01D8" w:rsidRPr="009F6FA6" w:rsidRDefault="009F01D8" w:rsidP="009F01D8">
            <w:pPr>
              <w:jc w:val="both"/>
              <w:rPr>
                <w:rFonts w:asciiTheme="majorBidi" w:hAnsiTheme="majorBidi" w:cstheme="majorBidi"/>
              </w:rPr>
            </w:pPr>
          </w:p>
        </w:tc>
      </w:tr>
      <w:tr w:rsidR="009F01D8" w:rsidRPr="009F6FA6" w14:paraId="60D0728C" w14:textId="77777777" w:rsidTr="009F01D8">
        <w:trPr>
          <w:trHeight w:val="50"/>
        </w:trPr>
        <w:tc>
          <w:tcPr>
            <w:tcW w:w="3614" w:type="pct"/>
          </w:tcPr>
          <w:p w14:paraId="7E8432F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Is there a risk of bias from missing data?</w:t>
            </w:r>
          </w:p>
          <w:p w14:paraId="30A4634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Were all isolates tested for all treatments? Where this isn’t the case, is it likely that missingness was associated with treatment outcome? Where some isolates were not tested for some treatments, and reasons were not provided, score unclear risk of bias. Where some isolates were not tested for some treatments, and the reasons for this were due to expected susceptibility, score high risk of bias. </w:t>
            </w:r>
          </w:p>
        </w:tc>
        <w:tc>
          <w:tcPr>
            <w:tcW w:w="1386" w:type="pct"/>
          </w:tcPr>
          <w:p w14:paraId="2D819F7E" w14:textId="77777777" w:rsidR="009F01D8" w:rsidRPr="009F6FA6" w:rsidRDefault="009F01D8" w:rsidP="009F01D8">
            <w:pPr>
              <w:jc w:val="both"/>
              <w:rPr>
                <w:rFonts w:asciiTheme="majorBidi" w:hAnsiTheme="majorBidi" w:cstheme="majorBidi"/>
              </w:rPr>
            </w:pPr>
          </w:p>
        </w:tc>
      </w:tr>
      <w:tr w:rsidR="009F01D8" w:rsidRPr="009F6FA6" w14:paraId="3C75658A" w14:textId="77777777" w:rsidTr="009F01D8">
        <w:tc>
          <w:tcPr>
            <w:tcW w:w="3614" w:type="pct"/>
            <w:shd w:val="clear" w:color="auto" w:fill="D9D9D9" w:themeFill="background1" w:themeFillShade="D9"/>
          </w:tcPr>
          <w:p w14:paraId="37C75387"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Missing data overall judgement</w:t>
            </w:r>
          </w:p>
          <w:p w14:paraId="74DC46BE" w14:textId="77777777" w:rsidR="009F01D8" w:rsidRPr="009F6FA6" w:rsidRDefault="009F01D8" w:rsidP="005A3BE6">
            <w:pPr>
              <w:pStyle w:val="ListParagraph"/>
              <w:numPr>
                <w:ilvl w:val="0"/>
                <w:numId w:val="70"/>
              </w:numPr>
              <w:jc w:val="both"/>
              <w:rPr>
                <w:rFonts w:asciiTheme="majorBidi" w:hAnsiTheme="majorBidi" w:cstheme="majorBidi"/>
              </w:rPr>
            </w:pPr>
            <w:r w:rsidRPr="009F6FA6">
              <w:rPr>
                <w:rFonts w:asciiTheme="majorBidi" w:hAnsiTheme="majorBidi" w:cstheme="majorBidi"/>
              </w:rPr>
              <w:t>If any item scores high risk or unclear risk, the overall judgement should be high or unclear risk respectively. If all items score low risk, the overall judgement should be low risk</w:t>
            </w:r>
          </w:p>
        </w:tc>
        <w:tc>
          <w:tcPr>
            <w:tcW w:w="1386" w:type="pct"/>
            <w:shd w:val="clear" w:color="auto" w:fill="D9D9D9" w:themeFill="background1" w:themeFillShade="D9"/>
          </w:tcPr>
          <w:p w14:paraId="4192EC05" w14:textId="77777777" w:rsidR="009F01D8" w:rsidRPr="009F6FA6" w:rsidRDefault="009F01D8" w:rsidP="009F01D8">
            <w:pPr>
              <w:jc w:val="both"/>
              <w:rPr>
                <w:rFonts w:asciiTheme="majorBidi" w:hAnsiTheme="majorBidi" w:cstheme="majorBidi"/>
                <w:b/>
                <w:bCs/>
              </w:rPr>
            </w:pPr>
          </w:p>
        </w:tc>
      </w:tr>
    </w:tbl>
    <w:p w14:paraId="7EC54448" w14:textId="77777777" w:rsidR="009F01D8" w:rsidRPr="009F6FA6" w:rsidRDefault="009F01D8" w:rsidP="009F01D8">
      <w:pPr>
        <w:jc w:val="both"/>
        <w:rPr>
          <w:rFonts w:asciiTheme="majorBidi" w:hAnsiTheme="majorBidi" w:cstheme="majorBidi"/>
        </w:rPr>
      </w:pPr>
    </w:p>
    <w:bookmarkEnd w:id="623"/>
    <w:p w14:paraId="70D98699" w14:textId="77777777" w:rsidR="009F01D8" w:rsidRDefault="009F01D8" w:rsidP="009F01D8">
      <w:pPr>
        <w:pStyle w:val="Caption"/>
        <w:jc w:val="both"/>
        <w:sectPr w:rsidR="009F01D8">
          <w:pgSz w:w="11906" w:h="16838"/>
          <w:pgMar w:top="1440" w:right="1440" w:bottom="1440" w:left="1440" w:header="708" w:footer="708" w:gutter="0"/>
          <w:cols w:space="708"/>
          <w:docGrid w:linePitch="360"/>
        </w:sectPr>
      </w:pPr>
    </w:p>
    <w:p w14:paraId="640D92F1" w14:textId="37892A5B" w:rsidR="009F01D8" w:rsidRPr="00432C84" w:rsidRDefault="00432C84" w:rsidP="009F01D8">
      <w:pPr>
        <w:pStyle w:val="Heading3"/>
        <w:ind w:left="360"/>
        <w:rPr>
          <w:rFonts w:asciiTheme="majorBidi" w:hAnsiTheme="majorBidi"/>
          <w:sz w:val="26"/>
          <w:szCs w:val="26"/>
        </w:rPr>
      </w:pPr>
      <w:r>
        <w:rPr>
          <w:rFonts w:asciiTheme="majorBidi" w:hAnsiTheme="majorBidi"/>
          <w:sz w:val="26"/>
          <w:szCs w:val="26"/>
        </w:rPr>
        <w:lastRenderedPageBreak/>
        <w:tab/>
      </w:r>
      <w:r>
        <w:rPr>
          <w:rFonts w:asciiTheme="majorBidi" w:hAnsiTheme="majorBidi"/>
          <w:sz w:val="26"/>
          <w:szCs w:val="26"/>
        </w:rPr>
        <w:tab/>
      </w:r>
      <w:bookmarkStart w:id="626" w:name="_Toc87463085"/>
      <w:r w:rsidR="009F01D8" w:rsidRPr="00432C84">
        <w:rPr>
          <w:rFonts w:asciiTheme="majorBidi" w:hAnsiTheme="majorBidi"/>
          <w:sz w:val="26"/>
          <w:szCs w:val="26"/>
        </w:rPr>
        <w:t>A4.2 Risk of bias scores with reasons</w:t>
      </w:r>
      <w:bookmarkEnd w:id="626"/>
    </w:p>
    <w:p w14:paraId="77CB0F06" w14:textId="7AF00E12" w:rsidR="009F01D8" w:rsidRPr="009F6FA6" w:rsidRDefault="009F01D8" w:rsidP="009F01D8">
      <w:pPr>
        <w:pStyle w:val="Caption"/>
        <w:jc w:val="both"/>
        <w:rPr>
          <w:rFonts w:asciiTheme="majorBidi" w:hAnsiTheme="majorBidi" w:cstheme="majorBidi"/>
          <w:b/>
          <w:bCs/>
          <w:i w:val="0"/>
          <w:iCs w:val="0"/>
          <w:sz w:val="20"/>
          <w:szCs w:val="20"/>
        </w:rPr>
      </w:pPr>
      <w:bookmarkStart w:id="627" w:name="_Ref85642387"/>
      <w:bookmarkStart w:id="628" w:name="_Toc86419027"/>
      <w:r w:rsidRPr="009F6FA6">
        <w:rPr>
          <w:rFonts w:asciiTheme="majorBidi" w:hAnsiTheme="majorBidi" w:cstheme="majorBidi"/>
          <w:b/>
          <w:bCs/>
          <w:i w:val="0"/>
          <w:iCs w:val="0"/>
          <w:sz w:val="20"/>
          <w:szCs w:val="20"/>
        </w:rPr>
        <w:t xml:space="preserve">Table </w:t>
      </w:r>
      <w:r w:rsidR="00F10F0A">
        <w:rPr>
          <w:rFonts w:asciiTheme="majorBidi" w:hAnsiTheme="majorBidi" w:cstheme="majorBidi"/>
          <w:b/>
          <w:bCs/>
          <w:i w:val="0"/>
          <w:iCs w:val="0"/>
          <w:noProof/>
          <w:sz w:val="20"/>
          <w:szCs w:val="20"/>
        </w:rPr>
        <w:t>50</w:t>
      </w:r>
      <w:bookmarkEnd w:id="627"/>
      <w:r w:rsidRPr="009F6FA6">
        <w:rPr>
          <w:rFonts w:asciiTheme="majorBidi" w:hAnsiTheme="majorBidi" w:cstheme="majorBidi"/>
          <w:b/>
          <w:bCs/>
          <w:i w:val="0"/>
          <w:iCs w:val="0"/>
          <w:sz w:val="20"/>
          <w:szCs w:val="20"/>
        </w:rPr>
        <w:tab/>
      </w:r>
      <w:r w:rsidRPr="009F6FA6">
        <w:rPr>
          <w:rFonts w:asciiTheme="majorBidi" w:hAnsiTheme="majorBidi" w:cstheme="majorBidi"/>
          <w:b/>
          <w:bCs/>
          <w:i w:val="0"/>
          <w:iCs w:val="0"/>
          <w:sz w:val="20"/>
          <w:szCs w:val="20"/>
        </w:rPr>
        <w:tab/>
        <w:t>Reviewer’s risk of bias scores with reasons</w:t>
      </w:r>
      <w:bookmarkEnd w:id="628"/>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0"/>
        <w:gridCol w:w="737"/>
        <w:gridCol w:w="1037"/>
        <w:gridCol w:w="819"/>
        <w:gridCol w:w="831"/>
        <w:gridCol w:w="1508"/>
        <w:gridCol w:w="737"/>
        <w:gridCol w:w="737"/>
        <w:gridCol w:w="992"/>
        <w:gridCol w:w="667"/>
        <w:gridCol w:w="978"/>
        <w:gridCol w:w="776"/>
        <w:gridCol w:w="761"/>
        <w:gridCol w:w="947"/>
        <w:gridCol w:w="784"/>
        <w:gridCol w:w="667"/>
      </w:tblGrid>
      <w:tr w:rsidR="009F01D8" w:rsidRPr="009F6FA6" w14:paraId="54708081" w14:textId="77777777" w:rsidTr="009F01D8">
        <w:trPr>
          <w:trHeight w:val="501"/>
        </w:trPr>
        <w:tc>
          <w:tcPr>
            <w:tcW w:w="0" w:type="auto"/>
            <w:shd w:val="clear" w:color="auto" w:fill="F2F2F2" w:themeFill="background1" w:themeFillShade="F2"/>
            <w:tcMar>
              <w:top w:w="30" w:type="dxa"/>
              <w:left w:w="45" w:type="dxa"/>
              <w:bottom w:w="30" w:type="dxa"/>
              <w:right w:w="45" w:type="dxa"/>
            </w:tcMar>
            <w:hideMark/>
          </w:tcPr>
          <w:p w14:paraId="440C5376"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Study ID</w:t>
            </w:r>
          </w:p>
        </w:tc>
        <w:tc>
          <w:tcPr>
            <w:tcW w:w="0" w:type="auto"/>
            <w:gridSpan w:val="7"/>
            <w:shd w:val="clear" w:color="auto" w:fill="F2F2F2" w:themeFill="background1" w:themeFillShade="F2"/>
            <w:tcMar>
              <w:top w:w="30" w:type="dxa"/>
              <w:left w:w="45" w:type="dxa"/>
              <w:bottom w:w="30" w:type="dxa"/>
              <w:right w:w="45" w:type="dxa"/>
            </w:tcMar>
            <w:hideMark/>
          </w:tcPr>
          <w:p w14:paraId="27EAC07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b/>
                <w:bCs/>
              </w:rPr>
              <w:t>1. Target population</w:t>
            </w:r>
          </w:p>
        </w:tc>
        <w:tc>
          <w:tcPr>
            <w:tcW w:w="0" w:type="auto"/>
            <w:gridSpan w:val="2"/>
            <w:shd w:val="clear" w:color="auto" w:fill="F2F2F2" w:themeFill="background1" w:themeFillShade="F2"/>
            <w:tcMar>
              <w:top w:w="30" w:type="dxa"/>
              <w:left w:w="45" w:type="dxa"/>
              <w:bottom w:w="30" w:type="dxa"/>
              <w:right w:w="45" w:type="dxa"/>
            </w:tcMar>
            <w:hideMark/>
          </w:tcPr>
          <w:p w14:paraId="73E7677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b/>
                <w:bCs/>
              </w:rPr>
              <w:t>2. Sampling strategy</w:t>
            </w:r>
          </w:p>
        </w:tc>
        <w:tc>
          <w:tcPr>
            <w:tcW w:w="0" w:type="auto"/>
            <w:gridSpan w:val="4"/>
            <w:shd w:val="clear" w:color="auto" w:fill="F2F2F2" w:themeFill="background1" w:themeFillShade="F2"/>
            <w:tcMar>
              <w:top w:w="30" w:type="dxa"/>
              <w:left w:w="45" w:type="dxa"/>
              <w:bottom w:w="30" w:type="dxa"/>
              <w:right w:w="45" w:type="dxa"/>
            </w:tcMar>
            <w:hideMark/>
          </w:tcPr>
          <w:p w14:paraId="0F78CA8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b/>
                <w:bCs/>
              </w:rPr>
              <w:t>3. Outcome measurement</w:t>
            </w:r>
          </w:p>
        </w:tc>
        <w:tc>
          <w:tcPr>
            <w:tcW w:w="0" w:type="auto"/>
            <w:gridSpan w:val="2"/>
            <w:shd w:val="clear" w:color="auto" w:fill="F2F2F2" w:themeFill="background1" w:themeFillShade="F2"/>
            <w:tcMar>
              <w:top w:w="30" w:type="dxa"/>
              <w:left w:w="45" w:type="dxa"/>
              <w:bottom w:w="30" w:type="dxa"/>
              <w:right w:w="45" w:type="dxa"/>
            </w:tcMar>
            <w:hideMark/>
          </w:tcPr>
          <w:p w14:paraId="27FD3FA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b/>
                <w:bCs/>
              </w:rPr>
              <w:t>4. Missing data</w:t>
            </w:r>
          </w:p>
          <w:p w14:paraId="397EE6F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b/>
                <w:bCs/>
              </w:rPr>
              <w:t xml:space="preserve"> </w:t>
            </w:r>
          </w:p>
        </w:tc>
      </w:tr>
      <w:tr w:rsidR="009F01D8" w:rsidRPr="009F6FA6" w14:paraId="789E2BCB" w14:textId="77777777" w:rsidTr="009F01D8">
        <w:trPr>
          <w:trHeight w:val="2160"/>
        </w:trPr>
        <w:tc>
          <w:tcPr>
            <w:tcW w:w="0" w:type="auto"/>
            <w:shd w:val="clear" w:color="auto" w:fill="F2F2F2" w:themeFill="background1" w:themeFillShade="F2"/>
            <w:tcMar>
              <w:top w:w="30" w:type="dxa"/>
              <w:left w:w="45" w:type="dxa"/>
              <w:bottom w:w="30" w:type="dxa"/>
              <w:right w:w="45" w:type="dxa"/>
            </w:tcMar>
          </w:tcPr>
          <w:p w14:paraId="7AFEB3B8" w14:textId="77777777" w:rsidR="009F01D8" w:rsidRPr="009F6FA6" w:rsidRDefault="009F01D8" w:rsidP="009F01D8">
            <w:pPr>
              <w:spacing w:after="0" w:line="240" w:lineRule="auto"/>
              <w:jc w:val="both"/>
              <w:rPr>
                <w:rFonts w:asciiTheme="majorBidi" w:eastAsia="Times New Roman" w:hAnsiTheme="majorBidi" w:cstheme="majorBidi"/>
                <w:b/>
                <w:bCs/>
              </w:rPr>
            </w:pPr>
          </w:p>
        </w:tc>
        <w:tc>
          <w:tcPr>
            <w:tcW w:w="0" w:type="auto"/>
            <w:shd w:val="clear" w:color="auto" w:fill="F2F2F2" w:themeFill="background1" w:themeFillShade="F2"/>
            <w:tcMar>
              <w:top w:w="30" w:type="dxa"/>
              <w:left w:w="45" w:type="dxa"/>
              <w:bottom w:w="30" w:type="dxa"/>
              <w:right w:w="45" w:type="dxa"/>
            </w:tcMar>
          </w:tcPr>
          <w:p w14:paraId="18419866"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rPr>
              <w:t xml:space="preserve">Is the target population of the study broadly appropriate to the HVCS? </w:t>
            </w:r>
          </w:p>
        </w:tc>
        <w:tc>
          <w:tcPr>
            <w:tcW w:w="0" w:type="auto"/>
            <w:shd w:val="clear" w:color="auto" w:fill="F2F2F2" w:themeFill="background1" w:themeFillShade="F2"/>
            <w:tcMar>
              <w:top w:w="30" w:type="dxa"/>
              <w:left w:w="45" w:type="dxa"/>
              <w:bottom w:w="30" w:type="dxa"/>
              <w:right w:w="45" w:type="dxa"/>
            </w:tcMar>
          </w:tcPr>
          <w:p w14:paraId="278052F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Were isolates selected based on resistance to comparators?</w:t>
            </w:r>
          </w:p>
        </w:tc>
        <w:tc>
          <w:tcPr>
            <w:tcW w:w="0" w:type="auto"/>
            <w:shd w:val="clear" w:color="auto" w:fill="F2F2F2" w:themeFill="background1" w:themeFillShade="F2"/>
            <w:tcMar>
              <w:top w:w="30" w:type="dxa"/>
              <w:left w:w="45" w:type="dxa"/>
              <w:bottom w:w="30" w:type="dxa"/>
              <w:right w:w="45" w:type="dxa"/>
            </w:tcMar>
          </w:tcPr>
          <w:p w14:paraId="00FB229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Was there appropriate inclusion or exclusion of isolates with co-carriage of other significant mechanisms, as per HVCS?</w:t>
            </w:r>
          </w:p>
        </w:tc>
        <w:tc>
          <w:tcPr>
            <w:tcW w:w="0" w:type="auto"/>
            <w:shd w:val="clear" w:color="auto" w:fill="F2F2F2" w:themeFill="background1" w:themeFillShade="F2"/>
            <w:tcMar>
              <w:top w:w="30" w:type="dxa"/>
              <w:left w:w="45" w:type="dxa"/>
              <w:bottom w:w="30" w:type="dxa"/>
              <w:right w:w="45" w:type="dxa"/>
            </w:tcMar>
          </w:tcPr>
          <w:p w14:paraId="3D6A234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Were all isolates tested for the pathogen-mechanism of interest in a standard way, and does this match the HVCS?</w:t>
            </w:r>
          </w:p>
        </w:tc>
        <w:tc>
          <w:tcPr>
            <w:tcW w:w="0" w:type="auto"/>
            <w:shd w:val="clear" w:color="auto" w:fill="F2F2F2" w:themeFill="background1" w:themeFillShade="F2"/>
            <w:tcMar>
              <w:top w:w="30" w:type="dxa"/>
              <w:left w:w="45" w:type="dxa"/>
              <w:bottom w:w="30" w:type="dxa"/>
              <w:right w:w="45" w:type="dxa"/>
            </w:tcMar>
          </w:tcPr>
          <w:p w14:paraId="2BD7B49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Was the beta-lactamase test appropriate?</w:t>
            </w:r>
          </w:p>
        </w:tc>
        <w:tc>
          <w:tcPr>
            <w:tcW w:w="0" w:type="auto"/>
            <w:shd w:val="clear" w:color="auto" w:fill="F2F2F2" w:themeFill="background1" w:themeFillShade="F2"/>
            <w:tcMar>
              <w:top w:w="30" w:type="dxa"/>
              <w:left w:w="45" w:type="dxa"/>
              <w:bottom w:w="30" w:type="dxa"/>
              <w:right w:w="45" w:type="dxa"/>
            </w:tcMar>
          </w:tcPr>
          <w:p w14:paraId="0D37850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 xml:space="preserve">Were data collected over an appropriate </w:t>
            </w:r>
            <w:proofErr w:type="gramStart"/>
            <w:r w:rsidRPr="009F6FA6">
              <w:rPr>
                <w:rFonts w:asciiTheme="majorBidi" w:hAnsiTheme="majorBidi" w:cstheme="majorBidi"/>
              </w:rPr>
              <w:t>time period</w:t>
            </w:r>
            <w:proofErr w:type="gramEnd"/>
            <w:r w:rsidRPr="009F6FA6">
              <w:rPr>
                <w:rFonts w:asciiTheme="majorBidi" w:hAnsiTheme="majorBidi" w:cstheme="majorBidi"/>
              </w:rPr>
              <w:t xml:space="preserve">? </w:t>
            </w:r>
          </w:p>
        </w:tc>
        <w:tc>
          <w:tcPr>
            <w:tcW w:w="0" w:type="auto"/>
            <w:shd w:val="clear" w:color="auto" w:fill="F2F2F2" w:themeFill="background1" w:themeFillShade="F2"/>
            <w:tcMar>
              <w:top w:w="30" w:type="dxa"/>
              <w:left w:w="45" w:type="dxa"/>
              <w:bottom w:w="30" w:type="dxa"/>
              <w:right w:w="45" w:type="dxa"/>
            </w:tcMar>
          </w:tcPr>
          <w:p w14:paraId="25F65F24"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b/>
                <w:bCs/>
              </w:rPr>
              <w:t>Target population overall judgement</w:t>
            </w:r>
          </w:p>
        </w:tc>
        <w:tc>
          <w:tcPr>
            <w:tcW w:w="0" w:type="auto"/>
            <w:shd w:val="clear" w:color="auto" w:fill="F2F2F2" w:themeFill="background1" w:themeFillShade="F2"/>
            <w:tcMar>
              <w:top w:w="30" w:type="dxa"/>
              <w:left w:w="45" w:type="dxa"/>
              <w:bottom w:w="30" w:type="dxa"/>
              <w:right w:w="45" w:type="dxa"/>
            </w:tcMar>
          </w:tcPr>
          <w:p w14:paraId="77ACB181"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rPr>
              <w:t>Were isolates sampled from the target population in an appropriate way?</w:t>
            </w:r>
          </w:p>
        </w:tc>
        <w:tc>
          <w:tcPr>
            <w:tcW w:w="0" w:type="auto"/>
            <w:shd w:val="clear" w:color="auto" w:fill="F2F2F2" w:themeFill="background1" w:themeFillShade="F2"/>
            <w:tcMar>
              <w:top w:w="30" w:type="dxa"/>
              <w:left w:w="45" w:type="dxa"/>
              <w:bottom w:w="30" w:type="dxa"/>
              <w:right w:w="45" w:type="dxa"/>
            </w:tcMar>
          </w:tcPr>
          <w:p w14:paraId="3722A25E"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b/>
                <w:bCs/>
              </w:rPr>
              <w:t>Sampling strategy: Overall judgment</w:t>
            </w:r>
          </w:p>
        </w:tc>
        <w:tc>
          <w:tcPr>
            <w:tcW w:w="0" w:type="auto"/>
            <w:shd w:val="clear" w:color="auto" w:fill="F2F2F2" w:themeFill="background1" w:themeFillShade="F2"/>
            <w:tcMar>
              <w:top w:w="30" w:type="dxa"/>
              <w:left w:w="45" w:type="dxa"/>
              <w:bottom w:w="30" w:type="dxa"/>
              <w:right w:w="45" w:type="dxa"/>
            </w:tcMar>
          </w:tcPr>
          <w:p w14:paraId="46BBB768"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rPr>
              <w:t xml:space="preserve">Was susceptibility measured in an appropriate, standard way? </w:t>
            </w:r>
          </w:p>
        </w:tc>
        <w:tc>
          <w:tcPr>
            <w:tcW w:w="0" w:type="auto"/>
            <w:shd w:val="clear" w:color="auto" w:fill="F2F2F2" w:themeFill="background1" w:themeFillShade="F2"/>
            <w:tcMar>
              <w:top w:w="30" w:type="dxa"/>
              <w:left w:w="45" w:type="dxa"/>
              <w:bottom w:w="30" w:type="dxa"/>
              <w:right w:w="45" w:type="dxa"/>
            </w:tcMar>
          </w:tcPr>
          <w:p w14:paraId="2A77E0A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 xml:space="preserve">Does the study demonstrate selective analysis reporting, with respect to S, I and R? </w:t>
            </w:r>
          </w:p>
        </w:tc>
        <w:tc>
          <w:tcPr>
            <w:tcW w:w="0" w:type="auto"/>
            <w:shd w:val="clear" w:color="auto" w:fill="F2F2F2" w:themeFill="background1" w:themeFillShade="F2"/>
            <w:tcMar>
              <w:top w:w="30" w:type="dxa"/>
              <w:left w:w="45" w:type="dxa"/>
              <w:bottom w:w="30" w:type="dxa"/>
              <w:right w:w="45" w:type="dxa"/>
            </w:tcMar>
          </w:tcPr>
          <w:p w14:paraId="53F258A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 xml:space="preserve">Were S, I and R reported consistently for all treatments? </w:t>
            </w:r>
          </w:p>
        </w:tc>
        <w:tc>
          <w:tcPr>
            <w:tcW w:w="0" w:type="auto"/>
            <w:shd w:val="clear" w:color="auto" w:fill="F2F2F2" w:themeFill="background1" w:themeFillShade="F2"/>
            <w:tcMar>
              <w:top w:w="30" w:type="dxa"/>
              <w:left w:w="45" w:type="dxa"/>
              <w:bottom w:w="30" w:type="dxa"/>
              <w:right w:w="45" w:type="dxa"/>
            </w:tcMar>
          </w:tcPr>
          <w:p w14:paraId="133F2342"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b/>
                <w:bCs/>
              </w:rPr>
              <w:t>Outcome measurement: Overall judgment</w:t>
            </w:r>
          </w:p>
        </w:tc>
        <w:tc>
          <w:tcPr>
            <w:tcW w:w="0" w:type="auto"/>
            <w:shd w:val="clear" w:color="auto" w:fill="F2F2F2" w:themeFill="background1" w:themeFillShade="F2"/>
            <w:tcMar>
              <w:top w:w="30" w:type="dxa"/>
              <w:left w:w="45" w:type="dxa"/>
              <w:bottom w:w="30" w:type="dxa"/>
              <w:right w:w="45" w:type="dxa"/>
            </w:tcMar>
          </w:tcPr>
          <w:p w14:paraId="78385DBC"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rPr>
              <w:t>Is there a risk of bias from missing data?</w:t>
            </w:r>
          </w:p>
        </w:tc>
        <w:tc>
          <w:tcPr>
            <w:tcW w:w="0" w:type="auto"/>
            <w:shd w:val="clear" w:color="auto" w:fill="F2F2F2" w:themeFill="background1" w:themeFillShade="F2"/>
            <w:tcMar>
              <w:top w:w="30" w:type="dxa"/>
              <w:left w:w="45" w:type="dxa"/>
              <w:bottom w:w="30" w:type="dxa"/>
              <w:right w:w="45" w:type="dxa"/>
            </w:tcMar>
          </w:tcPr>
          <w:p w14:paraId="2570EF6F" w14:textId="77777777" w:rsidR="009F01D8" w:rsidRPr="009F6FA6" w:rsidRDefault="009F01D8" w:rsidP="009F01D8">
            <w:pPr>
              <w:spacing w:after="0" w:line="240" w:lineRule="auto"/>
              <w:jc w:val="both"/>
              <w:rPr>
                <w:rFonts w:asciiTheme="majorBidi" w:hAnsiTheme="majorBidi" w:cstheme="majorBidi"/>
                <w:b/>
                <w:bCs/>
              </w:rPr>
            </w:pPr>
            <w:r w:rsidRPr="009F6FA6">
              <w:rPr>
                <w:rFonts w:asciiTheme="majorBidi" w:hAnsiTheme="majorBidi" w:cstheme="majorBidi"/>
                <w:b/>
                <w:bCs/>
              </w:rPr>
              <w:t>Missing data: Overall judgment</w:t>
            </w:r>
          </w:p>
        </w:tc>
      </w:tr>
      <w:tr w:rsidR="009F01D8" w:rsidRPr="009F6FA6" w14:paraId="7B157A9B" w14:textId="77777777" w:rsidTr="009F01D8">
        <w:trPr>
          <w:trHeight w:val="315"/>
        </w:trPr>
        <w:tc>
          <w:tcPr>
            <w:tcW w:w="0" w:type="auto"/>
            <w:gridSpan w:val="16"/>
            <w:shd w:val="clear" w:color="auto" w:fill="D9D9D9"/>
            <w:tcMar>
              <w:top w:w="30" w:type="dxa"/>
              <w:left w:w="45" w:type="dxa"/>
              <w:bottom w:w="30" w:type="dxa"/>
              <w:right w:w="45" w:type="dxa"/>
            </w:tcMar>
            <w:hideMark/>
          </w:tcPr>
          <w:p w14:paraId="67030CF8" w14:textId="77777777" w:rsidR="009F01D8" w:rsidRPr="009F6FA6" w:rsidRDefault="009F01D8" w:rsidP="009F01D8">
            <w:pPr>
              <w:spacing w:after="0" w:line="240" w:lineRule="auto"/>
              <w:jc w:val="both"/>
              <w:rPr>
                <w:rFonts w:asciiTheme="majorBidi" w:eastAsia="Times New Roman" w:hAnsiTheme="majorBidi" w:cstheme="majorBidi"/>
                <w:b/>
                <w:bCs/>
              </w:rPr>
            </w:pPr>
            <w:proofErr w:type="spellStart"/>
            <w:r w:rsidRPr="009F6FA6">
              <w:rPr>
                <w:rFonts w:asciiTheme="majorBidi" w:eastAsia="Times New Roman" w:hAnsiTheme="majorBidi" w:cstheme="majorBidi"/>
                <w:b/>
                <w:bCs/>
              </w:rPr>
              <w:t>Uk</w:t>
            </w:r>
            <w:proofErr w:type="spellEnd"/>
            <w:r w:rsidRPr="009F6FA6">
              <w:rPr>
                <w:rFonts w:asciiTheme="majorBidi" w:eastAsia="Times New Roman" w:hAnsiTheme="majorBidi" w:cstheme="majorBidi"/>
                <w:b/>
                <w:bCs/>
              </w:rPr>
              <w:t xml:space="preserve"> studies</w:t>
            </w:r>
          </w:p>
        </w:tc>
      </w:tr>
      <w:tr w:rsidR="009F01D8" w:rsidRPr="009F6FA6" w14:paraId="0E19EAA0" w14:textId="77777777" w:rsidTr="009F01D8">
        <w:trPr>
          <w:trHeight w:val="315"/>
        </w:trPr>
        <w:tc>
          <w:tcPr>
            <w:tcW w:w="0" w:type="auto"/>
            <w:tcMar>
              <w:top w:w="30" w:type="dxa"/>
              <w:left w:w="45" w:type="dxa"/>
              <w:bottom w:w="30" w:type="dxa"/>
              <w:right w:w="45" w:type="dxa"/>
            </w:tcMar>
            <w:hideMark/>
          </w:tcPr>
          <w:p w14:paraId="020D777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PHE data</w:t>
            </w:r>
          </w:p>
        </w:tc>
        <w:tc>
          <w:tcPr>
            <w:tcW w:w="0" w:type="auto"/>
            <w:tcMar>
              <w:top w:w="30" w:type="dxa"/>
              <w:left w:w="45" w:type="dxa"/>
              <w:bottom w:w="30" w:type="dxa"/>
              <w:right w:w="45" w:type="dxa"/>
            </w:tcMar>
            <w:hideMark/>
          </w:tcPr>
          <w:p w14:paraId="59AC93C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if outbreaks will be over-</w:t>
            </w:r>
            <w:r w:rsidRPr="009F6FA6">
              <w:rPr>
                <w:rFonts w:asciiTheme="majorBidi" w:eastAsia="Times New Roman" w:hAnsiTheme="majorBidi" w:cstheme="majorBidi"/>
              </w:rPr>
              <w:lastRenderedPageBreak/>
              <w:t>represented</w:t>
            </w:r>
          </w:p>
        </w:tc>
        <w:tc>
          <w:tcPr>
            <w:tcW w:w="0" w:type="auto"/>
            <w:tcMar>
              <w:top w:w="30" w:type="dxa"/>
              <w:left w:w="45" w:type="dxa"/>
              <w:bottom w:w="30" w:type="dxa"/>
              <w:right w:w="45" w:type="dxa"/>
            </w:tcMar>
            <w:hideMark/>
          </w:tcPr>
          <w:p w14:paraId="4CAD1B3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 xml:space="preserve">Unclear - isolates submitted to PHE for suspected </w:t>
            </w:r>
            <w:proofErr w:type="spellStart"/>
            <w:r w:rsidRPr="009F6FA6">
              <w:rPr>
                <w:rFonts w:asciiTheme="majorBidi" w:eastAsia="Times New Roman" w:hAnsiTheme="majorBidi" w:cstheme="majorBidi"/>
              </w:rPr>
              <w:t>carbapenemases</w:t>
            </w:r>
            <w:proofErr w:type="spellEnd"/>
            <w:r w:rsidRPr="009F6FA6">
              <w:rPr>
                <w:rFonts w:asciiTheme="majorBidi" w:eastAsia="Times New Roman" w:hAnsiTheme="majorBidi" w:cstheme="majorBidi"/>
              </w:rPr>
              <w:t xml:space="preserve">, </w:t>
            </w:r>
            <w:r w:rsidRPr="009F6FA6">
              <w:rPr>
                <w:rFonts w:asciiTheme="majorBidi" w:eastAsia="Times New Roman" w:hAnsiTheme="majorBidi" w:cstheme="majorBidi"/>
              </w:rPr>
              <w:lastRenderedPageBreak/>
              <w:t>unclear how this judged</w:t>
            </w:r>
          </w:p>
        </w:tc>
        <w:tc>
          <w:tcPr>
            <w:tcW w:w="0" w:type="auto"/>
            <w:tcMar>
              <w:top w:w="30" w:type="dxa"/>
              <w:left w:w="45" w:type="dxa"/>
              <w:bottom w:w="30" w:type="dxa"/>
              <w:right w:w="45" w:type="dxa"/>
            </w:tcMar>
            <w:hideMark/>
          </w:tcPr>
          <w:p w14:paraId="27F933F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lastRenderedPageBreak/>
              <w:t>Unclear - not clear if MBLs were included</w:t>
            </w:r>
          </w:p>
        </w:tc>
        <w:tc>
          <w:tcPr>
            <w:tcW w:w="0" w:type="auto"/>
            <w:tcMar>
              <w:top w:w="30" w:type="dxa"/>
              <w:left w:w="45" w:type="dxa"/>
              <w:bottom w:w="30" w:type="dxa"/>
              <w:right w:w="45" w:type="dxa"/>
            </w:tcMar>
            <w:hideMark/>
          </w:tcPr>
          <w:p w14:paraId="1E4B6CA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low risk - all isolates were tested for beta-</w:t>
            </w:r>
            <w:r w:rsidRPr="009F6FA6">
              <w:rPr>
                <w:rFonts w:asciiTheme="majorBidi" w:hAnsiTheme="majorBidi" w:cstheme="majorBidi"/>
              </w:rPr>
              <w:lastRenderedPageBreak/>
              <w:t>lactamases</w:t>
            </w:r>
          </w:p>
        </w:tc>
        <w:tc>
          <w:tcPr>
            <w:tcW w:w="0" w:type="auto"/>
            <w:tcMar>
              <w:top w:w="30" w:type="dxa"/>
              <w:left w:w="45" w:type="dxa"/>
              <w:bottom w:w="30" w:type="dxa"/>
              <w:right w:w="45" w:type="dxa"/>
            </w:tcMar>
            <w:hideMark/>
          </w:tcPr>
          <w:p w14:paraId="4E9478B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lastRenderedPageBreak/>
              <w:t xml:space="preserve">Unclear what methodology used? </w:t>
            </w:r>
          </w:p>
        </w:tc>
        <w:tc>
          <w:tcPr>
            <w:tcW w:w="0" w:type="auto"/>
            <w:tcMar>
              <w:top w:w="30" w:type="dxa"/>
              <w:left w:w="45" w:type="dxa"/>
              <w:bottom w:w="30" w:type="dxa"/>
              <w:right w:w="45" w:type="dxa"/>
            </w:tcMar>
            <w:hideMark/>
          </w:tcPr>
          <w:p w14:paraId="30E8F9B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Low risk - 2014 to 2021</w:t>
            </w:r>
          </w:p>
        </w:tc>
        <w:tc>
          <w:tcPr>
            <w:tcW w:w="0" w:type="auto"/>
            <w:tcMar>
              <w:top w:w="30" w:type="dxa"/>
              <w:left w:w="45" w:type="dxa"/>
              <w:bottom w:w="30" w:type="dxa"/>
              <w:right w:w="45" w:type="dxa"/>
            </w:tcMar>
            <w:hideMark/>
          </w:tcPr>
          <w:p w14:paraId="74C01859"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hAnsiTheme="majorBidi" w:cstheme="majorBidi"/>
                <w:b/>
                <w:bCs/>
              </w:rPr>
              <w:t>Unclear risk</w:t>
            </w:r>
          </w:p>
        </w:tc>
        <w:tc>
          <w:tcPr>
            <w:tcW w:w="0" w:type="auto"/>
            <w:tcMar>
              <w:top w:w="30" w:type="dxa"/>
              <w:left w:w="45" w:type="dxa"/>
              <w:bottom w:w="30" w:type="dxa"/>
              <w:right w:w="45" w:type="dxa"/>
            </w:tcMar>
            <w:hideMark/>
          </w:tcPr>
          <w:p w14:paraId="087303C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 unclear if all isolates that met PHE criteria </w:t>
            </w:r>
            <w:r w:rsidRPr="009F6FA6">
              <w:rPr>
                <w:rFonts w:asciiTheme="majorBidi" w:eastAsia="Times New Roman" w:hAnsiTheme="majorBidi" w:cstheme="majorBidi"/>
              </w:rPr>
              <w:lastRenderedPageBreak/>
              <w:t>for submission were submitted since submission was voluntary</w:t>
            </w:r>
          </w:p>
        </w:tc>
        <w:tc>
          <w:tcPr>
            <w:tcW w:w="0" w:type="auto"/>
            <w:tcMar>
              <w:top w:w="30" w:type="dxa"/>
              <w:left w:w="45" w:type="dxa"/>
              <w:bottom w:w="30" w:type="dxa"/>
              <w:right w:w="45" w:type="dxa"/>
            </w:tcMar>
            <w:hideMark/>
          </w:tcPr>
          <w:p w14:paraId="3F638224"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lastRenderedPageBreak/>
              <w:t>Unclear risk</w:t>
            </w:r>
          </w:p>
        </w:tc>
        <w:tc>
          <w:tcPr>
            <w:tcW w:w="0" w:type="auto"/>
            <w:tcMar>
              <w:top w:w="30" w:type="dxa"/>
              <w:left w:w="45" w:type="dxa"/>
              <w:bottom w:w="30" w:type="dxa"/>
              <w:right w:w="45" w:type="dxa"/>
            </w:tcMar>
            <w:hideMark/>
          </w:tcPr>
          <w:p w14:paraId="67846B0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 xml:space="preserve">Unclear - PHE do not have access to the methods of </w:t>
            </w:r>
            <w:r w:rsidRPr="009F6FA6">
              <w:rPr>
                <w:rFonts w:asciiTheme="majorBidi" w:hAnsiTheme="majorBidi" w:cstheme="majorBidi"/>
              </w:rPr>
              <w:lastRenderedPageBreak/>
              <w:t>susceptibility testing by each lab</w:t>
            </w:r>
          </w:p>
        </w:tc>
        <w:tc>
          <w:tcPr>
            <w:tcW w:w="0" w:type="auto"/>
            <w:tcMar>
              <w:top w:w="30" w:type="dxa"/>
              <w:left w:w="45" w:type="dxa"/>
              <w:bottom w:w="30" w:type="dxa"/>
              <w:right w:w="45" w:type="dxa"/>
            </w:tcMar>
            <w:hideMark/>
          </w:tcPr>
          <w:p w14:paraId="5E0BD8F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w:t>
            </w:r>
          </w:p>
        </w:tc>
        <w:tc>
          <w:tcPr>
            <w:tcW w:w="0" w:type="auto"/>
            <w:tcMar>
              <w:top w:w="30" w:type="dxa"/>
              <w:left w:w="45" w:type="dxa"/>
              <w:bottom w:w="30" w:type="dxa"/>
              <w:right w:w="45" w:type="dxa"/>
            </w:tcMar>
            <w:hideMark/>
          </w:tcPr>
          <w:p w14:paraId="078F769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25C63AAE"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40C5F04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hAnsiTheme="majorBidi" w:cstheme="majorBidi"/>
              </w:rPr>
              <w:t xml:space="preserve">U - the analysis excluded isolates not </w:t>
            </w:r>
            <w:r w:rsidRPr="009F6FA6">
              <w:rPr>
                <w:rFonts w:asciiTheme="majorBidi" w:hAnsiTheme="majorBidi" w:cstheme="majorBidi"/>
              </w:rPr>
              <w:lastRenderedPageBreak/>
              <w:t>tested for all treatments, but it was not clear why some isolates were not tested</w:t>
            </w:r>
          </w:p>
        </w:tc>
        <w:tc>
          <w:tcPr>
            <w:tcW w:w="0" w:type="auto"/>
            <w:tcMar>
              <w:top w:w="30" w:type="dxa"/>
              <w:left w:w="45" w:type="dxa"/>
              <w:bottom w:w="30" w:type="dxa"/>
              <w:right w:w="45" w:type="dxa"/>
            </w:tcMar>
            <w:hideMark/>
          </w:tcPr>
          <w:p w14:paraId="04A020E0"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hAnsiTheme="majorBidi" w:cstheme="majorBidi"/>
                <w:b/>
                <w:bCs/>
              </w:rPr>
              <w:lastRenderedPageBreak/>
              <w:t>Unclear risk</w:t>
            </w:r>
          </w:p>
        </w:tc>
      </w:tr>
      <w:tr w:rsidR="009F01D8" w:rsidRPr="009F6FA6" w14:paraId="11D65955" w14:textId="77777777" w:rsidTr="009F01D8">
        <w:trPr>
          <w:trHeight w:val="315"/>
        </w:trPr>
        <w:tc>
          <w:tcPr>
            <w:tcW w:w="0" w:type="auto"/>
            <w:tcMar>
              <w:top w:w="30" w:type="dxa"/>
              <w:left w:w="45" w:type="dxa"/>
              <w:bottom w:w="30" w:type="dxa"/>
              <w:right w:w="45" w:type="dxa"/>
            </w:tcMar>
            <w:hideMark/>
          </w:tcPr>
          <w:p w14:paraId="134AA6E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Livermore 2011</w:t>
            </w:r>
          </w:p>
        </w:tc>
        <w:tc>
          <w:tcPr>
            <w:tcW w:w="0" w:type="auto"/>
            <w:tcMar>
              <w:top w:w="30" w:type="dxa"/>
              <w:left w:w="45" w:type="dxa"/>
              <w:bottom w:w="30" w:type="dxa"/>
              <w:right w:w="45" w:type="dxa"/>
            </w:tcMar>
            <w:hideMark/>
          </w:tcPr>
          <w:p w14:paraId="31F2079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if outbreaks will be over-represented</w:t>
            </w:r>
          </w:p>
        </w:tc>
        <w:tc>
          <w:tcPr>
            <w:tcW w:w="0" w:type="auto"/>
            <w:tcMar>
              <w:top w:w="30" w:type="dxa"/>
              <w:left w:w="45" w:type="dxa"/>
              <w:bottom w:w="30" w:type="dxa"/>
              <w:right w:w="45" w:type="dxa"/>
            </w:tcMar>
            <w:hideMark/>
          </w:tcPr>
          <w:p w14:paraId="2D1B237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submitted due to carbapenem resistance</w:t>
            </w:r>
          </w:p>
        </w:tc>
        <w:tc>
          <w:tcPr>
            <w:tcW w:w="0" w:type="auto"/>
            <w:tcMar>
              <w:top w:w="30" w:type="dxa"/>
              <w:left w:w="45" w:type="dxa"/>
              <w:bottom w:w="30" w:type="dxa"/>
              <w:right w:w="45" w:type="dxa"/>
            </w:tcMar>
            <w:hideMark/>
          </w:tcPr>
          <w:p w14:paraId="052CA217" w14:textId="0164DBB6"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if MBLs were include</w:t>
            </w:r>
          </w:p>
        </w:tc>
        <w:tc>
          <w:tcPr>
            <w:tcW w:w="0" w:type="auto"/>
            <w:tcMar>
              <w:top w:w="30" w:type="dxa"/>
              <w:left w:w="45" w:type="dxa"/>
              <w:bottom w:w="30" w:type="dxa"/>
              <w:right w:w="45" w:type="dxa"/>
            </w:tcMar>
            <w:hideMark/>
          </w:tcPr>
          <w:p w14:paraId="1C530AA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all isolates were tested for beta-lactamases</w:t>
            </w:r>
          </w:p>
        </w:tc>
        <w:tc>
          <w:tcPr>
            <w:tcW w:w="0" w:type="auto"/>
            <w:tcMar>
              <w:top w:w="30" w:type="dxa"/>
              <w:left w:w="45" w:type="dxa"/>
              <w:bottom w:w="30" w:type="dxa"/>
              <w:right w:w="45" w:type="dxa"/>
            </w:tcMar>
            <w:hideMark/>
          </w:tcPr>
          <w:p w14:paraId="38CB4D6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6A663C5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dates of recruitment not fully reported</w:t>
            </w:r>
          </w:p>
        </w:tc>
        <w:tc>
          <w:tcPr>
            <w:tcW w:w="0" w:type="auto"/>
            <w:tcMar>
              <w:top w:w="30" w:type="dxa"/>
              <w:left w:w="45" w:type="dxa"/>
              <w:bottom w:w="30" w:type="dxa"/>
              <w:right w:w="45" w:type="dxa"/>
            </w:tcMar>
            <w:hideMark/>
          </w:tcPr>
          <w:p w14:paraId="6F26BFF5"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3C9F03B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unclear if all isolates that met PHE criteria for submission were submitted since submission was voluntary</w:t>
            </w:r>
          </w:p>
        </w:tc>
        <w:tc>
          <w:tcPr>
            <w:tcW w:w="0" w:type="auto"/>
            <w:tcMar>
              <w:top w:w="30" w:type="dxa"/>
              <w:left w:w="45" w:type="dxa"/>
              <w:bottom w:w="30" w:type="dxa"/>
              <w:right w:w="45" w:type="dxa"/>
            </w:tcMar>
            <w:hideMark/>
          </w:tcPr>
          <w:p w14:paraId="3B5EDBCD"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41230A2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EUCAST and CLSI not interchangeable (clinical opinion)</w:t>
            </w:r>
          </w:p>
        </w:tc>
        <w:tc>
          <w:tcPr>
            <w:tcW w:w="0" w:type="auto"/>
            <w:tcMar>
              <w:top w:w="30" w:type="dxa"/>
              <w:left w:w="45" w:type="dxa"/>
              <w:bottom w:w="30" w:type="dxa"/>
              <w:right w:w="45" w:type="dxa"/>
            </w:tcMar>
            <w:hideMark/>
          </w:tcPr>
          <w:p w14:paraId="784993B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39B3F47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7B69382"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4245BBF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849C9FB"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65ECD835" w14:textId="77777777" w:rsidTr="009F01D8">
        <w:trPr>
          <w:trHeight w:val="315"/>
        </w:trPr>
        <w:tc>
          <w:tcPr>
            <w:tcW w:w="0" w:type="auto"/>
            <w:gridSpan w:val="16"/>
            <w:shd w:val="clear" w:color="auto" w:fill="D9D9D9"/>
            <w:tcMar>
              <w:top w:w="30" w:type="dxa"/>
              <w:left w:w="45" w:type="dxa"/>
              <w:bottom w:w="30" w:type="dxa"/>
              <w:right w:w="45" w:type="dxa"/>
            </w:tcMar>
            <w:hideMark/>
          </w:tcPr>
          <w:p w14:paraId="672DDFB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Non-UK studies (in order of size)</w:t>
            </w:r>
          </w:p>
        </w:tc>
      </w:tr>
      <w:tr w:rsidR="009F01D8" w:rsidRPr="009F6FA6" w14:paraId="1044D8DC" w14:textId="77777777" w:rsidTr="009F01D8">
        <w:trPr>
          <w:trHeight w:val="315"/>
        </w:trPr>
        <w:tc>
          <w:tcPr>
            <w:tcW w:w="0" w:type="auto"/>
            <w:tcMar>
              <w:top w:w="30" w:type="dxa"/>
              <w:left w:w="45" w:type="dxa"/>
              <w:bottom w:w="30" w:type="dxa"/>
              <w:right w:w="45" w:type="dxa"/>
            </w:tcMar>
            <w:hideMark/>
          </w:tcPr>
          <w:p w14:paraId="4846BBA3" w14:textId="77777777" w:rsidR="009F01D8" w:rsidRPr="009F6FA6" w:rsidRDefault="009F01D8" w:rsidP="009F01D8">
            <w:pPr>
              <w:spacing w:after="0" w:line="240" w:lineRule="auto"/>
              <w:jc w:val="both"/>
              <w:rPr>
                <w:rFonts w:asciiTheme="majorBidi" w:eastAsia="Times New Roman" w:hAnsiTheme="majorBidi" w:cstheme="majorBidi"/>
              </w:rPr>
            </w:pPr>
            <w:proofErr w:type="spellStart"/>
            <w:r w:rsidRPr="009F6FA6">
              <w:rPr>
                <w:rFonts w:asciiTheme="majorBidi" w:eastAsia="Times New Roman" w:hAnsiTheme="majorBidi" w:cstheme="majorBidi"/>
              </w:rPr>
              <w:t>Kazmierczak</w:t>
            </w:r>
            <w:proofErr w:type="spellEnd"/>
            <w:r w:rsidRPr="009F6FA6">
              <w:rPr>
                <w:rFonts w:asciiTheme="majorBidi" w:eastAsia="Times New Roman" w:hAnsiTheme="majorBidi" w:cstheme="majorBidi"/>
              </w:rPr>
              <w:t xml:space="preserve"> 2018</w:t>
            </w:r>
            <w:r w:rsidRPr="009F6FA6">
              <w:rPr>
                <w:rFonts w:asciiTheme="majorBidi" w:eastAsia="Times New Roman" w:hAnsiTheme="majorBidi" w:cstheme="majorBidi"/>
              </w:rPr>
              <w:br/>
              <w:t>(INFORM)</w:t>
            </w:r>
          </w:p>
        </w:tc>
        <w:tc>
          <w:tcPr>
            <w:tcW w:w="0" w:type="auto"/>
            <w:tcMar>
              <w:top w:w="30" w:type="dxa"/>
              <w:left w:w="45" w:type="dxa"/>
              <w:bottom w:w="30" w:type="dxa"/>
              <w:right w:w="45" w:type="dxa"/>
            </w:tcMar>
            <w:hideMark/>
          </w:tcPr>
          <w:p w14:paraId="5C993DB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DE0BB9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High risk - some isolates selected </w:t>
            </w:r>
            <w:r w:rsidRPr="009F6FA6">
              <w:rPr>
                <w:rFonts w:asciiTheme="majorBidi" w:eastAsia="Times New Roman" w:hAnsiTheme="majorBidi" w:cstheme="majorBidi"/>
              </w:rPr>
              <w:lastRenderedPageBreak/>
              <w:t>on basis of ceftazidime resistance</w:t>
            </w:r>
          </w:p>
        </w:tc>
        <w:tc>
          <w:tcPr>
            <w:tcW w:w="0" w:type="auto"/>
            <w:tcMar>
              <w:top w:w="30" w:type="dxa"/>
              <w:left w:w="45" w:type="dxa"/>
              <w:bottom w:w="30" w:type="dxa"/>
              <w:right w:w="45" w:type="dxa"/>
            </w:tcMar>
            <w:hideMark/>
          </w:tcPr>
          <w:p w14:paraId="318884B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 xml:space="preserve">low risk - data without MBL </w:t>
            </w:r>
            <w:r w:rsidRPr="009F6FA6">
              <w:rPr>
                <w:rFonts w:asciiTheme="majorBidi" w:eastAsia="Times New Roman" w:hAnsiTheme="majorBidi" w:cstheme="majorBidi"/>
              </w:rPr>
              <w:lastRenderedPageBreak/>
              <w:t>co-carriage reported</w:t>
            </w:r>
          </w:p>
        </w:tc>
        <w:tc>
          <w:tcPr>
            <w:tcW w:w="0" w:type="auto"/>
            <w:tcMar>
              <w:top w:w="30" w:type="dxa"/>
              <w:left w:w="45" w:type="dxa"/>
              <w:bottom w:w="30" w:type="dxa"/>
              <w:right w:w="45" w:type="dxa"/>
            </w:tcMar>
            <w:hideMark/>
          </w:tcPr>
          <w:p w14:paraId="5D582EA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 xml:space="preserve">low risk - methodology </w:t>
            </w:r>
            <w:r w:rsidRPr="009F6FA6">
              <w:rPr>
                <w:rFonts w:asciiTheme="majorBidi" w:eastAsia="Times New Roman" w:hAnsiTheme="majorBidi" w:cstheme="majorBidi"/>
              </w:rPr>
              <w:lastRenderedPageBreak/>
              <w:t>likely to capture all beta-lactamases since it includes CR</w:t>
            </w:r>
          </w:p>
        </w:tc>
        <w:tc>
          <w:tcPr>
            <w:tcW w:w="0" w:type="auto"/>
            <w:tcMar>
              <w:top w:w="30" w:type="dxa"/>
              <w:left w:w="45" w:type="dxa"/>
              <w:bottom w:w="30" w:type="dxa"/>
              <w:right w:w="45" w:type="dxa"/>
            </w:tcMar>
            <w:hideMark/>
          </w:tcPr>
          <w:p w14:paraId="1B01C1A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 - PCR</w:t>
            </w:r>
          </w:p>
        </w:tc>
        <w:tc>
          <w:tcPr>
            <w:tcW w:w="0" w:type="auto"/>
            <w:tcMar>
              <w:top w:w="30" w:type="dxa"/>
              <w:left w:w="45" w:type="dxa"/>
              <w:bottom w:w="30" w:type="dxa"/>
              <w:right w:w="45" w:type="dxa"/>
            </w:tcMar>
            <w:hideMark/>
          </w:tcPr>
          <w:p w14:paraId="2D6E5A5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- 2012 </w:t>
            </w:r>
            <w:r w:rsidRPr="009F6FA6">
              <w:rPr>
                <w:rFonts w:asciiTheme="majorBidi" w:eastAsia="Times New Roman" w:hAnsiTheme="majorBidi" w:cstheme="majorBidi"/>
              </w:rPr>
              <w:lastRenderedPageBreak/>
              <w:t>to 2015</w:t>
            </w:r>
          </w:p>
        </w:tc>
        <w:tc>
          <w:tcPr>
            <w:tcW w:w="0" w:type="auto"/>
            <w:tcMar>
              <w:top w:w="30" w:type="dxa"/>
              <w:left w:w="45" w:type="dxa"/>
              <w:bottom w:w="30" w:type="dxa"/>
              <w:right w:w="45" w:type="dxa"/>
            </w:tcMar>
            <w:hideMark/>
          </w:tcPr>
          <w:p w14:paraId="7D8B8F9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lastRenderedPageBreak/>
              <w:t>High risk</w:t>
            </w:r>
          </w:p>
        </w:tc>
        <w:tc>
          <w:tcPr>
            <w:tcW w:w="0" w:type="auto"/>
            <w:tcMar>
              <w:top w:w="30" w:type="dxa"/>
              <w:left w:w="45" w:type="dxa"/>
              <w:bottom w:w="30" w:type="dxa"/>
              <w:right w:w="45" w:type="dxa"/>
            </w:tcMar>
            <w:hideMark/>
          </w:tcPr>
          <w:p w14:paraId="6E0FAC1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 selected on basis of </w:t>
            </w:r>
            <w:r w:rsidRPr="009F6FA6">
              <w:rPr>
                <w:rFonts w:asciiTheme="majorBidi" w:eastAsia="Times New Roman" w:hAnsiTheme="majorBidi" w:cstheme="majorBidi"/>
              </w:rPr>
              <w:lastRenderedPageBreak/>
              <w:t>predefined # per species - unclear if this would produce a representative sample</w:t>
            </w:r>
          </w:p>
        </w:tc>
        <w:tc>
          <w:tcPr>
            <w:tcW w:w="0" w:type="auto"/>
            <w:tcMar>
              <w:top w:w="30" w:type="dxa"/>
              <w:left w:w="45" w:type="dxa"/>
              <w:bottom w:w="30" w:type="dxa"/>
              <w:right w:w="45" w:type="dxa"/>
            </w:tcMar>
            <w:hideMark/>
          </w:tcPr>
          <w:p w14:paraId="6A496596"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lastRenderedPageBreak/>
              <w:t>Unclear risk</w:t>
            </w:r>
          </w:p>
        </w:tc>
        <w:tc>
          <w:tcPr>
            <w:tcW w:w="0" w:type="auto"/>
            <w:tcMar>
              <w:top w:w="30" w:type="dxa"/>
              <w:left w:w="45" w:type="dxa"/>
              <w:bottom w:w="30" w:type="dxa"/>
              <w:right w:w="45" w:type="dxa"/>
            </w:tcMar>
            <w:hideMark/>
          </w:tcPr>
          <w:p w14:paraId="1CCB221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risk - used CLSI, </w:t>
            </w:r>
            <w:r w:rsidRPr="009F6FA6">
              <w:rPr>
                <w:rFonts w:asciiTheme="majorBidi" w:eastAsia="Times New Roman" w:hAnsiTheme="majorBidi" w:cstheme="majorBidi"/>
              </w:rPr>
              <w:lastRenderedPageBreak/>
              <w:t xml:space="preserve">EUCAST for colistin, FDA for </w:t>
            </w:r>
            <w:proofErr w:type="spellStart"/>
            <w:r w:rsidRPr="009F6FA6">
              <w:rPr>
                <w:rFonts w:asciiTheme="majorBidi" w:eastAsia="Times New Roman" w:hAnsiTheme="majorBidi" w:cstheme="majorBidi"/>
              </w:rPr>
              <w:t>Tigecyclin</w:t>
            </w:r>
            <w:proofErr w:type="spellEnd"/>
            <w:r w:rsidRPr="009F6FA6">
              <w:rPr>
                <w:rFonts w:asciiTheme="majorBidi" w:eastAsia="Times New Roman" w:hAnsiTheme="majorBidi" w:cstheme="majorBidi"/>
              </w:rPr>
              <w:t xml:space="preserve"> and </w:t>
            </w:r>
            <w:proofErr w:type="spellStart"/>
            <w:r w:rsidRPr="009F6FA6">
              <w:rPr>
                <w:rFonts w:asciiTheme="majorBidi" w:eastAsia="Times New Roman" w:hAnsiTheme="majorBidi" w:cstheme="majorBidi"/>
              </w:rPr>
              <w:t>caz-avi</w:t>
            </w:r>
            <w:proofErr w:type="spellEnd"/>
            <w:r w:rsidRPr="009F6FA6">
              <w:rPr>
                <w:rFonts w:asciiTheme="majorBidi" w:eastAsia="Times New Roman" w:hAnsiTheme="majorBidi" w:cstheme="majorBidi"/>
              </w:rPr>
              <w:t xml:space="preserve"> as no breakpoints from CLSI, unclear if CLSI equivalent to EUCAST</w:t>
            </w:r>
          </w:p>
        </w:tc>
        <w:tc>
          <w:tcPr>
            <w:tcW w:w="0" w:type="auto"/>
            <w:tcMar>
              <w:top w:w="30" w:type="dxa"/>
              <w:left w:w="45" w:type="dxa"/>
              <w:bottom w:w="30" w:type="dxa"/>
              <w:right w:w="45" w:type="dxa"/>
            </w:tcMar>
            <w:hideMark/>
          </w:tcPr>
          <w:p w14:paraId="37E82DE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w:t>
            </w:r>
          </w:p>
        </w:tc>
        <w:tc>
          <w:tcPr>
            <w:tcW w:w="0" w:type="auto"/>
            <w:tcMar>
              <w:top w:w="30" w:type="dxa"/>
              <w:left w:w="45" w:type="dxa"/>
              <w:bottom w:w="30" w:type="dxa"/>
              <w:right w:w="45" w:type="dxa"/>
            </w:tcMar>
            <w:hideMark/>
          </w:tcPr>
          <w:p w14:paraId="613553A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55D60C1F"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0F9BE9C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B64ACC4"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3451A789" w14:textId="77777777" w:rsidTr="009F01D8">
        <w:trPr>
          <w:trHeight w:val="315"/>
        </w:trPr>
        <w:tc>
          <w:tcPr>
            <w:tcW w:w="0" w:type="auto"/>
            <w:tcMar>
              <w:top w:w="30" w:type="dxa"/>
              <w:left w:w="45" w:type="dxa"/>
              <w:bottom w:w="30" w:type="dxa"/>
              <w:right w:w="45" w:type="dxa"/>
            </w:tcMar>
            <w:hideMark/>
          </w:tcPr>
          <w:p w14:paraId="3C403AE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Vazquez-</w:t>
            </w:r>
            <w:proofErr w:type="spellStart"/>
            <w:r w:rsidRPr="009F6FA6">
              <w:rPr>
                <w:rFonts w:asciiTheme="majorBidi" w:eastAsia="Times New Roman" w:hAnsiTheme="majorBidi" w:cstheme="majorBidi"/>
              </w:rPr>
              <w:t>Ucha</w:t>
            </w:r>
            <w:proofErr w:type="spellEnd"/>
            <w:r w:rsidRPr="009F6FA6">
              <w:rPr>
                <w:rFonts w:asciiTheme="majorBidi" w:eastAsia="Times New Roman" w:hAnsiTheme="majorBidi" w:cstheme="majorBidi"/>
              </w:rPr>
              <w:t xml:space="preserve"> 2021</w:t>
            </w:r>
          </w:p>
        </w:tc>
        <w:tc>
          <w:tcPr>
            <w:tcW w:w="0" w:type="auto"/>
            <w:tcMar>
              <w:top w:w="30" w:type="dxa"/>
              <w:left w:w="45" w:type="dxa"/>
              <w:bottom w:w="30" w:type="dxa"/>
              <w:right w:w="45" w:type="dxa"/>
            </w:tcMar>
            <w:hideMark/>
          </w:tcPr>
          <w:p w14:paraId="0721691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27CA87A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screening threshold for CR</w:t>
            </w:r>
          </w:p>
        </w:tc>
        <w:tc>
          <w:tcPr>
            <w:tcW w:w="0" w:type="auto"/>
            <w:tcMar>
              <w:top w:w="30" w:type="dxa"/>
              <w:left w:w="45" w:type="dxa"/>
              <w:bottom w:w="30" w:type="dxa"/>
              <w:right w:w="45" w:type="dxa"/>
            </w:tcMar>
            <w:hideMark/>
          </w:tcPr>
          <w:p w14:paraId="1FC1FC4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data without MBL co-carriage reported</w:t>
            </w:r>
          </w:p>
        </w:tc>
        <w:tc>
          <w:tcPr>
            <w:tcW w:w="0" w:type="auto"/>
            <w:tcMar>
              <w:top w:w="30" w:type="dxa"/>
              <w:left w:w="45" w:type="dxa"/>
              <w:bottom w:w="30" w:type="dxa"/>
              <w:right w:w="45" w:type="dxa"/>
            </w:tcMar>
            <w:hideMark/>
          </w:tcPr>
          <w:p w14:paraId="6FF768D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methodology likely to capture all beta-lactamases since used screening cut off</w:t>
            </w:r>
          </w:p>
        </w:tc>
        <w:tc>
          <w:tcPr>
            <w:tcW w:w="0" w:type="auto"/>
            <w:tcMar>
              <w:top w:w="30" w:type="dxa"/>
              <w:left w:w="45" w:type="dxa"/>
              <w:bottom w:w="30" w:type="dxa"/>
              <w:right w:w="45" w:type="dxa"/>
            </w:tcMar>
            <w:hideMark/>
          </w:tcPr>
          <w:p w14:paraId="017DB31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whole genome sequencing</w:t>
            </w:r>
          </w:p>
        </w:tc>
        <w:tc>
          <w:tcPr>
            <w:tcW w:w="0" w:type="auto"/>
            <w:tcMar>
              <w:top w:w="30" w:type="dxa"/>
              <w:left w:w="45" w:type="dxa"/>
              <w:bottom w:w="30" w:type="dxa"/>
              <w:right w:w="45" w:type="dxa"/>
            </w:tcMar>
            <w:hideMark/>
          </w:tcPr>
          <w:p w14:paraId="4E4B0DB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- 2018</w:t>
            </w:r>
          </w:p>
        </w:tc>
        <w:tc>
          <w:tcPr>
            <w:tcW w:w="0" w:type="auto"/>
            <w:tcMar>
              <w:top w:w="30" w:type="dxa"/>
              <w:left w:w="45" w:type="dxa"/>
              <w:bottom w:w="30" w:type="dxa"/>
              <w:right w:w="45" w:type="dxa"/>
            </w:tcMar>
            <w:hideMark/>
          </w:tcPr>
          <w:p w14:paraId="3059A8A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7AA6FF8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if consecutive or what "representative" means</w:t>
            </w:r>
          </w:p>
        </w:tc>
        <w:tc>
          <w:tcPr>
            <w:tcW w:w="0" w:type="auto"/>
            <w:tcMar>
              <w:top w:w="30" w:type="dxa"/>
              <w:left w:w="45" w:type="dxa"/>
              <w:bottom w:w="30" w:type="dxa"/>
              <w:right w:w="45" w:type="dxa"/>
            </w:tcMar>
            <w:hideMark/>
          </w:tcPr>
          <w:p w14:paraId="73A6C6F8"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602C16F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EUCAST for both methods and breakpoints</w:t>
            </w:r>
          </w:p>
        </w:tc>
        <w:tc>
          <w:tcPr>
            <w:tcW w:w="0" w:type="auto"/>
            <w:tcMar>
              <w:top w:w="30" w:type="dxa"/>
              <w:left w:w="45" w:type="dxa"/>
              <w:bottom w:w="30" w:type="dxa"/>
              <w:right w:w="45" w:type="dxa"/>
            </w:tcMar>
            <w:hideMark/>
          </w:tcPr>
          <w:p w14:paraId="16792FB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2272A6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391DB53"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3D97E44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71E6692"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769683E9" w14:textId="77777777" w:rsidTr="009F01D8">
        <w:trPr>
          <w:trHeight w:val="315"/>
        </w:trPr>
        <w:tc>
          <w:tcPr>
            <w:tcW w:w="0" w:type="auto"/>
            <w:tcMar>
              <w:top w:w="30" w:type="dxa"/>
              <w:left w:w="45" w:type="dxa"/>
              <w:bottom w:w="30" w:type="dxa"/>
              <w:right w:w="45" w:type="dxa"/>
            </w:tcMar>
            <w:hideMark/>
          </w:tcPr>
          <w:p w14:paraId="3B950AF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Garcia-Castillo, 2018 (</w:t>
            </w:r>
            <w:proofErr w:type="spellStart"/>
            <w:r w:rsidRPr="009F6FA6">
              <w:rPr>
                <w:rFonts w:asciiTheme="majorBidi" w:eastAsia="Times New Roman" w:hAnsiTheme="majorBidi" w:cstheme="majorBidi"/>
              </w:rPr>
              <w:t>iCREST</w:t>
            </w:r>
            <w:proofErr w:type="spellEnd"/>
            <w:r w:rsidRPr="009F6FA6">
              <w:rPr>
                <w:rFonts w:asciiTheme="majorBidi" w:eastAsia="Times New Roman" w:hAnsiTheme="majorBidi" w:cstheme="majorBidi"/>
              </w:rPr>
              <w:t xml:space="preserve"> - Spain)</w:t>
            </w:r>
          </w:p>
        </w:tc>
        <w:tc>
          <w:tcPr>
            <w:tcW w:w="0" w:type="auto"/>
            <w:tcMar>
              <w:top w:w="30" w:type="dxa"/>
              <w:left w:w="45" w:type="dxa"/>
              <w:bottom w:w="30" w:type="dxa"/>
              <w:right w:w="45" w:type="dxa"/>
            </w:tcMar>
            <w:hideMark/>
          </w:tcPr>
          <w:p w14:paraId="5FD2513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228185C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consecutive, then screened for CPE </w:t>
            </w:r>
            <w:r w:rsidRPr="009F6FA6">
              <w:rPr>
                <w:rFonts w:asciiTheme="majorBidi" w:eastAsia="Times New Roman" w:hAnsiTheme="majorBidi" w:cstheme="majorBidi"/>
              </w:rPr>
              <w:lastRenderedPageBreak/>
              <w:t xml:space="preserve">using </w:t>
            </w:r>
            <w:proofErr w:type="spellStart"/>
            <w:r w:rsidRPr="009F6FA6">
              <w:rPr>
                <w:rFonts w:asciiTheme="majorBidi" w:eastAsia="Times New Roman" w:hAnsiTheme="majorBidi" w:cstheme="majorBidi"/>
              </w:rPr>
              <w:t>commerical</w:t>
            </w:r>
            <w:proofErr w:type="spellEnd"/>
            <w:r w:rsidRPr="009F6FA6">
              <w:rPr>
                <w:rFonts w:asciiTheme="majorBidi" w:eastAsia="Times New Roman" w:hAnsiTheme="majorBidi" w:cstheme="majorBidi"/>
              </w:rPr>
              <w:t xml:space="preserve"> assay</w:t>
            </w:r>
          </w:p>
        </w:tc>
        <w:tc>
          <w:tcPr>
            <w:tcW w:w="0" w:type="auto"/>
            <w:tcMar>
              <w:top w:w="30" w:type="dxa"/>
              <w:left w:w="45" w:type="dxa"/>
              <w:bottom w:w="30" w:type="dxa"/>
              <w:right w:w="45" w:type="dxa"/>
            </w:tcMar>
            <w:hideMark/>
          </w:tcPr>
          <w:p w14:paraId="5DF5762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Unclear</w:t>
            </w:r>
          </w:p>
        </w:tc>
        <w:tc>
          <w:tcPr>
            <w:tcW w:w="0" w:type="auto"/>
            <w:tcMar>
              <w:top w:w="30" w:type="dxa"/>
              <w:left w:w="45" w:type="dxa"/>
              <w:bottom w:w="30" w:type="dxa"/>
              <w:right w:w="45" w:type="dxa"/>
            </w:tcMar>
            <w:hideMark/>
          </w:tcPr>
          <w:p w14:paraId="2CC3DBF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consecutive, then </w:t>
            </w:r>
            <w:r w:rsidRPr="009F6FA6">
              <w:rPr>
                <w:rFonts w:asciiTheme="majorBidi" w:eastAsia="Times New Roman" w:hAnsiTheme="majorBidi" w:cstheme="majorBidi"/>
              </w:rPr>
              <w:lastRenderedPageBreak/>
              <w:t xml:space="preserve">screened for CPE using </w:t>
            </w:r>
            <w:proofErr w:type="spellStart"/>
            <w:r w:rsidRPr="009F6FA6">
              <w:rPr>
                <w:rFonts w:asciiTheme="majorBidi" w:eastAsia="Times New Roman" w:hAnsiTheme="majorBidi" w:cstheme="majorBidi"/>
              </w:rPr>
              <w:t>commerical</w:t>
            </w:r>
            <w:proofErr w:type="spellEnd"/>
            <w:r w:rsidRPr="009F6FA6">
              <w:rPr>
                <w:rFonts w:asciiTheme="majorBidi" w:eastAsia="Times New Roman" w:hAnsiTheme="majorBidi" w:cstheme="majorBidi"/>
              </w:rPr>
              <w:t xml:space="preserve"> assay</w:t>
            </w:r>
          </w:p>
        </w:tc>
        <w:tc>
          <w:tcPr>
            <w:tcW w:w="0" w:type="auto"/>
            <w:tcMar>
              <w:top w:w="30" w:type="dxa"/>
              <w:left w:w="45" w:type="dxa"/>
              <w:bottom w:w="30" w:type="dxa"/>
              <w:right w:w="45" w:type="dxa"/>
            </w:tcMar>
            <w:hideMark/>
          </w:tcPr>
          <w:p w14:paraId="70D9717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 xml:space="preserve">Low risk - used molecular characterisation, and whole </w:t>
            </w:r>
            <w:r w:rsidRPr="009F6FA6">
              <w:rPr>
                <w:rFonts w:asciiTheme="majorBidi" w:eastAsia="Times New Roman" w:hAnsiTheme="majorBidi" w:cstheme="majorBidi"/>
              </w:rPr>
              <w:lastRenderedPageBreak/>
              <w:t>genome sequencing</w:t>
            </w:r>
          </w:p>
        </w:tc>
        <w:tc>
          <w:tcPr>
            <w:tcW w:w="0" w:type="auto"/>
            <w:tcMar>
              <w:top w:w="30" w:type="dxa"/>
              <w:left w:w="45" w:type="dxa"/>
              <w:bottom w:w="30" w:type="dxa"/>
              <w:right w:w="45" w:type="dxa"/>
            </w:tcMar>
            <w:hideMark/>
          </w:tcPr>
          <w:p w14:paraId="60E3801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 - 2016</w:t>
            </w:r>
          </w:p>
        </w:tc>
        <w:tc>
          <w:tcPr>
            <w:tcW w:w="0" w:type="auto"/>
            <w:tcMar>
              <w:top w:w="30" w:type="dxa"/>
              <w:left w:w="45" w:type="dxa"/>
              <w:bottom w:w="30" w:type="dxa"/>
              <w:right w:w="45" w:type="dxa"/>
            </w:tcMar>
            <w:hideMark/>
          </w:tcPr>
          <w:p w14:paraId="12B57DF9"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57AE72D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consecutive</w:t>
            </w:r>
          </w:p>
        </w:tc>
        <w:tc>
          <w:tcPr>
            <w:tcW w:w="0" w:type="auto"/>
            <w:tcMar>
              <w:top w:w="30" w:type="dxa"/>
              <w:left w:w="45" w:type="dxa"/>
              <w:bottom w:w="30" w:type="dxa"/>
              <w:right w:w="45" w:type="dxa"/>
            </w:tcMar>
            <w:hideMark/>
          </w:tcPr>
          <w:p w14:paraId="5A78F447"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6D4034E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lab method not reported</w:t>
            </w:r>
          </w:p>
        </w:tc>
        <w:tc>
          <w:tcPr>
            <w:tcW w:w="0" w:type="auto"/>
            <w:tcMar>
              <w:top w:w="30" w:type="dxa"/>
              <w:left w:w="45" w:type="dxa"/>
              <w:bottom w:w="30" w:type="dxa"/>
              <w:right w:w="45" w:type="dxa"/>
            </w:tcMar>
            <w:hideMark/>
          </w:tcPr>
          <w:p w14:paraId="5339D44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C91DD0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32D9D7BF"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6A3691D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A854AE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3F47CA0B" w14:textId="77777777" w:rsidTr="009F01D8">
        <w:trPr>
          <w:trHeight w:val="315"/>
        </w:trPr>
        <w:tc>
          <w:tcPr>
            <w:tcW w:w="0" w:type="auto"/>
            <w:tcMar>
              <w:top w:w="30" w:type="dxa"/>
              <w:left w:w="45" w:type="dxa"/>
              <w:bottom w:w="30" w:type="dxa"/>
              <w:right w:w="45" w:type="dxa"/>
            </w:tcMar>
            <w:hideMark/>
          </w:tcPr>
          <w:p w14:paraId="074F6A4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Longshaw 2020 (SIDERO-CR 2014-16)44</w:t>
            </w:r>
          </w:p>
        </w:tc>
        <w:tc>
          <w:tcPr>
            <w:tcW w:w="0" w:type="auto"/>
            <w:tcMar>
              <w:top w:w="30" w:type="dxa"/>
              <w:left w:w="45" w:type="dxa"/>
              <w:bottom w:w="30" w:type="dxa"/>
              <w:right w:w="45" w:type="dxa"/>
            </w:tcMar>
            <w:hideMark/>
          </w:tcPr>
          <w:p w14:paraId="0CABBC3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336169B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w:t>
            </w:r>
            <w:proofErr w:type="spellStart"/>
            <w:r w:rsidRPr="009F6FA6">
              <w:rPr>
                <w:rFonts w:asciiTheme="majorBidi" w:eastAsia="Times New Roman" w:hAnsiTheme="majorBidi" w:cstheme="majorBidi"/>
              </w:rPr>
              <w:t>meropenm</w:t>
            </w:r>
            <w:proofErr w:type="spellEnd"/>
            <w:r w:rsidRPr="009F6FA6">
              <w:rPr>
                <w:rFonts w:asciiTheme="majorBidi" w:eastAsia="Times New Roman" w:hAnsiTheme="majorBidi" w:cstheme="majorBidi"/>
              </w:rPr>
              <w:t xml:space="preserve"> non-susceptible</w:t>
            </w:r>
          </w:p>
        </w:tc>
        <w:tc>
          <w:tcPr>
            <w:tcW w:w="0" w:type="auto"/>
            <w:tcMar>
              <w:top w:w="30" w:type="dxa"/>
              <w:left w:w="45" w:type="dxa"/>
              <w:bottom w:w="30" w:type="dxa"/>
              <w:right w:w="45" w:type="dxa"/>
            </w:tcMar>
            <w:hideMark/>
          </w:tcPr>
          <w:p w14:paraId="3B209CF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includes MBLs</w:t>
            </w:r>
          </w:p>
        </w:tc>
        <w:tc>
          <w:tcPr>
            <w:tcW w:w="0" w:type="auto"/>
            <w:tcMar>
              <w:top w:w="30" w:type="dxa"/>
              <w:left w:w="45" w:type="dxa"/>
              <w:bottom w:w="30" w:type="dxa"/>
              <w:right w:w="45" w:type="dxa"/>
            </w:tcMar>
            <w:hideMark/>
          </w:tcPr>
          <w:p w14:paraId="6D329E9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all meropenem non-susceptible tested</w:t>
            </w:r>
          </w:p>
        </w:tc>
        <w:tc>
          <w:tcPr>
            <w:tcW w:w="0" w:type="auto"/>
            <w:tcMar>
              <w:top w:w="30" w:type="dxa"/>
              <w:left w:w="45" w:type="dxa"/>
              <w:bottom w:w="30" w:type="dxa"/>
              <w:right w:w="45" w:type="dxa"/>
            </w:tcMar>
            <w:hideMark/>
          </w:tcPr>
          <w:p w14:paraId="49FC335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6B4B95D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- 2014 to 2016</w:t>
            </w:r>
          </w:p>
        </w:tc>
        <w:tc>
          <w:tcPr>
            <w:tcW w:w="0" w:type="auto"/>
            <w:tcMar>
              <w:top w:w="30" w:type="dxa"/>
              <w:left w:w="45" w:type="dxa"/>
              <w:bottom w:w="30" w:type="dxa"/>
              <w:right w:w="45" w:type="dxa"/>
            </w:tcMar>
            <w:hideMark/>
          </w:tcPr>
          <w:p w14:paraId="4DC0E44D"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7C032D9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selected from surveillance collection based on AST or species, unclear if the sample will therefore be representative</w:t>
            </w:r>
          </w:p>
        </w:tc>
        <w:tc>
          <w:tcPr>
            <w:tcW w:w="0" w:type="auto"/>
            <w:tcMar>
              <w:top w:w="30" w:type="dxa"/>
              <w:left w:w="45" w:type="dxa"/>
              <w:bottom w:w="30" w:type="dxa"/>
              <w:right w:w="45" w:type="dxa"/>
            </w:tcMar>
            <w:hideMark/>
          </w:tcPr>
          <w:p w14:paraId="20FA09D3"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3357AE3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EUCAST and CLSI not interchangeable (clinical opinion)</w:t>
            </w:r>
          </w:p>
        </w:tc>
        <w:tc>
          <w:tcPr>
            <w:tcW w:w="0" w:type="auto"/>
            <w:tcMar>
              <w:top w:w="30" w:type="dxa"/>
              <w:left w:w="45" w:type="dxa"/>
              <w:bottom w:w="30" w:type="dxa"/>
              <w:right w:w="45" w:type="dxa"/>
            </w:tcMar>
            <w:hideMark/>
          </w:tcPr>
          <w:p w14:paraId="45C2F6D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383F91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58F875B2"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4EC8154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CE599BD"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5CE1F064" w14:textId="77777777" w:rsidTr="009F01D8">
        <w:trPr>
          <w:trHeight w:val="315"/>
        </w:trPr>
        <w:tc>
          <w:tcPr>
            <w:tcW w:w="0" w:type="auto"/>
            <w:tcMar>
              <w:top w:w="30" w:type="dxa"/>
              <w:left w:w="45" w:type="dxa"/>
              <w:bottom w:w="30" w:type="dxa"/>
              <w:right w:w="45" w:type="dxa"/>
            </w:tcMar>
            <w:hideMark/>
          </w:tcPr>
          <w:p w14:paraId="401ECE81" w14:textId="77777777" w:rsidR="009F01D8" w:rsidRPr="009F6FA6" w:rsidRDefault="009F01D8" w:rsidP="009F01D8">
            <w:pPr>
              <w:spacing w:after="0" w:line="240" w:lineRule="auto"/>
              <w:jc w:val="both"/>
              <w:rPr>
                <w:rFonts w:asciiTheme="majorBidi" w:eastAsia="Times New Roman" w:hAnsiTheme="majorBidi" w:cstheme="majorBidi"/>
              </w:rPr>
            </w:pPr>
            <w:proofErr w:type="spellStart"/>
            <w:r w:rsidRPr="009F6FA6">
              <w:rPr>
                <w:rFonts w:asciiTheme="majorBidi" w:eastAsia="Times New Roman" w:hAnsiTheme="majorBidi" w:cstheme="majorBidi"/>
              </w:rPr>
              <w:t>Mataraci</w:t>
            </w:r>
            <w:proofErr w:type="spellEnd"/>
            <w:r w:rsidRPr="009F6FA6">
              <w:rPr>
                <w:rFonts w:asciiTheme="majorBidi" w:eastAsia="Times New Roman" w:hAnsiTheme="majorBidi" w:cstheme="majorBidi"/>
              </w:rPr>
              <w:t xml:space="preserve"> 20204</w:t>
            </w:r>
          </w:p>
        </w:tc>
        <w:tc>
          <w:tcPr>
            <w:tcW w:w="0" w:type="auto"/>
            <w:tcMar>
              <w:top w:w="30" w:type="dxa"/>
              <w:left w:w="45" w:type="dxa"/>
              <w:bottom w:w="30" w:type="dxa"/>
              <w:right w:w="45" w:type="dxa"/>
            </w:tcMar>
            <w:hideMark/>
          </w:tcPr>
          <w:p w14:paraId="78E501C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482241C"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0FB0008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6E119B1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34772C2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5AE59E9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- 2017</w:t>
            </w:r>
          </w:p>
        </w:tc>
        <w:tc>
          <w:tcPr>
            <w:tcW w:w="0" w:type="auto"/>
            <w:tcMar>
              <w:top w:w="30" w:type="dxa"/>
              <w:left w:w="45" w:type="dxa"/>
              <w:bottom w:w="30" w:type="dxa"/>
              <w:right w:w="45" w:type="dxa"/>
            </w:tcMar>
            <w:hideMark/>
          </w:tcPr>
          <w:p w14:paraId="36012F0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667670F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68D8A7DE"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5AACDE5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EUCAST for both methods and breakpoints</w:t>
            </w:r>
          </w:p>
        </w:tc>
        <w:tc>
          <w:tcPr>
            <w:tcW w:w="0" w:type="auto"/>
            <w:tcMar>
              <w:top w:w="30" w:type="dxa"/>
              <w:left w:w="45" w:type="dxa"/>
              <w:bottom w:w="30" w:type="dxa"/>
              <w:right w:w="45" w:type="dxa"/>
            </w:tcMar>
            <w:hideMark/>
          </w:tcPr>
          <w:p w14:paraId="34D9AE2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1DFA06A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1BDCEB6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053FF95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24CF1B9"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4C9EA297" w14:textId="77777777" w:rsidTr="009F01D8">
        <w:trPr>
          <w:trHeight w:val="315"/>
        </w:trPr>
        <w:tc>
          <w:tcPr>
            <w:tcW w:w="0" w:type="auto"/>
            <w:tcMar>
              <w:top w:w="30" w:type="dxa"/>
              <w:left w:w="45" w:type="dxa"/>
              <w:bottom w:w="30" w:type="dxa"/>
              <w:right w:w="45" w:type="dxa"/>
            </w:tcMar>
            <w:hideMark/>
          </w:tcPr>
          <w:p w14:paraId="62D0104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Han 20203</w:t>
            </w:r>
          </w:p>
        </w:tc>
        <w:tc>
          <w:tcPr>
            <w:tcW w:w="0" w:type="auto"/>
            <w:tcMar>
              <w:top w:w="30" w:type="dxa"/>
              <w:left w:w="45" w:type="dxa"/>
              <w:bottom w:w="30" w:type="dxa"/>
              <w:right w:w="45" w:type="dxa"/>
            </w:tcMar>
            <w:hideMark/>
          </w:tcPr>
          <w:p w14:paraId="630D96D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1B60732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not selected on resistance to comparators </w:t>
            </w:r>
          </w:p>
        </w:tc>
        <w:tc>
          <w:tcPr>
            <w:tcW w:w="0" w:type="auto"/>
            <w:tcMar>
              <w:top w:w="30" w:type="dxa"/>
              <w:left w:w="45" w:type="dxa"/>
              <w:bottom w:w="30" w:type="dxa"/>
              <w:right w:w="45" w:type="dxa"/>
            </w:tcMar>
            <w:hideMark/>
          </w:tcPr>
          <w:p w14:paraId="5E2F3A3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none co-carried MBLs</w:t>
            </w:r>
          </w:p>
        </w:tc>
        <w:tc>
          <w:tcPr>
            <w:tcW w:w="0" w:type="auto"/>
            <w:tcMar>
              <w:top w:w="30" w:type="dxa"/>
              <w:left w:w="45" w:type="dxa"/>
              <w:bottom w:w="30" w:type="dxa"/>
              <w:right w:w="45" w:type="dxa"/>
            </w:tcMar>
            <w:hideMark/>
          </w:tcPr>
          <w:p w14:paraId="54DA65D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unclear how isolates were selected for genetic testing</w:t>
            </w:r>
          </w:p>
        </w:tc>
        <w:tc>
          <w:tcPr>
            <w:tcW w:w="0" w:type="auto"/>
            <w:tcMar>
              <w:top w:w="30" w:type="dxa"/>
              <w:left w:w="45" w:type="dxa"/>
              <w:bottom w:w="30" w:type="dxa"/>
              <w:right w:w="45" w:type="dxa"/>
            </w:tcMar>
            <w:hideMark/>
          </w:tcPr>
          <w:p w14:paraId="5982CD7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0A11239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- 2016 to 2018</w:t>
            </w:r>
          </w:p>
        </w:tc>
        <w:tc>
          <w:tcPr>
            <w:tcW w:w="0" w:type="auto"/>
            <w:tcMar>
              <w:top w:w="30" w:type="dxa"/>
              <w:left w:w="45" w:type="dxa"/>
              <w:bottom w:w="30" w:type="dxa"/>
              <w:right w:w="45" w:type="dxa"/>
            </w:tcMar>
            <w:hideMark/>
          </w:tcPr>
          <w:p w14:paraId="4E8E93F8"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4ECF7B9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consecutive</w:t>
            </w:r>
          </w:p>
        </w:tc>
        <w:tc>
          <w:tcPr>
            <w:tcW w:w="0" w:type="auto"/>
            <w:tcMar>
              <w:top w:w="30" w:type="dxa"/>
              <w:left w:w="45" w:type="dxa"/>
              <w:bottom w:w="30" w:type="dxa"/>
              <w:right w:w="45" w:type="dxa"/>
            </w:tcMar>
            <w:hideMark/>
          </w:tcPr>
          <w:p w14:paraId="08C447C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6D02C94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used CLSI, FDA for Tigecycline, unclear if CLSI equivalent to EUCAST</w:t>
            </w:r>
          </w:p>
        </w:tc>
        <w:tc>
          <w:tcPr>
            <w:tcW w:w="0" w:type="auto"/>
            <w:tcMar>
              <w:top w:w="30" w:type="dxa"/>
              <w:left w:w="45" w:type="dxa"/>
              <w:bottom w:w="30" w:type="dxa"/>
              <w:right w:w="45" w:type="dxa"/>
            </w:tcMar>
            <w:hideMark/>
          </w:tcPr>
          <w:p w14:paraId="1EEF974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88B88E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C0F3D3D"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7FAD1FA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2FA44959"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6233637C" w14:textId="77777777" w:rsidTr="009F01D8">
        <w:trPr>
          <w:trHeight w:val="315"/>
        </w:trPr>
        <w:tc>
          <w:tcPr>
            <w:tcW w:w="0" w:type="auto"/>
            <w:tcMar>
              <w:top w:w="30" w:type="dxa"/>
              <w:left w:w="45" w:type="dxa"/>
              <w:bottom w:w="30" w:type="dxa"/>
              <w:right w:w="45" w:type="dxa"/>
            </w:tcMar>
            <w:hideMark/>
          </w:tcPr>
          <w:p w14:paraId="7CD04AB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Johnston 2020</w:t>
            </w:r>
          </w:p>
        </w:tc>
        <w:tc>
          <w:tcPr>
            <w:tcW w:w="0" w:type="auto"/>
            <w:tcMar>
              <w:top w:w="30" w:type="dxa"/>
              <w:left w:w="45" w:type="dxa"/>
              <w:bottom w:w="30" w:type="dxa"/>
              <w:right w:w="45" w:type="dxa"/>
            </w:tcMar>
            <w:hideMark/>
          </w:tcPr>
          <w:p w14:paraId="5DCFB38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427734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how some isolates selected</w:t>
            </w:r>
          </w:p>
        </w:tc>
        <w:tc>
          <w:tcPr>
            <w:tcW w:w="0" w:type="auto"/>
            <w:tcMar>
              <w:top w:w="30" w:type="dxa"/>
              <w:left w:w="45" w:type="dxa"/>
              <w:bottom w:w="30" w:type="dxa"/>
              <w:right w:w="45" w:type="dxa"/>
            </w:tcMar>
            <w:hideMark/>
          </w:tcPr>
          <w:p w14:paraId="787D27F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747397D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all CR tested</w:t>
            </w:r>
          </w:p>
        </w:tc>
        <w:tc>
          <w:tcPr>
            <w:tcW w:w="0" w:type="auto"/>
            <w:tcMar>
              <w:top w:w="30" w:type="dxa"/>
              <w:left w:w="45" w:type="dxa"/>
              <w:bottom w:w="30" w:type="dxa"/>
              <w:right w:w="45" w:type="dxa"/>
            </w:tcMar>
            <w:hideMark/>
          </w:tcPr>
          <w:p w14:paraId="1194A38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0E51D06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- 2002 - 2017</w:t>
            </w:r>
          </w:p>
        </w:tc>
        <w:tc>
          <w:tcPr>
            <w:tcW w:w="0" w:type="auto"/>
            <w:tcMar>
              <w:top w:w="30" w:type="dxa"/>
              <w:left w:w="45" w:type="dxa"/>
              <w:bottom w:w="30" w:type="dxa"/>
              <w:right w:w="45" w:type="dxa"/>
            </w:tcMar>
            <w:hideMark/>
          </w:tcPr>
          <w:p w14:paraId="73B4C3E6"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78CC4F8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some isolates submitted voluntarily which may skew population</w:t>
            </w:r>
          </w:p>
        </w:tc>
        <w:tc>
          <w:tcPr>
            <w:tcW w:w="0" w:type="auto"/>
            <w:tcMar>
              <w:top w:w="30" w:type="dxa"/>
              <w:left w:w="45" w:type="dxa"/>
              <w:bottom w:w="30" w:type="dxa"/>
              <w:right w:w="45" w:type="dxa"/>
            </w:tcMar>
            <w:hideMark/>
          </w:tcPr>
          <w:p w14:paraId="5112F8EE"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5FE4A00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EUCAST and CLSI not interchangeable (clinical opinion)</w:t>
            </w:r>
          </w:p>
        </w:tc>
        <w:tc>
          <w:tcPr>
            <w:tcW w:w="0" w:type="auto"/>
            <w:tcMar>
              <w:top w:w="30" w:type="dxa"/>
              <w:left w:w="45" w:type="dxa"/>
              <w:bottom w:w="30" w:type="dxa"/>
              <w:right w:w="45" w:type="dxa"/>
            </w:tcMar>
            <w:hideMark/>
          </w:tcPr>
          <w:p w14:paraId="60DCC12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FEBCCD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41F1B3E"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1864F50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418459C"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0727CEA9" w14:textId="77777777" w:rsidTr="009F01D8">
        <w:trPr>
          <w:trHeight w:val="315"/>
        </w:trPr>
        <w:tc>
          <w:tcPr>
            <w:tcW w:w="0" w:type="auto"/>
            <w:tcMar>
              <w:top w:w="30" w:type="dxa"/>
              <w:left w:w="45" w:type="dxa"/>
              <w:bottom w:w="30" w:type="dxa"/>
              <w:right w:w="45" w:type="dxa"/>
            </w:tcMar>
            <w:hideMark/>
          </w:tcPr>
          <w:p w14:paraId="687C88F3" w14:textId="77777777" w:rsidR="009F01D8" w:rsidRPr="009F6FA6" w:rsidRDefault="009F01D8" w:rsidP="009F01D8">
            <w:pPr>
              <w:spacing w:after="0" w:line="240" w:lineRule="auto"/>
              <w:jc w:val="both"/>
              <w:rPr>
                <w:rFonts w:asciiTheme="majorBidi" w:eastAsia="Times New Roman" w:hAnsiTheme="majorBidi" w:cstheme="majorBidi"/>
              </w:rPr>
            </w:pPr>
            <w:proofErr w:type="spellStart"/>
            <w:r w:rsidRPr="009F6FA6">
              <w:rPr>
                <w:rFonts w:asciiTheme="majorBidi" w:eastAsia="Times New Roman" w:hAnsiTheme="majorBidi" w:cstheme="majorBidi"/>
              </w:rPr>
              <w:t>Kazmierczak</w:t>
            </w:r>
            <w:proofErr w:type="spellEnd"/>
            <w:r w:rsidRPr="009F6FA6">
              <w:rPr>
                <w:rFonts w:asciiTheme="majorBidi" w:eastAsia="Times New Roman" w:hAnsiTheme="majorBidi" w:cstheme="majorBidi"/>
              </w:rPr>
              <w:t xml:space="preserve"> 2019(SIDERO-WT)</w:t>
            </w:r>
          </w:p>
        </w:tc>
        <w:tc>
          <w:tcPr>
            <w:tcW w:w="0" w:type="auto"/>
            <w:tcMar>
              <w:top w:w="30" w:type="dxa"/>
              <w:left w:w="45" w:type="dxa"/>
              <w:bottom w:w="30" w:type="dxa"/>
              <w:right w:w="45" w:type="dxa"/>
            </w:tcMar>
            <w:hideMark/>
          </w:tcPr>
          <w:p w14:paraId="0C9ECA9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2CFB7E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high risk - may </w:t>
            </w:r>
            <w:proofErr w:type="spellStart"/>
            <w:r w:rsidRPr="009F6FA6">
              <w:rPr>
                <w:rFonts w:asciiTheme="majorBidi" w:eastAsia="Times New Roman" w:hAnsiTheme="majorBidi" w:cstheme="majorBidi"/>
              </w:rPr>
              <w:t>overselect</w:t>
            </w:r>
            <w:proofErr w:type="spellEnd"/>
            <w:r w:rsidRPr="009F6FA6">
              <w:rPr>
                <w:rFonts w:asciiTheme="majorBidi" w:eastAsia="Times New Roman" w:hAnsiTheme="majorBidi" w:cstheme="majorBidi"/>
              </w:rPr>
              <w:t xml:space="preserve"> for colistin resistant isolates</w:t>
            </w:r>
          </w:p>
        </w:tc>
        <w:tc>
          <w:tcPr>
            <w:tcW w:w="0" w:type="auto"/>
            <w:tcMar>
              <w:top w:w="30" w:type="dxa"/>
              <w:left w:w="45" w:type="dxa"/>
              <w:bottom w:w="30" w:type="dxa"/>
              <w:right w:w="45" w:type="dxa"/>
            </w:tcMar>
            <w:hideMark/>
          </w:tcPr>
          <w:p w14:paraId="35D02FE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includes MBLs</w:t>
            </w:r>
          </w:p>
        </w:tc>
        <w:tc>
          <w:tcPr>
            <w:tcW w:w="0" w:type="auto"/>
            <w:tcMar>
              <w:top w:w="30" w:type="dxa"/>
              <w:left w:w="45" w:type="dxa"/>
              <w:bottom w:w="30" w:type="dxa"/>
              <w:right w:w="45" w:type="dxa"/>
            </w:tcMar>
            <w:hideMark/>
          </w:tcPr>
          <w:p w14:paraId="0ECB8AB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methodology likely to capture all beta-lactamases since it includes CR</w:t>
            </w:r>
          </w:p>
        </w:tc>
        <w:tc>
          <w:tcPr>
            <w:tcW w:w="0" w:type="auto"/>
            <w:tcMar>
              <w:top w:w="30" w:type="dxa"/>
              <w:left w:w="45" w:type="dxa"/>
              <w:bottom w:w="30" w:type="dxa"/>
              <w:right w:w="45" w:type="dxa"/>
            </w:tcMar>
            <w:hideMark/>
          </w:tcPr>
          <w:p w14:paraId="31954C5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479FB3B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- 2014</w:t>
            </w:r>
          </w:p>
        </w:tc>
        <w:tc>
          <w:tcPr>
            <w:tcW w:w="0" w:type="auto"/>
            <w:tcMar>
              <w:top w:w="30" w:type="dxa"/>
              <w:left w:w="45" w:type="dxa"/>
              <w:bottom w:w="30" w:type="dxa"/>
              <w:right w:w="45" w:type="dxa"/>
            </w:tcMar>
            <w:hideMark/>
          </w:tcPr>
          <w:p w14:paraId="54BDB60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0CFD799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selected on basis of predefined # per species - unclear if this would produce a represent</w:t>
            </w:r>
            <w:r w:rsidRPr="009F6FA6">
              <w:rPr>
                <w:rFonts w:asciiTheme="majorBidi" w:eastAsia="Times New Roman" w:hAnsiTheme="majorBidi" w:cstheme="majorBidi"/>
              </w:rPr>
              <w:lastRenderedPageBreak/>
              <w:t>ative sample</w:t>
            </w:r>
          </w:p>
        </w:tc>
        <w:tc>
          <w:tcPr>
            <w:tcW w:w="0" w:type="auto"/>
            <w:tcMar>
              <w:top w:w="30" w:type="dxa"/>
              <w:left w:w="45" w:type="dxa"/>
              <w:bottom w:w="30" w:type="dxa"/>
              <w:right w:w="45" w:type="dxa"/>
            </w:tcMar>
            <w:hideMark/>
          </w:tcPr>
          <w:p w14:paraId="732DAB0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lastRenderedPageBreak/>
              <w:t>Unclear risk</w:t>
            </w:r>
          </w:p>
        </w:tc>
        <w:tc>
          <w:tcPr>
            <w:tcW w:w="0" w:type="auto"/>
            <w:tcMar>
              <w:top w:w="30" w:type="dxa"/>
              <w:left w:w="45" w:type="dxa"/>
              <w:bottom w:w="30" w:type="dxa"/>
              <w:right w:w="45" w:type="dxa"/>
            </w:tcMar>
            <w:hideMark/>
          </w:tcPr>
          <w:p w14:paraId="3A0644D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 CLSI lab, CLSI breakpoints, EUCAST for colistin (no breakpoint from CLSI), </w:t>
            </w:r>
            <w:r w:rsidRPr="009F6FA6">
              <w:rPr>
                <w:rFonts w:asciiTheme="majorBidi" w:eastAsia="Times New Roman" w:hAnsiTheme="majorBidi" w:cstheme="majorBidi"/>
              </w:rPr>
              <w:lastRenderedPageBreak/>
              <w:t>unclear if CLSI equivalent to EUCAST</w:t>
            </w:r>
          </w:p>
        </w:tc>
        <w:tc>
          <w:tcPr>
            <w:tcW w:w="0" w:type="auto"/>
            <w:tcMar>
              <w:top w:w="30" w:type="dxa"/>
              <w:left w:w="45" w:type="dxa"/>
              <w:bottom w:w="30" w:type="dxa"/>
              <w:right w:w="45" w:type="dxa"/>
            </w:tcMar>
            <w:hideMark/>
          </w:tcPr>
          <w:p w14:paraId="1D8ADEB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w:t>
            </w:r>
          </w:p>
        </w:tc>
        <w:tc>
          <w:tcPr>
            <w:tcW w:w="0" w:type="auto"/>
            <w:tcMar>
              <w:top w:w="30" w:type="dxa"/>
              <w:left w:w="45" w:type="dxa"/>
              <w:bottom w:w="30" w:type="dxa"/>
              <w:right w:w="45" w:type="dxa"/>
            </w:tcMar>
            <w:hideMark/>
          </w:tcPr>
          <w:p w14:paraId="738EF5A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E74274B"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591457A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C73F26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21EEE313" w14:textId="77777777" w:rsidTr="009F01D8">
        <w:trPr>
          <w:trHeight w:val="315"/>
        </w:trPr>
        <w:tc>
          <w:tcPr>
            <w:tcW w:w="0" w:type="auto"/>
            <w:tcMar>
              <w:top w:w="30" w:type="dxa"/>
              <w:left w:w="45" w:type="dxa"/>
              <w:bottom w:w="30" w:type="dxa"/>
              <w:right w:w="45" w:type="dxa"/>
            </w:tcMar>
            <w:hideMark/>
          </w:tcPr>
          <w:p w14:paraId="1D2FF081" w14:textId="77777777" w:rsidR="009F01D8" w:rsidRPr="009F6FA6" w:rsidRDefault="009F01D8" w:rsidP="009F01D8">
            <w:pPr>
              <w:spacing w:after="0" w:line="240" w:lineRule="auto"/>
              <w:jc w:val="both"/>
              <w:rPr>
                <w:rFonts w:asciiTheme="majorBidi" w:eastAsia="Times New Roman" w:hAnsiTheme="majorBidi" w:cstheme="majorBidi"/>
              </w:rPr>
            </w:pPr>
            <w:proofErr w:type="spellStart"/>
            <w:r w:rsidRPr="009F6FA6">
              <w:rPr>
                <w:rFonts w:asciiTheme="majorBidi" w:eastAsia="Times New Roman" w:hAnsiTheme="majorBidi" w:cstheme="majorBidi"/>
              </w:rPr>
              <w:t>Viala</w:t>
            </w:r>
            <w:proofErr w:type="spellEnd"/>
            <w:r w:rsidRPr="009F6FA6">
              <w:rPr>
                <w:rFonts w:asciiTheme="majorBidi" w:eastAsia="Times New Roman" w:hAnsiTheme="majorBidi" w:cstheme="majorBidi"/>
              </w:rPr>
              <w:t xml:space="preserve"> 2019</w:t>
            </w:r>
          </w:p>
        </w:tc>
        <w:tc>
          <w:tcPr>
            <w:tcW w:w="0" w:type="auto"/>
            <w:tcMar>
              <w:top w:w="30" w:type="dxa"/>
              <w:left w:w="45" w:type="dxa"/>
              <w:bottom w:w="30" w:type="dxa"/>
              <w:right w:w="45" w:type="dxa"/>
            </w:tcMar>
            <w:hideMark/>
          </w:tcPr>
          <w:p w14:paraId="532A46C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17EAFA5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unclear how selected for study</w:t>
            </w:r>
          </w:p>
        </w:tc>
        <w:tc>
          <w:tcPr>
            <w:tcW w:w="0" w:type="auto"/>
            <w:tcMar>
              <w:top w:w="30" w:type="dxa"/>
              <w:left w:w="45" w:type="dxa"/>
              <w:bottom w:w="30" w:type="dxa"/>
              <w:right w:w="45" w:type="dxa"/>
            </w:tcMar>
            <w:hideMark/>
          </w:tcPr>
          <w:p w14:paraId="2C91D91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7241C46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unclear how selected for testing</w:t>
            </w:r>
          </w:p>
        </w:tc>
        <w:tc>
          <w:tcPr>
            <w:tcW w:w="0" w:type="auto"/>
            <w:tcMar>
              <w:top w:w="30" w:type="dxa"/>
              <w:left w:w="45" w:type="dxa"/>
              <w:bottom w:w="30" w:type="dxa"/>
              <w:right w:w="45" w:type="dxa"/>
            </w:tcMar>
            <w:hideMark/>
          </w:tcPr>
          <w:p w14:paraId="6019ACF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540C727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- 2015 to 2014</w:t>
            </w:r>
          </w:p>
        </w:tc>
        <w:tc>
          <w:tcPr>
            <w:tcW w:w="0" w:type="auto"/>
            <w:tcMar>
              <w:top w:w="30" w:type="dxa"/>
              <w:left w:w="45" w:type="dxa"/>
              <w:bottom w:w="30" w:type="dxa"/>
              <w:right w:w="45" w:type="dxa"/>
            </w:tcMar>
            <w:hideMark/>
          </w:tcPr>
          <w:p w14:paraId="7C91168C"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651B03B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consecutive</w:t>
            </w:r>
          </w:p>
        </w:tc>
        <w:tc>
          <w:tcPr>
            <w:tcW w:w="0" w:type="auto"/>
            <w:tcMar>
              <w:top w:w="30" w:type="dxa"/>
              <w:left w:w="45" w:type="dxa"/>
              <w:bottom w:w="30" w:type="dxa"/>
              <w:right w:w="45" w:type="dxa"/>
            </w:tcMar>
            <w:hideMark/>
          </w:tcPr>
          <w:p w14:paraId="5869DA32"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6FE486C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lab method not reported</w:t>
            </w:r>
          </w:p>
        </w:tc>
        <w:tc>
          <w:tcPr>
            <w:tcW w:w="0" w:type="auto"/>
            <w:tcMar>
              <w:top w:w="30" w:type="dxa"/>
              <w:left w:w="45" w:type="dxa"/>
              <w:bottom w:w="30" w:type="dxa"/>
              <w:right w:w="45" w:type="dxa"/>
            </w:tcMar>
            <w:hideMark/>
          </w:tcPr>
          <w:p w14:paraId="2D137F99"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012DB6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E791CC5"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17519D8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missing data for high proportion of isolates for 3 comparators</w:t>
            </w:r>
          </w:p>
        </w:tc>
        <w:tc>
          <w:tcPr>
            <w:tcW w:w="0" w:type="auto"/>
            <w:tcMar>
              <w:top w:w="30" w:type="dxa"/>
              <w:left w:w="45" w:type="dxa"/>
              <w:bottom w:w="30" w:type="dxa"/>
              <w:right w:w="45" w:type="dxa"/>
            </w:tcMar>
            <w:hideMark/>
          </w:tcPr>
          <w:p w14:paraId="31158728"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r>
      <w:tr w:rsidR="009F01D8" w:rsidRPr="009F6FA6" w14:paraId="577B6DCE" w14:textId="77777777" w:rsidTr="009F01D8">
        <w:trPr>
          <w:trHeight w:val="315"/>
        </w:trPr>
        <w:tc>
          <w:tcPr>
            <w:tcW w:w="0" w:type="auto"/>
            <w:tcMar>
              <w:top w:w="30" w:type="dxa"/>
              <w:left w:w="45" w:type="dxa"/>
              <w:bottom w:w="30" w:type="dxa"/>
              <w:right w:w="45" w:type="dxa"/>
            </w:tcMar>
            <w:hideMark/>
          </w:tcPr>
          <w:p w14:paraId="648A05B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De la Calle, 2019</w:t>
            </w:r>
          </w:p>
        </w:tc>
        <w:tc>
          <w:tcPr>
            <w:tcW w:w="0" w:type="auto"/>
            <w:tcMar>
              <w:top w:w="30" w:type="dxa"/>
              <w:left w:w="45" w:type="dxa"/>
              <w:bottom w:w="30" w:type="dxa"/>
              <w:right w:w="45" w:type="dxa"/>
            </w:tcMar>
            <w:hideMark/>
          </w:tcPr>
          <w:p w14:paraId="1E098DE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F95A3A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Low risk - </w:t>
            </w:r>
            <w:proofErr w:type="spellStart"/>
            <w:r w:rsidRPr="009F6FA6">
              <w:rPr>
                <w:rFonts w:asciiTheme="majorBidi" w:eastAsia="Times New Roman" w:hAnsiTheme="majorBidi" w:cstheme="majorBidi"/>
              </w:rPr>
              <w:t>meropenm</w:t>
            </w:r>
            <w:proofErr w:type="spellEnd"/>
            <w:r w:rsidRPr="009F6FA6">
              <w:rPr>
                <w:rFonts w:asciiTheme="majorBidi" w:eastAsia="Times New Roman" w:hAnsiTheme="majorBidi" w:cstheme="majorBidi"/>
              </w:rPr>
              <w:t xml:space="preserve"> non-susceptible</w:t>
            </w:r>
          </w:p>
        </w:tc>
        <w:tc>
          <w:tcPr>
            <w:tcW w:w="0" w:type="auto"/>
            <w:tcMar>
              <w:top w:w="30" w:type="dxa"/>
              <w:left w:w="45" w:type="dxa"/>
              <w:bottom w:w="30" w:type="dxa"/>
              <w:right w:w="45" w:type="dxa"/>
            </w:tcMar>
            <w:hideMark/>
          </w:tcPr>
          <w:p w14:paraId="5AB3CAC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3E772C6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methodology likely to capture all beta-lactamases since it includes CR</w:t>
            </w:r>
          </w:p>
        </w:tc>
        <w:tc>
          <w:tcPr>
            <w:tcW w:w="0" w:type="auto"/>
            <w:tcMar>
              <w:top w:w="30" w:type="dxa"/>
              <w:left w:w="45" w:type="dxa"/>
              <w:bottom w:w="30" w:type="dxa"/>
              <w:right w:w="45" w:type="dxa"/>
            </w:tcMar>
            <w:hideMark/>
          </w:tcPr>
          <w:p w14:paraId="7CEF4BC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some isolates only tested using rapid immunochromatographic test</w:t>
            </w:r>
          </w:p>
        </w:tc>
        <w:tc>
          <w:tcPr>
            <w:tcW w:w="0" w:type="auto"/>
            <w:tcMar>
              <w:top w:w="30" w:type="dxa"/>
              <w:left w:w="45" w:type="dxa"/>
              <w:bottom w:w="30" w:type="dxa"/>
              <w:right w:w="45" w:type="dxa"/>
            </w:tcMar>
            <w:hideMark/>
          </w:tcPr>
          <w:p w14:paraId="033ADB6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- 2014 to 2016</w:t>
            </w:r>
          </w:p>
        </w:tc>
        <w:tc>
          <w:tcPr>
            <w:tcW w:w="0" w:type="auto"/>
            <w:tcMar>
              <w:top w:w="30" w:type="dxa"/>
              <w:left w:w="45" w:type="dxa"/>
              <w:bottom w:w="30" w:type="dxa"/>
              <w:right w:w="45" w:type="dxa"/>
            </w:tcMar>
            <w:hideMark/>
          </w:tcPr>
          <w:p w14:paraId="03FFA443"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014D476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consecutive</w:t>
            </w:r>
          </w:p>
        </w:tc>
        <w:tc>
          <w:tcPr>
            <w:tcW w:w="0" w:type="auto"/>
            <w:tcMar>
              <w:top w:w="30" w:type="dxa"/>
              <w:left w:w="45" w:type="dxa"/>
              <w:bottom w:w="30" w:type="dxa"/>
              <w:right w:w="45" w:type="dxa"/>
            </w:tcMar>
            <w:hideMark/>
          </w:tcPr>
          <w:p w14:paraId="0CB91992"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3416B47C"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lab method not EUCAST</w:t>
            </w:r>
          </w:p>
        </w:tc>
        <w:tc>
          <w:tcPr>
            <w:tcW w:w="0" w:type="auto"/>
            <w:tcMar>
              <w:top w:w="30" w:type="dxa"/>
              <w:left w:w="45" w:type="dxa"/>
              <w:bottom w:w="30" w:type="dxa"/>
              <w:right w:w="45" w:type="dxa"/>
            </w:tcMar>
            <w:hideMark/>
          </w:tcPr>
          <w:p w14:paraId="6616CB3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137E216C"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8D4E10F"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49CAD87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5DF02CF"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6A330C30" w14:textId="77777777" w:rsidTr="009F01D8">
        <w:trPr>
          <w:trHeight w:val="315"/>
        </w:trPr>
        <w:tc>
          <w:tcPr>
            <w:tcW w:w="0" w:type="auto"/>
            <w:tcMar>
              <w:top w:w="30" w:type="dxa"/>
              <w:left w:w="45" w:type="dxa"/>
              <w:bottom w:w="30" w:type="dxa"/>
              <w:right w:w="45" w:type="dxa"/>
            </w:tcMar>
            <w:hideMark/>
          </w:tcPr>
          <w:p w14:paraId="353050ED" w14:textId="77777777" w:rsidR="009F01D8" w:rsidRPr="009F6FA6" w:rsidRDefault="009F01D8" w:rsidP="009F01D8">
            <w:pPr>
              <w:spacing w:after="0" w:line="240" w:lineRule="auto"/>
              <w:jc w:val="both"/>
              <w:rPr>
                <w:rFonts w:asciiTheme="majorBidi" w:eastAsia="Times New Roman" w:hAnsiTheme="majorBidi" w:cstheme="majorBidi"/>
              </w:rPr>
            </w:pPr>
            <w:proofErr w:type="spellStart"/>
            <w:r w:rsidRPr="009F6FA6">
              <w:rPr>
                <w:rFonts w:asciiTheme="majorBidi" w:eastAsia="Times New Roman" w:hAnsiTheme="majorBidi" w:cstheme="majorBidi"/>
              </w:rPr>
              <w:t>Galani</w:t>
            </w:r>
            <w:proofErr w:type="spellEnd"/>
            <w:r w:rsidRPr="009F6FA6">
              <w:rPr>
                <w:rFonts w:asciiTheme="majorBidi" w:eastAsia="Times New Roman" w:hAnsiTheme="majorBidi" w:cstheme="majorBidi"/>
              </w:rPr>
              <w:t>, 2019</w:t>
            </w:r>
          </w:p>
        </w:tc>
        <w:tc>
          <w:tcPr>
            <w:tcW w:w="0" w:type="auto"/>
            <w:tcMar>
              <w:top w:w="30" w:type="dxa"/>
              <w:left w:w="45" w:type="dxa"/>
              <w:bottom w:w="30" w:type="dxa"/>
              <w:right w:w="45" w:type="dxa"/>
            </w:tcMar>
            <w:hideMark/>
          </w:tcPr>
          <w:p w14:paraId="199D6CD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76443C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 unclear how isolates </w:t>
            </w:r>
            <w:r w:rsidRPr="009F6FA6">
              <w:rPr>
                <w:rFonts w:asciiTheme="majorBidi" w:eastAsia="Times New Roman" w:hAnsiTheme="majorBidi" w:cstheme="majorBidi"/>
              </w:rPr>
              <w:lastRenderedPageBreak/>
              <w:t xml:space="preserve">were selected </w:t>
            </w:r>
          </w:p>
        </w:tc>
        <w:tc>
          <w:tcPr>
            <w:tcW w:w="0" w:type="auto"/>
            <w:tcMar>
              <w:top w:w="30" w:type="dxa"/>
              <w:left w:w="45" w:type="dxa"/>
              <w:bottom w:w="30" w:type="dxa"/>
              <w:right w:w="45" w:type="dxa"/>
            </w:tcMar>
            <w:hideMark/>
          </w:tcPr>
          <w:p w14:paraId="6C89D9F3"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Unclear - not reported</w:t>
            </w:r>
          </w:p>
        </w:tc>
        <w:tc>
          <w:tcPr>
            <w:tcW w:w="0" w:type="auto"/>
            <w:tcMar>
              <w:top w:w="30" w:type="dxa"/>
              <w:left w:w="45" w:type="dxa"/>
              <w:bottom w:w="30" w:type="dxa"/>
              <w:right w:w="45" w:type="dxa"/>
            </w:tcMar>
            <w:hideMark/>
          </w:tcPr>
          <w:p w14:paraId="7F7B2E3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risk - unclear how selected </w:t>
            </w:r>
            <w:r w:rsidRPr="009F6FA6">
              <w:rPr>
                <w:rFonts w:asciiTheme="majorBidi" w:eastAsia="Times New Roman" w:hAnsiTheme="majorBidi" w:cstheme="majorBidi"/>
              </w:rPr>
              <w:lastRenderedPageBreak/>
              <w:t>for testing</w:t>
            </w:r>
          </w:p>
        </w:tc>
        <w:tc>
          <w:tcPr>
            <w:tcW w:w="0" w:type="auto"/>
            <w:tcMar>
              <w:top w:w="30" w:type="dxa"/>
              <w:left w:w="45" w:type="dxa"/>
              <w:bottom w:w="30" w:type="dxa"/>
              <w:right w:w="45" w:type="dxa"/>
            </w:tcMar>
            <w:hideMark/>
          </w:tcPr>
          <w:p w14:paraId="33AA012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 - whole genome sequencing</w:t>
            </w:r>
          </w:p>
        </w:tc>
        <w:tc>
          <w:tcPr>
            <w:tcW w:w="0" w:type="auto"/>
            <w:tcMar>
              <w:top w:w="30" w:type="dxa"/>
              <w:left w:w="45" w:type="dxa"/>
              <w:bottom w:w="30" w:type="dxa"/>
              <w:right w:w="45" w:type="dxa"/>
            </w:tcMar>
            <w:hideMark/>
          </w:tcPr>
          <w:p w14:paraId="1BFBF08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- 2014 to 2016</w:t>
            </w:r>
          </w:p>
        </w:tc>
        <w:tc>
          <w:tcPr>
            <w:tcW w:w="0" w:type="auto"/>
            <w:tcMar>
              <w:top w:w="30" w:type="dxa"/>
              <w:left w:w="45" w:type="dxa"/>
              <w:bottom w:w="30" w:type="dxa"/>
              <w:right w:w="45" w:type="dxa"/>
            </w:tcMar>
            <w:hideMark/>
          </w:tcPr>
          <w:p w14:paraId="2B47CC2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7C6EDA5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consecutive</w:t>
            </w:r>
          </w:p>
        </w:tc>
        <w:tc>
          <w:tcPr>
            <w:tcW w:w="0" w:type="auto"/>
            <w:tcMar>
              <w:top w:w="30" w:type="dxa"/>
              <w:left w:w="45" w:type="dxa"/>
              <w:bottom w:w="30" w:type="dxa"/>
              <w:right w:w="45" w:type="dxa"/>
            </w:tcMar>
            <w:hideMark/>
          </w:tcPr>
          <w:p w14:paraId="43BB18F7"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c>
          <w:tcPr>
            <w:tcW w:w="0" w:type="auto"/>
            <w:tcMar>
              <w:top w:w="30" w:type="dxa"/>
              <w:left w:w="45" w:type="dxa"/>
              <w:bottom w:w="30" w:type="dxa"/>
              <w:right w:w="45" w:type="dxa"/>
            </w:tcMar>
            <w:hideMark/>
          </w:tcPr>
          <w:p w14:paraId="7BB9A227"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High risk - EUCAST and CLSI not </w:t>
            </w:r>
            <w:r w:rsidRPr="009F6FA6">
              <w:rPr>
                <w:rFonts w:asciiTheme="majorBidi" w:eastAsia="Times New Roman" w:hAnsiTheme="majorBidi" w:cstheme="majorBidi"/>
              </w:rPr>
              <w:lastRenderedPageBreak/>
              <w:t>interchangeable (clinical opinion)</w:t>
            </w:r>
          </w:p>
        </w:tc>
        <w:tc>
          <w:tcPr>
            <w:tcW w:w="0" w:type="auto"/>
            <w:tcMar>
              <w:top w:w="30" w:type="dxa"/>
              <w:left w:w="45" w:type="dxa"/>
              <w:bottom w:w="30" w:type="dxa"/>
              <w:right w:w="45" w:type="dxa"/>
            </w:tcMar>
            <w:hideMark/>
          </w:tcPr>
          <w:p w14:paraId="1B8EBDF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lastRenderedPageBreak/>
              <w:t>Low risk</w:t>
            </w:r>
          </w:p>
        </w:tc>
        <w:tc>
          <w:tcPr>
            <w:tcW w:w="0" w:type="auto"/>
            <w:tcMar>
              <w:top w:w="30" w:type="dxa"/>
              <w:left w:w="45" w:type="dxa"/>
              <w:bottom w:w="30" w:type="dxa"/>
              <w:right w:w="45" w:type="dxa"/>
            </w:tcMar>
            <w:hideMark/>
          </w:tcPr>
          <w:p w14:paraId="4E1B444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7179943"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2F5F52AB"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6F32DD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02258DF5" w14:textId="77777777" w:rsidTr="009F01D8">
        <w:trPr>
          <w:trHeight w:val="315"/>
        </w:trPr>
        <w:tc>
          <w:tcPr>
            <w:tcW w:w="0" w:type="auto"/>
            <w:tcMar>
              <w:top w:w="30" w:type="dxa"/>
              <w:left w:w="45" w:type="dxa"/>
              <w:bottom w:w="30" w:type="dxa"/>
              <w:right w:w="45" w:type="dxa"/>
            </w:tcMar>
            <w:hideMark/>
          </w:tcPr>
          <w:p w14:paraId="4367815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Sherry 2018</w:t>
            </w:r>
          </w:p>
        </w:tc>
        <w:tc>
          <w:tcPr>
            <w:tcW w:w="0" w:type="auto"/>
            <w:tcMar>
              <w:top w:w="30" w:type="dxa"/>
              <w:left w:w="45" w:type="dxa"/>
              <w:bottom w:w="30" w:type="dxa"/>
              <w:right w:w="45" w:type="dxa"/>
            </w:tcMar>
            <w:hideMark/>
          </w:tcPr>
          <w:p w14:paraId="74DA337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71F5009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 xml:space="preserve">Unclear - unclear how isolates were selected </w:t>
            </w:r>
          </w:p>
        </w:tc>
        <w:tc>
          <w:tcPr>
            <w:tcW w:w="0" w:type="auto"/>
            <w:tcMar>
              <w:top w:w="30" w:type="dxa"/>
              <w:left w:w="45" w:type="dxa"/>
              <w:bottom w:w="30" w:type="dxa"/>
              <w:right w:w="45" w:type="dxa"/>
            </w:tcMar>
            <w:hideMark/>
          </w:tcPr>
          <w:p w14:paraId="5F23BE9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7954D50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unclear how selected for testing</w:t>
            </w:r>
          </w:p>
        </w:tc>
        <w:tc>
          <w:tcPr>
            <w:tcW w:w="0" w:type="auto"/>
            <w:tcMar>
              <w:top w:w="30" w:type="dxa"/>
              <w:left w:w="45" w:type="dxa"/>
              <w:bottom w:w="30" w:type="dxa"/>
              <w:right w:w="45" w:type="dxa"/>
            </w:tcMar>
            <w:hideMark/>
          </w:tcPr>
          <w:p w14:paraId="467CF2F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PCR</w:t>
            </w:r>
          </w:p>
        </w:tc>
        <w:tc>
          <w:tcPr>
            <w:tcW w:w="0" w:type="auto"/>
            <w:tcMar>
              <w:top w:w="30" w:type="dxa"/>
              <w:left w:w="45" w:type="dxa"/>
              <w:bottom w:w="30" w:type="dxa"/>
              <w:right w:w="45" w:type="dxa"/>
            </w:tcMar>
            <w:hideMark/>
          </w:tcPr>
          <w:p w14:paraId="4280BE0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- 2012 to 2015</w:t>
            </w:r>
          </w:p>
        </w:tc>
        <w:tc>
          <w:tcPr>
            <w:tcW w:w="0" w:type="auto"/>
            <w:tcMar>
              <w:top w:w="30" w:type="dxa"/>
              <w:left w:w="45" w:type="dxa"/>
              <w:bottom w:w="30" w:type="dxa"/>
              <w:right w:w="45" w:type="dxa"/>
            </w:tcMar>
            <w:hideMark/>
          </w:tcPr>
          <w:p w14:paraId="6006C80A"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7F351BF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reported</w:t>
            </w:r>
          </w:p>
        </w:tc>
        <w:tc>
          <w:tcPr>
            <w:tcW w:w="0" w:type="auto"/>
            <w:tcMar>
              <w:top w:w="30" w:type="dxa"/>
              <w:left w:w="45" w:type="dxa"/>
              <w:bottom w:w="30" w:type="dxa"/>
              <w:right w:w="45" w:type="dxa"/>
            </w:tcMar>
            <w:hideMark/>
          </w:tcPr>
          <w:p w14:paraId="337FE2D9"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4C2E772C"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used CLSI, FDA for CAZ-AVI, unclear if CLSI equivalent to EUCAST</w:t>
            </w:r>
          </w:p>
        </w:tc>
        <w:tc>
          <w:tcPr>
            <w:tcW w:w="0" w:type="auto"/>
            <w:tcMar>
              <w:top w:w="30" w:type="dxa"/>
              <w:left w:w="45" w:type="dxa"/>
              <w:bottom w:w="30" w:type="dxa"/>
              <w:right w:w="45" w:type="dxa"/>
            </w:tcMar>
            <w:hideMark/>
          </w:tcPr>
          <w:p w14:paraId="2D9EB2BF"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3C3C021C"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6529B2E7"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0BC133BE"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0DEAC21D"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low risk</w:t>
            </w:r>
          </w:p>
        </w:tc>
      </w:tr>
      <w:tr w:rsidR="009F01D8" w:rsidRPr="009F6FA6" w14:paraId="3D80993A" w14:textId="77777777" w:rsidTr="009F01D8">
        <w:trPr>
          <w:trHeight w:val="315"/>
        </w:trPr>
        <w:tc>
          <w:tcPr>
            <w:tcW w:w="0" w:type="auto"/>
            <w:tcMar>
              <w:top w:w="30" w:type="dxa"/>
              <w:left w:w="45" w:type="dxa"/>
              <w:bottom w:w="30" w:type="dxa"/>
              <w:right w:w="45" w:type="dxa"/>
            </w:tcMar>
            <w:hideMark/>
          </w:tcPr>
          <w:p w14:paraId="75C3A50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Bhagwat 2020</w:t>
            </w:r>
          </w:p>
        </w:tc>
        <w:tc>
          <w:tcPr>
            <w:tcW w:w="0" w:type="auto"/>
            <w:tcMar>
              <w:top w:w="30" w:type="dxa"/>
              <w:left w:w="45" w:type="dxa"/>
              <w:bottom w:w="30" w:type="dxa"/>
              <w:right w:w="45" w:type="dxa"/>
            </w:tcMar>
            <w:hideMark/>
          </w:tcPr>
          <w:p w14:paraId="6D9FD4A4"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27AD7E28"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isolates selected on basis of aztreonam-avibactam resistance, not clear if this will affect susceptibility</w:t>
            </w:r>
          </w:p>
        </w:tc>
        <w:tc>
          <w:tcPr>
            <w:tcW w:w="0" w:type="auto"/>
            <w:tcMar>
              <w:top w:w="30" w:type="dxa"/>
              <w:left w:w="45" w:type="dxa"/>
              <w:bottom w:w="30" w:type="dxa"/>
              <w:right w:w="45" w:type="dxa"/>
            </w:tcMar>
            <w:hideMark/>
          </w:tcPr>
          <w:p w14:paraId="45CD91A2"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data without MBL co-carriage reported</w:t>
            </w:r>
          </w:p>
        </w:tc>
        <w:tc>
          <w:tcPr>
            <w:tcW w:w="0" w:type="auto"/>
            <w:tcMar>
              <w:top w:w="30" w:type="dxa"/>
              <w:left w:w="45" w:type="dxa"/>
              <w:bottom w:w="30" w:type="dxa"/>
              <w:right w:w="45" w:type="dxa"/>
            </w:tcMar>
            <w:hideMark/>
          </w:tcPr>
          <w:p w14:paraId="7A58CA2A"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unclear how selected for testing</w:t>
            </w:r>
          </w:p>
        </w:tc>
        <w:tc>
          <w:tcPr>
            <w:tcW w:w="0" w:type="auto"/>
            <w:tcMar>
              <w:top w:w="30" w:type="dxa"/>
              <w:left w:w="45" w:type="dxa"/>
              <w:bottom w:w="30" w:type="dxa"/>
              <w:right w:w="45" w:type="dxa"/>
            </w:tcMar>
            <w:hideMark/>
          </w:tcPr>
          <w:p w14:paraId="3B50B70D"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 whole genome sequencing</w:t>
            </w:r>
          </w:p>
        </w:tc>
        <w:tc>
          <w:tcPr>
            <w:tcW w:w="0" w:type="auto"/>
            <w:tcMar>
              <w:top w:w="30" w:type="dxa"/>
              <w:left w:w="45" w:type="dxa"/>
              <w:bottom w:w="30" w:type="dxa"/>
              <w:right w:w="45" w:type="dxa"/>
            </w:tcMar>
            <w:hideMark/>
          </w:tcPr>
          <w:p w14:paraId="228B491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 2017 to 2018</w:t>
            </w:r>
          </w:p>
        </w:tc>
        <w:tc>
          <w:tcPr>
            <w:tcW w:w="0" w:type="auto"/>
            <w:tcMar>
              <w:top w:w="30" w:type="dxa"/>
              <w:left w:w="45" w:type="dxa"/>
              <w:bottom w:w="30" w:type="dxa"/>
              <w:right w:w="45" w:type="dxa"/>
            </w:tcMar>
            <w:hideMark/>
          </w:tcPr>
          <w:p w14:paraId="547EAE66"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1AF552C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 not clear how isolates were chosen for inclusion</w:t>
            </w:r>
          </w:p>
        </w:tc>
        <w:tc>
          <w:tcPr>
            <w:tcW w:w="0" w:type="auto"/>
            <w:tcMar>
              <w:top w:w="30" w:type="dxa"/>
              <w:left w:w="45" w:type="dxa"/>
              <w:bottom w:w="30" w:type="dxa"/>
              <w:right w:w="45" w:type="dxa"/>
            </w:tcMar>
            <w:hideMark/>
          </w:tcPr>
          <w:p w14:paraId="50746578"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c>
          <w:tcPr>
            <w:tcW w:w="0" w:type="auto"/>
            <w:tcMar>
              <w:top w:w="30" w:type="dxa"/>
              <w:left w:w="45" w:type="dxa"/>
              <w:bottom w:w="30" w:type="dxa"/>
              <w:right w:w="45" w:type="dxa"/>
            </w:tcMar>
            <w:hideMark/>
          </w:tcPr>
          <w:p w14:paraId="1C657EA5"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High risk - EUCAST and CLSI not interchangeable (clinical opinion)</w:t>
            </w:r>
          </w:p>
        </w:tc>
        <w:tc>
          <w:tcPr>
            <w:tcW w:w="0" w:type="auto"/>
            <w:tcMar>
              <w:top w:w="30" w:type="dxa"/>
              <w:left w:w="45" w:type="dxa"/>
              <w:bottom w:w="30" w:type="dxa"/>
              <w:right w:w="45" w:type="dxa"/>
            </w:tcMar>
            <w:hideMark/>
          </w:tcPr>
          <w:p w14:paraId="7CB82F71"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41010866"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Low risk</w:t>
            </w:r>
          </w:p>
        </w:tc>
        <w:tc>
          <w:tcPr>
            <w:tcW w:w="0" w:type="auto"/>
            <w:tcMar>
              <w:top w:w="30" w:type="dxa"/>
              <w:left w:w="45" w:type="dxa"/>
              <w:bottom w:w="30" w:type="dxa"/>
              <w:right w:w="45" w:type="dxa"/>
            </w:tcMar>
            <w:hideMark/>
          </w:tcPr>
          <w:p w14:paraId="5FABFEC1"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high risk</w:t>
            </w:r>
          </w:p>
        </w:tc>
        <w:tc>
          <w:tcPr>
            <w:tcW w:w="0" w:type="auto"/>
            <w:tcMar>
              <w:top w:w="30" w:type="dxa"/>
              <w:left w:w="45" w:type="dxa"/>
              <w:bottom w:w="30" w:type="dxa"/>
              <w:right w:w="45" w:type="dxa"/>
            </w:tcMar>
            <w:hideMark/>
          </w:tcPr>
          <w:p w14:paraId="645919D0" w14:textId="77777777" w:rsidR="009F01D8" w:rsidRPr="009F6FA6" w:rsidRDefault="009F01D8" w:rsidP="009F01D8">
            <w:pPr>
              <w:spacing w:after="0" w:line="240" w:lineRule="auto"/>
              <w:jc w:val="both"/>
              <w:rPr>
                <w:rFonts w:asciiTheme="majorBidi" w:eastAsia="Times New Roman" w:hAnsiTheme="majorBidi" w:cstheme="majorBidi"/>
              </w:rPr>
            </w:pPr>
            <w:r w:rsidRPr="009F6FA6">
              <w:rPr>
                <w:rFonts w:asciiTheme="majorBidi" w:eastAsia="Times New Roman" w:hAnsiTheme="majorBidi" w:cstheme="majorBidi"/>
              </w:rPr>
              <w:t>unclear risk - missing data for high proportion of isolates for 3 comparators</w:t>
            </w:r>
          </w:p>
        </w:tc>
        <w:tc>
          <w:tcPr>
            <w:tcW w:w="0" w:type="auto"/>
            <w:tcMar>
              <w:top w:w="30" w:type="dxa"/>
              <w:left w:w="45" w:type="dxa"/>
              <w:bottom w:w="30" w:type="dxa"/>
              <w:right w:w="45" w:type="dxa"/>
            </w:tcMar>
            <w:hideMark/>
          </w:tcPr>
          <w:p w14:paraId="49402963" w14:textId="77777777" w:rsidR="009F01D8" w:rsidRPr="009F6FA6" w:rsidRDefault="009F01D8" w:rsidP="009F01D8">
            <w:pPr>
              <w:spacing w:after="0" w:line="240" w:lineRule="auto"/>
              <w:jc w:val="both"/>
              <w:rPr>
                <w:rFonts w:asciiTheme="majorBidi" w:eastAsia="Times New Roman" w:hAnsiTheme="majorBidi" w:cstheme="majorBidi"/>
                <w:b/>
                <w:bCs/>
              </w:rPr>
            </w:pPr>
            <w:r w:rsidRPr="009F6FA6">
              <w:rPr>
                <w:rFonts w:asciiTheme="majorBidi" w:eastAsia="Times New Roman" w:hAnsiTheme="majorBidi" w:cstheme="majorBidi"/>
                <w:b/>
                <w:bCs/>
              </w:rPr>
              <w:t>unclear risk</w:t>
            </w:r>
          </w:p>
        </w:tc>
      </w:tr>
    </w:tbl>
    <w:p w14:paraId="09830CE2" w14:textId="77777777" w:rsidR="009F01D8" w:rsidRDefault="009F01D8" w:rsidP="009F01D8">
      <w:pPr>
        <w:jc w:val="both"/>
      </w:pPr>
    </w:p>
    <w:p w14:paraId="0391E02B" w14:textId="77777777" w:rsidR="009F01D8" w:rsidRDefault="009F01D8" w:rsidP="009F01D8">
      <w:pPr>
        <w:pStyle w:val="Heading2"/>
        <w:jc w:val="both"/>
        <w:rPr>
          <w:highlight w:val="green"/>
        </w:rPr>
        <w:sectPr w:rsidR="009F01D8" w:rsidSect="009F01D8">
          <w:pgSz w:w="16838" w:h="11906" w:orient="landscape"/>
          <w:pgMar w:top="1440" w:right="1440" w:bottom="1440" w:left="1440" w:header="709" w:footer="709" w:gutter="0"/>
          <w:cols w:space="708"/>
          <w:docGrid w:linePitch="360"/>
        </w:sectPr>
      </w:pPr>
    </w:p>
    <w:p w14:paraId="0E518F97" w14:textId="77777777" w:rsidR="009F01D8" w:rsidRPr="00432C84" w:rsidRDefault="009F01D8" w:rsidP="009F01D8">
      <w:pPr>
        <w:pStyle w:val="Heading2"/>
        <w:jc w:val="both"/>
        <w:rPr>
          <w:sz w:val="32"/>
          <w:szCs w:val="32"/>
        </w:rPr>
      </w:pPr>
      <w:bookmarkStart w:id="629" w:name="_Toc87463086"/>
      <w:bookmarkStart w:id="630" w:name="_Hlk85404539"/>
      <w:r w:rsidRPr="00432C84">
        <w:rPr>
          <w:sz w:val="32"/>
          <w:szCs w:val="32"/>
        </w:rPr>
        <w:lastRenderedPageBreak/>
        <w:t>Appendix 5: Data sources excluded from susceptibility review</w:t>
      </w:r>
      <w:bookmarkEnd w:id="629"/>
    </w:p>
    <w:p w14:paraId="69FE4FA5" w14:textId="6CA44E04" w:rsidR="009F01D8" w:rsidRPr="00432C84" w:rsidRDefault="00432C84" w:rsidP="009F01D8">
      <w:pPr>
        <w:pStyle w:val="Heading3"/>
        <w:ind w:left="360"/>
        <w:rPr>
          <w:rFonts w:asciiTheme="majorBidi" w:hAnsiTheme="majorBidi"/>
          <w:sz w:val="26"/>
          <w:szCs w:val="26"/>
        </w:rPr>
      </w:pPr>
      <w:bookmarkStart w:id="631" w:name="_Ref82645191"/>
      <w:bookmarkStart w:id="632" w:name="_Toc83300875"/>
      <w:bookmarkEnd w:id="630"/>
      <w:r>
        <w:rPr>
          <w:rFonts w:asciiTheme="majorBidi" w:hAnsiTheme="majorBidi"/>
          <w:sz w:val="26"/>
          <w:szCs w:val="26"/>
        </w:rPr>
        <w:tab/>
      </w:r>
      <w:bookmarkStart w:id="633" w:name="_Toc87463087"/>
      <w:r w:rsidR="009F01D8" w:rsidRPr="00432C84">
        <w:rPr>
          <w:rFonts w:asciiTheme="majorBidi" w:hAnsiTheme="majorBidi"/>
          <w:sz w:val="26"/>
          <w:szCs w:val="26"/>
        </w:rPr>
        <w:t>A5.1 Susceptibilit</w:t>
      </w:r>
      <w:r>
        <w:rPr>
          <w:rFonts w:asciiTheme="majorBidi" w:hAnsiTheme="majorBidi"/>
          <w:sz w:val="26"/>
          <w:szCs w:val="26"/>
        </w:rPr>
        <w:t>y</w:t>
      </w:r>
      <w:r w:rsidR="009F01D8" w:rsidRPr="00432C84">
        <w:rPr>
          <w:rFonts w:asciiTheme="majorBidi" w:hAnsiTheme="majorBidi"/>
          <w:sz w:val="26"/>
          <w:szCs w:val="26"/>
        </w:rPr>
        <w:t xml:space="preserve"> studies excluded </w:t>
      </w:r>
      <w:proofErr w:type="gramStart"/>
      <w:r w:rsidR="009F01D8" w:rsidRPr="00432C84">
        <w:rPr>
          <w:rFonts w:asciiTheme="majorBidi" w:hAnsiTheme="majorBidi"/>
          <w:sz w:val="26"/>
          <w:szCs w:val="26"/>
        </w:rPr>
        <w:t>on the basis of</w:t>
      </w:r>
      <w:proofErr w:type="gramEnd"/>
      <w:r w:rsidR="009F01D8" w:rsidRPr="00432C84">
        <w:rPr>
          <w:rFonts w:asciiTheme="majorBidi" w:hAnsiTheme="majorBidi"/>
          <w:sz w:val="26"/>
          <w:szCs w:val="26"/>
        </w:rPr>
        <w:t xml:space="preserve"> their full text (n=32)</w:t>
      </w:r>
      <w:bookmarkEnd w:id="633"/>
    </w:p>
    <w:p w14:paraId="5C426B32" w14:textId="06C84EA7" w:rsidR="009F01D8" w:rsidRPr="009F6FA6" w:rsidRDefault="009F01D8" w:rsidP="009F01D8">
      <w:pPr>
        <w:pStyle w:val="Caption"/>
        <w:jc w:val="both"/>
        <w:rPr>
          <w:rFonts w:asciiTheme="majorBidi" w:hAnsiTheme="majorBidi" w:cstheme="majorBidi"/>
          <w:b/>
          <w:bCs/>
          <w:i w:val="0"/>
          <w:iCs w:val="0"/>
          <w:sz w:val="20"/>
          <w:szCs w:val="20"/>
        </w:rPr>
      </w:pPr>
      <w:bookmarkStart w:id="634" w:name="_Ref85640972"/>
      <w:bookmarkStart w:id="635" w:name="_Toc86419028"/>
      <w:r w:rsidRPr="009F6FA6">
        <w:rPr>
          <w:rFonts w:asciiTheme="majorBidi" w:hAnsiTheme="majorBidi" w:cstheme="majorBidi"/>
          <w:b/>
          <w:bCs/>
          <w:i w:val="0"/>
          <w:iCs w:val="0"/>
          <w:sz w:val="20"/>
          <w:szCs w:val="20"/>
        </w:rPr>
        <w:t xml:space="preserve">Table </w:t>
      </w:r>
      <w:r w:rsidR="00F10F0A">
        <w:rPr>
          <w:rFonts w:asciiTheme="majorBidi" w:hAnsiTheme="majorBidi" w:cstheme="majorBidi"/>
          <w:b/>
          <w:bCs/>
          <w:i w:val="0"/>
          <w:iCs w:val="0"/>
          <w:noProof/>
          <w:sz w:val="20"/>
          <w:szCs w:val="20"/>
        </w:rPr>
        <w:t>51</w:t>
      </w:r>
      <w:bookmarkEnd w:id="631"/>
      <w:bookmarkEnd w:id="634"/>
      <w:r w:rsidRPr="009F6FA6">
        <w:rPr>
          <w:rFonts w:asciiTheme="majorBidi" w:hAnsiTheme="majorBidi" w:cstheme="majorBidi"/>
          <w:b/>
          <w:bCs/>
          <w:i w:val="0"/>
          <w:iCs w:val="0"/>
          <w:sz w:val="20"/>
          <w:szCs w:val="20"/>
        </w:rPr>
        <w:tab/>
      </w:r>
      <w:bookmarkStart w:id="636" w:name="_Hlk84957847"/>
      <w:r w:rsidRPr="009F6FA6">
        <w:rPr>
          <w:rFonts w:asciiTheme="majorBidi" w:hAnsiTheme="majorBidi" w:cstheme="majorBidi"/>
          <w:b/>
          <w:bCs/>
          <w:i w:val="0"/>
          <w:iCs w:val="0"/>
          <w:sz w:val="20"/>
          <w:szCs w:val="20"/>
        </w:rPr>
        <w:t>Studies excluded from the susceptibility sift after consulting their full text</w:t>
      </w:r>
      <w:bookmarkEnd w:id="632"/>
      <w:bookmarkEnd w:id="636"/>
      <w:bookmarkEnd w:id="635"/>
    </w:p>
    <w:tbl>
      <w:tblPr>
        <w:tblStyle w:val="TableGrid"/>
        <w:tblW w:w="5000" w:type="pct"/>
        <w:tblLook w:val="04A0" w:firstRow="1" w:lastRow="0" w:firstColumn="1" w:lastColumn="0" w:noHBand="0" w:noVBand="1"/>
      </w:tblPr>
      <w:tblGrid>
        <w:gridCol w:w="4508"/>
        <w:gridCol w:w="4508"/>
      </w:tblGrid>
      <w:tr w:rsidR="009F01D8" w:rsidRPr="009F6FA6" w14:paraId="647D2020" w14:textId="77777777" w:rsidTr="009F01D8">
        <w:tc>
          <w:tcPr>
            <w:tcW w:w="2500" w:type="pct"/>
          </w:tcPr>
          <w:p w14:paraId="7B173979"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Reason for exclusion</w:t>
            </w:r>
          </w:p>
        </w:tc>
        <w:tc>
          <w:tcPr>
            <w:tcW w:w="2500" w:type="pct"/>
          </w:tcPr>
          <w:p w14:paraId="4504CEC4"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rPr>
              <w:t>Excluded studies</w:t>
            </w:r>
          </w:p>
        </w:tc>
      </w:tr>
      <w:tr w:rsidR="009F01D8" w:rsidRPr="009F6FA6" w14:paraId="5A678D0B" w14:textId="77777777" w:rsidTr="009F01D8">
        <w:tc>
          <w:tcPr>
            <w:tcW w:w="2500" w:type="pct"/>
          </w:tcPr>
          <w:p w14:paraId="2F464D2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comparator data</w:t>
            </w:r>
          </w:p>
        </w:tc>
        <w:tc>
          <w:tcPr>
            <w:tcW w:w="2500" w:type="pct"/>
          </w:tcPr>
          <w:p w14:paraId="370BCA95" w14:textId="13906406" w:rsidR="009F01D8" w:rsidRPr="009F6FA6" w:rsidRDefault="009F01D8" w:rsidP="00C83FB7">
            <w:pPr>
              <w:jc w:val="both"/>
              <w:rPr>
                <w:rFonts w:asciiTheme="majorBidi" w:hAnsiTheme="majorBidi" w:cstheme="majorBidi"/>
              </w:rPr>
            </w:pPr>
            <w:proofErr w:type="spellStart"/>
            <w:r w:rsidRPr="009F6FA6">
              <w:rPr>
                <w:rFonts w:asciiTheme="majorBidi" w:hAnsiTheme="majorBidi" w:cstheme="majorBidi"/>
              </w:rPr>
              <w:t>Alraddadi</w:t>
            </w:r>
            <w:proofErr w:type="spellEnd"/>
            <w:r w:rsidRPr="009F6FA6">
              <w:rPr>
                <w:rFonts w:asciiTheme="majorBidi" w:hAnsiTheme="majorBidi" w:cstheme="majorBidi"/>
              </w:rPr>
              <w:t xml:space="preserve"> 2019</w:t>
            </w:r>
            <w:r w:rsidR="00A83123" w:rsidRPr="00A83123">
              <w:rPr>
                <w:rFonts w:asciiTheme="majorBidi" w:hAnsiTheme="majorBidi" w:cstheme="majorBidi"/>
                <w:noProof/>
                <w:vertAlign w:val="superscript"/>
              </w:rPr>
              <w:t>36</w:t>
            </w:r>
          </w:p>
        </w:tc>
      </w:tr>
      <w:tr w:rsidR="009F01D8" w:rsidRPr="009F6FA6" w14:paraId="67F22C3F" w14:textId="77777777" w:rsidTr="009F01D8">
        <w:tc>
          <w:tcPr>
            <w:tcW w:w="2500" w:type="pct"/>
          </w:tcPr>
          <w:p w14:paraId="519AD3C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Conference abstract</w:t>
            </w:r>
          </w:p>
        </w:tc>
        <w:tc>
          <w:tcPr>
            <w:tcW w:w="2500" w:type="pct"/>
          </w:tcPr>
          <w:p w14:paraId="3BBC8CDB" w14:textId="34816DDA" w:rsidR="009F01D8" w:rsidRPr="009F6FA6" w:rsidRDefault="009F01D8" w:rsidP="00A83123">
            <w:pPr>
              <w:jc w:val="both"/>
              <w:rPr>
                <w:rFonts w:asciiTheme="majorBidi" w:hAnsiTheme="majorBidi" w:cstheme="majorBidi"/>
              </w:rPr>
            </w:pPr>
            <w:r w:rsidRPr="009F6FA6">
              <w:rPr>
                <w:rFonts w:asciiTheme="majorBidi" w:hAnsiTheme="majorBidi" w:cstheme="majorBidi"/>
              </w:rPr>
              <w:t>Duncan 2020</w:t>
            </w:r>
            <w:r w:rsidR="004B4D1C" w:rsidRPr="004B4D1C">
              <w:rPr>
                <w:rFonts w:asciiTheme="majorBidi" w:hAnsiTheme="majorBidi" w:cstheme="majorBidi"/>
                <w:noProof/>
                <w:vertAlign w:val="superscript"/>
              </w:rPr>
              <w:t>168</w:t>
            </w:r>
          </w:p>
          <w:p w14:paraId="4B749389" w14:textId="5FE12B4F"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Hujer</w:t>
            </w:r>
            <w:proofErr w:type="spellEnd"/>
            <w:r w:rsidRPr="009F6FA6">
              <w:rPr>
                <w:rFonts w:asciiTheme="majorBidi" w:hAnsiTheme="majorBidi" w:cstheme="majorBidi"/>
              </w:rPr>
              <w:t xml:space="preserve"> 2018</w:t>
            </w:r>
            <w:r w:rsidR="004B4D1C" w:rsidRPr="004B4D1C">
              <w:rPr>
                <w:rFonts w:asciiTheme="majorBidi" w:hAnsiTheme="majorBidi" w:cstheme="majorBidi"/>
                <w:noProof/>
                <w:vertAlign w:val="superscript"/>
              </w:rPr>
              <w:t>169</w:t>
            </w:r>
          </w:p>
          <w:p w14:paraId="524CD0C6" w14:textId="19A7D195" w:rsidR="009F01D8" w:rsidRPr="009F6FA6" w:rsidRDefault="009F01D8" w:rsidP="00C83FB7">
            <w:pPr>
              <w:jc w:val="both"/>
              <w:rPr>
                <w:rFonts w:asciiTheme="majorBidi" w:hAnsiTheme="majorBidi" w:cstheme="majorBidi"/>
              </w:rPr>
            </w:pPr>
            <w:r w:rsidRPr="009F6FA6">
              <w:rPr>
                <w:rFonts w:asciiTheme="majorBidi" w:hAnsiTheme="majorBidi" w:cstheme="majorBidi"/>
              </w:rPr>
              <w:t>Rubio Lopez 2017</w:t>
            </w:r>
            <w:r w:rsidR="004B4D1C" w:rsidRPr="004B4D1C">
              <w:rPr>
                <w:rFonts w:asciiTheme="majorBidi" w:hAnsiTheme="majorBidi" w:cstheme="majorBidi"/>
                <w:noProof/>
                <w:vertAlign w:val="superscript"/>
              </w:rPr>
              <w:t>170</w:t>
            </w:r>
          </w:p>
        </w:tc>
      </w:tr>
      <w:tr w:rsidR="009F01D8" w:rsidRPr="009F6FA6" w14:paraId="0BD166D3" w14:textId="77777777" w:rsidTr="009F01D8">
        <w:tc>
          <w:tcPr>
            <w:tcW w:w="2500" w:type="pct"/>
          </w:tcPr>
          <w:p w14:paraId="5098517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useable data on CAZ-AVI</w:t>
            </w:r>
          </w:p>
        </w:tc>
        <w:tc>
          <w:tcPr>
            <w:tcW w:w="2500" w:type="pct"/>
          </w:tcPr>
          <w:p w14:paraId="7E792CBF" w14:textId="49D78F06"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Karaiskos</w:t>
            </w:r>
            <w:proofErr w:type="spellEnd"/>
            <w:r w:rsidRPr="009F6FA6">
              <w:rPr>
                <w:rFonts w:asciiTheme="majorBidi" w:hAnsiTheme="majorBidi" w:cstheme="majorBidi"/>
              </w:rPr>
              <w:t xml:space="preserve"> 2021</w:t>
            </w:r>
            <w:r w:rsidR="00A83123" w:rsidRPr="00A83123">
              <w:rPr>
                <w:rFonts w:asciiTheme="majorBidi" w:hAnsiTheme="majorBidi" w:cstheme="majorBidi"/>
                <w:noProof/>
                <w:vertAlign w:val="superscript"/>
              </w:rPr>
              <w:t>42</w:t>
            </w:r>
          </w:p>
          <w:p w14:paraId="09B68D48" w14:textId="294CFFB9" w:rsidR="009F01D8" w:rsidRPr="009F6FA6" w:rsidRDefault="009F01D8" w:rsidP="00A83123">
            <w:pPr>
              <w:jc w:val="both"/>
              <w:rPr>
                <w:rFonts w:asciiTheme="majorBidi" w:hAnsiTheme="majorBidi" w:cstheme="majorBidi"/>
              </w:rPr>
            </w:pPr>
            <w:r w:rsidRPr="009F6FA6">
              <w:rPr>
                <w:rFonts w:asciiTheme="majorBidi" w:hAnsiTheme="majorBidi" w:cstheme="majorBidi"/>
              </w:rPr>
              <w:t>Lyman 2015</w:t>
            </w:r>
            <w:r w:rsidR="004B4D1C" w:rsidRPr="004B4D1C">
              <w:rPr>
                <w:rFonts w:asciiTheme="majorBidi" w:hAnsiTheme="majorBidi" w:cstheme="majorBidi"/>
                <w:noProof/>
                <w:vertAlign w:val="superscript"/>
              </w:rPr>
              <w:t>171</w:t>
            </w:r>
          </w:p>
          <w:p w14:paraId="3B56BA3B" w14:textId="0A0547C8"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Sahu</w:t>
            </w:r>
            <w:proofErr w:type="spellEnd"/>
            <w:r w:rsidRPr="009F6FA6">
              <w:rPr>
                <w:rFonts w:asciiTheme="majorBidi" w:hAnsiTheme="majorBidi" w:cstheme="majorBidi"/>
              </w:rPr>
              <w:t xml:space="preserve"> 2020</w:t>
            </w:r>
            <w:r w:rsidR="004B4D1C" w:rsidRPr="004B4D1C">
              <w:rPr>
                <w:rFonts w:asciiTheme="majorBidi" w:hAnsiTheme="majorBidi" w:cstheme="majorBidi"/>
                <w:noProof/>
                <w:vertAlign w:val="superscript"/>
              </w:rPr>
              <w:t>172</w:t>
            </w:r>
          </w:p>
          <w:p w14:paraId="09333052" w14:textId="7EC04016" w:rsidR="009F01D8" w:rsidRPr="009F6FA6" w:rsidRDefault="009F01D8" w:rsidP="00C83FB7">
            <w:pPr>
              <w:jc w:val="both"/>
              <w:rPr>
                <w:rFonts w:asciiTheme="majorBidi" w:hAnsiTheme="majorBidi" w:cstheme="majorBidi"/>
              </w:rPr>
            </w:pPr>
            <w:r w:rsidRPr="009F6FA6">
              <w:rPr>
                <w:rFonts w:asciiTheme="majorBidi" w:hAnsiTheme="majorBidi" w:cstheme="majorBidi"/>
              </w:rPr>
              <w:t>Lopes 2020</w:t>
            </w:r>
            <w:r w:rsidR="004B4D1C" w:rsidRPr="004B4D1C">
              <w:rPr>
                <w:rFonts w:asciiTheme="majorBidi" w:hAnsiTheme="majorBidi" w:cstheme="majorBidi"/>
                <w:noProof/>
                <w:vertAlign w:val="superscript"/>
              </w:rPr>
              <w:t>173</w:t>
            </w:r>
          </w:p>
        </w:tc>
      </w:tr>
      <w:tr w:rsidR="009F01D8" w:rsidRPr="009F6FA6" w14:paraId="6D46E7B7" w14:textId="77777777" w:rsidTr="009F01D8">
        <w:tc>
          <w:tcPr>
            <w:tcW w:w="2500" w:type="pct"/>
          </w:tcPr>
          <w:p w14:paraId="7B62667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Ten or fewer isolates</w:t>
            </w:r>
          </w:p>
        </w:tc>
        <w:tc>
          <w:tcPr>
            <w:tcW w:w="2500" w:type="pct"/>
          </w:tcPr>
          <w:p w14:paraId="0902F8AC" w14:textId="2DE3F64C" w:rsidR="009F01D8" w:rsidRPr="009F6FA6" w:rsidRDefault="009F01D8" w:rsidP="00A83123">
            <w:pPr>
              <w:jc w:val="both"/>
              <w:rPr>
                <w:rFonts w:asciiTheme="majorBidi" w:hAnsiTheme="majorBidi" w:cstheme="majorBidi"/>
              </w:rPr>
            </w:pPr>
            <w:r w:rsidRPr="009F6FA6">
              <w:rPr>
                <w:rFonts w:asciiTheme="majorBidi" w:hAnsiTheme="majorBidi" w:cstheme="majorBidi"/>
              </w:rPr>
              <w:t>Both 2017</w:t>
            </w:r>
            <w:r w:rsidR="004B4D1C" w:rsidRPr="004B4D1C">
              <w:rPr>
                <w:rFonts w:asciiTheme="majorBidi" w:hAnsiTheme="majorBidi" w:cstheme="majorBidi"/>
                <w:noProof/>
                <w:vertAlign w:val="superscript"/>
              </w:rPr>
              <w:t>174</w:t>
            </w:r>
          </w:p>
          <w:p w14:paraId="520A8C91" w14:textId="5F3033F6" w:rsidR="009F01D8" w:rsidRPr="009F6FA6" w:rsidRDefault="009F01D8" w:rsidP="00A83123">
            <w:pPr>
              <w:jc w:val="both"/>
              <w:rPr>
                <w:rFonts w:asciiTheme="majorBidi" w:hAnsiTheme="majorBidi" w:cstheme="majorBidi"/>
              </w:rPr>
            </w:pPr>
            <w:r w:rsidRPr="009F6FA6">
              <w:rPr>
                <w:rFonts w:asciiTheme="majorBidi" w:hAnsiTheme="majorBidi" w:cstheme="majorBidi"/>
              </w:rPr>
              <w:t>Bradford 2018</w:t>
            </w:r>
            <w:r w:rsidR="004B4D1C" w:rsidRPr="004B4D1C">
              <w:rPr>
                <w:rFonts w:asciiTheme="majorBidi" w:hAnsiTheme="majorBidi" w:cstheme="majorBidi"/>
                <w:noProof/>
                <w:vertAlign w:val="superscript"/>
              </w:rPr>
              <w:t>175</w:t>
            </w:r>
          </w:p>
          <w:p w14:paraId="79BF6559" w14:textId="0A8A6FE0" w:rsidR="009F01D8" w:rsidRPr="00E01FDE" w:rsidRDefault="009F01D8" w:rsidP="00A83123">
            <w:pPr>
              <w:jc w:val="both"/>
              <w:rPr>
                <w:rFonts w:asciiTheme="majorBidi" w:hAnsiTheme="majorBidi" w:cstheme="majorBidi"/>
              </w:rPr>
            </w:pPr>
            <w:proofErr w:type="spellStart"/>
            <w:r w:rsidRPr="00E01FDE">
              <w:rPr>
                <w:rFonts w:asciiTheme="majorBidi" w:hAnsiTheme="majorBidi" w:cstheme="majorBidi"/>
              </w:rPr>
              <w:t>Canver</w:t>
            </w:r>
            <w:proofErr w:type="spellEnd"/>
            <w:r w:rsidRPr="00E01FDE">
              <w:rPr>
                <w:rFonts w:asciiTheme="majorBidi" w:hAnsiTheme="majorBidi" w:cstheme="majorBidi"/>
              </w:rPr>
              <w:t xml:space="preserve"> 2019</w:t>
            </w:r>
            <w:r w:rsidR="004B4D1C" w:rsidRPr="00E01FDE">
              <w:rPr>
                <w:rFonts w:asciiTheme="majorBidi" w:hAnsiTheme="majorBidi" w:cstheme="majorBidi"/>
                <w:noProof/>
                <w:vertAlign w:val="superscript"/>
              </w:rPr>
              <w:t>176</w:t>
            </w:r>
          </w:p>
          <w:p w14:paraId="3E9FFCE5" w14:textId="31B17D55" w:rsidR="009F01D8" w:rsidRPr="00E01FDE" w:rsidRDefault="009F01D8" w:rsidP="00A83123">
            <w:pPr>
              <w:jc w:val="both"/>
              <w:rPr>
                <w:rFonts w:asciiTheme="majorBidi" w:hAnsiTheme="majorBidi" w:cstheme="majorBidi"/>
              </w:rPr>
            </w:pPr>
            <w:proofErr w:type="spellStart"/>
            <w:r w:rsidRPr="00E01FDE">
              <w:rPr>
                <w:rFonts w:asciiTheme="majorBidi" w:hAnsiTheme="majorBidi" w:cstheme="majorBidi"/>
              </w:rPr>
              <w:t>Giani</w:t>
            </w:r>
            <w:proofErr w:type="spellEnd"/>
            <w:r w:rsidRPr="00E01FDE">
              <w:rPr>
                <w:rFonts w:asciiTheme="majorBidi" w:hAnsiTheme="majorBidi" w:cstheme="majorBidi"/>
              </w:rPr>
              <w:t>, 2020 (</w:t>
            </w:r>
            <w:proofErr w:type="spellStart"/>
            <w:r w:rsidRPr="00E01FDE">
              <w:rPr>
                <w:rFonts w:asciiTheme="majorBidi" w:hAnsiTheme="majorBidi" w:cstheme="majorBidi"/>
              </w:rPr>
              <w:t>iCREST</w:t>
            </w:r>
            <w:proofErr w:type="spellEnd"/>
            <w:r w:rsidRPr="00E01FDE">
              <w:rPr>
                <w:rFonts w:asciiTheme="majorBidi" w:hAnsiTheme="majorBidi" w:cstheme="majorBidi"/>
              </w:rPr>
              <w:t xml:space="preserve"> - Italy)</w:t>
            </w:r>
            <w:r w:rsidR="004B4D1C" w:rsidRPr="00E01FDE">
              <w:rPr>
                <w:rFonts w:asciiTheme="majorBidi" w:hAnsiTheme="majorBidi" w:cstheme="majorBidi"/>
                <w:noProof/>
                <w:vertAlign w:val="superscript"/>
              </w:rPr>
              <w:t>177</w:t>
            </w:r>
          </w:p>
          <w:p w14:paraId="1AB5B6E2" w14:textId="6D56C67E" w:rsidR="009F01D8" w:rsidRPr="00685394" w:rsidRDefault="009F01D8" w:rsidP="00A83123">
            <w:pPr>
              <w:jc w:val="both"/>
              <w:rPr>
                <w:rFonts w:asciiTheme="majorBidi" w:hAnsiTheme="majorBidi" w:cstheme="majorBidi"/>
              </w:rPr>
            </w:pPr>
            <w:proofErr w:type="spellStart"/>
            <w:r w:rsidRPr="00685394">
              <w:rPr>
                <w:rFonts w:asciiTheme="majorBidi" w:hAnsiTheme="majorBidi" w:cstheme="majorBidi"/>
              </w:rPr>
              <w:t>Hujer</w:t>
            </w:r>
            <w:proofErr w:type="spellEnd"/>
            <w:r w:rsidRPr="00685394">
              <w:rPr>
                <w:rFonts w:asciiTheme="majorBidi" w:hAnsiTheme="majorBidi" w:cstheme="majorBidi"/>
              </w:rPr>
              <w:t xml:space="preserve"> 2020</w:t>
            </w:r>
            <w:r w:rsidR="004B4D1C" w:rsidRPr="00685394">
              <w:rPr>
                <w:rFonts w:asciiTheme="majorBidi" w:hAnsiTheme="majorBidi" w:cstheme="majorBidi"/>
                <w:noProof/>
                <w:vertAlign w:val="superscript"/>
              </w:rPr>
              <w:t>178</w:t>
            </w:r>
          </w:p>
          <w:p w14:paraId="4835BFD6" w14:textId="1945D56E" w:rsidR="009F01D8" w:rsidRPr="009F6FA6" w:rsidRDefault="009F01D8" w:rsidP="00A83123">
            <w:pPr>
              <w:jc w:val="both"/>
              <w:rPr>
                <w:rFonts w:asciiTheme="majorBidi" w:hAnsiTheme="majorBidi" w:cstheme="majorBidi"/>
              </w:rPr>
            </w:pPr>
            <w:r w:rsidRPr="009F6FA6">
              <w:rPr>
                <w:rFonts w:asciiTheme="majorBidi" w:hAnsiTheme="majorBidi" w:cstheme="majorBidi"/>
              </w:rPr>
              <w:t>MacVane 2014</w:t>
            </w:r>
            <w:r w:rsidR="004B4D1C" w:rsidRPr="004B4D1C">
              <w:rPr>
                <w:rFonts w:asciiTheme="majorBidi" w:hAnsiTheme="majorBidi" w:cstheme="majorBidi"/>
                <w:noProof/>
                <w:vertAlign w:val="superscript"/>
              </w:rPr>
              <w:t>179</w:t>
            </w:r>
          </w:p>
          <w:p w14:paraId="510D565F" w14:textId="55D72548" w:rsidR="009F01D8" w:rsidRPr="009F6FA6" w:rsidRDefault="009F01D8" w:rsidP="00A83123">
            <w:pPr>
              <w:jc w:val="both"/>
              <w:rPr>
                <w:rFonts w:asciiTheme="majorBidi" w:hAnsiTheme="majorBidi" w:cstheme="majorBidi"/>
              </w:rPr>
            </w:pPr>
            <w:r w:rsidRPr="009F6FA6">
              <w:rPr>
                <w:rFonts w:asciiTheme="majorBidi" w:hAnsiTheme="majorBidi" w:cstheme="majorBidi"/>
              </w:rPr>
              <w:t>Marshall 2017</w:t>
            </w:r>
            <w:r w:rsidR="004B4D1C" w:rsidRPr="004B4D1C">
              <w:rPr>
                <w:rFonts w:asciiTheme="majorBidi" w:hAnsiTheme="majorBidi" w:cstheme="majorBidi"/>
                <w:noProof/>
                <w:vertAlign w:val="superscript"/>
              </w:rPr>
              <w:t>180</w:t>
            </w:r>
          </w:p>
          <w:p w14:paraId="07B76E5B" w14:textId="289DB1D2"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Pragasam</w:t>
            </w:r>
            <w:proofErr w:type="spellEnd"/>
            <w:r w:rsidRPr="009F6FA6">
              <w:rPr>
                <w:rFonts w:asciiTheme="majorBidi" w:hAnsiTheme="majorBidi" w:cstheme="majorBidi"/>
              </w:rPr>
              <w:t xml:space="preserve"> 2019</w:t>
            </w:r>
            <w:r w:rsidR="004B4D1C" w:rsidRPr="004B4D1C">
              <w:rPr>
                <w:rFonts w:asciiTheme="majorBidi" w:hAnsiTheme="majorBidi" w:cstheme="majorBidi"/>
                <w:noProof/>
                <w:vertAlign w:val="superscript"/>
              </w:rPr>
              <w:t>181</w:t>
            </w:r>
          </w:p>
          <w:p w14:paraId="2311457E" w14:textId="045D5C36"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Satlin</w:t>
            </w:r>
            <w:proofErr w:type="spellEnd"/>
            <w:r w:rsidRPr="009F6FA6">
              <w:rPr>
                <w:rFonts w:asciiTheme="majorBidi" w:hAnsiTheme="majorBidi" w:cstheme="majorBidi"/>
              </w:rPr>
              <w:t xml:space="preserve"> 2017</w:t>
            </w:r>
            <w:r w:rsidR="004B4D1C" w:rsidRPr="004B4D1C">
              <w:rPr>
                <w:rFonts w:asciiTheme="majorBidi" w:hAnsiTheme="majorBidi" w:cstheme="majorBidi"/>
                <w:noProof/>
                <w:vertAlign w:val="superscript"/>
              </w:rPr>
              <w:t>182</w:t>
            </w:r>
          </w:p>
          <w:p w14:paraId="68A3C199" w14:textId="42D1963D" w:rsidR="009F01D8" w:rsidRPr="009F6FA6" w:rsidRDefault="009F01D8" w:rsidP="00C83FB7">
            <w:pPr>
              <w:jc w:val="both"/>
              <w:rPr>
                <w:rFonts w:asciiTheme="majorBidi" w:hAnsiTheme="majorBidi" w:cstheme="majorBidi"/>
              </w:rPr>
            </w:pPr>
            <w:proofErr w:type="spellStart"/>
            <w:r w:rsidRPr="009F6FA6">
              <w:rPr>
                <w:rFonts w:asciiTheme="majorBidi" w:hAnsiTheme="majorBidi" w:cstheme="majorBidi"/>
              </w:rPr>
              <w:t>Senchyna</w:t>
            </w:r>
            <w:proofErr w:type="spellEnd"/>
            <w:r w:rsidRPr="009F6FA6">
              <w:rPr>
                <w:rFonts w:asciiTheme="majorBidi" w:hAnsiTheme="majorBidi" w:cstheme="majorBidi"/>
              </w:rPr>
              <w:t xml:space="preserve"> 2019</w:t>
            </w:r>
            <w:r w:rsidR="004B4D1C" w:rsidRPr="004B4D1C">
              <w:rPr>
                <w:rFonts w:asciiTheme="majorBidi" w:hAnsiTheme="majorBidi" w:cstheme="majorBidi"/>
                <w:noProof/>
                <w:vertAlign w:val="superscript"/>
              </w:rPr>
              <w:t>183</w:t>
            </w:r>
          </w:p>
        </w:tc>
      </w:tr>
      <w:tr w:rsidR="009F01D8" w:rsidRPr="009F6FA6" w14:paraId="3160174F" w14:textId="77777777" w:rsidTr="009F01D8">
        <w:tc>
          <w:tcPr>
            <w:tcW w:w="2500" w:type="pct"/>
          </w:tcPr>
          <w:p w14:paraId="54344F3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data by bug-mech</w:t>
            </w:r>
          </w:p>
        </w:tc>
        <w:tc>
          <w:tcPr>
            <w:tcW w:w="2500" w:type="pct"/>
          </w:tcPr>
          <w:p w14:paraId="75CFD502" w14:textId="011E33EA"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Canton, 2021 (SMART)</w:t>
            </w:r>
            <w:r w:rsidR="004B4D1C" w:rsidRPr="004B4D1C">
              <w:rPr>
                <w:rFonts w:asciiTheme="majorBidi" w:hAnsiTheme="majorBidi" w:cstheme="majorBidi"/>
                <w:noProof/>
                <w:vertAlign w:val="superscript"/>
                <w:lang w:val="fr-FR"/>
              </w:rPr>
              <w:t>184</w:t>
            </w:r>
          </w:p>
          <w:p w14:paraId="412B9A5F" w14:textId="0C2C7E1D"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Dupont 2016</w:t>
            </w:r>
            <w:r w:rsidR="004B4D1C" w:rsidRPr="004B4D1C">
              <w:rPr>
                <w:rFonts w:asciiTheme="majorBidi" w:hAnsiTheme="majorBidi" w:cstheme="majorBidi"/>
                <w:noProof/>
                <w:vertAlign w:val="superscript"/>
                <w:lang w:val="fr-FR"/>
              </w:rPr>
              <w:t>185</w:t>
            </w:r>
          </w:p>
          <w:p w14:paraId="40CE1709" w14:textId="36C6D12D"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Jean 2018</w:t>
            </w:r>
            <w:r w:rsidR="004B4D1C" w:rsidRPr="004B4D1C">
              <w:rPr>
                <w:rFonts w:asciiTheme="majorBidi" w:hAnsiTheme="majorBidi" w:cstheme="majorBidi"/>
                <w:noProof/>
                <w:vertAlign w:val="superscript"/>
                <w:lang w:val="fr-FR"/>
              </w:rPr>
              <w:t>186</w:t>
            </w:r>
          </w:p>
          <w:p w14:paraId="3D569D05" w14:textId="1446B9A2"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Jiang 2020</w:t>
            </w:r>
            <w:r w:rsidR="004B4D1C" w:rsidRPr="004B4D1C">
              <w:rPr>
                <w:rFonts w:asciiTheme="majorBidi" w:hAnsiTheme="majorBidi" w:cstheme="majorBidi"/>
                <w:noProof/>
                <w:vertAlign w:val="superscript"/>
                <w:lang w:val="fr-FR"/>
              </w:rPr>
              <w:t>187</w:t>
            </w:r>
          </w:p>
          <w:p w14:paraId="3ED2A01C" w14:textId="509CF72E" w:rsidR="009F01D8" w:rsidRPr="00454CF5" w:rsidRDefault="009F01D8" w:rsidP="00A83123">
            <w:pPr>
              <w:jc w:val="both"/>
              <w:rPr>
                <w:rFonts w:asciiTheme="majorBidi" w:hAnsiTheme="majorBidi" w:cstheme="majorBidi"/>
              </w:rPr>
            </w:pPr>
            <w:proofErr w:type="spellStart"/>
            <w:r w:rsidRPr="00454CF5">
              <w:rPr>
                <w:rFonts w:asciiTheme="majorBidi" w:hAnsiTheme="majorBidi" w:cstheme="majorBidi"/>
              </w:rPr>
              <w:t>Katchanov</w:t>
            </w:r>
            <w:proofErr w:type="spellEnd"/>
            <w:r w:rsidRPr="00454CF5">
              <w:rPr>
                <w:rFonts w:asciiTheme="majorBidi" w:hAnsiTheme="majorBidi" w:cstheme="majorBidi"/>
              </w:rPr>
              <w:t xml:space="preserve"> 2018</w:t>
            </w:r>
            <w:r w:rsidR="00A83123" w:rsidRPr="00454CF5">
              <w:rPr>
                <w:rFonts w:asciiTheme="majorBidi" w:hAnsiTheme="majorBidi" w:cstheme="majorBidi"/>
                <w:noProof/>
                <w:vertAlign w:val="superscript"/>
              </w:rPr>
              <w:t>38</w:t>
            </w:r>
          </w:p>
          <w:p w14:paraId="31551D1A" w14:textId="26305C42" w:rsidR="009F01D8" w:rsidRPr="00454CF5" w:rsidRDefault="009F01D8" w:rsidP="00A83123">
            <w:pPr>
              <w:jc w:val="both"/>
              <w:rPr>
                <w:rFonts w:asciiTheme="majorBidi" w:hAnsiTheme="majorBidi" w:cstheme="majorBidi"/>
              </w:rPr>
            </w:pPr>
            <w:r w:rsidRPr="00454CF5">
              <w:rPr>
                <w:rFonts w:asciiTheme="majorBidi" w:hAnsiTheme="majorBidi" w:cstheme="majorBidi"/>
              </w:rPr>
              <w:t>Liao 2019</w:t>
            </w:r>
            <w:r w:rsidR="004B4D1C" w:rsidRPr="00454CF5">
              <w:rPr>
                <w:rFonts w:asciiTheme="majorBidi" w:hAnsiTheme="majorBidi" w:cstheme="majorBidi"/>
                <w:noProof/>
                <w:vertAlign w:val="superscript"/>
              </w:rPr>
              <w:t>188</w:t>
            </w:r>
          </w:p>
          <w:p w14:paraId="294A3A80" w14:textId="6CB8E6C1" w:rsidR="009F01D8" w:rsidRPr="00454CF5" w:rsidRDefault="009F01D8" w:rsidP="00A83123">
            <w:pPr>
              <w:jc w:val="both"/>
              <w:rPr>
                <w:rFonts w:asciiTheme="majorBidi" w:hAnsiTheme="majorBidi" w:cstheme="majorBidi"/>
              </w:rPr>
            </w:pPr>
            <w:r w:rsidRPr="00454CF5">
              <w:rPr>
                <w:rFonts w:asciiTheme="majorBidi" w:hAnsiTheme="majorBidi" w:cstheme="majorBidi"/>
              </w:rPr>
              <w:t>Woodford 2018 (</w:t>
            </w:r>
            <w:proofErr w:type="spellStart"/>
            <w:r w:rsidRPr="00454CF5">
              <w:rPr>
                <w:rFonts w:asciiTheme="majorBidi" w:hAnsiTheme="majorBidi" w:cstheme="majorBidi"/>
              </w:rPr>
              <w:t>iCREST</w:t>
            </w:r>
            <w:proofErr w:type="spellEnd"/>
            <w:r w:rsidRPr="00454CF5">
              <w:rPr>
                <w:rFonts w:asciiTheme="majorBidi" w:hAnsiTheme="majorBidi" w:cstheme="majorBidi"/>
              </w:rPr>
              <w:t xml:space="preserve"> - UK)</w:t>
            </w:r>
            <w:r w:rsidR="004B4D1C" w:rsidRPr="00454CF5">
              <w:rPr>
                <w:rFonts w:asciiTheme="majorBidi" w:hAnsiTheme="majorBidi" w:cstheme="majorBidi"/>
                <w:noProof/>
                <w:vertAlign w:val="superscript"/>
              </w:rPr>
              <w:t>189</w:t>
            </w:r>
          </w:p>
          <w:p w14:paraId="1FB301FD" w14:textId="1DF7DBF9" w:rsidR="009F01D8" w:rsidRPr="009F6FA6" w:rsidRDefault="009F01D8" w:rsidP="00C83FB7">
            <w:pPr>
              <w:jc w:val="both"/>
              <w:rPr>
                <w:rFonts w:asciiTheme="majorBidi" w:hAnsiTheme="majorBidi" w:cstheme="majorBidi"/>
              </w:rPr>
            </w:pPr>
            <w:r w:rsidRPr="009F6FA6">
              <w:rPr>
                <w:rFonts w:asciiTheme="majorBidi" w:hAnsiTheme="majorBidi" w:cstheme="majorBidi"/>
              </w:rPr>
              <w:t>Di Domenico 2020</w:t>
            </w:r>
            <w:r w:rsidR="004B4D1C" w:rsidRPr="004B4D1C">
              <w:rPr>
                <w:rFonts w:asciiTheme="majorBidi" w:hAnsiTheme="majorBidi" w:cstheme="majorBidi"/>
                <w:noProof/>
                <w:vertAlign w:val="superscript"/>
              </w:rPr>
              <w:t>190</w:t>
            </w:r>
          </w:p>
        </w:tc>
      </w:tr>
      <w:tr w:rsidR="009F01D8" w:rsidRPr="009F6FA6" w14:paraId="51D24B1A" w14:textId="77777777" w:rsidTr="009F01D8">
        <w:tc>
          <w:tcPr>
            <w:tcW w:w="2500" w:type="pct"/>
          </w:tcPr>
          <w:p w14:paraId="4E6B07B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all OXA-48</w:t>
            </w:r>
          </w:p>
        </w:tc>
        <w:tc>
          <w:tcPr>
            <w:tcW w:w="2500" w:type="pct"/>
          </w:tcPr>
          <w:p w14:paraId="7B13E566" w14:textId="089562C5"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Mora-Guzman 2020b</w:t>
            </w:r>
            <w:r w:rsidR="004B4D1C" w:rsidRPr="004B4D1C">
              <w:rPr>
                <w:rFonts w:asciiTheme="majorBidi" w:hAnsiTheme="majorBidi" w:cstheme="majorBidi"/>
                <w:noProof/>
                <w:vertAlign w:val="superscript"/>
                <w:lang w:val="fr-FR"/>
              </w:rPr>
              <w:t>191</w:t>
            </w:r>
          </w:p>
          <w:p w14:paraId="455465CD" w14:textId="405DCB57" w:rsidR="009F01D8" w:rsidRPr="009F6FA6" w:rsidRDefault="009F01D8" w:rsidP="00C83FB7">
            <w:pPr>
              <w:jc w:val="both"/>
              <w:rPr>
                <w:rFonts w:asciiTheme="majorBidi" w:hAnsiTheme="majorBidi" w:cstheme="majorBidi"/>
                <w:lang w:val="fr-FR"/>
              </w:rPr>
            </w:pPr>
            <w:proofErr w:type="spellStart"/>
            <w:r w:rsidRPr="009F6FA6">
              <w:rPr>
                <w:rFonts w:asciiTheme="majorBidi" w:hAnsiTheme="majorBidi" w:cstheme="majorBidi"/>
                <w:lang w:val="fr-FR"/>
              </w:rPr>
              <w:t>Tselepis</w:t>
            </w:r>
            <w:proofErr w:type="spellEnd"/>
            <w:r w:rsidRPr="009F6FA6">
              <w:rPr>
                <w:rFonts w:asciiTheme="majorBidi" w:hAnsiTheme="majorBidi" w:cstheme="majorBidi"/>
                <w:lang w:val="fr-FR"/>
              </w:rPr>
              <w:t xml:space="preserve"> 2020</w:t>
            </w:r>
            <w:r w:rsidR="004B4D1C" w:rsidRPr="004B4D1C">
              <w:rPr>
                <w:rFonts w:asciiTheme="majorBidi" w:hAnsiTheme="majorBidi" w:cstheme="majorBidi"/>
                <w:noProof/>
                <w:vertAlign w:val="superscript"/>
                <w:lang w:val="fr-FR"/>
              </w:rPr>
              <w:t>192</w:t>
            </w:r>
          </w:p>
        </w:tc>
      </w:tr>
      <w:tr w:rsidR="009F01D8" w:rsidRPr="009F6FA6" w14:paraId="45CFA140" w14:textId="77777777" w:rsidTr="009F01D8">
        <w:tc>
          <w:tcPr>
            <w:tcW w:w="2500" w:type="pct"/>
          </w:tcPr>
          <w:p w14:paraId="0B98184A"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Non-English language</w:t>
            </w:r>
          </w:p>
        </w:tc>
        <w:tc>
          <w:tcPr>
            <w:tcW w:w="2500" w:type="pct"/>
          </w:tcPr>
          <w:p w14:paraId="64E87B50" w14:textId="37B5491D" w:rsidR="009F01D8" w:rsidRPr="009F6FA6" w:rsidRDefault="009F01D8" w:rsidP="00C83FB7">
            <w:pPr>
              <w:jc w:val="both"/>
              <w:rPr>
                <w:rFonts w:asciiTheme="majorBidi" w:hAnsiTheme="majorBidi" w:cstheme="majorBidi"/>
                <w:lang w:val="fr-FR"/>
              </w:rPr>
            </w:pPr>
            <w:r w:rsidRPr="009F6FA6">
              <w:rPr>
                <w:rFonts w:asciiTheme="majorBidi" w:hAnsiTheme="majorBidi" w:cstheme="majorBidi"/>
                <w:lang w:val="fr-FR"/>
              </w:rPr>
              <w:t>Mora-Guzman 2020a</w:t>
            </w:r>
            <w:r w:rsidR="004B4D1C" w:rsidRPr="004B4D1C">
              <w:rPr>
                <w:rFonts w:asciiTheme="majorBidi" w:hAnsiTheme="majorBidi" w:cstheme="majorBidi"/>
                <w:noProof/>
                <w:vertAlign w:val="superscript"/>
                <w:lang w:val="fr-FR"/>
              </w:rPr>
              <w:t>193</w:t>
            </w:r>
          </w:p>
        </w:tc>
      </w:tr>
      <w:tr w:rsidR="009F01D8" w:rsidRPr="009F6FA6" w14:paraId="6953A2F8" w14:textId="77777777" w:rsidTr="009F01D8">
        <w:tc>
          <w:tcPr>
            <w:tcW w:w="2500" w:type="pct"/>
          </w:tcPr>
          <w:p w14:paraId="4969F16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data on OXA-48s</w:t>
            </w:r>
          </w:p>
        </w:tc>
        <w:tc>
          <w:tcPr>
            <w:tcW w:w="2500" w:type="pct"/>
          </w:tcPr>
          <w:p w14:paraId="005E3457" w14:textId="5CAAA1D6" w:rsidR="009F01D8" w:rsidRPr="009F6FA6" w:rsidRDefault="009F01D8" w:rsidP="00A83123">
            <w:pPr>
              <w:jc w:val="both"/>
              <w:rPr>
                <w:rFonts w:asciiTheme="majorBidi" w:hAnsiTheme="majorBidi" w:cstheme="majorBidi"/>
                <w:lang w:val="fr-FR"/>
              </w:rPr>
            </w:pPr>
            <w:proofErr w:type="spellStart"/>
            <w:r w:rsidRPr="009F6FA6">
              <w:rPr>
                <w:rFonts w:asciiTheme="majorBidi" w:hAnsiTheme="majorBidi" w:cstheme="majorBidi"/>
                <w:lang w:val="fr-FR"/>
              </w:rPr>
              <w:t>Lomovskya</w:t>
            </w:r>
            <w:proofErr w:type="spellEnd"/>
            <w:r w:rsidRPr="009F6FA6">
              <w:rPr>
                <w:rFonts w:asciiTheme="majorBidi" w:hAnsiTheme="majorBidi" w:cstheme="majorBidi"/>
                <w:lang w:val="fr-FR"/>
              </w:rPr>
              <w:t xml:space="preserve"> 2019</w:t>
            </w:r>
            <w:r w:rsidR="004B4D1C" w:rsidRPr="004B4D1C">
              <w:rPr>
                <w:rFonts w:asciiTheme="majorBidi" w:hAnsiTheme="majorBidi" w:cstheme="majorBidi"/>
                <w:noProof/>
                <w:vertAlign w:val="superscript"/>
                <w:lang w:val="fr-FR"/>
              </w:rPr>
              <w:t>194</w:t>
            </w:r>
          </w:p>
          <w:p w14:paraId="390AAB1F" w14:textId="13AF0276" w:rsidR="009F01D8" w:rsidRPr="009F6FA6" w:rsidRDefault="009F01D8" w:rsidP="00C83FB7">
            <w:pPr>
              <w:jc w:val="both"/>
              <w:rPr>
                <w:rFonts w:asciiTheme="majorBidi" w:hAnsiTheme="majorBidi" w:cstheme="majorBidi"/>
                <w:lang w:val="fr-FR"/>
              </w:rPr>
            </w:pPr>
            <w:proofErr w:type="spellStart"/>
            <w:r w:rsidRPr="009F6FA6">
              <w:rPr>
                <w:rFonts w:asciiTheme="majorBidi" w:hAnsiTheme="majorBidi" w:cstheme="majorBidi"/>
                <w:lang w:val="fr-FR"/>
              </w:rPr>
              <w:t>Niu</w:t>
            </w:r>
            <w:proofErr w:type="spellEnd"/>
            <w:r w:rsidRPr="009F6FA6">
              <w:rPr>
                <w:rFonts w:asciiTheme="majorBidi" w:hAnsiTheme="majorBidi" w:cstheme="majorBidi"/>
                <w:lang w:val="fr-FR"/>
              </w:rPr>
              <w:t xml:space="preserve"> 2020</w:t>
            </w:r>
            <w:r w:rsidR="004B4D1C" w:rsidRPr="004B4D1C">
              <w:rPr>
                <w:rFonts w:asciiTheme="majorBidi" w:hAnsiTheme="majorBidi" w:cstheme="majorBidi"/>
                <w:noProof/>
                <w:vertAlign w:val="superscript"/>
                <w:lang w:val="fr-FR"/>
              </w:rPr>
              <w:t>195</w:t>
            </w:r>
          </w:p>
        </w:tc>
      </w:tr>
      <w:tr w:rsidR="009F01D8" w:rsidRPr="009F6FA6" w14:paraId="4AF16A4B" w14:textId="77777777" w:rsidTr="009F01D8">
        <w:tc>
          <w:tcPr>
            <w:tcW w:w="2500" w:type="pct"/>
          </w:tcPr>
          <w:p w14:paraId="48A0031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 if double counting</w:t>
            </w:r>
          </w:p>
        </w:tc>
        <w:tc>
          <w:tcPr>
            <w:tcW w:w="2500" w:type="pct"/>
          </w:tcPr>
          <w:p w14:paraId="3DA3AB5A" w14:textId="5AF7C2FF" w:rsidR="009F01D8" w:rsidRPr="009F6FA6" w:rsidRDefault="009F01D8" w:rsidP="00C83FB7">
            <w:pPr>
              <w:jc w:val="both"/>
              <w:rPr>
                <w:rFonts w:asciiTheme="majorBidi" w:hAnsiTheme="majorBidi" w:cstheme="majorBidi"/>
                <w:lang w:val="fr-FR"/>
              </w:rPr>
            </w:pPr>
            <w:proofErr w:type="spellStart"/>
            <w:r w:rsidRPr="009F6FA6">
              <w:rPr>
                <w:rFonts w:asciiTheme="majorBidi" w:hAnsiTheme="majorBidi" w:cstheme="majorBidi"/>
                <w:lang w:val="fr-FR"/>
              </w:rPr>
              <w:t>Vasoo</w:t>
            </w:r>
            <w:proofErr w:type="spellEnd"/>
            <w:r w:rsidRPr="009F6FA6">
              <w:rPr>
                <w:rFonts w:asciiTheme="majorBidi" w:hAnsiTheme="majorBidi" w:cstheme="majorBidi"/>
                <w:lang w:val="fr-FR"/>
              </w:rPr>
              <w:t xml:space="preserve"> 2015</w:t>
            </w:r>
            <w:r w:rsidR="004B4D1C" w:rsidRPr="004B4D1C">
              <w:rPr>
                <w:rFonts w:asciiTheme="majorBidi" w:hAnsiTheme="majorBidi" w:cstheme="majorBidi"/>
                <w:noProof/>
                <w:vertAlign w:val="superscript"/>
                <w:lang w:val="fr-FR"/>
              </w:rPr>
              <w:t>196</w:t>
            </w:r>
          </w:p>
        </w:tc>
      </w:tr>
    </w:tbl>
    <w:p w14:paraId="76675739" w14:textId="77777777" w:rsidR="005452F3" w:rsidRDefault="005452F3" w:rsidP="005452F3"/>
    <w:p w14:paraId="2A87ADD8" w14:textId="0C71A9C7" w:rsidR="009F01D8" w:rsidRPr="00432C84" w:rsidRDefault="00432C84" w:rsidP="009F01D8">
      <w:pPr>
        <w:pStyle w:val="Heading3"/>
        <w:ind w:left="360"/>
        <w:rPr>
          <w:rFonts w:asciiTheme="majorBidi" w:hAnsiTheme="majorBidi"/>
          <w:sz w:val="26"/>
          <w:szCs w:val="26"/>
        </w:rPr>
      </w:pPr>
      <w:r>
        <w:rPr>
          <w:rFonts w:asciiTheme="majorBidi" w:hAnsiTheme="majorBidi"/>
          <w:sz w:val="26"/>
          <w:szCs w:val="26"/>
        </w:rPr>
        <w:tab/>
      </w:r>
      <w:bookmarkStart w:id="637" w:name="_Toc87463088"/>
      <w:r w:rsidR="009F01D8" w:rsidRPr="00432C84">
        <w:rPr>
          <w:rFonts w:asciiTheme="majorBidi" w:hAnsiTheme="majorBidi"/>
          <w:sz w:val="26"/>
          <w:szCs w:val="26"/>
        </w:rPr>
        <w:t>A5.2 Surveillance study databases excluded from the review</w:t>
      </w:r>
      <w:bookmarkEnd w:id="637"/>
    </w:p>
    <w:p w14:paraId="4838AA26" w14:textId="77777777" w:rsidR="00FF3D9D" w:rsidRDefault="009F01D8" w:rsidP="001D1471">
      <w:pPr>
        <w:spacing w:line="360" w:lineRule="auto"/>
        <w:jc w:val="both"/>
        <w:rPr>
          <w:rFonts w:asciiTheme="majorBidi" w:hAnsiTheme="majorBidi" w:cstheme="majorBidi"/>
        </w:rPr>
      </w:pPr>
      <w:r w:rsidRPr="00885DFB">
        <w:rPr>
          <w:rFonts w:asciiTheme="majorBidi" w:hAnsiTheme="majorBidi" w:cstheme="majorBidi"/>
        </w:rPr>
        <w:t xml:space="preserve">The two surveillance programmes that were identified </w:t>
      </w:r>
      <w:proofErr w:type="gramStart"/>
      <w:r w:rsidRPr="00885DFB">
        <w:rPr>
          <w:rFonts w:asciiTheme="majorBidi" w:hAnsiTheme="majorBidi" w:cstheme="majorBidi"/>
        </w:rPr>
        <w:t>during the course of</w:t>
      </w:r>
      <w:proofErr w:type="gramEnd"/>
      <w:r w:rsidRPr="00885DFB">
        <w:rPr>
          <w:rFonts w:asciiTheme="majorBidi" w:hAnsiTheme="majorBidi" w:cstheme="majorBidi"/>
        </w:rPr>
        <w:t xml:space="preserve"> the review were also assessed. </w:t>
      </w:r>
    </w:p>
    <w:p w14:paraId="0FB4B970" w14:textId="6E6A7B82" w:rsidR="00FF3D9D" w:rsidRDefault="009F01D8" w:rsidP="00A83123">
      <w:pPr>
        <w:spacing w:line="360" w:lineRule="auto"/>
        <w:jc w:val="both"/>
        <w:rPr>
          <w:rFonts w:asciiTheme="majorBidi" w:hAnsiTheme="majorBidi" w:cstheme="majorBidi"/>
        </w:rPr>
      </w:pPr>
      <w:r w:rsidRPr="00885DFB">
        <w:rPr>
          <w:rFonts w:asciiTheme="majorBidi" w:hAnsiTheme="majorBidi" w:cstheme="majorBidi"/>
        </w:rPr>
        <w:t>SENTRY is a long-running (since 1997) surveillance programme which operates worldwide and is managed by JMI laboratories. An open access, searchable database is provided online. EEPRU accessed the database on 26</w:t>
      </w:r>
      <w:r w:rsidRPr="00885DFB">
        <w:rPr>
          <w:rFonts w:asciiTheme="majorBidi" w:hAnsiTheme="majorBidi" w:cstheme="majorBidi"/>
          <w:vertAlign w:val="superscript"/>
        </w:rPr>
        <w:t>th</w:t>
      </w:r>
      <w:r w:rsidRPr="00885DFB">
        <w:rPr>
          <w:rFonts w:asciiTheme="majorBidi" w:hAnsiTheme="majorBidi" w:cstheme="majorBidi"/>
        </w:rPr>
        <w:t xml:space="preserve"> August 2021 and were able to retrieve data relating to 279 relevant OXA-48 </w:t>
      </w:r>
      <w:proofErr w:type="spellStart"/>
      <w:r w:rsidR="00FE2007" w:rsidRPr="00FE2007">
        <w:rPr>
          <w:rFonts w:asciiTheme="majorBidi" w:hAnsiTheme="majorBidi" w:cstheme="majorBidi"/>
          <w:i/>
          <w:iCs/>
        </w:rPr>
        <w:t>Enterobacterales</w:t>
      </w:r>
      <w:proofErr w:type="spellEnd"/>
      <w:r w:rsidRPr="00885DFB">
        <w:rPr>
          <w:rFonts w:asciiTheme="majorBidi" w:hAnsiTheme="majorBidi" w:cstheme="majorBidi"/>
        </w:rPr>
        <w:t xml:space="preserve"> in total, but at least 262 of these reported no CAZ-AVI data. The study</w:t>
      </w:r>
      <w:r w:rsidR="00A83123" w:rsidRPr="00A83123">
        <w:rPr>
          <w:rFonts w:asciiTheme="majorBidi" w:hAnsiTheme="majorBidi" w:cstheme="majorBidi"/>
          <w:noProof/>
          <w:vertAlign w:val="superscript"/>
        </w:rPr>
        <w:t>45</w:t>
      </w:r>
      <w:r w:rsidRPr="00885DFB">
        <w:rPr>
          <w:rFonts w:asciiTheme="majorBidi" w:hAnsiTheme="majorBidi" w:cstheme="majorBidi"/>
        </w:rPr>
        <w:t xml:space="preserve"> provided by Pfizer in response to a data request by EEPRU reported a </w:t>
      </w:r>
      <w:r w:rsidRPr="00454CF5">
        <w:rPr>
          <w:rFonts w:asciiTheme="majorBidi" w:hAnsiTheme="majorBidi" w:cstheme="majorBidi"/>
        </w:rPr>
        <w:t>much higher n</w:t>
      </w:r>
      <w:r w:rsidRPr="00885DFB">
        <w:rPr>
          <w:rFonts w:asciiTheme="majorBidi" w:hAnsiTheme="majorBidi" w:cstheme="majorBidi"/>
        </w:rPr>
        <w:t>umber of</w:t>
      </w:r>
      <w:r>
        <w:rPr>
          <w:rFonts w:asciiTheme="majorBidi" w:hAnsiTheme="majorBidi" w:cstheme="majorBidi"/>
        </w:rPr>
        <w:t xml:space="preserve"> OXA-48</w:t>
      </w:r>
      <w:r w:rsidRPr="00885DFB">
        <w:rPr>
          <w:rFonts w:asciiTheme="majorBidi" w:hAnsiTheme="majorBidi" w:cstheme="majorBidi"/>
        </w:rPr>
        <w:t xml:space="preserve"> isolates with </w:t>
      </w:r>
      <w:r w:rsidRPr="00885DFB">
        <w:rPr>
          <w:rFonts w:asciiTheme="majorBidi" w:hAnsiTheme="majorBidi" w:cstheme="majorBidi"/>
        </w:rPr>
        <w:lastRenderedPageBreak/>
        <w:t xml:space="preserve">CAZ-AVI data </w:t>
      </w:r>
      <w:r w:rsidRPr="00454CF5">
        <w:rPr>
          <w:rFonts w:asciiTheme="majorBidi" w:hAnsiTheme="majorBidi" w:cstheme="majorBidi"/>
        </w:rPr>
        <w:t xml:space="preserve">(n=319) derived from the SENTRY programme, </w:t>
      </w:r>
      <w:r w:rsidRPr="00885DFB">
        <w:rPr>
          <w:rFonts w:asciiTheme="majorBidi" w:hAnsiTheme="majorBidi" w:cstheme="majorBidi"/>
        </w:rPr>
        <w:t xml:space="preserve">and therefore this study was included instead of data from the SENTRY database. </w:t>
      </w:r>
    </w:p>
    <w:p w14:paraId="3224EED8" w14:textId="7423CDC9"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 xml:space="preserve">ATLAS also has a fully searchable open access database of </w:t>
      </w:r>
      <w:proofErr w:type="gramStart"/>
      <w:r w:rsidRPr="00885DFB">
        <w:rPr>
          <w:rFonts w:asciiTheme="majorBidi" w:hAnsiTheme="majorBidi" w:cstheme="majorBidi"/>
        </w:rPr>
        <w:t>isolates, and</w:t>
      </w:r>
      <w:proofErr w:type="gramEnd"/>
      <w:r w:rsidRPr="00885DFB">
        <w:rPr>
          <w:rFonts w:asciiTheme="majorBidi" w:hAnsiTheme="majorBidi" w:cstheme="majorBidi"/>
        </w:rPr>
        <w:t xml:space="preserve"> appears to draw isolates from three different surveillance programmes (TEST (Tigecycline Evaluation Surveillance Trial) surveillance program; AWARE (Assessing Worldwide Antimicrobial Resistance Evaluation); and INFORM (International Network for Optimal Resistance Monitoring) programs). EEPRU accessed the database on 4</w:t>
      </w:r>
      <w:r w:rsidRPr="00885DFB">
        <w:rPr>
          <w:rFonts w:asciiTheme="majorBidi" w:hAnsiTheme="majorBidi" w:cstheme="majorBidi"/>
          <w:vertAlign w:val="superscript"/>
        </w:rPr>
        <w:t>th</w:t>
      </w:r>
      <w:r w:rsidRPr="00885DFB">
        <w:rPr>
          <w:rFonts w:asciiTheme="majorBidi" w:hAnsiTheme="majorBidi" w:cstheme="majorBidi"/>
        </w:rPr>
        <w:t xml:space="preserve"> August 2021. Pooling data from all three studies naively could underestimate between study heterogeneity, and it was not possible to retrieve data for each study separately (INFORM and AWARE could only be retrieved together). It was not clear whether the study methodologies for INFORM and AWARE were sufficiently </w:t>
      </w:r>
      <w:proofErr w:type="gramStart"/>
      <w:r w:rsidRPr="00885DFB">
        <w:rPr>
          <w:rFonts w:asciiTheme="majorBidi" w:hAnsiTheme="majorBidi" w:cstheme="majorBidi"/>
        </w:rPr>
        <w:t>similar to</w:t>
      </w:r>
      <w:proofErr w:type="gramEnd"/>
      <w:r w:rsidRPr="00885DFB">
        <w:rPr>
          <w:rFonts w:asciiTheme="majorBidi" w:hAnsiTheme="majorBidi" w:cstheme="majorBidi"/>
        </w:rPr>
        <w:t xml:space="preserve"> be considered the same study. The systematic review conducted by EEPRU had identified studies reporting data from INFORM.</w:t>
      </w:r>
      <w:r w:rsidR="00A83123" w:rsidRPr="00A83123">
        <w:rPr>
          <w:rFonts w:asciiTheme="majorBidi" w:hAnsiTheme="majorBidi" w:cstheme="majorBidi"/>
          <w:noProof/>
          <w:vertAlign w:val="superscript"/>
        </w:rPr>
        <w:t>47,54-56</w:t>
      </w:r>
      <w:r w:rsidRPr="00885DFB">
        <w:rPr>
          <w:rFonts w:asciiTheme="majorBidi" w:hAnsiTheme="majorBidi" w:cstheme="majorBidi"/>
        </w:rPr>
        <w:t xml:space="preserve"> To avoid the potential for double counting, and underestimating between study heterogeneity, and because more information about study methodologies was available from the published papers, data retrieved from ATLAS was not included in the review and the published sources were included instead.</w:t>
      </w:r>
      <w:r w:rsidR="00A83123" w:rsidRPr="00A83123">
        <w:rPr>
          <w:rFonts w:asciiTheme="majorBidi" w:hAnsiTheme="majorBidi" w:cstheme="majorBidi"/>
          <w:noProof/>
          <w:vertAlign w:val="superscript"/>
        </w:rPr>
        <w:t>47,54-56</w:t>
      </w:r>
      <w:r w:rsidRPr="00885DFB">
        <w:rPr>
          <w:rFonts w:asciiTheme="majorBidi" w:hAnsiTheme="majorBidi" w:cstheme="majorBidi"/>
        </w:rPr>
        <w:t xml:space="preserve"> Ultimately, one </w:t>
      </w:r>
      <w:r>
        <w:rPr>
          <w:rFonts w:asciiTheme="majorBidi" w:hAnsiTheme="majorBidi" w:cstheme="majorBidi"/>
        </w:rPr>
        <w:t xml:space="preserve">published </w:t>
      </w:r>
      <w:r w:rsidRPr="00885DFB">
        <w:rPr>
          <w:rFonts w:asciiTheme="majorBidi" w:hAnsiTheme="majorBidi" w:cstheme="majorBidi"/>
        </w:rPr>
        <w:t>stud</w:t>
      </w:r>
      <w:r>
        <w:rPr>
          <w:rFonts w:asciiTheme="majorBidi" w:hAnsiTheme="majorBidi" w:cstheme="majorBidi"/>
        </w:rPr>
        <w:t>y</w:t>
      </w:r>
      <w:r w:rsidR="00A83123" w:rsidRPr="00A83123">
        <w:rPr>
          <w:rFonts w:asciiTheme="majorBidi" w:hAnsiTheme="majorBidi" w:cstheme="majorBidi"/>
          <w:noProof/>
          <w:vertAlign w:val="superscript"/>
        </w:rPr>
        <w:t>56</w:t>
      </w:r>
      <w:r w:rsidRPr="00885DFB">
        <w:rPr>
          <w:rFonts w:asciiTheme="majorBidi" w:hAnsiTheme="majorBidi" w:cstheme="majorBidi"/>
        </w:rPr>
        <w:t xml:space="preserve"> from ATLAS was included, as detailed in </w:t>
      </w:r>
      <w:r w:rsidR="00EE4C38" w:rsidRPr="00EE4C38">
        <w:rPr>
          <w:rFonts w:asciiTheme="majorBidi" w:hAnsiTheme="majorBidi" w:cstheme="majorBidi"/>
        </w:rPr>
        <w:t>Table 9</w:t>
      </w:r>
      <w:r w:rsidRPr="00885DFB">
        <w:rPr>
          <w:rFonts w:asciiTheme="majorBidi" w:hAnsiTheme="majorBidi" w:cstheme="majorBidi"/>
        </w:rPr>
        <w:t xml:space="preserve">. </w:t>
      </w:r>
    </w:p>
    <w:p w14:paraId="4DEB90DC" w14:textId="77777777" w:rsidR="009F01D8" w:rsidRDefault="009F01D8" w:rsidP="009F01D8">
      <w:pPr>
        <w:spacing w:after="0" w:line="360" w:lineRule="auto"/>
        <w:jc w:val="both"/>
        <w:rPr>
          <w:rFonts w:asciiTheme="majorBidi" w:hAnsiTheme="majorBidi" w:cstheme="majorBidi"/>
        </w:rPr>
      </w:pPr>
    </w:p>
    <w:p w14:paraId="61213132" w14:textId="5EC825DF" w:rsidR="009F01D8" w:rsidRPr="00432C84" w:rsidRDefault="00432C84" w:rsidP="009F01D8">
      <w:pPr>
        <w:pStyle w:val="Heading3"/>
        <w:ind w:left="360"/>
        <w:rPr>
          <w:rFonts w:asciiTheme="majorBidi" w:hAnsiTheme="majorBidi"/>
          <w:sz w:val="26"/>
          <w:szCs w:val="26"/>
        </w:rPr>
      </w:pPr>
      <w:bookmarkStart w:id="638" w:name="_Ref82179711"/>
      <w:bookmarkStart w:id="639" w:name="_Toc83300856"/>
      <w:bookmarkStart w:id="640" w:name="_Toc83379489"/>
      <w:bookmarkStart w:id="641" w:name="_Toc83821912"/>
      <w:r>
        <w:rPr>
          <w:rFonts w:asciiTheme="majorBidi" w:hAnsiTheme="majorBidi"/>
          <w:sz w:val="26"/>
          <w:szCs w:val="26"/>
        </w:rPr>
        <w:tab/>
      </w:r>
      <w:bookmarkStart w:id="642" w:name="_Toc87463089"/>
      <w:r w:rsidR="009F01D8" w:rsidRPr="00432C84">
        <w:rPr>
          <w:rFonts w:asciiTheme="majorBidi" w:hAnsiTheme="majorBidi"/>
          <w:sz w:val="26"/>
          <w:szCs w:val="26"/>
        </w:rPr>
        <w:t>A5.3 Studies excluded from the meta-analysis (n=12)</w:t>
      </w:r>
      <w:bookmarkEnd w:id="642"/>
    </w:p>
    <w:bookmarkEnd w:id="638"/>
    <w:bookmarkEnd w:id="639"/>
    <w:bookmarkEnd w:id="640"/>
    <w:bookmarkEnd w:id="641"/>
    <w:p w14:paraId="51692CDF" w14:textId="3FA4E641" w:rsidR="009F01D8" w:rsidRDefault="009F01D8" w:rsidP="009F01D8">
      <w:pPr>
        <w:spacing w:line="360" w:lineRule="auto"/>
        <w:jc w:val="both"/>
        <w:rPr>
          <w:rFonts w:asciiTheme="majorBidi" w:hAnsiTheme="majorBidi" w:cstheme="majorBidi"/>
        </w:rPr>
      </w:pPr>
      <w:r>
        <w:rPr>
          <w:rFonts w:asciiTheme="majorBidi" w:hAnsiTheme="majorBidi" w:cstheme="majorBidi"/>
        </w:rPr>
        <w:t xml:space="preserve">This section details the 12 studies that met the inclusion criteria for the review, but which were excluded from the meta-analysis, and provides the rationale for their exclusion. </w:t>
      </w:r>
      <w:r w:rsidR="005158B3" w:rsidRPr="005158B3">
        <w:rPr>
          <w:rFonts w:asciiTheme="majorBidi" w:hAnsiTheme="majorBidi" w:cstheme="majorBidi"/>
        </w:rPr>
        <w:t>Table 45</w:t>
      </w:r>
      <w:r>
        <w:rPr>
          <w:rFonts w:asciiTheme="majorBidi" w:hAnsiTheme="majorBidi" w:cstheme="majorBidi"/>
        </w:rPr>
        <w:t xml:space="preserve"> details study characteristics. </w:t>
      </w:r>
    </w:p>
    <w:p w14:paraId="4AEB3B75" w14:textId="161D7CBE"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 xml:space="preserve">In accordance with expert advice outlined in </w:t>
      </w:r>
      <w:r w:rsidR="005158B3" w:rsidRPr="005158B3">
        <w:rPr>
          <w:rFonts w:asciiTheme="majorBidi" w:hAnsiTheme="majorBidi" w:cstheme="majorBidi"/>
        </w:rPr>
        <w:t>Table 5</w:t>
      </w:r>
      <w:r w:rsidRPr="00885DFB">
        <w:rPr>
          <w:rFonts w:asciiTheme="majorBidi" w:hAnsiTheme="majorBidi" w:cstheme="majorBidi"/>
        </w:rPr>
        <w:t>, three studies,</w:t>
      </w:r>
      <w:bookmarkStart w:id="643" w:name="_Hlk84964595"/>
      <w:r w:rsidR="00A83123" w:rsidRPr="00A83123">
        <w:rPr>
          <w:rFonts w:asciiTheme="majorBidi" w:hAnsiTheme="majorBidi" w:cstheme="majorBidi"/>
          <w:noProof/>
          <w:vertAlign w:val="superscript"/>
        </w:rPr>
        <w:t>39,40,63</w:t>
      </w:r>
      <w:bookmarkEnd w:id="643"/>
      <w:r w:rsidRPr="00885DFB">
        <w:rPr>
          <w:rFonts w:asciiTheme="majorBidi" w:hAnsiTheme="majorBidi" w:cstheme="majorBidi"/>
        </w:rPr>
        <w:t xml:space="preserve"> each relating to a separate outbreak, were excluded from the statistical synthesis since they were likely to underestimate the diversity of isolates’ susceptibility profiles, and other included studies are likely to include outbreaks proportionate to their occurrence in clinical practice. </w:t>
      </w:r>
      <w:r w:rsidRPr="00FF3D9D">
        <w:rPr>
          <w:rFonts w:asciiTheme="majorBidi" w:hAnsiTheme="majorBidi" w:cstheme="majorBidi"/>
        </w:rPr>
        <w:t>Three studies</w:t>
      </w:r>
      <w:bookmarkStart w:id="644" w:name="_Hlk84964513"/>
      <w:r w:rsidR="00A83123" w:rsidRPr="00A83123">
        <w:rPr>
          <w:rFonts w:asciiTheme="majorBidi" w:hAnsiTheme="majorBidi" w:cstheme="majorBidi"/>
          <w:noProof/>
          <w:vertAlign w:val="superscript"/>
        </w:rPr>
        <w:t>58,59,64</w:t>
      </w:r>
      <w:bookmarkEnd w:id="644"/>
      <w:r w:rsidRPr="00FF3D9D">
        <w:rPr>
          <w:rFonts w:asciiTheme="majorBidi" w:hAnsiTheme="majorBidi" w:cstheme="majorBidi"/>
        </w:rPr>
        <w:t xml:space="preserve"> that</w:t>
      </w:r>
      <w:r w:rsidRPr="00885DFB">
        <w:rPr>
          <w:rFonts w:asciiTheme="majorBidi" w:hAnsiTheme="majorBidi" w:cstheme="majorBidi"/>
        </w:rPr>
        <w:t xml:space="preserve"> tested English isolates (almost) exclusively were excluded since the data obtained from PHE was likely to include some or </w:t>
      </w:r>
      <w:proofErr w:type="gramStart"/>
      <w:r w:rsidRPr="00885DFB">
        <w:rPr>
          <w:rFonts w:asciiTheme="majorBidi" w:hAnsiTheme="majorBidi" w:cstheme="majorBidi"/>
        </w:rPr>
        <w:t>all of</w:t>
      </w:r>
      <w:proofErr w:type="gramEnd"/>
      <w:r w:rsidRPr="00885DFB">
        <w:rPr>
          <w:rFonts w:asciiTheme="majorBidi" w:hAnsiTheme="majorBidi" w:cstheme="majorBidi"/>
        </w:rPr>
        <w:t xml:space="preserve"> the same isolates, as collection dates overlapped, and whilst the UK published studies were larger, they reported very limited comparators (meropenem, cefepime and ceftazidime), making the PHE data the preferable source. </w:t>
      </w:r>
      <w:r w:rsidR="00FF3D9D">
        <w:rPr>
          <w:rFonts w:asciiTheme="majorBidi" w:hAnsiTheme="majorBidi" w:cstheme="majorBidi"/>
        </w:rPr>
        <w:t>F</w:t>
      </w:r>
      <w:r w:rsidRPr="00885DFB">
        <w:rPr>
          <w:rFonts w:asciiTheme="majorBidi" w:hAnsiTheme="majorBidi" w:cstheme="majorBidi"/>
        </w:rPr>
        <w:t>our</w:t>
      </w:r>
      <w:bookmarkStart w:id="645" w:name="_Hlk84964523"/>
      <w:r w:rsidR="00A83123" w:rsidRPr="00A83123">
        <w:rPr>
          <w:rFonts w:asciiTheme="majorBidi" w:hAnsiTheme="majorBidi" w:cstheme="majorBidi"/>
          <w:noProof/>
          <w:vertAlign w:val="superscript"/>
        </w:rPr>
        <w:t>47,54-56</w:t>
      </w:r>
      <w:bookmarkEnd w:id="645"/>
      <w:r w:rsidRPr="00885DFB">
        <w:rPr>
          <w:rFonts w:asciiTheme="majorBidi" w:hAnsiTheme="majorBidi" w:cstheme="majorBidi"/>
        </w:rPr>
        <w:t xml:space="preserve"> studies were all derived from the international INFORM surveillance programme, </w:t>
      </w:r>
      <w:r w:rsidR="00FF3D9D">
        <w:rPr>
          <w:rFonts w:asciiTheme="majorBidi" w:hAnsiTheme="majorBidi" w:cstheme="majorBidi"/>
        </w:rPr>
        <w:t>using</w:t>
      </w:r>
      <w:r w:rsidRPr="00885DFB">
        <w:rPr>
          <w:rFonts w:asciiTheme="majorBidi" w:hAnsiTheme="majorBidi" w:cstheme="majorBidi"/>
        </w:rPr>
        <w:t xml:space="preserve"> different sample collection dates and locations. Since expert advice indicated that location and age of isolates were not reasons to exclude data, three data sets </w:t>
      </w:r>
      <w:r w:rsidR="00A83123" w:rsidRPr="00A83123">
        <w:rPr>
          <w:rFonts w:asciiTheme="majorBidi" w:hAnsiTheme="majorBidi" w:cstheme="majorBidi"/>
          <w:noProof/>
          <w:vertAlign w:val="superscript"/>
        </w:rPr>
        <w:t>47,54,55</w:t>
      </w:r>
      <w:r w:rsidRPr="00885DFB">
        <w:rPr>
          <w:rFonts w:asciiTheme="majorBidi" w:hAnsiTheme="majorBidi" w:cstheme="majorBidi"/>
        </w:rPr>
        <w:t xml:space="preserve"> were excluded from the analysis as they only reported data for Asia-Pacific,</w:t>
      </w:r>
      <w:r w:rsidR="00A83123" w:rsidRPr="00A83123">
        <w:rPr>
          <w:rFonts w:asciiTheme="majorBidi" w:hAnsiTheme="majorBidi" w:cstheme="majorBidi"/>
          <w:noProof/>
          <w:vertAlign w:val="superscript"/>
        </w:rPr>
        <w:t>54</w:t>
      </w:r>
      <w:r w:rsidRPr="00885DFB">
        <w:rPr>
          <w:rFonts w:asciiTheme="majorBidi" w:hAnsiTheme="majorBidi" w:cstheme="majorBidi"/>
        </w:rPr>
        <w:t xml:space="preserve"> Latin America</w:t>
      </w:r>
      <w:r w:rsidR="00A83123" w:rsidRPr="00A83123">
        <w:rPr>
          <w:rFonts w:asciiTheme="majorBidi" w:hAnsiTheme="majorBidi" w:cstheme="majorBidi"/>
          <w:noProof/>
          <w:vertAlign w:val="superscript"/>
        </w:rPr>
        <w:t>55</w:t>
      </w:r>
      <w:r w:rsidRPr="00885DFB">
        <w:rPr>
          <w:rFonts w:asciiTheme="majorBidi" w:hAnsiTheme="majorBidi" w:cstheme="majorBidi"/>
        </w:rPr>
        <w:t xml:space="preserve"> or for fewer years</w:t>
      </w:r>
      <w:r w:rsidR="00FF3D9D">
        <w:rPr>
          <w:rFonts w:asciiTheme="majorBidi" w:hAnsiTheme="majorBidi" w:cstheme="majorBidi"/>
        </w:rPr>
        <w:t>,</w:t>
      </w:r>
      <w:r w:rsidR="00A83123" w:rsidRPr="00A83123">
        <w:rPr>
          <w:rFonts w:asciiTheme="majorBidi" w:hAnsiTheme="majorBidi" w:cstheme="majorBidi"/>
          <w:noProof/>
          <w:vertAlign w:val="superscript"/>
        </w:rPr>
        <w:t>47</w:t>
      </w:r>
      <w:r w:rsidRPr="00885DFB">
        <w:rPr>
          <w:rFonts w:asciiTheme="majorBidi" w:hAnsiTheme="majorBidi" w:cstheme="majorBidi"/>
        </w:rPr>
        <w:t xml:space="preserve"> </w:t>
      </w:r>
      <w:r w:rsidR="00FF3D9D">
        <w:rPr>
          <w:rFonts w:asciiTheme="majorBidi" w:hAnsiTheme="majorBidi" w:cstheme="majorBidi"/>
        </w:rPr>
        <w:t>and the</w:t>
      </w:r>
      <w:r w:rsidRPr="00885DFB">
        <w:rPr>
          <w:rFonts w:asciiTheme="majorBidi" w:hAnsiTheme="majorBidi" w:cstheme="majorBidi"/>
        </w:rPr>
        <w:t xml:space="preserve"> largest, which included global isolates over more years,</w:t>
      </w:r>
      <w:r w:rsidR="00A83123" w:rsidRPr="00A83123">
        <w:rPr>
          <w:rFonts w:asciiTheme="majorBidi" w:hAnsiTheme="majorBidi" w:cstheme="majorBidi"/>
          <w:noProof/>
          <w:vertAlign w:val="superscript"/>
        </w:rPr>
        <w:t>54</w:t>
      </w:r>
      <w:r w:rsidRPr="00885DFB">
        <w:rPr>
          <w:rFonts w:asciiTheme="majorBidi" w:hAnsiTheme="majorBidi" w:cstheme="majorBidi"/>
        </w:rPr>
        <w:t xml:space="preserve"> was retained. One study</w:t>
      </w:r>
      <w:r w:rsidR="00A83123" w:rsidRPr="00A83123">
        <w:rPr>
          <w:rFonts w:asciiTheme="majorBidi" w:hAnsiTheme="majorBidi" w:cstheme="majorBidi"/>
          <w:noProof/>
          <w:vertAlign w:val="superscript"/>
        </w:rPr>
        <w:t>49</w:t>
      </w:r>
      <w:r w:rsidRPr="00885DFB">
        <w:rPr>
          <w:rFonts w:asciiTheme="majorBidi" w:hAnsiTheme="majorBidi" w:cstheme="majorBidi"/>
        </w:rPr>
        <w:t xml:space="preserve"> from Greece was excluded from the analysis since it overlapped with a larger, more recent analysis.</w:t>
      </w:r>
      <w:r w:rsidR="00A83123" w:rsidRPr="00A83123">
        <w:rPr>
          <w:rFonts w:asciiTheme="majorBidi" w:hAnsiTheme="majorBidi" w:cstheme="majorBidi"/>
          <w:noProof/>
          <w:vertAlign w:val="superscript"/>
        </w:rPr>
        <w:t>50</w:t>
      </w:r>
      <w:r w:rsidRPr="00885DFB">
        <w:rPr>
          <w:rFonts w:asciiTheme="majorBidi" w:hAnsiTheme="majorBidi" w:cstheme="majorBidi"/>
        </w:rPr>
        <w:t xml:space="preserve"> Two studies</w:t>
      </w:r>
      <w:bookmarkStart w:id="646" w:name="_Hlk84964563"/>
      <w:r w:rsidR="00A83123" w:rsidRPr="00A83123">
        <w:rPr>
          <w:rFonts w:asciiTheme="majorBidi" w:hAnsiTheme="majorBidi" w:cstheme="majorBidi"/>
          <w:noProof/>
          <w:vertAlign w:val="superscript"/>
        </w:rPr>
        <w:t>48,67</w:t>
      </w:r>
      <w:bookmarkEnd w:id="646"/>
      <w:r w:rsidRPr="00885DFB">
        <w:rPr>
          <w:rFonts w:asciiTheme="majorBidi" w:hAnsiTheme="majorBidi" w:cstheme="majorBidi"/>
        </w:rPr>
        <w:t xml:space="preserve"> only reported MIC50 and MIC90, not % susceptibility, and whilst these metrics, along with the reported range, could have been used to reconstruct the distribution curves and apply a breakpoint to generate </w:t>
      </w:r>
      <w:r w:rsidRPr="00885DFB">
        <w:rPr>
          <w:rFonts w:asciiTheme="majorBidi" w:hAnsiTheme="majorBidi" w:cstheme="majorBidi"/>
        </w:rPr>
        <w:lastRenderedPageBreak/>
        <w:t xml:space="preserve">an estimated % susceptibility, this was thought to introduce too much uncertainty to the estimates and the studies were therefore excluded. </w:t>
      </w:r>
    </w:p>
    <w:p w14:paraId="3D54C62E" w14:textId="77777777" w:rsidR="009F01D8" w:rsidRDefault="009F01D8" w:rsidP="009F01D8">
      <w:pPr>
        <w:keepNext/>
        <w:spacing w:before="360" w:after="200" w:line="240" w:lineRule="auto"/>
        <w:jc w:val="both"/>
        <w:rPr>
          <w:rFonts w:asciiTheme="majorBidi" w:hAnsiTheme="majorBidi" w:cstheme="majorBidi"/>
          <w:b/>
          <w:iCs/>
          <w:sz w:val="20"/>
          <w:szCs w:val="18"/>
        </w:rPr>
        <w:sectPr w:rsidR="009F01D8" w:rsidSect="009F01D8">
          <w:pgSz w:w="11906" w:h="16838"/>
          <w:pgMar w:top="1440" w:right="1440" w:bottom="1440" w:left="1440" w:header="709" w:footer="709" w:gutter="0"/>
          <w:cols w:space="708"/>
          <w:docGrid w:linePitch="360"/>
        </w:sectPr>
      </w:pPr>
    </w:p>
    <w:p w14:paraId="7843A1E8" w14:textId="640E18E2" w:rsidR="009F01D8" w:rsidRPr="009F6FA6" w:rsidRDefault="009F01D8" w:rsidP="009F01D8">
      <w:pPr>
        <w:pStyle w:val="Caption"/>
        <w:rPr>
          <w:rFonts w:asciiTheme="majorBidi" w:hAnsiTheme="majorBidi" w:cstheme="majorBidi"/>
          <w:b/>
          <w:bCs/>
          <w:i w:val="0"/>
          <w:iCs w:val="0"/>
          <w:sz w:val="20"/>
          <w:szCs w:val="20"/>
        </w:rPr>
      </w:pPr>
      <w:bookmarkStart w:id="647" w:name="_Ref85123685"/>
      <w:bookmarkStart w:id="648" w:name="_Toc86419029"/>
      <w:r w:rsidRPr="009F6FA6">
        <w:rPr>
          <w:rFonts w:asciiTheme="majorBidi" w:hAnsiTheme="majorBidi" w:cstheme="majorBidi"/>
          <w:b/>
          <w:bCs/>
          <w:i w:val="0"/>
          <w:iCs w:val="0"/>
          <w:sz w:val="20"/>
          <w:szCs w:val="20"/>
        </w:rPr>
        <w:lastRenderedPageBreak/>
        <w:t xml:space="preserve">Table </w:t>
      </w:r>
      <w:r w:rsidR="00F10F0A">
        <w:rPr>
          <w:rFonts w:asciiTheme="majorBidi" w:hAnsiTheme="majorBidi" w:cstheme="majorBidi"/>
          <w:b/>
          <w:bCs/>
          <w:i w:val="0"/>
          <w:iCs w:val="0"/>
          <w:noProof/>
          <w:sz w:val="20"/>
          <w:szCs w:val="20"/>
        </w:rPr>
        <w:t>52</w:t>
      </w:r>
      <w:bookmarkEnd w:id="647"/>
      <w:r w:rsidRPr="009F6FA6">
        <w:rPr>
          <w:rFonts w:asciiTheme="majorBidi" w:hAnsiTheme="majorBidi" w:cstheme="majorBidi"/>
          <w:b/>
          <w:bCs/>
          <w:i w:val="0"/>
          <w:iCs w:val="0"/>
          <w:sz w:val="20"/>
          <w:szCs w:val="20"/>
        </w:rPr>
        <w:tab/>
        <w:t>Studies that met the inclusion criteria for the review, but were excluded from the meta-analysis</w:t>
      </w:r>
      <w:bookmarkEnd w:id="648"/>
    </w:p>
    <w:tbl>
      <w:tblPr>
        <w:tblStyle w:val="TableGrid"/>
        <w:tblW w:w="5000" w:type="pct"/>
        <w:tblLook w:val="04A0" w:firstRow="1" w:lastRow="0" w:firstColumn="1" w:lastColumn="0" w:noHBand="0" w:noVBand="1"/>
      </w:tblPr>
      <w:tblGrid>
        <w:gridCol w:w="958"/>
        <w:gridCol w:w="982"/>
        <w:gridCol w:w="732"/>
        <w:gridCol w:w="1089"/>
        <w:gridCol w:w="970"/>
        <w:gridCol w:w="883"/>
        <w:gridCol w:w="800"/>
        <w:gridCol w:w="963"/>
        <w:gridCol w:w="669"/>
        <w:gridCol w:w="970"/>
      </w:tblGrid>
      <w:tr w:rsidR="009F01D8" w:rsidRPr="00196767" w14:paraId="1E7C6A0B" w14:textId="77777777" w:rsidTr="009F01D8">
        <w:trPr>
          <w:tblHeader/>
        </w:trPr>
        <w:tc>
          <w:tcPr>
            <w:tcW w:w="536" w:type="pct"/>
            <w:shd w:val="clear" w:color="auto" w:fill="D9D9D9" w:themeFill="background1" w:themeFillShade="D9"/>
          </w:tcPr>
          <w:p w14:paraId="55A74142"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Study ID</w:t>
            </w:r>
          </w:p>
          <w:p w14:paraId="0C7F641C"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Funding</w:t>
            </w:r>
          </w:p>
        </w:tc>
        <w:tc>
          <w:tcPr>
            <w:tcW w:w="544" w:type="pct"/>
            <w:shd w:val="clear" w:color="auto" w:fill="D9D9D9" w:themeFill="background1" w:themeFillShade="D9"/>
          </w:tcPr>
          <w:p w14:paraId="0E304591"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Country</w:t>
            </w:r>
          </w:p>
          <w:p w14:paraId="6CE97269"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Multi-site?</w:t>
            </w:r>
          </w:p>
          <w:p w14:paraId="52D722D3"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Year(s) of recruitment</w:t>
            </w:r>
          </w:p>
        </w:tc>
        <w:tc>
          <w:tcPr>
            <w:tcW w:w="466" w:type="pct"/>
            <w:shd w:val="clear" w:color="auto" w:fill="D9D9D9" w:themeFill="background1" w:themeFillShade="D9"/>
          </w:tcPr>
          <w:p w14:paraId="225FDC16"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N</w:t>
            </w:r>
          </w:p>
          <w:p w14:paraId="528AECE4"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Includes OXA-48-like?</w:t>
            </w:r>
          </w:p>
        </w:tc>
        <w:tc>
          <w:tcPr>
            <w:tcW w:w="543" w:type="pct"/>
            <w:shd w:val="clear" w:color="auto" w:fill="D9D9D9" w:themeFill="background1" w:themeFillShade="D9"/>
          </w:tcPr>
          <w:p w14:paraId="36AEC9CF"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Inclusion criteria/ β-lactamase testing selection criteria</w:t>
            </w:r>
          </w:p>
        </w:tc>
        <w:tc>
          <w:tcPr>
            <w:tcW w:w="537" w:type="pct"/>
            <w:shd w:val="clear" w:color="auto" w:fill="D9D9D9" w:themeFill="background1" w:themeFillShade="D9"/>
          </w:tcPr>
          <w:p w14:paraId="6A80E203"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Consecutive sample?</w:t>
            </w:r>
          </w:p>
        </w:tc>
        <w:tc>
          <w:tcPr>
            <w:tcW w:w="489" w:type="pct"/>
            <w:shd w:val="clear" w:color="auto" w:fill="D9D9D9" w:themeFill="background1" w:themeFillShade="D9"/>
          </w:tcPr>
          <w:p w14:paraId="6D6B88CB"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 Mero non-susceptible</w:t>
            </w:r>
          </w:p>
        </w:tc>
        <w:tc>
          <w:tcPr>
            <w:tcW w:w="443" w:type="pct"/>
            <w:shd w:val="clear" w:color="auto" w:fill="D9D9D9" w:themeFill="background1" w:themeFillShade="D9"/>
          </w:tcPr>
          <w:p w14:paraId="516BCFAD"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MBL co-carriage?</w:t>
            </w:r>
          </w:p>
        </w:tc>
        <w:tc>
          <w:tcPr>
            <w:tcW w:w="534" w:type="pct"/>
            <w:shd w:val="clear" w:color="auto" w:fill="D9D9D9" w:themeFill="background1" w:themeFillShade="D9"/>
          </w:tcPr>
          <w:p w14:paraId="300B0A79"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Laboratory methods</w:t>
            </w:r>
          </w:p>
          <w:p w14:paraId="329D89A4"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Breakpoints</w:t>
            </w:r>
          </w:p>
        </w:tc>
        <w:tc>
          <w:tcPr>
            <w:tcW w:w="370" w:type="pct"/>
            <w:shd w:val="clear" w:color="auto" w:fill="D9D9D9" w:themeFill="background1" w:themeFillShade="D9"/>
          </w:tcPr>
          <w:p w14:paraId="60B62F91"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Source of study</w:t>
            </w:r>
          </w:p>
        </w:tc>
        <w:tc>
          <w:tcPr>
            <w:tcW w:w="538" w:type="pct"/>
            <w:shd w:val="clear" w:color="auto" w:fill="D9D9D9" w:themeFill="background1" w:themeFillShade="D9"/>
          </w:tcPr>
          <w:p w14:paraId="484BC975"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rPr>
              <w:t>Included in network meta-analyses?</w:t>
            </w:r>
          </w:p>
        </w:tc>
      </w:tr>
      <w:tr w:rsidR="009F01D8" w:rsidRPr="00196767" w14:paraId="725C8D07" w14:textId="77777777" w:rsidTr="009F01D8">
        <w:tc>
          <w:tcPr>
            <w:tcW w:w="5000" w:type="pct"/>
            <w:gridSpan w:val="10"/>
            <w:shd w:val="clear" w:color="auto" w:fill="BFBFBF" w:themeFill="background1" w:themeFillShade="BF"/>
          </w:tcPr>
          <w:p w14:paraId="25FCE7F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b/>
              </w:rPr>
              <w:t>Excluded from meta-analysis (reported MIC50 and MIC90 but not % susceptible)</w:t>
            </w:r>
          </w:p>
        </w:tc>
      </w:tr>
      <w:tr w:rsidR="009F01D8" w:rsidRPr="00196767" w14:paraId="003DF8D4" w14:textId="77777777" w:rsidTr="009F01D8">
        <w:tc>
          <w:tcPr>
            <w:tcW w:w="536" w:type="pct"/>
            <w:shd w:val="clear" w:color="auto" w:fill="auto"/>
          </w:tcPr>
          <w:p w14:paraId="639B479E" w14:textId="5D868FB6" w:rsidR="009F01D8" w:rsidRPr="009F6FA6" w:rsidRDefault="009F01D8" w:rsidP="00A83123">
            <w:pPr>
              <w:jc w:val="both"/>
              <w:rPr>
                <w:rFonts w:asciiTheme="majorBidi" w:hAnsiTheme="majorBidi" w:cstheme="majorBidi"/>
              </w:rPr>
            </w:pPr>
            <w:proofErr w:type="spellStart"/>
            <w:r w:rsidRPr="009F6FA6">
              <w:rPr>
                <w:rFonts w:asciiTheme="majorBidi" w:hAnsiTheme="majorBidi" w:cstheme="majorBidi"/>
              </w:rPr>
              <w:t>Dobias</w:t>
            </w:r>
            <w:proofErr w:type="spellEnd"/>
            <w:r w:rsidRPr="009F6FA6">
              <w:rPr>
                <w:rFonts w:asciiTheme="majorBidi" w:hAnsiTheme="majorBidi" w:cstheme="majorBidi"/>
              </w:rPr>
              <w:t xml:space="preserve"> 2017</w:t>
            </w:r>
            <w:r w:rsidR="00A83123" w:rsidRPr="00A83123">
              <w:rPr>
                <w:rFonts w:asciiTheme="majorBidi" w:hAnsiTheme="majorBidi" w:cstheme="majorBidi"/>
                <w:noProof/>
                <w:vertAlign w:val="superscript"/>
              </w:rPr>
              <w:t>48</w:t>
            </w:r>
          </w:p>
          <w:p w14:paraId="57175ED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Shionogi </w:t>
            </w:r>
          </w:p>
        </w:tc>
        <w:tc>
          <w:tcPr>
            <w:tcW w:w="544" w:type="pct"/>
            <w:shd w:val="clear" w:color="auto" w:fill="auto"/>
          </w:tcPr>
          <w:p w14:paraId="369DAA1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International</w:t>
            </w:r>
          </w:p>
        </w:tc>
        <w:tc>
          <w:tcPr>
            <w:tcW w:w="464" w:type="pct"/>
            <w:shd w:val="clear" w:color="auto" w:fill="auto"/>
          </w:tcPr>
          <w:p w14:paraId="5993A566"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154</w:t>
            </w:r>
          </w:p>
          <w:p w14:paraId="103D20DC" w14:textId="77777777" w:rsidR="009F01D8" w:rsidRPr="009F6FA6" w:rsidRDefault="009F01D8" w:rsidP="009F01D8">
            <w:pPr>
              <w:jc w:val="both"/>
              <w:rPr>
                <w:rFonts w:asciiTheme="majorBidi" w:hAnsiTheme="majorBidi" w:cstheme="majorBidi"/>
              </w:rPr>
            </w:pPr>
          </w:p>
          <w:p w14:paraId="1422537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03E9CBC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CPE, unclear how selected for testing</w:t>
            </w:r>
          </w:p>
        </w:tc>
        <w:tc>
          <w:tcPr>
            <w:tcW w:w="537" w:type="pct"/>
            <w:shd w:val="clear" w:color="auto" w:fill="auto"/>
          </w:tcPr>
          <w:p w14:paraId="3B3ABA2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No, selected for “most widespread and </w:t>
            </w:r>
            <w:proofErr w:type="gramStart"/>
            <w:r w:rsidRPr="009F6FA6">
              <w:rPr>
                <w:rFonts w:asciiTheme="majorBidi" w:hAnsiTheme="majorBidi" w:cstheme="majorBidi"/>
              </w:rPr>
              <w:t>broad spectrum</w:t>
            </w:r>
            <w:proofErr w:type="gramEnd"/>
            <w:r w:rsidRPr="009F6FA6">
              <w:rPr>
                <w:rFonts w:asciiTheme="majorBidi" w:hAnsiTheme="majorBidi" w:cstheme="majorBidi"/>
              </w:rPr>
              <w:t xml:space="preserve"> resistance”</w:t>
            </w:r>
          </w:p>
        </w:tc>
        <w:tc>
          <w:tcPr>
            <w:tcW w:w="489" w:type="pct"/>
            <w:shd w:val="clear" w:color="auto" w:fill="auto"/>
          </w:tcPr>
          <w:p w14:paraId="57043A7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443" w:type="pct"/>
            <w:shd w:val="clear" w:color="auto" w:fill="auto"/>
          </w:tcPr>
          <w:p w14:paraId="5844C2D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534" w:type="pct"/>
            <w:shd w:val="clear" w:color="auto" w:fill="auto"/>
          </w:tcPr>
          <w:p w14:paraId="60F2E454"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p w14:paraId="612E55E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tc>
        <w:tc>
          <w:tcPr>
            <w:tcW w:w="370" w:type="pct"/>
            <w:shd w:val="clear" w:color="auto" w:fill="auto"/>
          </w:tcPr>
          <w:p w14:paraId="49A1CA7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EEPRU search</w:t>
            </w:r>
          </w:p>
        </w:tc>
        <w:tc>
          <w:tcPr>
            <w:tcW w:w="538" w:type="pct"/>
            <w:shd w:val="clear" w:color="auto" w:fill="auto"/>
          </w:tcPr>
          <w:p w14:paraId="5EE131B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 only reported MIC 50/90</w:t>
            </w:r>
          </w:p>
        </w:tc>
      </w:tr>
      <w:tr w:rsidR="009F01D8" w:rsidRPr="00196767" w14:paraId="3BD7CA96" w14:textId="77777777" w:rsidTr="009F01D8">
        <w:tc>
          <w:tcPr>
            <w:tcW w:w="536" w:type="pct"/>
            <w:shd w:val="clear" w:color="auto" w:fill="auto"/>
          </w:tcPr>
          <w:p w14:paraId="647F9655" w14:textId="6D19D54C" w:rsidR="009F01D8" w:rsidRPr="009F6FA6" w:rsidRDefault="009F01D8" w:rsidP="00A83123">
            <w:pPr>
              <w:jc w:val="both"/>
              <w:rPr>
                <w:rFonts w:asciiTheme="majorBidi" w:hAnsiTheme="majorBidi" w:cstheme="majorBidi"/>
                <w:lang w:val="pt-PT"/>
              </w:rPr>
            </w:pPr>
            <w:r w:rsidRPr="009F6FA6">
              <w:rPr>
                <w:rFonts w:asciiTheme="majorBidi" w:hAnsiTheme="majorBidi" w:cstheme="majorBidi"/>
                <w:lang w:val="pt-PT"/>
              </w:rPr>
              <w:t>Delgado-Valverde, 2020</w:t>
            </w:r>
            <w:r w:rsidR="00A83123" w:rsidRPr="00A83123">
              <w:rPr>
                <w:rFonts w:asciiTheme="majorBidi" w:hAnsiTheme="majorBidi" w:cstheme="majorBidi"/>
                <w:noProof/>
                <w:vertAlign w:val="superscript"/>
                <w:lang w:val="pt-PT"/>
              </w:rPr>
              <w:t>67</w:t>
            </w:r>
          </w:p>
          <w:p w14:paraId="0DB7395D" w14:textId="77777777" w:rsidR="009F01D8" w:rsidRPr="009F6FA6" w:rsidRDefault="009F01D8" w:rsidP="009F01D8">
            <w:pPr>
              <w:jc w:val="both"/>
              <w:rPr>
                <w:rFonts w:asciiTheme="majorBidi" w:hAnsiTheme="majorBidi" w:cstheme="majorBidi"/>
                <w:lang w:val="pt-PT"/>
              </w:rPr>
            </w:pPr>
            <w:r w:rsidRPr="009F6FA6">
              <w:rPr>
                <w:rFonts w:asciiTheme="majorBidi" w:hAnsiTheme="majorBidi" w:cstheme="majorBidi"/>
                <w:lang w:val="pt-PT"/>
              </w:rPr>
              <w:t>Shionogi</w:t>
            </w:r>
          </w:p>
        </w:tc>
        <w:tc>
          <w:tcPr>
            <w:tcW w:w="544" w:type="pct"/>
            <w:shd w:val="clear" w:color="auto" w:fill="auto"/>
          </w:tcPr>
          <w:p w14:paraId="492057A9" w14:textId="77777777" w:rsidR="009F01D8" w:rsidRPr="009F6FA6" w:rsidRDefault="009F01D8" w:rsidP="009F01D8">
            <w:pPr>
              <w:jc w:val="both"/>
              <w:rPr>
                <w:rFonts w:asciiTheme="majorBidi" w:hAnsiTheme="majorBidi" w:cstheme="majorBidi"/>
                <w:lang w:val="pt-PT"/>
              </w:rPr>
            </w:pPr>
            <w:r w:rsidRPr="009F6FA6">
              <w:rPr>
                <w:rFonts w:asciiTheme="majorBidi" w:hAnsiTheme="majorBidi" w:cstheme="majorBidi"/>
                <w:lang w:val="pt-PT"/>
              </w:rPr>
              <w:t>Spain</w:t>
            </w:r>
          </w:p>
        </w:tc>
        <w:tc>
          <w:tcPr>
            <w:tcW w:w="464" w:type="pct"/>
            <w:shd w:val="clear" w:color="auto" w:fill="auto"/>
          </w:tcPr>
          <w:p w14:paraId="78CFD50B" w14:textId="77777777" w:rsidR="009F01D8" w:rsidRPr="009F6FA6" w:rsidRDefault="009F01D8" w:rsidP="009F01D8">
            <w:pPr>
              <w:jc w:val="both"/>
              <w:rPr>
                <w:rFonts w:asciiTheme="majorBidi" w:hAnsiTheme="majorBidi" w:cstheme="majorBidi"/>
                <w:lang w:val="pt-PT"/>
              </w:rPr>
            </w:pPr>
            <w:r w:rsidRPr="009F6FA6">
              <w:rPr>
                <w:rFonts w:asciiTheme="majorBidi" w:hAnsiTheme="majorBidi" w:cstheme="majorBidi"/>
                <w:lang w:val="pt-PT"/>
              </w:rPr>
              <w:t>57</w:t>
            </w:r>
          </w:p>
          <w:p w14:paraId="582D015A" w14:textId="77777777" w:rsidR="009F01D8" w:rsidRPr="009F6FA6" w:rsidRDefault="009F01D8" w:rsidP="009F01D8">
            <w:pPr>
              <w:jc w:val="both"/>
              <w:rPr>
                <w:rFonts w:asciiTheme="majorBidi" w:hAnsiTheme="majorBidi" w:cstheme="majorBidi"/>
                <w:lang w:val="pt-PT"/>
              </w:rPr>
            </w:pPr>
          </w:p>
          <w:p w14:paraId="5199CB5C" w14:textId="77777777" w:rsidR="009F01D8" w:rsidRPr="009F6FA6" w:rsidRDefault="009F01D8" w:rsidP="009F01D8">
            <w:pPr>
              <w:jc w:val="both"/>
              <w:rPr>
                <w:rFonts w:asciiTheme="majorBidi" w:hAnsiTheme="majorBidi" w:cstheme="majorBidi"/>
                <w:lang w:val="pt-PT"/>
              </w:rPr>
            </w:pPr>
            <w:r w:rsidRPr="009F6FA6">
              <w:rPr>
                <w:rFonts w:asciiTheme="majorBidi" w:hAnsiTheme="majorBidi" w:cstheme="majorBidi"/>
                <w:lang w:val="pt-PT"/>
              </w:rPr>
              <w:t>Unclear</w:t>
            </w:r>
          </w:p>
        </w:tc>
        <w:tc>
          <w:tcPr>
            <w:tcW w:w="545" w:type="pct"/>
            <w:shd w:val="clear" w:color="auto" w:fill="auto"/>
          </w:tcPr>
          <w:p w14:paraId="141B775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KP, ESBL &amp;/or </w:t>
            </w:r>
            <w:proofErr w:type="spellStart"/>
            <w:r w:rsidRPr="009F6FA6">
              <w:rPr>
                <w:rFonts w:asciiTheme="majorBidi" w:hAnsiTheme="majorBidi" w:cstheme="majorBidi"/>
              </w:rPr>
              <w:t>carbapenemase</w:t>
            </w:r>
            <w:proofErr w:type="spellEnd"/>
            <w:r w:rsidRPr="009F6FA6">
              <w:rPr>
                <w:rFonts w:asciiTheme="majorBidi" w:hAnsiTheme="majorBidi" w:cstheme="majorBidi"/>
              </w:rPr>
              <w:t xml:space="preserve"> producer, unclear how selected for testing</w:t>
            </w:r>
          </w:p>
        </w:tc>
        <w:tc>
          <w:tcPr>
            <w:tcW w:w="537" w:type="pct"/>
            <w:shd w:val="clear" w:color="auto" w:fill="auto"/>
          </w:tcPr>
          <w:p w14:paraId="7CBD31A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No, selected on various criteria</w:t>
            </w:r>
          </w:p>
        </w:tc>
        <w:tc>
          <w:tcPr>
            <w:tcW w:w="489" w:type="pct"/>
            <w:shd w:val="clear" w:color="auto" w:fill="auto"/>
          </w:tcPr>
          <w:p w14:paraId="012765C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443" w:type="pct"/>
            <w:shd w:val="clear" w:color="auto" w:fill="auto"/>
          </w:tcPr>
          <w:p w14:paraId="5F77880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1.8%</w:t>
            </w:r>
          </w:p>
        </w:tc>
        <w:tc>
          <w:tcPr>
            <w:tcW w:w="534" w:type="pct"/>
            <w:shd w:val="clear" w:color="auto" w:fill="auto"/>
          </w:tcPr>
          <w:p w14:paraId="07AAA2D5"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p w14:paraId="383570F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tc>
        <w:tc>
          <w:tcPr>
            <w:tcW w:w="370" w:type="pct"/>
            <w:shd w:val="clear" w:color="auto" w:fill="auto"/>
          </w:tcPr>
          <w:p w14:paraId="753C68C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EEPRU search</w:t>
            </w:r>
          </w:p>
        </w:tc>
        <w:tc>
          <w:tcPr>
            <w:tcW w:w="538" w:type="pct"/>
            <w:shd w:val="clear" w:color="auto" w:fill="auto"/>
          </w:tcPr>
          <w:p w14:paraId="298DB14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N, only reported MIC 50/90 </w:t>
            </w:r>
          </w:p>
        </w:tc>
      </w:tr>
      <w:tr w:rsidR="009F01D8" w:rsidRPr="00196767" w14:paraId="39863A93" w14:textId="77777777" w:rsidTr="009F01D8">
        <w:tc>
          <w:tcPr>
            <w:tcW w:w="5000" w:type="pct"/>
            <w:gridSpan w:val="10"/>
            <w:shd w:val="clear" w:color="auto" w:fill="BFBFBF" w:themeFill="background1" w:themeFillShade="BF"/>
          </w:tcPr>
          <w:p w14:paraId="6083C0BF" w14:textId="77777777" w:rsidR="009F01D8" w:rsidRPr="009F6FA6" w:rsidRDefault="009F01D8" w:rsidP="009F01D8">
            <w:pPr>
              <w:jc w:val="both"/>
              <w:rPr>
                <w:rFonts w:asciiTheme="majorBidi" w:hAnsiTheme="majorBidi" w:cstheme="majorBidi"/>
                <w:b/>
              </w:rPr>
            </w:pPr>
            <w:r w:rsidRPr="009F6FA6">
              <w:rPr>
                <w:rFonts w:asciiTheme="majorBidi" w:hAnsiTheme="majorBidi" w:cstheme="majorBidi"/>
                <w:b/>
                <w:color w:val="000000"/>
              </w:rPr>
              <w:t>UK studies excluded from meta-analysis due to overlap with PHE data</w:t>
            </w:r>
          </w:p>
        </w:tc>
      </w:tr>
      <w:tr w:rsidR="009F01D8" w:rsidRPr="00196767" w14:paraId="6EDD515C" w14:textId="77777777" w:rsidTr="009F01D8">
        <w:tc>
          <w:tcPr>
            <w:tcW w:w="536" w:type="pct"/>
            <w:shd w:val="clear" w:color="auto" w:fill="auto"/>
          </w:tcPr>
          <w:p w14:paraId="6D81F569" w14:textId="675A48B2" w:rsidR="009F01D8" w:rsidRPr="009F6FA6" w:rsidRDefault="009F01D8" w:rsidP="00A83123">
            <w:pPr>
              <w:jc w:val="both"/>
              <w:rPr>
                <w:rFonts w:asciiTheme="majorBidi" w:hAnsiTheme="majorBidi" w:cstheme="majorBidi"/>
                <w:color w:val="000000"/>
                <w:lang w:val="it-IT"/>
              </w:rPr>
            </w:pPr>
            <w:r w:rsidRPr="009F6FA6">
              <w:rPr>
                <w:rFonts w:asciiTheme="majorBidi" w:hAnsiTheme="majorBidi" w:cstheme="majorBidi"/>
                <w:color w:val="000000"/>
                <w:lang w:val="it-IT"/>
              </w:rPr>
              <w:t>Livermore 2018</w:t>
            </w:r>
            <w:r w:rsidR="00A83123" w:rsidRPr="00A83123">
              <w:rPr>
                <w:rFonts w:asciiTheme="majorBidi" w:hAnsiTheme="majorBidi" w:cstheme="majorBidi"/>
                <w:noProof/>
                <w:color w:val="000000"/>
                <w:vertAlign w:val="superscript"/>
              </w:rPr>
              <w:t>58</w:t>
            </w:r>
          </w:p>
          <w:p w14:paraId="2DB0BF72"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color w:val="000000"/>
                <w:lang w:val="it-IT"/>
              </w:rPr>
              <w:t>PHE &amp; MSD</w:t>
            </w:r>
          </w:p>
        </w:tc>
        <w:tc>
          <w:tcPr>
            <w:tcW w:w="544" w:type="pct"/>
            <w:shd w:val="clear" w:color="auto" w:fill="auto"/>
          </w:tcPr>
          <w:p w14:paraId="70AD4D74"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color w:val="000000"/>
              </w:rPr>
              <w:t>UK (PHE), 1%, International</w:t>
            </w:r>
            <w:r w:rsidRPr="009F6FA6">
              <w:rPr>
                <w:rFonts w:asciiTheme="majorBidi" w:hAnsiTheme="majorBidi" w:cstheme="majorBidi"/>
                <w:lang w:val="pl-PL"/>
              </w:rPr>
              <w:t>, multi-site</w:t>
            </w:r>
            <w:r w:rsidRPr="009F6FA6">
              <w:rPr>
                <w:rFonts w:asciiTheme="majorBidi" w:hAnsiTheme="majorBidi" w:cstheme="majorBidi"/>
              </w:rPr>
              <w:t xml:space="preserve"> </w:t>
            </w:r>
          </w:p>
          <w:p w14:paraId="4381619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2015-16</w:t>
            </w:r>
          </w:p>
        </w:tc>
        <w:tc>
          <w:tcPr>
            <w:tcW w:w="464" w:type="pct"/>
            <w:shd w:val="clear" w:color="auto" w:fill="auto"/>
          </w:tcPr>
          <w:p w14:paraId="5588A60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333</w:t>
            </w:r>
          </w:p>
          <w:p w14:paraId="765751A2" w14:textId="77777777" w:rsidR="009F01D8" w:rsidRPr="009F6FA6" w:rsidRDefault="009F01D8" w:rsidP="009F01D8">
            <w:pPr>
              <w:jc w:val="both"/>
              <w:rPr>
                <w:rFonts w:asciiTheme="majorBidi" w:hAnsiTheme="majorBidi" w:cstheme="majorBidi"/>
              </w:rPr>
            </w:pPr>
          </w:p>
          <w:p w14:paraId="0EE398E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4C6EBDA6"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CPE isolates submitted to </w:t>
            </w:r>
            <w:r w:rsidRPr="009F6FA6">
              <w:rPr>
                <w:rFonts w:asciiTheme="majorBidi" w:hAnsiTheme="majorBidi" w:cstheme="majorBidi"/>
                <w:color w:val="000000"/>
              </w:rPr>
              <w:t>PHE AMRHAI with suspected CR</w:t>
            </w:r>
          </w:p>
        </w:tc>
        <w:tc>
          <w:tcPr>
            <w:tcW w:w="537" w:type="pct"/>
            <w:shd w:val="clear" w:color="auto" w:fill="auto"/>
          </w:tcPr>
          <w:p w14:paraId="4F6E655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w:t>
            </w:r>
          </w:p>
        </w:tc>
        <w:tc>
          <w:tcPr>
            <w:tcW w:w="489" w:type="pct"/>
            <w:shd w:val="clear" w:color="auto" w:fill="auto"/>
          </w:tcPr>
          <w:p w14:paraId="5931B05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NR </w:t>
            </w:r>
          </w:p>
        </w:tc>
        <w:tc>
          <w:tcPr>
            <w:tcW w:w="443" w:type="pct"/>
            <w:shd w:val="clear" w:color="auto" w:fill="auto"/>
          </w:tcPr>
          <w:p w14:paraId="6247B4C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534" w:type="pct"/>
            <w:shd w:val="clear" w:color="auto" w:fill="auto"/>
          </w:tcPr>
          <w:p w14:paraId="73EE293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BSAC</w:t>
            </w:r>
          </w:p>
          <w:p w14:paraId="12AF889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EUCAST</w:t>
            </w:r>
          </w:p>
        </w:tc>
        <w:tc>
          <w:tcPr>
            <w:tcW w:w="370" w:type="pct"/>
            <w:shd w:val="clear" w:color="auto" w:fill="auto"/>
          </w:tcPr>
          <w:p w14:paraId="73187E8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EEPRU search</w:t>
            </w:r>
          </w:p>
        </w:tc>
        <w:tc>
          <w:tcPr>
            <w:tcW w:w="538" w:type="pct"/>
            <w:shd w:val="clear" w:color="auto" w:fill="auto"/>
          </w:tcPr>
          <w:p w14:paraId="0DBB8B5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Excluded - overlap with PHE dataset</w:t>
            </w:r>
          </w:p>
        </w:tc>
      </w:tr>
      <w:tr w:rsidR="009F01D8" w:rsidRPr="00196767" w14:paraId="057C2139" w14:textId="77777777" w:rsidTr="009F01D8">
        <w:tc>
          <w:tcPr>
            <w:tcW w:w="536" w:type="pct"/>
            <w:shd w:val="clear" w:color="auto" w:fill="auto"/>
          </w:tcPr>
          <w:p w14:paraId="3B871E93" w14:textId="09E23185" w:rsidR="009F01D8" w:rsidRPr="009F6FA6" w:rsidRDefault="009F01D8" w:rsidP="00A83123">
            <w:pPr>
              <w:jc w:val="both"/>
              <w:rPr>
                <w:rFonts w:asciiTheme="majorBidi" w:hAnsiTheme="majorBidi" w:cstheme="majorBidi"/>
                <w:color w:val="000000"/>
              </w:rPr>
            </w:pPr>
            <w:r w:rsidRPr="009F6FA6">
              <w:rPr>
                <w:rFonts w:asciiTheme="majorBidi" w:hAnsiTheme="majorBidi" w:cstheme="majorBidi"/>
                <w:color w:val="000000"/>
              </w:rPr>
              <w:t>Mushtaq 2021</w:t>
            </w:r>
            <w:r w:rsidR="00A83123" w:rsidRPr="00A83123">
              <w:rPr>
                <w:rFonts w:asciiTheme="majorBidi" w:hAnsiTheme="majorBidi" w:cstheme="majorBidi"/>
                <w:noProof/>
                <w:color w:val="000000"/>
                <w:vertAlign w:val="superscript"/>
              </w:rPr>
              <w:t>64</w:t>
            </w:r>
          </w:p>
          <w:p w14:paraId="49ACB376" w14:textId="77777777" w:rsidR="009F01D8" w:rsidRPr="009F6FA6" w:rsidRDefault="009F01D8" w:rsidP="009F01D8">
            <w:pPr>
              <w:jc w:val="both"/>
              <w:rPr>
                <w:rFonts w:asciiTheme="majorBidi" w:hAnsiTheme="majorBidi" w:cstheme="majorBidi"/>
              </w:rPr>
            </w:pPr>
            <w:proofErr w:type="spellStart"/>
            <w:r w:rsidRPr="009F6FA6">
              <w:rPr>
                <w:rFonts w:asciiTheme="majorBidi" w:hAnsiTheme="majorBidi" w:cstheme="majorBidi"/>
                <w:color w:val="000000"/>
              </w:rPr>
              <w:t>Wockhardt</w:t>
            </w:r>
            <w:proofErr w:type="spellEnd"/>
            <w:r w:rsidRPr="009F6FA6">
              <w:rPr>
                <w:rFonts w:asciiTheme="majorBidi" w:hAnsiTheme="majorBidi" w:cstheme="majorBidi"/>
                <w:color w:val="000000"/>
              </w:rPr>
              <w:t xml:space="preserve"> Ltd</w:t>
            </w:r>
          </w:p>
        </w:tc>
        <w:tc>
          <w:tcPr>
            <w:tcW w:w="544" w:type="pct"/>
            <w:shd w:val="clear" w:color="auto" w:fill="auto"/>
          </w:tcPr>
          <w:p w14:paraId="016D895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color w:val="000000"/>
              </w:rPr>
              <w:t>UK (PHE)</w:t>
            </w:r>
            <w:r w:rsidRPr="009F6FA6">
              <w:rPr>
                <w:rFonts w:asciiTheme="majorBidi" w:hAnsiTheme="majorBidi" w:cstheme="majorBidi"/>
                <w:lang w:val="pl-PL"/>
              </w:rPr>
              <w:t>, multi-site</w:t>
            </w:r>
            <w:r w:rsidRPr="009F6FA6">
              <w:rPr>
                <w:rFonts w:asciiTheme="majorBidi" w:hAnsiTheme="majorBidi" w:cstheme="majorBidi"/>
              </w:rPr>
              <w:t xml:space="preserve"> </w:t>
            </w:r>
          </w:p>
          <w:p w14:paraId="623A8F6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2015-16</w:t>
            </w:r>
          </w:p>
        </w:tc>
        <w:tc>
          <w:tcPr>
            <w:tcW w:w="464" w:type="pct"/>
            <w:shd w:val="clear" w:color="auto" w:fill="auto"/>
          </w:tcPr>
          <w:p w14:paraId="7B9CDA47"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250</w:t>
            </w:r>
            <w:r w:rsidRPr="009F6FA6">
              <w:rPr>
                <w:rFonts w:asciiTheme="majorBidi" w:hAnsiTheme="majorBidi" w:cstheme="majorBidi"/>
                <w:color w:val="000000"/>
              </w:rPr>
              <w:t>**</w:t>
            </w:r>
          </w:p>
          <w:p w14:paraId="4B6EDC5D"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274***</w:t>
            </w:r>
          </w:p>
          <w:p w14:paraId="7708BE50" w14:textId="77777777" w:rsidR="009F01D8" w:rsidRPr="009F6FA6" w:rsidRDefault="009F01D8" w:rsidP="009F01D8">
            <w:pPr>
              <w:jc w:val="both"/>
              <w:rPr>
                <w:rFonts w:asciiTheme="majorBidi" w:hAnsiTheme="majorBidi" w:cstheme="majorBidi"/>
              </w:rPr>
            </w:pPr>
          </w:p>
          <w:p w14:paraId="2579FDCC" w14:textId="77777777" w:rsidR="009F01D8" w:rsidRPr="009F6FA6" w:rsidRDefault="009F01D8" w:rsidP="009F01D8">
            <w:pPr>
              <w:jc w:val="both"/>
              <w:rPr>
                <w:rFonts w:asciiTheme="majorBidi" w:hAnsiTheme="majorBidi" w:cstheme="majorBidi"/>
              </w:rPr>
            </w:pPr>
          </w:p>
          <w:p w14:paraId="540A42F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28B7DEF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CPE isolates submitted to </w:t>
            </w:r>
            <w:r w:rsidRPr="009F6FA6">
              <w:rPr>
                <w:rFonts w:asciiTheme="majorBidi" w:hAnsiTheme="majorBidi" w:cstheme="majorBidi"/>
                <w:color w:val="000000"/>
              </w:rPr>
              <w:t xml:space="preserve">PHE AMRHAI with suspected CR </w:t>
            </w:r>
          </w:p>
        </w:tc>
        <w:tc>
          <w:tcPr>
            <w:tcW w:w="537" w:type="pct"/>
            <w:shd w:val="clear" w:color="auto" w:fill="auto"/>
          </w:tcPr>
          <w:p w14:paraId="30F260E9"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Unclear</w:t>
            </w:r>
          </w:p>
        </w:tc>
        <w:tc>
          <w:tcPr>
            <w:tcW w:w="489" w:type="pct"/>
            <w:shd w:val="clear" w:color="auto" w:fill="auto"/>
          </w:tcPr>
          <w:p w14:paraId="5D7C8BA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27.2%</w:t>
            </w:r>
          </w:p>
        </w:tc>
        <w:tc>
          <w:tcPr>
            <w:tcW w:w="443" w:type="pct"/>
            <w:shd w:val="clear" w:color="auto" w:fill="auto"/>
          </w:tcPr>
          <w:p w14:paraId="0E078587"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0%</w:t>
            </w:r>
            <w:r w:rsidRPr="009F6FA6">
              <w:rPr>
                <w:rFonts w:asciiTheme="majorBidi" w:hAnsiTheme="majorBidi" w:cstheme="majorBidi"/>
                <w:color w:val="000000"/>
              </w:rPr>
              <w:t>**</w:t>
            </w:r>
          </w:p>
          <w:p w14:paraId="519A546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color w:val="000000"/>
              </w:rPr>
              <w:t>8.75%***</w:t>
            </w:r>
          </w:p>
        </w:tc>
        <w:tc>
          <w:tcPr>
            <w:tcW w:w="534" w:type="pct"/>
            <w:shd w:val="clear" w:color="auto" w:fill="auto"/>
          </w:tcPr>
          <w:p w14:paraId="28A59EE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BSAC</w:t>
            </w:r>
          </w:p>
          <w:p w14:paraId="74CE04CB" w14:textId="77777777" w:rsidR="009F01D8" w:rsidRPr="009F6FA6" w:rsidRDefault="009F01D8" w:rsidP="009F01D8">
            <w:pPr>
              <w:jc w:val="both"/>
              <w:rPr>
                <w:rFonts w:asciiTheme="majorBidi" w:hAnsiTheme="majorBidi" w:cstheme="majorBidi"/>
              </w:rPr>
            </w:pPr>
          </w:p>
          <w:p w14:paraId="1E9AC9C6"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EUCAST</w:t>
            </w:r>
          </w:p>
        </w:tc>
        <w:tc>
          <w:tcPr>
            <w:tcW w:w="370" w:type="pct"/>
            <w:shd w:val="clear" w:color="auto" w:fill="auto"/>
          </w:tcPr>
          <w:p w14:paraId="333B654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EEPRU search</w:t>
            </w:r>
          </w:p>
        </w:tc>
        <w:tc>
          <w:tcPr>
            <w:tcW w:w="538" w:type="pct"/>
            <w:shd w:val="clear" w:color="auto" w:fill="auto"/>
          </w:tcPr>
          <w:p w14:paraId="08AA39E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Excluded - overlap with PHE dataset</w:t>
            </w:r>
          </w:p>
        </w:tc>
      </w:tr>
      <w:tr w:rsidR="009F01D8" w:rsidRPr="00196767" w14:paraId="29BB246C" w14:textId="77777777" w:rsidTr="009F01D8">
        <w:tc>
          <w:tcPr>
            <w:tcW w:w="536" w:type="pct"/>
            <w:shd w:val="clear" w:color="auto" w:fill="auto"/>
          </w:tcPr>
          <w:p w14:paraId="06133412" w14:textId="04397E83" w:rsidR="009F01D8" w:rsidRPr="009F6FA6" w:rsidRDefault="009F01D8" w:rsidP="00A83123">
            <w:pPr>
              <w:jc w:val="both"/>
              <w:rPr>
                <w:rFonts w:asciiTheme="majorBidi" w:hAnsiTheme="majorBidi" w:cstheme="majorBidi"/>
                <w:color w:val="000000"/>
                <w:lang w:val="it-IT"/>
              </w:rPr>
            </w:pPr>
            <w:r w:rsidRPr="009F6FA6">
              <w:rPr>
                <w:rFonts w:asciiTheme="majorBidi" w:hAnsiTheme="majorBidi" w:cstheme="majorBidi"/>
                <w:color w:val="000000"/>
                <w:lang w:val="it-IT"/>
              </w:rPr>
              <w:t>Livermore 2017a</w:t>
            </w:r>
            <w:r w:rsidR="00A83123" w:rsidRPr="00A83123">
              <w:rPr>
                <w:rFonts w:asciiTheme="majorBidi" w:hAnsiTheme="majorBidi" w:cstheme="majorBidi"/>
                <w:noProof/>
                <w:color w:val="000000"/>
                <w:vertAlign w:val="superscript"/>
              </w:rPr>
              <w:t>59</w:t>
            </w:r>
          </w:p>
          <w:p w14:paraId="29C13809" w14:textId="77777777" w:rsidR="009F01D8" w:rsidRPr="009F6FA6" w:rsidRDefault="009F01D8" w:rsidP="009F01D8">
            <w:pPr>
              <w:jc w:val="both"/>
              <w:rPr>
                <w:rFonts w:asciiTheme="majorBidi" w:hAnsiTheme="majorBidi" w:cstheme="majorBidi"/>
              </w:rPr>
            </w:pPr>
            <w:proofErr w:type="spellStart"/>
            <w:r w:rsidRPr="009F6FA6">
              <w:rPr>
                <w:rFonts w:asciiTheme="majorBidi" w:hAnsiTheme="majorBidi" w:cstheme="majorBidi"/>
              </w:rPr>
              <w:lastRenderedPageBreak/>
              <w:t>Wockhardt</w:t>
            </w:r>
            <w:proofErr w:type="spellEnd"/>
            <w:r w:rsidRPr="009F6FA6">
              <w:rPr>
                <w:rFonts w:asciiTheme="majorBidi" w:hAnsiTheme="majorBidi" w:cstheme="majorBidi"/>
              </w:rPr>
              <w:t xml:space="preserve"> Ltd</w:t>
            </w:r>
          </w:p>
        </w:tc>
        <w:tc>
          <w:tcPr>
            <w:tcW w:w="544" w:type="pct"/>
            <w:shd w:val="clear" w:color="auto" w:fill="auto"/>
          </w:tcPr>
          <w:p w14:paraId="748F6C29" w14:textId="77777777" w:rsidR="009F01D8" w:rsidRPr="00454CF5" w:rsidRDefault="009F01D8" w:rsidP="009F01D8">
            <w:pPr>
              <w:jc w:val="both"/>
              <w:rPr>
                <w:rFonts w:asciiTheme="majorBidi" w:hAnsiTheme="majorBidi" w:cstheme="majorBidi"/>
                <w:lang w:val="fr-FR"/>
              </w:rPr>
            </w:pPr>
            <w:r w:rsidRPr="00454CF5">
              <w:rPr>
                <w:rFonts w:asciiTheme="majorBidi" w:hAnsiTheme="majorBidi" w:cstheme="majorBidi"/>
                <w:color w:val="000000"/>
                <w:lang w:val="fr-FR"/>
              </w:rPr>
              <w:lastRenderedPageBreak/>
              <w:t>UK (PHE)</w:t>
            </w:r>
            <w:r w:rsidRPr="009F6FA6">
              <w:rPr>
                <w:rFonts w:asciiTheme="majorBidi" w:hAnsiTheme="majorBidi" w:cstheme="majorBidi"/>
                <w:lang w:val="pl-PL"/>
              </w:rPr>
              <w:t xml:space="preserve">, </w:t>
            </w:r>
            <w:r w:rsidRPr="009F6FA6">
              <w:rPr>
                <w:rFonts w:asciiTheme="majorBidi" w:hAnsiTheme="majorBidi" w:cstheme="majorBidi"/>
                <w:lang w:val="pl-PL"/>
              </w:rPr>
              <w:lastRenderedPageBreak/>
              <w:t>multi-site</w:t>
            </w:r>
            <w:r w:rsidRPr="00454CF5">
              <w:rPr>
                <w:rFonts w:asciiTheme="majorBidi" w:hAnsiTheme="majorBidi" w:cstheme="majorBidi"/>
                <w:lang w:val="fr-FR"/>
              </w:rPr>
              <w:t xml:space="preserve"> </w:t>
            </w:r>
          </w:p>
          <w:p w14:paraId="3D355841" w14:textId="77777777" w:rsidR="009F01D8" w:rsidRPr="00454CF5" w:rsidRDefault="009F01D8" w:rsidP="009F01D8">
            <w:pPr>
              <w:jc w:val="both"/>
              <w:rPr>
                <w:rFonts w:asciiTheme="majorBidi" w:hAnsiTheme="majorBidi" w:cstheme="majorBidi"/>
                <w:lang w:val="fr-FR"/>
              </w:rPr>
            </w:pPr>
            <w:r w:rsidRPr="00454CF5">
              <w:rPr>
                <w:rFonts w:asciiTheme="majorBidi" w:hAnsiTheme="majorBidi" w:cstheme="majorBidi"/>
                <w:lang w:val="fr-FR"/>
              </w:rPr>
              <w:t>NR</w:t>
            </w:r>
          </w:p>
        </w:tc>
        <w:tc>
          <w:tcPr>
            <w:tcW w:w="464" w:type="pct"/>
            <w:shd w:val="clear" w:color="auto" w:fill="auto"/>
          </w:tcPr>
          <w:p w14:paraId="42879D1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lastRenderedPageBreak/>
              <w:t>15</w:t>
            </w:r>
          </w:p>
          <w:p w14:paraId="67A24F46" w14:textId="77777777" w:rsidR="009F01D8" w:rsidRPr="009F6FA6" w:rsidRDefault="009F01D8" w:rsidP="009F01D8">
            <w:pPr>
              <w:jc w:val="both"/>
              <w:rPr>
                <w:rFonts w:asciiTheme="majorBidi" w:hAnsiTheme="majorBidi" w:cstheme="majorBidi"/>
              </w:rPr>
            </w:pPr>
          </w:p>
          <w:p w14:paraId="58C81B0D"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Y</w:t>
            </w:r>
          </w:p>
        </w:tc>
        <w:tc>
          <w:tcPr>
            <w:tcW w:w="545" w:type="pct"/>
            <w:shd w:val="clear" w:color="auto" w:fill="auto"/>
          </w:tcPr>
          <w:p w14:paraId="0FC2ADC6"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color w:val="000000"/>
              </w:rPr>
              <w:t>CPE (</w:t>
            </w:r>
            <w:r w:rsidRPr="009F6FA6">
              <w:rPr>
                <w:rFonts w:asciiTheme="majorBidi" w:hAnsiTheme="majorBidi" w:cstheme="majorBidi"/>
              </w:rPr>
              <w:t xml:space="preserve">isolates submitted </w:t>
            </w:r>
            <w:r w:rsidRPr="009F6FA6">
              <w:rPr>
                <w:rFonts w:asciiTheme="majorBidi" w:hAnsiTheme="majorBidi" w:cstheme="majorBidi"/>
              </w:rPr>
              <w:lastRenderedPageBreak/>
              <w:t xml:space="preserve">to </w:t>
            </w:r>
            <w:r w:rsidRPr="009F6FA6">
              <w:rPr>
                <w:rFonts w:asciiTheme="majorBidi" w:hAnsiTheme="majorBidi" w:cstheme="majorBidi"/>
                <w:color w:val="000000"/>
              </w:rPr>
              <w:t>PHE AMRHAI with suspected CR + resistance surveys (unclear how selected for testing))</w:t>
            </w:r>
          </w:p>
        </w:tc>
        <w:tc>
          <w:tcPr>
            <w:tcW w:w="537" w:type="pct"/>
            <w:shd w:val="clear" w:color="auto" w:fill="auto"/>
          </w:tcPr>
          <w:p w14:paraId="3A91358F"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lastRenderedPageBreak/>
              <w:t xml:space="preserve">Unclear </w:t>
            </w:r>
          </w:p>
        </w:tc>
        <w:tc>
          <w:tcPr>
            <w:tcW w:w="489" w:type="pct"/>
            <w:shd w:val="clear" w:color="auto" w:fill="auto"/>
          </w:tcPr>
          <w:p w14:paraId="6FC0845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color w:val="000000"/>
              </w:rPr>
              <w:t xml:space="preserve">86.7% </w:t>
            </w:r>
          </w:p>
        </w:tc>
        <w:tc>
          <w:tcPr>
            <w:tcW w:w="443" w:type="pct"/>
            <w:shd w:val="clear" w:color="auto" w:fill="auto"/>
          </w:tcPr>
          <w:p w14:paraId="47A2E6A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534" w:type="pct"/>
            <w:shd w:val="clear" w:color="auto" w:fill="auto"/>
          </w:tcPr>
          <w:p w14:paraId="4F78AE0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p w14:paraId="63B81B73" w14:textId="77777777" w:rsidR="009F01D8" w:rsidRPr="009F6FA6" w:rsidRDefault="009F01D8" w:rsidP="009F01D8">
            <w:pPr>
              <w:jc w:val="both"/>
              <w:rPr>
                <w:rFonts w:asciiTheme="majorBidi" w:hAnsiTheme="majorBidi" w:cstheme="majorBidi"/>
              </w:rPr>
            </w:pPr>
          </w:p>
          <w:p w14:paraId="290208B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lastRenderedPageBreak/>
              <w:t>EUCAST</w:t>
            </w:r>
          </w:p>
        </w:tc>
        <w:tc>
          <w:tcPr>
            <w:tcW w:w="370" w:type="pct"/>
            <w:shd w:val="clear" w:color="auto" w:fill="auto"/>
          </w:tcPr>
          <w:p w14:paraId="4E15D4B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lastRenderedPageBreak/>
              <w:t xml:space="preserve">EEPRU </w:t>
            </w:r>
            <w:r w:rsidRPr="009F6FA6">
              <w:rPr>
                <w:rFonts w:asciiTheme="majorBidi" w:hAnsiTheme="majorBidi" w:cstheme="majorBidi"/>
              </w:rPr>
              <w:lastRenderedPageBreak/>
              <w:t>search</w:t>
            </w:r>
          </w:p>
        </w:tc>
        <w:tc>
          <w:tcPr>
            <w:tcW w:w="538" w:type="pct"/>
            <w:shd w:val="clear" w:color="auto" w:fill="auto"/>
          </w:tcPr>
          <w:p w14:paraId="368F123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lastRenderedPageBreak/>
              <w:t xml:space="preserve">Excluded - overlap </w:t>
            </w:r>
            <w:r w:rsidRPr="009F6FA6">
              <w:rPr>
                <w:rFonts w:asciiTheme="majorBidi" w:hAnsiTheme="majorBidi" w:cstheme="majorBidi"/>
              </w:rPr>
              <w:lastRenderedPageBreak/>
              <w:t>with PHE dataset</w:t>
            </w:r>
          </w:p>
        </w:tc>
      </w:tr>
      <w:tr w:rsidR="009F01D8" w:rsidRPr="00196767" w14:paraId="09EE9C30" w14:textId="77777777" w:rsidTr="009F01D8">
        <w:tc>
          <w:tcPr>
            <w:tcW w:w="5000" w:type="pct"/>
            <w:gridSpan w:val="10"/>
            <w:shd w:val="clear" w:color="auto" w:fill="BFBFBF" w:themeFill="background1" w:themeFillShade="BF"/>
          </w:tcPr>
          <w:p w14:paraId="0B71058D" w14:textId="77777777" w:rsidR="009F01D8" w:rsidRPr="009F6FA6" w:rsidRDefault="009F01D8" w:rsidP="009F01D8">
            <w:pPr>
              <w:jc w:val="both"/>
              <w:rPr>
                <w:rFonts w:asciiTheme="majorBidi" w:hAnsiTheme="majorBidi" w:cstheme="majorBidi"/>
                <w:b/>
                <w:bCs/>
              </w:rPr>
            </w:pPr>
            <w:r w:rsidRPr="009F6FA6">
              <w:rPr>
                <w:rFonts w:asciiTheme="majorBidi" w:hAnsiTheme="majorBidi" w:cstheme="majorBidi"/>
                <w:b/>
                <w:bCs/>
                <w:color w:val="000000"/>
              </w:rPr>
              <w:lastRenderedPageBreak/>
              <w:t>Studies excluded to avoid double counting of isolates</w:t>
            </w:r>
          </w:p>
        </w:tc>
      </w:tr>
      <w:tr w:rsidR="009F01D8" w:rsidRPr="00196767" w14:paraId="023B30C4" w14:textId="77777777" w:rsidTr="009F01D8">
        <w:tc>
          <w:tcPr>
            <w:tcW w:w="536" w:type="pct"/>
            <w:shd w:val="clear" w:color="auto" w:fill="auto"/>
          </w:tcPr>
          <w:p w14:paraId="21EA8620" w14:textId="6C0AFF8A" w:rsidR="009F01D8" w:rsidRPr="009F6FA6" w:rsidRDefault="009F01D8" w:rsidP="00A83123">
            <w:pPr>
              <w:jc w:val="both"/>
              <w:rPr>
                <w:rFonts w:asciiTheme="majorBidi" w:hAnsiTheme="majorBidi" w:cstheme="majorBidi"/>
                <w:lang w:val="nl-NL"/>
              </w:rPr>
            </w:pPr>
            <w:r w:rsidRPr="009F6FA6">
              <w:rPr>
                <w:rFonts w:asciiTheme="majorBidi" w:hAnsiTheme="majorBidi" w:cstheme="majorBidi"/>
                <w:lang w:val="nl-NL"/>
              </w:rPr>
              <w:t>de Jonge 2016 (INFORM)</w:t>
            </w:r>
            <w:r w:rsidR="00A83123" w:rsidRPr="00A83123">
              <w:rPr>
                <w:rFonts w:asciiTheme="majorBidi" w:hAnsiTheme="majorBidi" w:cstheme="majorBidi"/>
                <w:noProof/>
                <w:vertAlign w:val="superscript"/>
              </w:rPr>
              <w:t>47</w:t>
            </w:r>
          </w:p>
          <w:p w14:paraId="3D28454E" w14:textId="77777777" w:rsidR="009F01D8" w:rsidRPr="009F6FA6" w:rsidRDefault="009F01D8" w:rsidP="009F01D8">
            <w:pPr>
              <w:jc w:val="both"/>
              <w:rPr>
                <w:rFonts w:asciiTheme="majorBidi" w:hAnsiTheme="majorBidi" w:cstheme="majorBidi"/>
                <w:color w:val="000000"/>
              </w:rPr>
            </w:pPr>
            <w:proofErr w:type="spellStart"/>
            <w:r w:rsidRPr="009F6FA6">
              <w:rPr>
                <w:rFonts w:asciiTheme="majorBidi" w:hAnsiTheme="majorBidi" w:cstheme="majorBidi"/>
              </w:rPr>
              <w:t>AztraZeneca</w:t>
            </w:r>
            <w:proofErr w:type="spellEnd"/>
          </w:p>
        </w:tc>
        <w:tc>
          <w:tcPr>
            <w:tcW w:w="544" w:type="pct"/>
            <w:shd w:val="clear" w:color="auto" w:fill="auto"/>
          </w:tcPr>
          <w:p w14:paraId="4CF78658"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International, multi-site</w:t>
            </w:r>
          </w:p>
          <w:p w14:paraId="4EE9C2F9"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2012-2016</w:t>
            </w:r>
          </w:p>
        </w:tc>
        <w:tc>
          <w:tcPr>
            <w:tcW w:w="464" w:type="pct"/>
            <w:shd w:val="clear" w:color="auto" w:fill="auto"/>
          </w:tcPr>
          <w:p w14:paraId="78E99E9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134</w:t>
            </w:r>
          </w:p>
          <w:p w14:paraId="3576531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175F3902"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CPE, Meropenem non-susceptible tested</w:t>
            </w:r>
          </w:p>
        </w:tc>
        <w:tc>
          <w:tcPr>
            <w:tcW w:w="537" w:type="pct"/>
            <w:shd w:val="clear" w:color="auto" w:fill="auto"/>
          </w:tcPr>
          <w:p w14:paraId="3B1AC16B" w14:textId="539AA714" w:rsidR="009F01D8" w:rsidRPr="009F6FA6" w:rsidRDefault="009F01D8" w:rsidP="00A83123">
            <w:pPr>
              <w:jc w:val="both"/>
              <w:rPr>
                <w:rFonts w:asciiTheme="majorBidi" w:hAnsiTheme="majorBidi" w:cstheme="majorBidi"/>
                <w:lang w:val="pl-PL"/>
              </w:rPr>
            </w:pPr>
            <w:r w:rsidRPr="009F6FA6">
              <w:rPr>
                <w:rFonts w:asciiTheme="majorBidi" w:hAnsiTheme="majorBidi" w:cstheme="majorBidi"/>
                <w:color w:val="000000"/>
              </w:rPr>
              <w:t xml:space="preserve">Assume same as </w:t>
            </w:r>
            <w:r w:rsidRPr="009F6FA6">
              <w:rPr>
                <w:rFonts w:asciiTheme="majorBidi" w:hAnsiTheme="majorBidi" w:cstheme="majorBidi"/>
                <w:lang w:val="pl-PL"/>
              </w:rPr>
              <w:t>Kazmierczak 2018</w:t>
            </w:r>
            <w:r w:rsidR="00A83123" w:rsidRPr="00A83123">
              <w:rPr>
                <w:rFonts w:asciiTheme="majorBidi" w:hAnsiTheme="majorBidi" w:cstheme="majorBidi"/>
                <w:noProof/>
                <w:vertAlign w:val="superscript"/>
                <w:lang w:val="pl-PL"/>
              </w:rPr>
              <w:t>56</w:t>
            </w:r>
          </w:p>
          <w:p w14:paraId="0C7AE87C" w14:textId="77777777" w:rsidR="009F01D8" w:rsidRPr="009F6FA6" w:rsidRDefault="009F01D8" w:rsidP="009F01D8">
            <w:pPr>
              <w:jc w:val="both"/>
              <w:rPr>
                <w:rFonts w:asciiTheme="majorBidi" w:hAnsiTheme="majorBidi" w:cstheme="majorBidi"/>
                <w:color w:val="000000"/>
              </w:rPr>
            </w:pPr>
          </w:p>
        </w:tc>
        <w:tc>
          <w:tcPr>
            <w:tcW w:w="489" w:type="pct"/>
            <w:shd w:val="clear" w:color="auto" w:fill="auto"/>
          </w:tcPr>
          <w:p w14:paraId="6235A2E1"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100%</w:t>
            </w:r>
          </w:p>
        </w:tc>
        <w:tc>
          <w:tcPr>
            <w:tcW w:w="443" w:type="pct"/>
            <w:shd w:val="clear" w:color="auto" w:fill="auto"/>
          </w:tcPr>
          <w:p w14:paraId="3EB676A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0%</w:t>
            </w:r>
          </w:p>
        </w:tc>
        <w:tc>
          <w:tcPr>
            <w:tcW w:w="534" w:type="pct"/>
            <w:shd w:val="clear" w:color="auto" w:fill="auto"/>
          </w:tcPr>
          <w:p w14:paraId="78F34B4B"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lang w:val="it-IT"/>
              </w:rPr>
              <w:t>CLSI</w:t>
            </w:r>
          </w:p>
          <w:p w14:paraId="289C7FE6"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lang w:val="it-IT"/>
              </w:rPr>
              <w:t>CLSI, EUCAST col, FDA TIG, CAZ-AVI</w:t>
            </w:r>
          </w:p>
        </w:tc>
        <w:tc>
          <w:tcPr>
            <w:tcW w:w="370" w:type="pct"/>
            <w:shd w:val="clear" w:color="auto" w:fill="auto"/>
          </w:tcPr>
          <w:p w14:paraId="16E35394"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lang w:val="it-IT"/>
              </w:rPr>
              <w:t>EEPRU search</w:t>
            </w:r>
          </w:p>
        </w:tc>
        <w:tc>
          <w:tcPr>
            <w:tcW w:w="538" w:type="pct"/>
            <w:vMerge w:val="restart"/>
            <w:shd w:val="clear" w:color="auto" w:fill="auto"/>
          </w:tcPr>
          <w:p w14:paraId="2A0A1102" w14:textId="3236FBD6" w:rsidR="009F01D8" w:rsidRPr="009F6FA6" w:rsidRDefault="009F01D8" w:rsidP="00A83123">
            <w:pPr>
              <w:jc w:val="both"/>
              <w:rPr>
                <w:rFonts w:asciiTheme="majorBidi" w:hAnsiTheme="majorBidi" w:cstheme="majorBidi"/>
                <w:lang w:val="it-IT"/>
              </w:rPr>
            </w:pPr>
            <w:r w:rsidRPr="009F6FA6">
              <w:rPr>
                <w:rFonts w:asciiTheme="majorBidi" w:hAnsiTheme="majorBidi" w:cstheme="majorBidi"/>
                <w:lang w:val="it-IT"/>
              </w:rPr>
              <w:t>No, overlap with Kazmierczak 2018</w:t>
            </w:r>
            <w:r w:rsidR="00A83123" w:rsidRPr="00A83123">
              <w:rPr>
                <w:rFonts w:asciiTheme="majorBidi" w:hAnsiTheme="majorBidi" w:cstheme="majorBidi"/>
                <w:noProof/>
                <w:vertAlign w:val="superscript"/>
                <w:lang w:val="pl-PL"/>
              </w:rPr>
              <w:t>56</w:t>
            </w:r>
          </w:p>
          <w:p w14:paraId="5F3B5510" w14:textId="77777777" w:rsidR="009F01D8" w:rsidRPr="009F6FA6" w:rsidRDefault="009F01D8" w:rsidP="009F01D8">
            <w:pPr>
              <w:jc w:val="both"/>
              <w:rPr>
                <w:rFonts w:asciiTheme="majorBidi" w:hAnsiTheme="majorBidi" w:cstheme="majorBidi"/>
                <w:lang w:val="it-IT"/>
              </w:rPr>
            </w:pPr>
          </w:p>
        </w:tc>
      </w:tr>
      <w:tr w:rsidR="009F01D8" w:rsidRPr="00196767" w14:paraId="1E895C71" w14:textId="77777777" w:rsidTr="009F01D8">
        <w:tc>
          <w:tcPr>
            <w:tcW w:w="536" w:type="pct"/>
            <w:shd w:val="clear" w:color="auto" w:fill="auto"/>
          </w:tcPr>
          <w:p w14:paraId="33CA7C89" w14:textId="122C5358" w:rsidR="009F01D8" w:rsidRPr="009F6FA6" w:rsidRDefault="009F01D8" w:rsidP="00C83FB7">
            <w:pPr>
              <w:jc w:val="both"/>
              <w:rPr>
                <w:rFonts w:asciiTheme="majorBidi" w:hAnsiTheme="majorBidi" w:cstheme="majorBidi"/>
                <w:color w:val="000000"/>
                <w:lang w:val="it-IT"/>
              </w:rPr>
            </w:pPr>
            <w:r w:rsidRPr="009F6FA6">
              <w:rPr>
                <w:rFonts w:asciiTheme="majorBidi" w:hAnsiTheme="majorBidi" w:cstheme="majorBidi"/>
                <w:lang w:val="it-IT"/>
              </w:rPr>
              <w:t>Karlowsky 2019 (INFORM latin america)</w:t>
            </w:r>
            <w:r w:rsidR="00A83123" w:rsidRPr="00A83123">
              <w:rPr>
                <w:rFonts w:asciiTheme="majorBidi" w:hAnsiTheme="majorBidi" w:cstheme="majorBidi"/>
                <w:noProof/>
                <w:vertAlign w:val="superscript"/>
              </w:rPr>
              <w:t>55</w:t>
            </w:r>
          </w:p>
        </w:tc>
        <w:tc>
          <w:tcPr>
            <w:tcW w:w="544" w:type="pct"/>
            <w:shd w:val="clear" w:color="auto" w:fill="auto"/>
          </w:tcPr>
          <w:p w14:paraId="7A18697D"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Latin America, multi-site</w:t>
            </w:r>
          </w:p>
          <w:p w14:paraId="1593C976"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2012-2015</w:t>
            </w:r>
          </w:p>
        </w:tc>
        <w:tc>
          <w:tcPr>
            <w:tcW w:w="464" w:type="pct"/>
            <w:shd w:val="clear" w:color="auto" w:fill="auto"/>
          </w:tcPr>
          <w:p w14:paraId="61A480D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14</w:t>
            </w:r>
          </w:p>
          <w:p w14:paraId="7EEEC0A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28624BCB"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CPE - CR or ceftazidime-resistant, or positive for ESBL by clavulanic acid testing</w:t>
            </w:r>
          </w:p>
        </w:tc>
        <w:tc>
          <w:tcPr>
            <w:tcW w:w="537" w:type="pct"/>
            <w:shd w:val="clear" w:color="auto" w:fill="auto"/>
          </w:tcPr>
          <w:p w14:paraId="5E028555"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No - Selected predefined # per species</w:t>
            </w:r>
          </w:p>
        </w:tc>
        <w:tc>
          <w:tcPr>
            <w:tcW w:w="489" w:type="pct"/>
            <w:shd w:val="clear" w:color="auto" w:fill="auto"/>
          </w:tcPr>
          <w:p w14:paraId="21C1FEDF"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14.3%</w:t>
            </w:r>
          </w:p>
        </w:tc>
        <w:tc>
          <w:tcPr>
            <w:tcW w:w="443" w:type="pct"/>
            <w:shd w:val="clear" w:color="auto" w:fill="auto"/>
          </w:tcPr>
          <w:p w14:paraId="2A5B878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w:t>
            </w:r>
          </w:p>
        </w:tc>
        <w:tc>
          <w:tcPr>
            <w:tcW w:w="534" w:type="pct"/>
            <w:shd w:val="clear" w:color="auto" w:fill="auto"/>
          </w:tcPr>
          <w:p w14:paraId="37BF4DA4" w14:textId="77777777" w:rsidR="00001050" w:rsidRPr="009F6FA6" w:rsidRDefault="00001050" w:rsidP="00001050">
            <w:pPr>
              <w:jc w:val="both"/>
              <w:rPr>
                <w:rFonts w:asciiTheme="majorBidi" w:hAnsiTheme="majorBidi" w:cstheme="majorBidi"/>
                <w:lang w:val="it-IT"/>
              </w:rPr>
            </w:pPr>
            <w:r w:rsidRPr="009F6FA6">
              <w:rPr>
                <w:rFonts w:asciiTheme="majorBidi" w:hAnsiTheme="majorBidi" w:cstheme="majorBidi"/>
                <w:lang w:val="it-IT"/>
              </w:rPr>
              <w:t>CLSI</w:t>
            </w:r>
          </w:p>
          <w:p w14:paraId="146C248F" w14:textId="41124F31" w:rsidR="009F01D8" w:rsidRPr="009F6FA6" w:rsidRDefault="00001050" w:rsidP="00001050">
            <w:pPr>
              <w:jc w:val="both"/>
              <w:rPr>
                <w:rFonts w:asciiTheme="majorBidi" w:hAnsiTheme="majorBidi" w:cstheme="majorBidi"/>
                <w:lang w:val="it-IT"/>
              </w:rPr>
            </w:pPr>
            <w:r w:rsidRPr="009F6FA6">
              <w:rPr>
                <w:rFonts w:asciiTheme="majorBidi" w:hAnsiTheme="majorBidi" w:cstheme="majorBidi"/>
                <w:lang w:val="it-IT"/>
              </w:rPr>
              <w:t>CLSI, EUCAST col, FDA TIG, CAZ-AVI</w:t>
            </w:r>
          </w:p>
        </w:tc>
        <w:tc>
          <w:tcPr>
            <w:tcW w:w="370" w:type="pct"/>
            <w:shd w:val="clear" w:color="auto" w:fill="auto"/>
          </w:tcPr>
          <w:p w14:paraId="13C350DA"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lang w:val="it-IT"/>
              </w:rPr>
              <w:t>EEPRU search</w:t>
            </w:r>
          </w:p>
        </w:tc>
        <w:tc>
          <w:tcPr>
            <w:tcW w:w="538" w:type="pct"/>
            <w:vMerge/>
            <w:shd w:val="clear" w:color="auto" w:fill="auto"/>
          </w:tcPr>
          <w:p w14:paraId="470178F0" w14:textId="77777777" w:rsidR="009F01D8" w:rsidRPr="009F6FA6" w:rsidRDefault="009F01D8" w:rsidP="009F01D8">
            <w:pPr>
              <w:jc w:val="both"/>
              <w:rPr>
                <w:rFonts w:asciiTheme="majorBidi" w:hAnsiTheme="majorBidi" w:cstheme="majorBidi"/>
              </w:rPr>
            </w:pPr>
          </w:p>
        </w:tc>
      </w:tr>
      <w:tr w:rsidR="009F01D8" w:rsidRPr="00196767" w14:paraId="22D578E7" w14:textId="77777777" w:rsidTr="009F01D8">
        <w:tc>
          <w:tcPr>
            <w:tcW w:w="536" w:type="pct"/>
            <w:shd w:val="clear" w:color="auto" w:fill="auto"/>
          </w:tcPr>
          <w:p w14:paraId="16AC18F2" w14:textId="3CF68108" w:rsidR="009F01D8" w:rsidRPr="009F6FA6" w:rsidRDefault="009F01D8" w:rsidP="00C83FB7">
            <w:pPr>
              <w:jc w:val="both"/>
              <w:rPr>
                <w:rFonts w:asciiTheme="majorBidi" w:hAnsiTheme="majorBidi" w:cstheme="majorBidi"/>
                <w:color w:val="000000"/>
              </w:rPr>
            </w:pPr>
            <w:proofErr w:type="spellStart"/>
            <w:r w:rsidRPr="009F6FA6">
              <w:rPr>
                <w:rFonts w:asciiTheme="majorBidi" w:hAnsiTheme="majorBidi" w:cstheme="majorBidi"/>
              </w:rPr>
              <w:t>Karlowsky</w:t>
            </w:r>
            <w:proofErr w:type="spellEnd"/>
            <w:r w:rsidRPr="009F6FA6">
              <w:rPr>
                <w:rFonts w:asciiTheme="majorBidi" w:hAnsiTheme="majorBidi" w:cstheme="majorBidi"/>
              </w:rPr>
              <w:t xml:space="preserve"> 2018 (INFORM Asia-Pacific)</w:t>
            </w:r>
            <w:r w:rsidR="00A83123" w:rsidRPr="00A83123">
              <w:rPr>
                <w:rFonts w:asciiTheme="majorBidi" w:hAnsiTheme="majorBidi" w:cstheme="majorBidi"/>
                <w:noProof/>
                <w:vertAlign w:val="superscript"/>
              </w:rPr>
              <w:t>54</w:t>
            </w:r>
          </w:p>
        </w:tc>
        <w:tc>
          <w:tcPr>
            <w:tcW w:w="544" w:type="pct"/>
            <w:shd w:val="clear" w:color="auto" w:fill="auto"/>
          </w:tcPr>
          <w:p w14:paraId="6345B0BD"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Asia-Pacific</w:t>
            </w:r>
          </w:p>
        </w:tc>
        <w:tc>
          <w:tcPr>
            <w:tcW w:w="3012" w:type="pct"/>
            <w:gridSpan w:val="6"/>
            <w:shd w:val="clear" w:color="auto" w:fill="auto"/>
          </w:tcPr>
          <w:p w14:paraId="039A1EA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Data extraction not performed as n&lt;10. Reported here as relates to INFORM study.</w:t>
            </w:r>
          </w:p>
        </w:tc>
        <w:tc>
          <w:tcPr>
            <w:tcW w:w="370" w:type="pct"/>
            <w:shd w:val="clear" w:color="auto" w:fill="auto"/>
          </w:tcPr>
          <w:p w14:paraId="4A97886C"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lang w:val="it-IT"/>
              </w:rPr>
              <w:t>EEPRU search</w:t>
            </w:r>
          </w:p>
        </w:tc>
        <w:tc>
          <w:tcPr>
            <w:tcW w:w="538" w:type="pct"/>
            <w:shd w:val="clear" w:color="auto" w:fill="auto"/>
          </w:tcPr>
          <w:p w14:paraId="32596C34" w14:textId="49E713A6" w:rsidR="009F01D8" w:rsidRPr="009F6FA6" w:rsidRDefault="009F01D8" w:rsidP="00A83123">
            <w:pPr>
              <w:jc w:val="both"/>
              <w:rPr>
                <w:rFonts w:asciiTheme="majorBidi" w:hAnsiTheme="majorBidi" w:cstheme="majorBidi"/>
              </w:rPr>
            </w:pPr>
            <w:r w:rsidRPr="009F6FA6">
              <w:rPr>
                <w:rFonts w:asciiTheme="majorBidi" w:hAnsiTheme="majorBidi" w:cstheme="majorBidi"/>
              </w:rPr>
              <w:t xml:space="preserve">No, overlap with </w:t>
            </w:r>
            <w:proofErr w:type="spellStart"/>
            <w:r w:rsidRPr="009F6FA6">
              <w:rPr>
                <w:rFonts w:asciiTheme="majorBidi" w:hAnsiTheme="majorBidi" w:cstheme="majorBidi"/>
              </w:rPr>
              <w:t>Kazmierczak</w:t>
            </w:r>
            <w:proofErr w:type="spellEnd"/>
            <w:r w:rsidRPr="009F6FA6">
              <w:rPr>
                <w:rFonts w:asciiTheme="majorBidi" w:hAnsiTheme="majorBidi" w:cstheme="majorBidi"/>
              </w:rPr>
              <w:t xml:space="preserve"> 2018</w:t>
            </w:r>
            <w:r w:rsidR="00A83123" w:rsidRPr="00A83123">
              <w:rPr>
                <w:rFonts w:asciiTheme="majorBidi" w:hAnsiTheme="majorBidi" w:cstheme="majorBidi"/>
                <w:noProof/>
                <w:vertAlign w:val="superscript"/>
                <w:lang w:val="pl-PL"/>
              </w:rPr>
              <w:t>56</w:t>
            </w:r>
          </w:p>
          <w:p w14:paraId="2B98DFFB"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N&lt;10</w:t>
            </w:r>
          </w:p>
        </w:tc>
      </w:tr>
      <w:tr w:rsidR="009F01D8" w:rsidRPr="00196767" w14:paraId="67053A2B" w14:textId="77777777" w:rsidTr="009F01D8">
        <w:tc>
          <w:tcPr>
            <w:tcW w:w="536" w:type="pct"/>
            <w:shd w:val="clear" w:color="auto" w:fill="auto"/>
          </w:tcPr>
          <w:p w14:paraId="728BEBCA" w14:textId="21B0FE64" w:rsidR="009F01D8" w:rsidRPr="009F6FA6" w:rsidRDefault="009F01D8" w:rsidP="00C83FB7">
            <w:pPr>
              <w:jc w:val="both"/>
              <w:rPr>
                <w:rFonts w:asciiTheme="majorBidi" w:hAnsiTheme="majorBidi" w:cstheme="majorBidi"/>
                <w:color w:val="000000"/>
              </w:rPr>
            </w:pPr>
            <w:proofErr w:type="spellStart"/>
            <w:r w:rsidRPr="009F6FA6">
              <w:rPr>
                <w:rFonts w:asciiTheme="majorBidi" w:hAnsiTheme="majorBidi" w:cstheme="majorBidi"/>
              </w:rPr>
              <w:t>Galani</w:t>
            </w:r>
            <w:proofErr w:type="spellEnd"/>
            <w:r w:rsidRPr="009F6FA6">
              <w:rPr>
                <w:rFonts w:asciiTheme="majorBidi" w:hAnsiTheme="majorBidi" w:cstheme="majorBidi"/>
              </w:rPr>
              <w:t xml:space="preserve"> 2018</w:t>
            </w:r>
            <w:r w:rsidR="00A83123" w:rsidRPr="00A83123">
              <w:rPr>
                <w:rFonts w:asciiTheme="majorBidi" w:hAnsiTheme="majorBidi" w:cstheme="majorBidi"/>
                <w:noProof/>
                <w:vertAlign w:val="superscript"/>
              </w:rPr>
              <w:t>49</w:t>
            </w:r>
          </w:p>
        </w:tc>
        <w:tc>
          <w:tcPr>
            <w:tcW w:w="544" w:type="pct"/>
            <w:shd w:val="clear" w:color="auto" w:fill="auto"/>
          </w:tcPr>
          <w:p w14:paraId="7CE19539"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Greece, multi-site</w:t>
            </w:r>
          </w:p>
          <w:p w14:paraId="75269AD3"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2014-16</w:t>
            </w:r>
          </w:p>
        </w:tc>
        <w:tc>
          <w:tcPr>
            <w:tcW w:w="464" w:type="pct"/>
            <w:shd w:val="clear" w:color="auto" w:fill="auto"/>
          </w:tcPr>
          <w:p w14:paraId="650E78E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14</w:t>
            </w:r>
          </w:p>
          <w:p w14:paraId="77401CB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Y</w:t>
            </w:r>
          </w:p>
        </w:tc>
        <w:tc>
          <w:tcPr>
            <w:tcW w:w="545" w:type="pct"/>
            <w:shd w:val="clear" w:color="auto" w:fill="auto"/>
          </w:tcPr>
          <w:p w14:paraId="71997AAE"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CR KP, non-</w:t>
            </w:r>
            <w:proofErr w:type="spellStart"/>
            <w:r w:rsidRPr="009F6FA6">
              <w:rPr>
                <w:rFonts w:asciiTheme="majorBidi" w:hAnsiTheme="majorBidi" w:cstheme="majorBidi"/>
                <w:color w:val="000000"/>
              </w:rPr>
              <w:t>suscepitlbe</w:t>
            </w:r>
            <w:proofErr w:type="spellEnd"/>
            <w:r w:rsidRPr="009F6FA6">
              <w:rPr>
                <w:rFonts w:asciiTheme="majorBidi" w:hAnsiTheme="majorBidi" w:cstheme="majorBidi"/>
                <w:color w:val="000000"/>
              </w:rPr>
              <w:t xml:space="preserve"> to any carbapen</w:t>
            </w:r>
            <w:r w:rsidRPr="009F6FA6">
              <w:rPr>
                <w:rFonts w:asciiTheme="majorBidi" w:hAnsiTheme="majorBidi" w:cstheme="majorBidi"/>
                <w:color w:val="000000"/>
              </w:rPr>
              <w:lastRenderedPageBreak/>
              <w:t>em were tested</w:t>
            </w:r>
          </w:p>
        </w:tc>
        <w:tc>
          <w:tcPr>
            <w:tcW w:w="537" w:type="pct"/>
            <w:shd w:val="clear" w:color="auto" w:fill="auto"/>
          </w:tcPr>
          <w:p w14:paraId="28045109"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lastRenderedPageBreak/>
              <w:t>Y</w:t>
            </w:r>
          </w:p>
        </w:tc>
        <w:tc>
          <w:tcPr>
            <w:tcW w:w="489" w:type="pct"/>
            <w:shd w:val="clear" w:color="auto" w:fill="auto"/>
          </w:tcPr>
          <w:p w14:paraId="48A5886E"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color w:val="000000"/>
              </w:rPr>
              <w:t>100%</w:t>
            </w:r>
          </w:p>
        </w:tc>
        <w:tc>
          <w:tcPr>
            <w:tcW w:w="443" w:type="pct"/>
            <w:shd w:val="clear" w:color="auto" w:fill="auto"/>
          </w:tcPr>
          <w:p w14:paraId="116FCCB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0%</w:t>
            </w:r>
          </w:p>
        </w:tc>
        <w:tc>
          <w:tcPr>
            <w:tcW w:w="534" w:type="pct"/>
            <w:shd w:val="clear" w:color="auto" w:fill="auto"/>
          </w:tcPr>
          <w:p w14:paraId="090D396A"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p w14:paraId="5B603C1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EUCAST</w:t>
            </w:r>
          </w:p>
        </w:tc>
        <w:tc>
          <w:tcPr>
            <w:tcW w:w="370" w:type="pct"/>
            <w:shd w:val="clear" w:color="auto" w:fill="auto"/>
          </w:tcPr>
          <w:p w14:paraId="15ED70F5"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lang w:val="it-IT"/>
              </w:rPr>
              <w:t>EEPRU search</w:t>
            </w:r>
          </w:p>
        </w:tc>
        <w:tc>
          <w:tcPr>
            <w:tcW w:w="538" w:type="pct"/>
            <w:shd w:val="clear" w:color="auto" w:fill="auto"/>
          </w:tcPr>
          <w:p w14:paraId="5113287E" w14:textId="77777777" w:rsidR="009F01D8" w:rsidRPr="009F6FA6" w:rsidRDefault="009F01D8" w:rsidP="009F01D8">
            <w:pPr>
              <w:jc w:val="both"/>
              <w:rPr>
                <w:rFonts w:asciiTheme="majorBidi" w:hAnsiTheme="majorBidi" w:cstheme="majorBidi"/>
              </w:rPr>
            </w:pPr>
          </w:p>
        </w:tc>
      </w:tr>
      <w:tr w:rsidR="009F01D8" w:rsidRPr="00196767" w14:paraId="585C6DEB" w14:textId="77777777" w:rsidTr="009F01D8">
        <w:tc>
          <w:tcPr>
            <w:tcW w:w="5000" w:type="pct"/>
            <w:gridSpan w:val="10"/>
            <w:shd w:val="clear" w:color="auto" w:fill="BFBFBF" w:themeFill="background1" w:themeFillShade="BF"/>
          </w:tcPr>
          <w:p w14:paraId="4E958000"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b/>
              </w:rPr>
              <w:t>Outbreaks</w:t>
            </w:r>
          </w:p>
        </w:tc>
      </w:tr>
      <w:tr w:rsidR="009F01D8" w:rsidRPr="00196767" w14:paraId="6AFE5244" w14:textId="77777777" w:rsidTr="009F01D8">
        <w:tc>
          <w:tcPr>
            <w:tcW w:w="536" w:type="pct"/>
            <w:shd w:val="clear" w:color="auto" w:fill="auto"/>
          </w:tcPr>
          <w:p w14:paraId="6CF1BC1E" w14:textId="01A3F24E" w:rsidR="009F01D8" w:rsidRPr="009F6FA6" w:rsidRDefault="009F01D8" w:rsidP="00A83123">
            <w:pPr>
              <w:jc w:val="both"/>
              <w:rPr>
                <w:rFonts w:asciiTheme="majorBidi" w:hAnsiTheme="majorBidi" w:cstheme="majorBidi"/>
                <w:lang w:val="fr-FR"/>
              </w:rPr>
            </w:pPr>
            <w:r w:rsidRPr="009F6FA6">
              <w:rPr>
                <w:rFonts w:asciiTheme="majorBidi" w:hAnsiTheme="majorBidi" w:cstheme="majorBidi"/>
                <w:lang w:val="fr-FR"/>
              </w:rPr>
              <w:t>Lim 2020</w:t>
            </w:r>
            <w:r w:rsidR="00A83123" w:rsidRPr="00A83123">
              <w:rPr>
                <w:rFonts w:asciiTheme="majorBidi" w:hAnsiTheme="majorBidi" w:cstheme="majorBidi"/>
                <w:noProof/>
                <w:vertAlign w:val="superscript"/>
              </w:rPr>
              <w:t>39</w:t>
            </w:r>
          </w:p>
          <w:p w14:paraId="10CAAC6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lang w:val="fr-FR"/>
              </w:rPr>
              <w:t>NR</w:t>
            </w:r>
          </w:p>
        </w:tc>
        <w:tc>
          <w:tcPr>
            <w:tcW w:w="544" w:type="pct"/>
            <w:shd w:val="clear" w:color="auto" w:fill="auto"/>
          </w:tcPr>
          <w:p w14:paraId="4A43EB3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UK, </w:t>
            </w:r>
            <w:proofErr w:type="gramStart"/>
            <w:r w:rsidRPr="009F6FA6">
              <w:rPr>
                <w:rFonts w:asciiTheme="majorBidi" w:hAnsiTheme="majorBidi" w:cstheme="majorBidi"/>
              </w:rPr>
              <w:t>single-site</w:t>
            </w:r>
            <w:proofErr w:type="gramEnd"/>
          </w:p>
          <w:p w14:paraId="2AA37EFD"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2018</w:t>
            </w:r>
          </w:p>
        </w:tc>
        <w:tc>
          <w:tcPr>
            <w:tcW w:w="464" w:type="pct"/>
            <w:shd w:val="clear" w:color="auto" w:fill="auto"/>
          </w:tcPr>
          <w:p w14:paraId="5D4B79D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60</w:t>
            </w:r>
          </w:p>
          <w:p w14:paraId="338EF7D7" w14:textId="77777777" w:rsidR="009F01D8" w:rsidRPr="009F6FA6" w:rsidRDefault="009F01D8" w:rsidP="009F01D8">
            <w:pPr>
              <w:jc w:val="both"/>
              <w:rPr>
                <w:rFonts w:asciiTheme="majorBidi" w:hAnsiTheme="majorBidi" w:cstheme="majorBidi"/>
              </w:rPr>
            </w:pPr>
          </w:p>
          <w:p w14:paraId="0EC6C3C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w:t>
            </w:r>
          </w:p>
        </w:tc>
        <w:tc>
          <w:tcPr>
            <w:tcW w:w="545" w:type="pct"/>
            <w:shd w:val="clear" w:color="auto" w:fill="auto"/>
          </w:tcPr>
          <w:p w14:paraId="7A52815C"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KP OXA-48 outbreak, then all medical wards were screened (not all screened were KP)</w:t>
            </w:r>
          </w:p>
        </w:tc>
        <w:tc>
          <w:tcPr>
            <w:tcW w:w="537" w:type="pct"/>
            <w:shd w:val="clear" w:color="auto" w:fill="auto"/>
          </w:tcPr>
          <w:p w14:paraId="4A39AA38"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Y</w:t>
            </w:r>
          </w:p>
        </w:tc>
        <w:tc>
          <w:tcPr>
            <w:tcW w:w="489" w:type="pct"/>
            <w:shd w:val="clear" w:color="auto" w:fill="auto"/>
          </w:tcPr>
          <w:p w14:paraId="214413AB"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10%</w:t>
            </w:r>
          </w:p>
        </w:tc>
        <w:tc>
          <w:tcPr>
            <w:tcW w:w="443" w:type="pct"/>
            <w:shd w:val="clear" w:color="auto" w:fill="auto"/>
          </w:tcPr>
          <w:p w14:paraId="4BB33B1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534" w:type="pct"/>
            <w:shd w:val="clear" w:color="auto" w:fill="auto"/>
          </w:tcPr>
          <w:p w14:paraId="35EFF059"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EUCAST</w:t>
            </w:r>
          </w:p>
          <w:p w14:paraId="50E4693D" w14:textId="77777777" w:rsidR="009F01D8" w:rsidRPr="009F6FA6" w:rsidRDefault="009F01D8" w:rsidP="009F01D8">
            <w:pPr>
              <w:jc w:val="both"/>
              <w:rPr>
                <w:rFonts w:asciiTheme="majorBidi" w:hAnsiTheme="majorBidi" w:cstheme="majorBidi"/>
              </w:rPr>
            </w:pPr>
          </w:p>
          <w:p w14:paraId="65A61A0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EUCAST</w:t>
            </w:r>
          </w:p>
        </w:tc>
        <w:tc>
          <w:tcPr>
            <w:tcW w:w="370" w:type="pct"/>
            <w:shd w:val="clear" w:color="auto" w:fill="auto"/>
          </w:tcPr>
          <w:p w14:paraId="30409831"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rPr>
              <w:t>EEPRU search</w:t>
            </w:r>
          </w:p>
        </w:tc>
        <w:tc>
          <w:tcPr>
            <w:tcW w:w="538" w:type="pct"/>
            <w:shd w:val="clear" w:color="auto" w:fill="auto"/>
          </w:tcPr>
          <w:p w14:paraId="391B64FF"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 outbreak study</w:t>
            </w:r>
          </w:p>
        </w:tc>
      </w:tr>
      <w:tr w:rsidR="009F01D8" w:rsidRPr="00196767" w14:paraId="1C8F3BFE" w14:textId="77777777" w:rsidTr="009F01D8">
        <w:tc>
          <w:tcPr>
            <w:tcW w:w="536" w:type="pct"/>
            <w:shd w:val="clear" w:color="auto" w:fill="auto"/>
          </w:tcPr>
          <w:p w14:paraId="39A6ED6B" w14:textId="025A1C30" w:rsidR="009F01D8" w:rsidRPr="009F6FA6" w:rsidRDefault="009F01D8" w:rsidP="00A83123">
            <w:pPr>
              <w:jc w:val="both"/>
              <w:rPr>
                <w:rFonts w:asciiTheme="majorBidi" w:hAnsiTheme="majorBidi" w:cstheme="majorBidi"/>
                <w:lang w:val="pt-PT"/>
              </w:rPr>
            </w:pPr>
            <w:r w:rsidRPr="009F6FA6">
              <w:rPr>
                <w:rFonts w:asciiTheme="majorBidi" w:hAnsiTheme="majorBidi" w:cstheme="majorBidi"/>
                <w:lang w:val="pt-PT"/>
              </w:rPr>
              <w:t>Sousa 2018</w:t>
            </w:r>
            <w:r w:rsidR="00A83123" w:rsidRPr="00A83123">
              <w:rPr>
                <w:rFonts w:asciiTheme="majorBidi" w:hAnsiTheme="majorBidi" w:cstheme="majorBidi"/>
                <w:noProof/>
                <w:vertAlign w:val="superscript"/>
                <w:lang w:val="pt-PT"/>
              </w:rPr>
              <w:t>40</w:t>
            </w:r>
          </w:p>
          <w:p w14:paraId="53EEFF4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lang w:val="pt-PT"/>
              </w:rPr>
              <w:t>Internal hospital funding</w:t>
            </w:r>
          </w:p>
        </w:tc>
        <w:tc>
          <w:tcPr>
            <w:tcW w:w="544" w:type="pct"/>
            <w:shd w:val="clear" w:color="auto" w:fill="auto"/>
          </w:tcPr>
          <w:p w14:paraId="12C54096"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Spain, </w:t>
            </w:r>
            <w:proofErr w:type="gramStart"/>
            <w:r w:rsidRPr="009F6FA6">
              <w:rPr>
                <w:rFonts w:asciiTheme="majorBidi" w:hAnsiTheme="majorBidi" w:cstheme="majorBidi"/>
              </w:rPr>
              <w:t>single-site</w:t>
            </w:r>
            <w:proofErr w:type="gramEnd"/>
          </w:p>
          <w:p w14:paraId="344B6786"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2016-17</w:t>
            </w:r>
          </w:p>
        </w:tc>
        <w:tc>
          <w:tcPr>
            <w:tcW w:w="464" w:type="pct"/>
            <w:shd w:val="clear" w:color="auto" w:fill="auto"/>
          </w:tcPr>
          <w:p w14:paraId="4BCF5FE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57</w:t>
            </w:r>
          </w:p>
          <w:p w14:paraId="6D9E69FE" w14:textId="77777777" w:rsidR="009F01D8" w:rsidRPr="009F6FA6" w:rsidRDefault="009F01D8" w:rsidP="009F01D8">
            <w:pPr>
              <w:jc w:val="both"/>
              <w:rPr>
                <w:rFonts w:asciiTheme="majorBidi" w:hAnsiTheme="majorBidi" w:cstheme="majorBidi"/>
              </w:rPr>
            </w:pPr>
          </w:p>
          <w:p w14:paraId="71553001"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w:t>
            </w:r>
          </w:p>
        </w:tc>
        <w:tc>
          <w:tcPr>
            <w:tcW w:w="545" w:type="pct"/>
            <w:shd w:val="clear" w:color="auto" w:fill="auto"/>
          </w:tcPr>
          <w:p w14:paraId="6C1F8495"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KP- outbreak</w:t>
            </w:r>
          </w:p>
        </w:tc>
        <w:tc>
          <w:tcPr>
            <w:tcW w:w="537" w:type="pct"/>
            <w:shd w:val="clear" w:color="auto" w:fill="auto"/>
          </w:tcPr>
          <w:p w14:paraId="102E2977"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Y</w:t>
            </w:r>
          </w:p>
        </w:tc>
        <w:tc>
          <w:tcPr>
            <w:tcW w:w="489" w:type="pct"/>
            <w:shd w:val="clear" w:color="auto" w:fill="auto"/>
          </w:tcPr>
          <w:p w14:paraId="55F96BE8"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98%</w:t>
            </w:r>
          </w:p>
        </w:tc>
        <w:tc>
          <w:tcPr>
            <w:tcW w:w="443" w:type="pct"/>
            <w:shd w:val="clear" w:color="auto" w:fill="auto"/>
          </w:tcPr>
          <w:p w14:paraId="5CAD8D87"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NR</w:t>
            </w:r>
          </w:p>
        </w:tc>
        <w:tc>
          <w:tcPr>
            <w:tcW w:w="534" w:type="pct"/>
            <w:shd w:val="clear" w:color="auto" w:fill="auto"/>
          </w:tcPr>
          <w:p w14:paraId="091B639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CLSI </w:t>
            </w:r>
          </w:p>
          <w:p w14:paraId="7AC94344" w14:textId="77777777" w:rsidR="009F01D8" w:rsidRPr="009F6FA6" w:rsidRDefault="009F01D8" w:rsidP="009F01D8">
            <w:pPr>
              <w:jc w:val="both"/>
              <w:rPr>
                <w:rFonts w:asciiTheme="majorBidi" w:hAnsiTheme="majorBidi" w:cstheme="majorBidi"/>
              </w:rPr>
            </w:pPr>
          </w:p>
          <w:p w14:paraId="1626819D"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tc>
        <w:tc>
          <w:tcPr>
            <w:tcW w:w="370" w:type="pct"/>
            <w:shd w:val="clear" w:color="auto" w:fill="auto"/>
          </w:tcPr>
          <w:p w14:paraId="5E472BE4"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rPr>
              <w:t>EEPRU search</w:t>
            </w:r>
          </w:p>
        </w:tc>
        <w:tc>
          <w:tcPr>
            <w:tcW w:w="538" w:type="pct"/>
            <w:shd w:val="clear" w:color="auto" w:fill="auto"/>
          </w:tcPr>
          <w:p w14:paraId="6B6BAB15"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 outbreak study</w:t>
            </w:r>
          </w:p>
        </w:tc>
      </w:tr>
      <w:tr w:rsidR="009F01D8" w:rsidRPr="00196767" w14:paraId="15CFD534" w14:textId="77777777" w:rsidTr="009F01D8">
        <w:tc>
          <w:tcPr>
            <w:tcW w:w="536" w:type="pct"/>
            <w:shd w:val="clear" w:color="auto" w:fill="auto"/>
          </w:tcPr>
          <w:p w14:paraId="3DFD4063" w14:textId="6EF99BF4" w:rsidR="009F01D8" w:rsidRPr="009F6FA6" w:rsidRDefault="009F01D8" w:rsidP="00C83FB7">
            <w:pPr>
              <w:jc w:val="both"/>
              <w:rPr>
                <w:rFonts w:asciiTheme="majorBidi" w:hAnsiTheme="majorBidi" w:cstheme="majorBidi"/>
              </w:rPr>
            </w:pPr>
            <w:r w:rsidRPr="009F6FA6">
              <w:rPr>
                <w:rFonts w:asciiTheme="majorBidi" w:hAnsiTheme="majorBidi" w:cstheme="majorBidi"/>
                <w:lang w:val="it-IT"/>
              </w:rPr>
              <w:t>Mavroidi 2020</w:t>
            </w:r>
            <w:r w:rsidR="00A83123" w:rsidRPr="00A83123">
              <w:rPr>
                <w:rFonts w:asciiTheme="majorBidi" w:hAnsiTheme="majorBidi" w:cstheme="majorBidi"/>
                <w:noProof/>
                <w:vertAlign w:val="superscript"/>
              </w:rPr>
              <w:t>63</w:t>
            </w:r>
          </w:p>
        </w:tc>
        <w:tc>
          <w:tcPr>
            <w:tcW w:w="544" w:type="pct"/>
            <w:shd w:val="clear" w:color="auto" w:fill="auto"/>
          </w:tcPr>
          <w:p w14:paraId="379BE9E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 xml:space="preserve">Greece, </w:t>
            </w:r>
            <w:proofErr w:type="gramStart"/>
            <w:r w:rsidRPr="009F6FA6">
              <w:rPr>
                <w:rFonts w:asciiTheme="majorBidi" w:hAnsiTheme="majorBidi" w:cstheme="majorBidi"/>
              </w:rPr>
              <w:t>single-site</w:t>
            </w:r>
            <w:proofErr w:type="gramEnd"/>
          </w:p>
          <w:p w14:paraId="73686DB9"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2014-2016</w:t>
            </w:r>
          </w:p>
        </w:tc>
        <w:tc>
          <w:tcPr>
            <w:tcW w:w="464" w:type="pct"/>
            <w:shd w:val="clear" w:color="auto" w:fill="auto"/>
          </w:tcPr>
          <w:p w14:paraId="08463E4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23</w:t>
            </w:r>
          </w:p>
          <w:p w14:paraId="09CF1AC2"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Unclear</w:t>
            </w:r>
          </w:p>
        </w:tc>
        <w:tc>
          <w:tcPr>
            <w:tcW w:w="545" w:type="pct"/>
            <w:shd w:val="clear" w:color="auto" w:fill="auto"/>
          </w:tcPr>
          <w:p w14:paraId="69424177"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KP outbreak, then retrospective screening of frozen isolates and testing of colistin-resistant isolates</w:t>
            </w:r>
          </w:p>
        </w:tc>
        <w:tc>
          <w:tcPr>
            <w:tcW w:w="537" w:type="pct"/>
            <w:shd w:val="clear" w:color="auto" w:fill="auto"/>
          </w:tcPr>
          <w:p w14:paraId="2DD66CE4"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Y</w:t>
            </w:r>
          </w:p>
        </w:tc>
        <w:tc>
          <w:tcPr>
            <w:tcW w:w="489" w:type="pct"/>
            <w:shd w:val="clear" w:color="auto" w:fill="auto"/>
          </w:tcPr>
          <w:p w14:paraId="161C2792" w14:textId="77777777" w:rsidR="009F01D8" w:rsidRPr="009F6FA6" w:rsidRDefault="009F01D8" w:rsidP="009F01D8">
            <w:pPr>
              <w:jc w:val="both"/>
              <w:rPr>
                <w:rFonts w:asciiTheme="majorBidi" w:hAnsiTheme="majorBidi" w:cstheme="majorBidi"/>
                <w:color w:val="000000"/>
              </w:rPr>
            </w:pPr>
            <w:r w:rsidRPr="009F6FA6">
              <w:rPr>
                <w:rFonts w:asciiTheme="majorBidi" w:hAnsiTheme="majorBidi" w:cstheme="majorBidi"/>
              </w:rPr>
              <w:t>0%</w:t>
            </w:r>
          </w:p>
        </w:tc>
        <w:tc>
          <w:tcPr>
            <w:tcW w:w="443" w:type="pct"/>
            <w:shd w:val="clear" w:color="auto" w:fill="auto"/>
          </w:tcPr>
          <w:p w14:paraId="5126BD1E"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0%</w:t>
            </w:r>
          </w:p>
        </w:tc>
        <w:tc>
          <w:tcPr>
            <w:tcW w:w="534" w:type="pct"/>
            <w:shd w:val="clear" w:color="auto" w:fill="auto"/>
          </w:tcPr>
          <w:p w14:paraId="563200C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w:t>
            </w:r>
          </w:p>
          <w:p w14:paraId="57542303"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CLSI, EUCAST for colistin and TIG</w:t>
            </w:r>
          </w:p>
        </w:tc>
        <w:tc>
          <w:tcPr>
            <w:tcW w:w="370" w:type="pct"/>
            <w:shd w:val="clear" w:color="auto" w:fill="auto"/>
          </w:tcPr>
          <w:p w14:paraId="51D012B0" w14:textId="77777777" w:rsidR="009F01D8" w:rsidRPr="009F6FA6" w:rsidRDefault="009F01D8" w:rsidP="009F01D8">
            <w:pPr>
              <w:jc w:val="both"/>
              <w:rPr>
                <w:rFonts w:asciiTheme="majorBidi" w:hAnsiTheme="majorBidi" w:cstheme="majorBidi"/>
                <w:lang w:val="it-IT"/>
              </w:rPr>
            </w:pPr>
            <w:r w:rsidRPr="009F6FA6">
              <w:rPr>
                <w:rFonts w:asciiTheme="majorBidi" w:hAnsiTheme="majorBidi" w:cstheme="majorBidi"/>
              </w:rPr>
              <w:t>EEPRU search</w:t>
            </w:r>
          </w:p>
        </w:tc>
        <w:tc>
          <w:tcPr>
            <w:tcW w:w="538" w:type="pct"/>
            <w:shd w:val="clear" w:color="auto" w:fill="auto"/>
          </w:tcPr>
          <w:p w14:paraId="3669D9A8" w14:textId="77777777" w:rsidR="009F01D8" w:rsidRPr="009F6FA6" w:rsidRDefault="009F01D8" w:rsidP="009F01D8">
            <w:pPr>
              <w:jc w:val="both"/>
              <w:rPr>
                <w:rFonts w:asciiTheme="majorBidi" w:hAnsiTheme="majorBidi" w:cstheme="majorBidi"/>
              </w:rPr>
            </w:pPr>
            <w:r w:rsidRPr="009F6FA6">
              <w:rPr>
                <w:rFonts w:asciiTheme="majorBidi" w:hAnsiTheme="majorBidi" w:cstheme="majorBidi"/>
              </w:rPr>
              <w:t>N, outbreak study</w:t>
            </w:r>
          </w:p>
        </w:tc>
      </w:tr>
    </w:tbl>
    <w:p w14:paraId="2E47DCE9" w14:textId="1877864C" w:rsidR="009F01D8" w:rsidRPr="00CE6969" w:rsidRDefault="009F01D8" w:rsidP="009F01D8">
      <w:pPr>
        <w:jc w:val="both"/>
        <w:rPr>
          <w:rFonts w:asciiTheme="majorBidi" w:hAnsiTheme="majorBidi"/>
          <w:sz w:val="20"/>
        </w:rPr>
      </w:pPr>
      <w:r w:rsidRPr="00CE6969">
        <w:rPr>
          <w:rFonts w:asciiTheme="majorBidi" w:hAnsiTheme="majorBidi"/>
          <w:sz w:val="20"/>
        </w:rPr>
        <w:t xml:space="preserve">Col, colistin; CPE, </w:t>
      </w:r>
      <w:proofErr w:type="spellStart"/>
      <w:r w:rsidRPr="00CE6969">
        <w:rPr>
          <w:rFonts w:asciiTheme="majorBidi" w:hAnsiTheme="majorBidi"/>
          <w:sz w:val="20"/>
        </w:rPr>
        <w:t>carbapenemase</w:t>
      </w:r>
      <w:proofErr w:type="spellEnd"/>
      <w:r w:rsidRPr="00CE6969">
        <w:rPr>
          <w:rFonts w:asciiTheme="majorBidi" w:hAnsiTheme="majorBidi"/>
          <w:sz w:val="20"/>
        </w:rPr>
        <w:t xml:space="preserve">-producing </w:t>
      </w:r>
      <w:proofErr w:type="spellStart"/>
      <w:r w:rsidR="00FE2007" w:rsidRPr="00FE2007">
        <w:rPr>
          <w:rFonts w:asciiTheme="majorBidi" w:hAnsiTheme="majorBidi"/>
          <w:i/>
          <w:iCs/>
          <w:sz w:val="20"/>
        </w:rPr>
        <w:t>Enterobacterales</w:t>
      </w:r>
      <w:proofErr w:type="spellEnd"/>
      <w:r w:rsidRPr="00CE6969">
        <w:rPr>
          <w:rFonts w:asciiTheme="majorBidi" w:hAnsiTheme="majorBidi"/>
          <w:sz w:val="20"/>
        </w:rPr>
        <w:t xml:space="preserve">; TIG, tigecycline; CAZ-AVI ceftazidime-avibactam; Chemotherapy; CLSI, Clinical Laboratory Standards Institute; CPE, </w:t>
      </w:r>
      <w:proofErr w:type="spellStart"/>
      <w:r w:rsidRPr="00CE6969">
        <w:rPr>
          <w:rFonts w:asciiTheme="majorBidi" w:hAnsiTheme="majorBidi"/>
          <w:sz w:val="20"/>
        </w:rPr>
        <w:t>carbapenemase</w:t>
      </w:r>
      <w:proofErr w:type="spellEnd"/>
      <w:r w:rsidRPr="00CE6969">
        <w:rPr>
          <w:rFonts w:asciiTheme="majorBidi" w:hAnsiTheme="majorBidi"/>
          <w:sz w:val="20"/>
        </w:rPr>
        <w:t xml:space="preserve">-producing </w:t>
      </w:r>
      <w:proofErr w:type="spellStart"/>
      <w:r w:rsidR="00FE2007" w:rsidRPr="00FE2007">
        <w:rPr>
          <w:rFonts w:asciiTheme="majorBidi" w:hAnsiTheme="majorBidi"/>
          <w:i/>
          <w:iCs/>
          <w:sz w:val="20"/>
        </w:rPr>
        <w:t>Enterobacterales</w:t>
      </w:r>
      <w:proofErr w:type="spellEnd"/>
      <w:r w:rsidRPr="00CE6969">
        <w:rPr>
          <w:rFonts w:asciiTheme="majorBidi" w:hAnsiTheme="majorBidi"/>
          <w:sz w:val="20"/>
        </w:rPr>
        <w:t xml:space="preserve">; </w:t>
      </w:r>
      <w:proofErr w:type="spellStart"/>
      <w:r w:rsidRPr="00CE6969">
        <w:rPr>
          <w:rFonts w:asciiTheme="majorBidi" w:hAnsiTheme="majorBidi"/>
          <w:sz w:val="20"/>
        </w:rPr>
        <w:t>DoH</w:t>
      </w:r>
      <w:proofErr w:type="spellEnd"/>
      <w:r w:rsidRPr="00CE6969">
        <w:rPr>
          <w:rFonts w:asciiTheme="majorBidi" w:hAnsiTheme="majorBidi"/>
          <w:sz w:val="20"/>
        </w:rPr>
        <w:t xml:space="preserve">, department of health; EUCAST, European Committee on Antimicrobial Susceptibility Testing; KP, Klebsiella </w:t>
      </w:r>
      <w:proofErr w:type="spellStart"/>
      <w:r w:rsidRPr="00CE6969">
        <w:rPr>
          <w:rFonts w:asciiTheme="majorBidi" w:hAnsiTheme="majorBidi"/>
          <w:sz w:val="20"/>
        </w:rPr>
        <w:t>pneumonae</w:t>
      </w:r>
      <w:proofErr w:type="spellEnd"/>
      <w:r w:rsidRPr="00CE6969">
        <w:rPr>
          <w:rFonts w:asciiTheme="majorBidi" w:hAnsiTheme="majorBidi"/>
          <w:sz w:val="20"/>
        </w:rPr>
        <w:t xml:space="preserve">; Mero, meropenem; MBL, </w:t>
      </w:r>
      <w:proofErr w:type="spellStart"/>
      <w:r w:rsidRPr="00CE6969">
        <w:rPr>
          <w:rFonts w:asciiTheme="majorBidi" w:hAnsiTheme="majorBidi"/>
          <w:sz w:val="20"/>
        </w:rPr>
        <w:t>metallo</w:t>
      </w:r>
      <w:proofErr w:type="spellEnd"/>
      <w:r w:rsidRPr="00CE6969">
        <w:rPr>
          <w:rFonts w:asciiTheme="majorBidi" w:hAnsiTheme="majorBidi"/>
          <w:sz w:val="20"/>
        </w:rPr>
        <w:t>-β-lactamase; Y, yes</w:t>
      </w:r>
    </w:p>
    <w:p w14:paraId="15F2A8FE" w14:textId="77777777" w:rsidR="009F01D8" w:rsidRDefault="009F01D8" w:rsidP="009F01D8">
      <w:pPr>
        <w:spacing w:after="0" w:line="360" w:lineRule="auto"/>
        <w:jc w:val="both"/>
        <w:rPr>
          <w:rFonts w:asciiTheme="majorBidi" w:hAnsiTheme="majorBidi" w:cstheme="majorBidi"/>
        </w:rPr>
      </w:pPr>
    </w:p>
    <w:p w14:paraId="0F2817E2" w14:textId="77777777" w:rsidR="009F6FA6" w:rsidRDefault="009F6FA6" w:rsidP="005452F3">
      <w:pPr>
        <w:rPr>
          <w:lang w:eastAsia="zh-CN"/>
        </w:rPr>
      </w:pPr>
    </w:p>
    <w:p w14:paraId="0F394239" w14:textId="77777777" w:rsidR="009F6FA6" w:rsidRDefault="009F6FA6">
      <w:pPr>
        <w:rPr>
          <w:rFonts w:asciiTheme="majorBidi" w:eastAsiaTheme="majorEastAsia" w:hAnsiTheme="majorBidi" w:cstheme="majorBidi"/>
          <w:b/>
          <w:sz w:val="28"/>
          <w:szCs w:val="28"/>
          <w:lang w:eastAsia="zh-CN"/>
        </w:rPr>
      </w:pPr>
      <w:r>
        <w:rPr>
          <w:rFonts w:asciiTheme="majorBidi" w:eastAsiaTheme="majorEastAsia" w:hAnsiTheme="majorBidi" w:cstheme="majorBidi"/>
          <w:b/>
          <w:sz w:val="28"/>
          <w:szCs w:val="28"/>
          <w:lang w:eastAsia="zh-CN"/>
        </w:rPr>
        <w:br w:type="page"/>
      </w:r>
    </w:p>
    <w:p w14:paraId="1949E3A7" w14:textId="1028FB31" w:rsidR="009F01D8" w:rsidRPr="00432C84" w:rsidRDefault="009F01D8" w:rsidP="009F01D8">
      <w:pPr>
        <w:keepNext/>
        <w:keepLines/>
        <w:spacing w:before="40" w:after="0" w:line="360" w:lineRule="auto"/>
        <w:jc w:val="both"/>
        <w:outlineLvl w:val="1"/>
        <w:rPr>
          <w:rFonts w:asciiTheme="majorBidi" w:eastAsiaTheme="majorEastAsia" w:hAnsiTheme="majorBidi" w:cstheme="majorBidi"/>
          <w:b/>
          <w:sz w:val="32"/>
          <w:szCs w:val="32"/>
          <w:lang w:eastAsia="zh-CN"/>
        </w:rPr>
      </w:pPr>
      <w:bookmarkStart w:id="649" w:name="_Toc87463090"/>
      <w:r w:rsidRPr="00432C84">
        <w:rPr>
          <w:rFonts w:asciiTheme="majorBidi" w:eastAsiaTheme="majorEastAsia" w:hAnsiTheme="majorBidi" w:cstheme="majorBidi"/>
          <w:b/>
          <w:sz w:val="32"/>
          <w:szCs w:val="32"/>
          <w:lang w:eastAsia="zh-CN"/>
        </w:rPr>
        <w:lastRenderedPageBreak/>
        <w:t>Appendix 6: Reviews 1 &amp; 2 results</w:t>
      </w:r>
      <w:bookmarkEnd w:id="649"/>
    </w:p>
    <w:p w14:paraId="42AF4D2B" w14:textId="77777777" w:rsidR="009F01D8" w:rsidRPr="00886459" w:rsidRDefault="009F01D8" w:rsidP="00886459">
      <w:pPr>
        <w:pStyle w:val="Heading3"/>
        <w:ind w:left="360"/>
        <w:rPr>
          <w:rFonts w:asciiTheme="majorBidi" w:hAnsiTheme="majorBidi"/>
          <w:sz w:val="26"/>
          <w:szCs w:val="26"/>
        </w:rPr>
      </w:pPr>
      <w:bookmarkStart w:id="650" w:name="_Toc83890511"/>
      <w:bookmarkStart w:id="651" w:name="_Toc87463091"/>
      <w:r w:rsidRPr="00886459">
        <w:rPr>
          <w:rFonts w:asciiTheme="majorBidi" w:hAnsiTheme="majorBidi"/>
          <w:sz w:val="26"/>
          <w:szCs w:val="26"/>
        </w:rPr>
        <w:t xml:space="preserve">A6.1 Review 1: RCTs in HAP/VAP and/or </w:t>
      </w:r>
      <w:proofErr w:type="spellStart"/>
      <w:r w:rsidRPr="00886459">
        <w:rPr>
          <w:rFonts w:asciiTheme="majorBidi" w:hAnsiTheme="majorBidi"/>
          <w:sz w:val="26"/>
          <w:szCs w:val="26"/>
        </w:rPr>
        <w:t>cUTI</w:t>
      </w:r>
      <w:bookmarkEnd w:id="650"/>
      <w:bookmarkEnd w:id="651"/>
      <w:proofErr w:type="spellEnd"/>
    </w:p>
    <w:p w14:paraId="5A3039BE" w14:textId="4FCA645E" w:rsidR="009F01D8" w:rsidRPr="00885DFB" w:rsidRDefault="009F01D8" w:rsidP="009F01D8">
      <w:pPr>
        <w:spacing w:before="240" w:line="360" w:lineRule="auto"/>
        <w:jc w:val="both"/>
        <w:rPr>
          <w:rFonts w:asciiTheme="majorBidi" w:eastAsia="Calibri" w:hAnsiTheme="majorBidi" w:cstheme="majorBidi"/>
          <w:b/>
          <w:bCs/>
        </w:rPr>
      </w:pPr>
      <w:r w:rsidRPr="008546E0">
        <w:rPr>
          <w:rFonts w:asciiTheme="majorBidi" w:eastAsia="Calibri" w:hAnsiTheme="majorBidi" w:cstheme="majorBidi"/>
          <w:b/>
          <w:bCs/>
        </w:rPr>
        <w:t xml:space="preserve">Based on RCT evidence, what is the comparative effectiveness of the intervention and comparators in patients with </w:t>
      </w:r>
      <w:proofErr w:type="spellStart"/>
      <w:r w:rsidRPr="008546E0">
        <w:rPr>
          <w:rFonts w:asciiTheme="majorBidi" w:eastAsia="Calibri" w:hAnsiTheme="majorBidi" w:cstheme="majorBidi"/>
          <w:b/>
          <w:bCs/>
        </w:rPr>
        <w:t>cUTI</w:t>
      </w:r>
      <w:proofErr w:type="spellEnd"/>
      <w:r w:rsidRPr="008546E0">
        <w:rPr>
          <w:rFonts w:asciiTheme="majorBidi" w:eastAsia="Calibri" w:hAnsiTheme="majorBidi" w:cstheme="majorBidi"/>
          <w:b/>
          <w:bCs/>
        </w:rPr>
        <w:t xml:space="preserve"> or HAP/VAP caused by </w:t>
      </w:r>
      <w:r w:rsidR="00FE2007">
        <w:rPr>
          <w:rFonts w:asciiTheme="majorBidi" w:eastAsia="Calibri" w:hAnsiTheme="majorBidi" w:cstheme="majorBidi"/>
          <w:b/>
          <w:bCs/>
        </w:rPr>
        <w:t xml:space="preserve">an OXA-48 </w:t>
      </w:r>
      <w:proofErr w:type="spellStart"/>
      <w:r w:rsidR="00FE2007" w:rsidRPr="00FE2007">
        <w:rPr>
          <w:rFonts w:asciiTheme="majorBidi" w:eastAsia="Calibri" w:hAnsiTheme="majorBidi" w:cstheme="majorBidi"/>
          <w:b/>
          <w:bCs/>
          <w:i/>
          <w:iCs/>
        </w:rPr>
        <w:t>Enterobacterales</w:t>
      </w:r>
      <w:proofErr w:type="spellEnd"/>
      <w:r w:rsidRPr="008546E0">
        <w:rPr>
          <w:rFonts w:asciiTheme="majorBidi" w:eastAsia="Calibri" w:hAnsiTheme="majorBidi" w:cstheme="majorBidi"/>
          <w:b/>
          <w:bCs/>
        </w:rPr>
        <w:t xml:space="preserve"> infection?</w:t>
      </w:r>
    </w:p>
    <w:p w14:paraId="07242709" w14:textId="0D9D21E8"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Of the studies included in the key characteristics mapping, four</w:t>
      </w:r>
      <w:r w:rsidR="00A83123" w:rsidRPr="00A83123">
        <w:rPr>
          <w:rFonts w:asciiTheme="majorBidi" w:hAnsiTheme="majorBidi" w:cstheme="majorBidi"/>
          <w:noProof/>
          <w:vertAlign w:val="superscript"/>
        </w:rPr>
        <w:t>32-35</w:t>
      </w:r>
      <w:r w:rsidRPr="00885DFB">
        <w:rPr>
          <w:rFonts w:asciiTheme="majorBidi" w:hAnsiTheme="majorBidi" w:cstheme="majorBidi"/>
        </w:rPr>
        <w:t xml:space="preserve"> were RCTs (three phase III,</w:t>
      </w:r>
      <w:r w:rsidR="00A83123" w:rsidRPr="00A83123">
        <w:rPr>
          <w:rFonts w:asciiTheme="majorBidi" w:hAnsiTheme="majorBidi" w:cstheme="majorBidi"/>
          <w:noProof/>
          <w:vertAlign w:val="superscript"/>
        </w:rPr>
        <w:t>32,33,35</w:t>
      </w:r>
      <w:r w:rsidRPr="00885DFB">
        <w:rPr>
          <w:rFonts w:asciiTheme="majorBidi" w:hAnsiTheme="majorBidi" w:cstheme="majorBidi"/>
        </w:rPr>
        <w:t xml:space="preserve"> one phase II</w:t>
      </w:r>
      <w:r w:rsidR="00A83123" w:rsidRPr="00A83123">
        <w:rPr>
          <w:rFonts w:asciiTheme="majorBidi" w:hAnsiTheme="majorBidi" w:cstheme="majorBidi"/>
          <w:noProof/>
          <w:vertAlign w:val="superscript"/>
        </w:rPr>
        <w:t>34</w:t>
      </w:r>
      <w:r w:rsidRPr="00885DFB">
        <w:rPr>
          <w:rFonts w:asciiTheme="majorBidi" w:hAnsiTheme="majorBidi" w:cstheme="majorBidi"/>
        </w:rPr>
        <w:t>) reporting outcomes for adult patients with cUTI</w:t>
      </w:r>
      <w:r w:rsidR="00A83123" w:rsidRPr="00A83123">
        <w:rPr>
          <w:rFonts w:asciiTheme="majorBidi" w:hAnsiTheme="majorBidi" w:cstheme="majorBidi"/>
          <w:noProof/>
          <w:vertAlign w:val="superscript"/>
        </w:rPr>
        <w:t>32,34,35</w:t>
      </w:r>
      <w:r w:rsidRPr="00885DFB">
        <w:rPr>
          <w:rFonts w:asciiTheme="majorBidi" w:hAnsiTheme="majorBidi" w:cstheme="majorBidi"/>
        </w:rPr>
        <w:t xml:space="preserve"> or HAP/VAP</w:t>
      </w:r>
      <w:r w:rsidR="00A83123" w:rsidRPr="00A83123">
        <w:rPr>
          <w:rFonts w:asciiTheme="majorBidi" w:hAnsiTheme="majorBidi" w:cstheme="majorBidi"/>
          <w:noProof/>
          <w:vertAlign w:val="superscript"/>
        </w:rPr>
        <w:t>33</w:t>
      </w:r>
      <w:r w:rsidRPr="00885DFB">
        <w:rPr>
          <w:rFonts w:asciiTheme="majorBidi" w:hAnsiTheme="majorBidi" w:cstheme="majorBidi"/>
        </w:rPr>
        <w:t xml:space="preserve"> who had been treated with CAZ-AVI (</w:t>
      </w:r>
      <w:r w:rsidR="005158B3" w:rsidRPr="005158B3">
        <w:rPr>
          <w:rFonts w:asciiTheme="majorBidi" w:hAnsiTheme="majorBidi" w:cstheme="majorBidi"/>
        </w:rPr>
        <w:t>Table 46</w:t>
      </w:r>
      <w:r w:rsidRPr="00885DFB">
        <w:rPr>
          <w:rFonts w:asciiTheme="majorBidi" w:hAnsiTheme="majorBidi" w:cstheme="majorBidi"/>
        </w:rPr>
        <w:t>). Three</w:t>
      </w:r>
      <w:r w:rsidR="00A83123" w:rsidRPr="00A83123">
        <w:rPr>
          <w:rFonts w:asciiTheme="majorBidi" w:hAnsiTheme="majorBidi" w:cstheme="majorBidi"/>
          <w:noProof/>
          <w:vertAlign w:val="superscript"/>
        </w:rPr>
        <w:t>32,33,35</w:t>
      </w:r>
      <w:r w:rsidRPr="00885DFB">
        <w:rPr>
          <w:rFonts w:asciiTheme="majorBidi" w:hAnsiTheme="majorBidi" w:cstheme="majorBidi"/>
        </w:rPr>
        <w:t xml:space="preserve"> recruited patients with infections caused by </w:t>
      </w:r>
      <w:proofErr w:type="spellStart"/>
      <w:r w:rsidR="00FE2007" w:rsidRPr="00FE2007">
        <w:rPr>
          <w:rFonts w:asciiTheme="majorBidi" w:hAnsiTheme="majorBidi" w:cstheme="majorBidi"/>
          <w:i/>
          <w:iCs/>
        </w:rPr>
        <w:t>Enterobacterales</w:t>
      </w:r>
      <w:proofErr w:type="spellEnd"/>
      <w:r w:rsidRPr="00885DFB">
        <w:rPr>
          <w:rFonts w:asciiTheme="majorBidi" w:hAnsiTheme="majorBidi" w:cstheme="majorBidi"/>
        </w:rPr>
        <w:t xml:space="preserve"> or </w:t>
      </w:r>
      <w:r w:rsidR="00FF3D9D" w:rsidRPr="00FF3D9D">
        <w:rPr>
          <w:rFonts w:asciiTheme="majorBidi" w:hAnsiTheme="majorBidi" w:cstheme="majorBidi"/>
          <w:i/>
          <w:iCs/>
        </w:rPr>
        <w:t>Pseudomonas aeruginosa</w:t>
      </w:r>
      <w:r w:rsidRPr="00885DFB">
        <w:rPr>
          <w:rFonts w:asciiTheme="majorBidi" w:hAnsiTheme="majorBidi" w:cstheme="majorBidi"/>
        </w:rPr>
        <w:t>, and one</w:t>
      </w:r>
      <w:r w:rsidR="00A83123" w:rsidRPr="00A83123">
        <w:rPr>
          <w:rFonts w:asciiTheme="majorBidi" w:hAnsiTheme="majorBidi" w:cstheme="majorBidi"/>
          <w:noProof/>
          <w:vertAlign w:val="superscript"/>
        </w:rPr>
        <w:t>34</w:t>
      </w:r>
      <w:r w:rsidRPr="00885DFB">
        <w:rPr>
          <w:rFonts w:asciiTheme="majorBidi" w:hAnsiTheme="majorBidi" w:cstheme="majorBidi"/>
        </w:rPr>
        <w:t xml:space="preserve"> recruited patients with any </w:t>
      </w:r>
      <w:proofErr w:type="gramStart"/>
      <w:r w:rsidRPr="00885DFB">
        <w:rPr>
          <w:rFonts w:asciiTheme="majorBidi" w:hAnsiTheme="majorBidi" w:cstheme="majorBidi"/>
        </w:rPr>
        <w:t>Gram negative</w:t>
      </w:r>
      <w:proofErr w:type="gramEnd"/>
      <w:r w:rsidRPr="00885DFB">
        <w:rPr>
          <w:rFonts w:asciiTheme="majorBidi" w:hAnsiTheme="majorBidi" w:cstheme="majorBidi"/>
        </w:rPr>
        <w:t xml:space="preserve"> organism. The comparator in the four trials varied, including best available therapy (meropenem, imipenem, </w:t>
      </w:r>
      <w:proofErr w:type="spellStart"/>
      <w:r w:rsidRPr="00885DFB">
        <w:rPr>
          <w:rFonts w:asciiTheme="majorBidi" w:hAnsiTheme="majorBidi" w:cstheme="majorBidi"/>
        </w:rPr>
        <w:t>doripenem</w:t>
      </w:r>
      <w:proofErr w:type="spellEnd"/>
      <w:r w:rsidRPr="00885DFB">
        <w:rPr>
          <w:rFonts w:asciiTheme="majorBidi" w:hAnsiTheme="majorBidi" w:cstheme="majorBidi"/>
        </w:rPr>
        <w:t xml:space="preserve">, colistin, and (for </w:t>
      </w:r>
      <w:proofErr w:type="spellStart"/>
      <w:r w:rsidRPr="00885DFB">
        <w:rPr>
          <w:rFonts w:asciiTheme="majorBidi" w:hAnsiTheme="majorBidi" w:cstheme="majorBidi"/>
        </w:rPr>
        <w:t>cIAI</w:t>
      </w:r>
      <w:proofErr w:type="spellEnd"/>
      <w:r w:rsidRPr="00885DFB">
        <w:rPr>
          <w:rFonts w:asciiTheme="majorBidi" w:hAnsiTheme="majorBidi" w:cstheme="majorBidi"/>
        </w:rPr>
        <w:t>) tigecycline)</w:t>
      </w:r>
      <w:r w:rsidR="00A83123" w:rsidRPr="00A83123">
        <w:rPr>
          <w:rFonts w:asciiTheme="majorBidi" w:hAnsiTheme="majorBidi" w:cstheme="majorBidi"/>
          <w:noProof/>
          <w:vertAlign w:val="superscript"/>
        </w:rPr>
        <w:t>32</w:t>
      </w:r>
      <w:r w:rsidRPr="00885DFB">
        <w:rPr>
          <w:rFonts w:asciiTheme="majorBidi" w:hAnsiTheme="majorBidi" w:cstheme="majorBidi"/>
        </w:rPr>
        <w:t>, doripenem</w:t>
      </w:r>
      <w:proofErr w:type="gramStart"/>
      <w:r w:rsidR="00A83123" w:rsidRPr="00A83123">
        <w:rPr>
          <w:rFonts w:asciiTheme="majorBidi" w:hAnsiTheme="majorBidi" w:cstheme="majorBidi"/>
          <w:noProof/>
          <w:vertAlign w:val="superscript"/>
        </w:rPr>
        <w:t>35</w:t>
      </w:r>
      <w:r w:rsidRPr="00885DFB">
        <w:rPr>
          <w:rFonts w:asciiTheme="majorBidi" w:hAnsiTheme="majorBidi" w:cstheme="majorBidi"/>
        </w:rPr>
        <w:t>,  meropenem</w:t>
      </w:r>
      <w:proofErr w:type="gramEnd"/>
      <w:r w:rsidR="00A83123" w:rsidRPr="00A83123">
        <w:rPr>
          <w:rFonts w:asciiTheme="majorBidi" w:hAnsiTheme="majorBidi" w:cstheme="majorBidi"/>
          <w:noProof/>
          <w:vertAlign w:val="superscript"/>
        </w:rPr>
        <w:t>33</w:t>
      </w:r>
      <w:r w:rsidRPr="00885DFB">
        <w:rPr>
          <w:rFonts w:asciiTheme="majorBidi" w:hAnsiTheme="majorBidi" w:cstheme="majorBidi"/>
        </w:rPr>
        <w:t xml:space="preserve"> and imipenem-cilastatin.</w:t>
      </w:r>
      <w:r w:rsidR="00A83123" w:rsidRPr="00A83123">
        <w:rPr>
          <w:rFonts w:asciiTheme="majorBidi" w:hAnsiTheme="majorBidi" w:cstheme="majorBidi"/>
          <w:noProof/>
          <w:vertAlign w:val="superscript"/>
        </w:rPr>
        <w:t>34</w:t>
      </w:r>
      <w:r w:rsidRPr="00885DFB">
        <w:rPr>
          <w:rFonts w:asciiTheme="majorBidi" w:hAnsiTheme="majorBidi" w:cstheme="majorBidi"/>
        </w:rPr>
        <w:t xml:space="preserve"> All trials aimed to recruit patients who were expected to be responsive to the study treatments, based on the treating physician’s judgement or known susceptibility. Consequently, all trials recruited largely carbapenem-susceptible infections </w:t>
      </w:r>
      <w:bookmarkStart w:id="652" w:name="_Hlk85041189"/>
      <w:r w:rsidRPr="00885DFB">
        <w:rPr>
          <w:rFonts w:asciiTheme="majorBidi" w:hAnsiTheme="majorBidi" w:cstheme="majorBidi"/>
        </w:rPr>
        <w:t>and therefore had low relevance to the HVCSs. Two trials</w:t>
      </w:r>
      <w:r w:rsidR="00A83123" w:rsidRPr="00A83123">
        <w:rPr>
          <w:rFonts w:asciiTheme="majorBidi" w:hAnsiTheme="majorBidi" w:cstheme="majorBidi"/>
          <w:noProof/>
          <w:vertAlign w:val="superscript"/>
        </w:rPr>
        <w:t>32,35</w:t>
      </w:r>
      <w:r w:rsidRPr="00885DFB">
        <w:rPr>
          <w:rFonts w:asciiTheme="majorBidi" w:hAnsiTheme="majorBidi" w:cstheme="majorBidi"/>
        </w:rPr>
        <w:t xml:space="preserve"> reported a small number of OXA-48 infections (</w:t>
      </w:r>
      <w:r w:rsidR="005158B3" w:rsidRPr="005158B3">
        <w:rPr>
          <w:rFonts w:asciiTheme="majorBidi" w:hAnsiTheme="majorBidi" w:cstheme="majorBidi"/>
        </w:rPr>
        <w:t>Table 46</w:t>
      </w:r>
      <w:r w:rsidRPr="00885DFB">
        <w:rPr>
          <w:rFonts w:asciiTheme="majorBidi" w:hAnsiTheme="majorBidi" w:cstheme="majorBidi"/>
        </w:rPr>
        <w:t xml:space="preserve">, n=3 in each study), but outcome data was not reported for these patients separately. </w:t>
      </w:r>
      <w:bookmarkEnd w:id="652"/>
    </w:p>
    <w:p w14:paraId="10FA4529" w14:textId="7007E89B"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 xml:space="preserve">Although the RCTs have low relevance to the HVCSs due to the low numbers of OXA-48 or </w:t>
      </w:r>
      <w:r>
        <w:rPr>
          <w:rFonts w:asciiTheme="majorBidi" w:hAnsiTheme="majorBidi" w:cstheme="majorBidi"/>
        </w:rPr>
        <w:t>carbapenem-resistant</w:t>
      </w:r>
      <w:r w:rsidRPr="00885DFB">
        <w:rPr>
          <w:rFonts w:asciiTheme="majorBidi" w:hAnsiTheme="majorBidi" w:cstheme="majorBidi"/>
        </w:rPr>
        <w:t xml:space="preserve"> infections, it is important to establish that CAZ-AVI is an effective treatment in the sites of interest (HAP/VAP and </w:t>
      </w:r>
      <w:proofErr w:type="spellStart"/>
      <w:r w:rsidRPr="00885DFB">
        <w:rPr>
          <w:rFonts w:asciiTheme="majorBidi" w:hAnsiTheme="majorBidi" w:cstheme="majorBidi"/>
        </w:rPr>
        <w:t>cUTI</w:t>
      </w:r>
      <w:proofErr w:type="spellEnd"/>
      <w:r w:rsidRPr="00885DFB">
        <w:rPr>
          <w:rFonts w:asciiTheme="majorBidi" w:hAnsiTheme="majorBidi" w:cstheme="majorBidi"/>
        </w:rPr>
        <w:t>). The four trials</w:t>
      </w:r>
      <w:r w:rsidR="00A83123" w:rsidRPr="00A83123">
        <w:rPr>
          <w:rFonts w:asciiTheme="majorBidi" w:hAnsiTheme="majorBidi" w:cstheme="majorBidi"/>
          <w:noProof/>
          <w:vertAlign w:val="superscript"/>
        </w:rPr>
        <w:t>32-35</w:t>
      </w:r>
      <w:r w:rsidRPr="00885DFB">
        <w:rPr>
          <w:rFonts w:asciiTheme="majorBidi" w:hAnsiTheme="majorBidi" w:cstheme="majorBidi"/>
        </w:rPr>
        <w:t xml:space="preserve"> at these sites reported similar or non-inferior efficacy (</w:t>
      </w:r>
      <w:r w:rsidR="005158B3" w:rsidRPr="005158B3">
        <w:rPr>
          <w:rFonts w:asciiTheme="majorBidi" w:hAnsiTheme="majorBidi" w:cstheme="majorBidi"/>
        </w:rPr>
        <w:t>Table 46</w:t>
      </w:r>
      <w:r w:rsidRPr="00885DFB">
        <w:rPr>
          <w:rFonts w:asciiTheme="majorBidi" w:hAnsiTheme="majorBidi" w:cstheme="majorBidi"/>
        </w:rPr>
        <w:t>) between CAZ-AVI and comparator arms, as determined by the primary outcome measure (clinical cure,</w:t>
      </w:r>
      <w:r w:rsidR="00A83123" w:rsidRPr="00A83123">
        <w:rPr>
          <w:rFonts w:asciiTheme="majorBidi" w:hAnsiTheme="majorBidi" w:cstheme="majorBidi"/>
          <w:noProof/>
          <w:vertAlign w:val="superscript"/>
        </w:rPr>
        <w:t>32,33</w:t>
      </w:r>
      <w:r w:rsidRPr="00885DFB">
        <w:rPr>
          <w:rFonts w:asciiTheme="majorBidi" w:hAnsiTheme="majorBidi" w:cstheme="majorBidi"/>
        </w:rPr>
        <w:t xml:space="preserve"> patient-reported symptomatic resolution,</w:t>
      </w:r>
      <w:r w:rsidR="00A83123" w:rsidRPr="00A83123">
        <w:rPr>
          <w:rFonts w:asciiTheme="majorBidi" w:hAnsiTheme="majorBidi" w:cstheme="majorBidi"/>
          <w:noProof/>
          <w:vertAlign w:val="superscript"/>
        </w:rPr>
        <w:t>35</w:t>
      </w:r>
      <w:r w:rsidRPr="00885DFB">
        <w:rPr>
          <w:rFonts w:asciiTheme="majorBidi" w:hAnsiTheme="majorBidi" w:cstheme="majorBidi"/>
        </w:rPr>
        <w:t xml:space="preserve"> or microbiological response</w:t>
      </w:r>
      <w:r w:rsidR="00A83123" w:rsidRPr="00A83123">
        <w:rPr>
          <w:rFonts w:asciiTheme="majorBidi" w:hAnsiTheme="majorBidi" w:cstheme="majorBidi"/>
          <w:noProof/>
          <w:vertAlign w:val="superscript"/>
        </w:rPr>
        <w:t>34</w:t>
      </w:r>
      <w:r w:rsidRPr="00885DFB">
        <w:rPr>
          <w:rFonts w:asciiTheme="majorBidi" w:hAnsiTheme="majorBidi" w:cstheme="majorBidi"/>
        </w:rPr>
        <w:t>). In the interest of brevity, and to allow a more detailed consideration of the evidence that is used in the EEPRU CE model, more detail about the clinical outcomes of these studies is not reported here, but can be found in the company submission</w:t>
      </w:r>
      <w:r w:rsidR="00A83123" w:rsidRPr="00A83123">
        <w:rPr>
          <w:rFonts w:asciiTheme="majorBidi" w:hAnsiTheme="majorBidi" w:cstheme="majorBidi"/>
          <w:noProof/>
          <w:vertAlign w:val="superscript"/>
        </w:rPr>
        <w:t>119</w:t>
      </w:r>
      <w:r w:rsidRPr="00885DFB">
        <w:rPr>
          <w:rFonts w:asciiTheme="majorBidi" w:hAnsiTheme="majorBidi" w:cstheme="majorBidi"/>
        </w:rPr>
        <w:t xml:space="preserve"> sections: REPROVE in section 3.1.1 (outcomes reported in Tables 12 &amp; 13),  RECAPTURE 1&amp;2 reported in section 3.3.1 (outcomes reported in Tables 33 &amp; 34), REPRISE reported in section 3.3.2 (outcomes for REPRISE reported in Table 37)</w:t>
      </w:r>
      <w:r w:rsidR="005158B3">
        <w:rPr>
          <w:rFonts w:asciiTheme="majorBidi" w:hAnsiTheme="majorBidi" w:cstheme="majorBidi"/>
        </w:rPr>
        <w:t xml:space="preserve">. </w:t>
      </w:r>
      <w:r w:rsidRPr="00885DFB">
        <w:rPr>
          <w:rFonts w:asciiTheme="majorBidi" w:hAnsiTheme="majorBidi" w:cstheme="majorBidi"/>
        </w:rPr>
        <w:t xml:space="preserve">Vazquez et al 2012 </w:t>
      </w:r>
      <w:r w:rsidR="005158B3">
        <w:rPr>
          <w:rFonts w:asciiTheme="majorBidi" w:hAnsiTheme="majorBidi" w:cstheme="majorBidi"/>
        </w:rPr>
        <w:t xml:space="preserve">was not listed in the </w:t>
      </w:r>
      <w:r w:rsidR="005158B3" w:rsidRPr="00885DFB">
        <w:rPr>
          <w:rFonts w:asciiTheme="majorBidi" w:hAnsiTheme="majorBidi" w:cstheme="majorBidi"/>
        </w:rPr>
        <w:t xml:space="preserve">company </w:t>
      </w:r>
      <w:proofErr w:type="gramStart"/>
      <w:r w:rsidR="005158B3" w:rsidRPr="00885DFB">
        <w:rPr>
          <w:rFonts w:asciiTheme="majorBidi" w:hAnsiTheme="majorBidi" w:cstheme="majorBidi"/>
        </w:rPr>
        <w:t>submission</w:t>
      </w:r>
      <w:r w:rsidR="00A83123" w:rsidRPr="00A83123">
        <w:rPr>
          <w:rFonts w:asciiTheme="majorBidi" w:hAnsiTheme="majorBidi" w:cstheme="majorBidi"/>
          <w:noProof/>
          <w:vertAlign w:val="superscript"/>
        </w:rPr>
        <w:t>119</w:t>
      </w:r>
      <w:r w:rsidR="005158B3">
        <w:rPr>
          <w:rFonts w:asciiTheme="majorBidi" w:hAnsiTheme="majorBidi" w:cstheme="majorBidi"/>
        </w:rPr>
        <w:t>, but</w:t>
      </w:r>
      <w:proofErr w:type="gramEnd"/>
      <w:r w:rsidR="005158B3">
        <w:rPr>
          <w:rFonts w:asciiTheme="majorBidi" w:hAnsiTheme="majorBidi" w:cstheme="majorBidi"/>
        </w:rPr>
        <w:t xml:space="preserve"> is detailed in </w:t>
      </w:r>
      <w:r w:rsidR="005158B3" w:rsidRPr="005158B3">
        <w:rPr>
          <w:rFonts w:asciiTheme="majorBidi" w:hAnsiTheme="majorBidi" w:cstheme="majorBidi"/>
        </w:rPr>
        <w:t>Table 47</w:t>
      </w:r>
      <w:r w:rsidR="005158B3">
        <w:rPr>
          <w:rFonts w:asciiTheme="majorBidi" w:hAnsiTheme="majorBidi" w:cstheme="majorBidi"/>
        </w:rPr>
        <w:t xml:space="preserve"> of this report</w:t>
      </w:r>
      <w:r w:rsidRPr="00885DFB">
        <w:rPr>
          <w:rFonts w:asciiTheme="majorBidi" w:hAnsiTheme="majorBidi" w:cstheme="majorBidi"/>
        </w:rPr>
        <w:t>. Outcomes for RCTs not included in this review because they were performed in the sites</w:t>
      </w:r>
      <w:r>
        <w:rPr>
          <w:rFonts w:asciiTheme="majorBidi" w:hAnsiTheme="majorBidi" w:cstheme="majorBidi"/>
        </w:rPr>
        <w:t xml:space="preserve"> outside the HVCS</w:t>
      </w:r>
      <w:r w:rsidRPr="00885DFB">
        <w:rPr>
          <w:rFonts w:asciiTheme="majorBidi" w:hAnsiTheme="majorBidi" w:cstheme="majorBidi"/>
        </w:rPr>
        <w:t xml:space="preserve"> are also available from the company submission. </w:t>
      </w:r>
      <w:r w:rsidR="00A83123" w:rsidRPr="00A83123">
        <w:rPr>
          <w:rFonts w:asciiTheme="majorBidi" w:hAnsiTheme="majorBidi" w:cstheme="majorBidi"/>
          <w:noProof/>
          <w:vertAlign w:val="superscript"/>
        </w:rPr>
        <w:t>119</w:t>
      </w:r>
      <w:r w:rsidRPr="00885DFB">
        <w:rPr>
          <w:rFonts w:asciiTheme="majorBidi" w:hAnsiTheme="majorBidi" w:cstheme="majorBidi"/>
        </w:rPr>
        <w:t xml:space="preserve"> The safety of CAZ-AVI is addressed </w:t>
      </w:r>
      <w:r>
        <w:rPr>
          <w:rFonts w:asciiTheme="majorBidi" w:hAnsiTheme="majorBidi" w:cstheme="majorBidi"/>
        </w:rPr>
        <w:t xml:space="preserve">by </w:t>
      </w:r>
      <w:r w:rsidR="001648C3">
        <w:rPr>
          <w:rFonts w:asciiTheme="majorBidi" w:hAnsiTheme="majorBidi" w:cstheme="majorBidi"/>
        </w:rPr>
        <w:t>R</w:t>
      </w:r>
      <w:r>
        <w:rPr>
          <w:rFonts w:asciiTheme="majorBidi" w:hAnsiTheme="majorBidi" w:cstheme="majorBidi"/>
        </w:rPr>
        <w:t>eview 6 in the main report</w:t>
      </w:r>
      <w:r w:rsidRPr="00885DFB">
        <w:rPr>
          <w:rFonts w:asciiTheme="majorBidi" w:hAnsiTheme="majorBidi" w:cstheme="majorBidi"/>
        </w:rPr>
        <w:t>.</w:t>
      </w:r>
    </w:p>
    <w:p w14:paraId="6C3BF4E8" w14:textId="77777777" w:rsidR="009F01D8" w:rsidRPr="00885DFB" w:rsidRDefault="009F01D8" w:rsidP="009F01D8">
      <w:pPr>
        <w:spacing w:line="360" w:lineRule="auto"/>
        <w:jc w:val="both"/>
        <w:rPr>
          <w:rFonts w:asciiTheme="majorBidi" w:hAnsiTheme="majorBidi" w:cstheme="majorBidi"/>
        </w:rPr>
      </w:pPr>
    </w:p>
    <w:p w14:paraId="532F5F44" w14:textId="77777777" w:rsidR="009F01D8" w:rsidRPr="00885DFB" w:rsidRDefault="009F01D8" w:rsidP="009F01D8">
      <w:pPr>
        <w:keepNext/>
        <w:spacing w:before="360" w:after="200" w:line="240" w:lineRule="auto"/>
        <w:jc w:val="both"/>
        <w:rPr>
          <w:rFonts w:asciiTheme="majorBidi" w:hAnsiTheme="majorBidi" w:cstheme="majorBidi"/>
          <w:bCs/>
          <w:i/>
          <w:sz w:val="20"/>
          <w:szCs w:val="20"/>
        </w:rPr>
        <w:sectPr w:rsidR="009F01D8" w:rsidRPr="00885DFB" w:rsidSect="009F01D8">
          <w:pgSz w:w="11906" w:h="16838"/>
          <w:pgMar w:top="1440" w:right="1440" w:bottom="1440" w:left="1440" w:header="708" w:footer="708" w:gutter="0"/>
          <w:cols w:space="708"/>
          <w:docGrid w:linePitch="360"/>
        </w:sectPr>
      </w:pPr>
      <w:bookmarkStart w:id="653" w:name="_Ref78193266"/>
      <w:bookmarkStart w:id="654" w:name="_Toc77931481"/>
    </w:p>
    <w:p w14:paraId="5B669EA0" w14:textId="35111A33" w:rsidR="009F01D8" w:rsidRPr="009F6FA6" w:rsidRDefault="009F01D8" w:rsidP="009F01D8">
      <w:pPr>
        <w:keepNext/>
        <w:spacing w:before="360" w:after="200" w:line="240" w:lineRule="auto"/>
        <w:jc w:val="both"/>
        <w:rPr>
          <w:rFonts w:asciiTheme="majorBidi" w:hAnsiTheme="majorBidi" w:cstheme="majorBidi"/>
          <w:b/>
          <w:iCs/>
          <w:sz w:val="20"/>
          <w:szCs w:val="20"/>
        </w:rPr>
      </w:pPr>
      <w:bookmarkStart w:id="655" w:name="_Ref85644495"/>
      <w:bookmarkStart w:id="656" w:name="_Toc83300851"/>
      <w:bookmarkStart w:id="657" w:name="_Toc83821907"/>
      <w:bookmarkStart w:id="658" w:name="_Toc85029610"/>
      <w:bookmarkStart w:id="659" w:name="_Toc86419030"/>
      <w:r w:rsidRPr="009F6FA6">
        <w:rPr>
          <w:rFonts w:asciiTheme="majorBidi" w:hAnsiTheme="majorBidi" w:cstheme="majorBidi"/>
          <w:b/>
          <w:iCs/>
          <w:sz w:val="20"/>
          <w:szCs w:val="20"/>
        </w:rPr>
        <w:lastRenderedPageBreak/>
        <w:t xml:space="preserve">Table </w:t>
      </w:r>
      <w:r w:rsidR="00F10F0A">
        <w:rPr>
          <w:rFonts w:asciiTheme="majorBidi" w:hAnsiTheme="majorBidi" w:cstheme="majorBidi"/>
          <w:b/>
          <w:iCs/>
          <w:noProof/>
          <w:sz w:val="20"/>
          <w:szCs w:val="20"/>
        </w:rPr>
        <w:t>53</w:t>
      </w:r>
      <w:bookmarkEnd w:id="653"/>
      <w:bookmarkEnd w:id="655"/>
      <w:r w:rsidRPr="009F6FA6">
        <w:rPr>
          <w:rFonts w:asciiTheme="majorBidi" w:hAnsiTheme="majorBidi" w:cstheme="majorBidi"/>
          <w:b/>
          <w:iCs/>
          <w:sz w:val="20"/>
          <w:szCs w:val="20"/>
        </w:rPr>
        <w:t xml:space="preserve">:  RCT studies reporting treatment of patients with CAZ-AVI in HAP/VAP or </w:t>
      </w:r>
      <w:proofErr w:type="spellStart"/>
      <w:r w:rsidRPr="009F6FA6">
        <w:rPr>
          <w:rFonts w:asciiTheme="majorBidi" w:hAnsiTheme="majorBidi" w:cstheme="majorBidi"/>
          <w:b/>
          <w:iCs/>
          <w:sz w:val="20"/>
          <w:szCs w:val="20"/>
        </w:rPr>
        <w:t>cUTI</w:t>
      </w:r>
      <w:bookmarkEnd w:id="654"/>
      <w:bookmarkEnd w:id="656"/>
      <w:bookmarkEnd w:id="657"/>
      <w:bookmarkEnd w:id="658"/>
      <w:bookmarkEnd w:id="659"/>
      <w:proofErr w:type="spellEnd"/>
    </w:p>
    <w:tbl>
      <w:tblPr>
        <w:tblStyle w:val="TableGrid"/>
        <w:tblW w:w="5000" w:type="pct"/>
        <w:tblLook w:val="04A0" w:firstRow="1" w:lastRow="0" w:firstColumn="1" w:lastColumn="0" w:noHBand="0" w:noVBand="1"/>
      </w:tblPr>
      <w:tblGrid>
        <w:gridCol w:w="1271"/>
        <w:gridCol w:w="1701"/>
        <w:gridCol w:w="1702"/>
        <w:gridCol w:w="1886"/>
        <w:gridCol w:w="1732"/>
        <w:gridCol w:w="1445"/>
        <w:gridCol w:w="1304"/>
        <w:gridCol w:w="815"/>
        <w:gridCol w:w="2092"/>
      </w:tblGrid>
      <w:tr w:rsidR="00001050" w:rsidRPr="009F6FA6" w14:paraId="6AF155C7" w14:textId="77777777" w:rsidTr="0004391D">
        <w:trPr>
          <w:trHeight w:val="691"/>
        </w:trPr>
        <w:tc>
          <w:tcPr>
            <w:tcW w:w="456" w:type="pct"/>
          </w:tcPr>
          <w:p w14:paraId="3D526365" w14:textId="00C70EAF" w:rsidR="00001050" w:rsidRPr="009F6FA6" w:rsidRDefault="00001050" w:rsidP="009F01D8">
            <w:pPr>
              <w:jc w:val="both"/>
              <w:rPr>
                <w:rFonts w:asciiTheme="majorBidi" w:hAnsiTheme="majorBidi" w:cstheme="majorBidi"/>
                <w:b/>
              </w:rPr>
            </w:pPr>
            <w:r>
              <w:rPr>
                <w:rFonts w:asciiTheme="majorBidi" w:hAnsiTheme="majorBidi" w:cstheme="majorBidi"/>
                <w:b/>
              </w:rPr>
              <w:t>Setting</w:t>
            </w:r>
          </w:p>
        </w:tc>
        <w:tc>
          <w:tcPr>
            <w:tcW w:w="610" w:type="pct"/>
          </w:tcPr>
          <w:p w14:paraId="0AE041AF" w14:textId="5D811D6A" w:rsidR="00001050" w:rsidRPr="009F6FA6" w:rsidRDefault="00001050" w:rsidP="00001050">
            <w:pPr>
              <w:rPr>
                <w:rFonts w:asciiTheme="majorBidi" w:hAnsiTheme="majorBidi" w:cstheme="majorBidi"/>
                <w:b/>
              </w:rPr>
            </w:pPr>
            <w:r w:rsidRPr="009F6FA6">
              <w:rPr>
                <w:rFonts w:asciiTheme="majorBidi" w:hAnsiTheme="majorBidi" w:cstheme="majorBidi"/>
                <w:b/>
              </w:rPr>
              <w:t>Author, year, study acronym</w:t>
            </w:r>
          </w:p>
        </w:tc>
        <w:tc>
          <w:tcPr>
            <w:tcW w:w="610" w:type="pct"/>
          </w:tcPr>
          <w:p w14:paraId="58449D15"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Country; study design</w:t>
            </w:r>
          </w:p>
        </w:tc>
        <w:tc>
          <w:tcPr>
            <w:tcW w:w="676" w:type="pct"/>
          </w:tcPr>
          <w:p w14:paraId="5B4B058B"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Key Inclusion criteria</w:t>
            </w:r>
          </w:p>
        </w:tc>
        <w:tc>
          <w:tcPr>
            <w:tcW w:w="621" w:type="pct"/>
          </w:tcPr>
          <w:p w14:paraId="68209A4F"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Site of infection</w:t>
            </w:r>
          </w:p>
          <w:p w14:paraId="45CCA95B"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Pathogens</w:t>
            </w:r>
          </w:p>
          <w:p w14:paraId="5789EE09"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OXA-48 (N)</w:t>
            </w:r>
          </w:p>
        </w:tc>
        <w:tc>
          <w:tcPr>
            <w:tcW w:w="518" w:type="pct"/>
          </w:tcPr>
          <w:p w14:paraId="617DB146"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Intervention, comparator (N randomised)</w:t>
            </w:r>
          </w:p>
        </w:tc>
        <w:tc>
          <w:tcPr>
            <w:tcW w:w="467" w:type="pct"/>
          </w:tcPr>
          <w:p w14:paraId="2E06BAC0"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Limitations in terms of HVCSs</w:t>
            </w:r>
          </w:p>
        </w:tc>
        <w:tc>
          <w:tcPr>
            <w:tcW w:w="292" w:type="pct"/>
          </w:tcPr>
          <w:p w14:paraId="533715F1" w14:textId="692C31BB" w:rsidR="00001050" w:rsidRPr="009F6FA6" w:rsidRDefault="00001050" w:rsidP="0004391D">
            <w:pPr>
              <w:rPr>
                <w:rFonts w:asciiTheme="majorBidi" w:hAnsiTheme="majorBidi" w:cstheme="majorBidi"/>
                <w:b/>
              </w:rPr>
            </w:pPr>
            <w:r w:rsidRPr="009F6FA6">
              <w:rPr>
                <w:rFonts w:asciiTheme="majorBidi" w:hAnsiTheme="majorBidi" w:cstheme="majorBidi"/>
                <w:b/>
              </w:rPr>
              <w:t xml:space="preserve">Data for </w:t>
            </w:r>
            <w:r>
              <w:rPr>
                <w:rFonts w:asciiTheme="majorBidi" w:hAnsiTheme="majorBidi" w:cstheme="majorBidi"/>
                <w:b/>
              </w:rPr>
              <w:t>R</w:t>
            </w:r>
            <w:proofErr w:type="gramStart"/>
            <w:r>
              <w:rPr>
                <w:rFonts w:asciiTheme="majorBidi" w:hAnsiTheme="majorBidi" w:cstheme="majorBidi"/>
                <w:b/>
              </w:rPr>
              <w:t>4</w:t>
            </w:r>
            <w:r w:rsidRPr="009F6FA6">
              <w:rPr>
                <w:rFonts w:asciiTheme="majorBidi" w:hAnsiTheme="majorBidi" w:cstheme="majorBidi"/>
                <w:b/>
              </w:rPr>
              <w:t>?*</w:t>
            </w:r>
            <w:proofErr w:type="gramEnd"/>
            <w:r w:rsidRPr="009F6FA6">
              <w:rPr>
                <w:rFonts w:asciiTheme="majorBidi" w:hAnsiTheme="majorBidi" w:cstheme="majorBidi"/>
                <w:b/>
              </w:rPr>
              <w:t>*</w:t>
            </w:r>
          </w:p>
        </w:tc>
        <w:tc>
          <w:tcPr>
            <w:tcW w:w="750" w:type="pct"/>
          </w:tcPr>
          <w:p w14:paraId="03518F41" w14:textId="77777777" w:rsidR="00001050" w:rsidRPr="009F6FA6" w:rsidRDefault="00001050" w:rsidP="0004391D">
            <w:pPr>
              <w:rPr>
                <w:rFonts w:asciiTheme="majorBidi" w:hAnsiTheme="majorBidi" w:cstheme="majorBidi"/>
                <w:b/>
              </w:rPr>
            </w:pPr>
            <w:r w:rsidRPr="009F6FA6">
              <w:rPr>
                <w:rFonts w:asciiTheme="majorBidi" w:hAnsiTheme="majorBidi" w:cstheme="majorBidi"/>
                <w:b/>
              </w:rPr>
              <w:t>Primary outcome</w:t>
            </w:r>
          </w:p>
        </w:tc>
      </w:tr>
      <w:tr w:rsidR="00001050" w:rsidRPr="009F6FA6" w14:paraId="5F2C214F" w14:textId="77777777" w:rsidTr="0004391D">
        <w:tc>
          <w:tcPr>
            <w:tcW w:w="456" w:type="pct"/>
          </w:tcPr>
          <w:p w14:paraId="5BF71666" w14:textId="3292FAB6" w:rsidR="00001050" w:rsidRPr="009F6FA6" w:rsidRDefault="00001050" w:rsidP="00A83123">
            <w:pPr>
              <w:jc w:val="both"/>
              <w:rPr>
                <w:rFonts w:asciiTheme="majorBidi" w:hAnsiTheme="majorBidi" w:cstheme="majorBidi"/>
                <w:lang w:val="fr-FR"/>
              </w:rPr>
            </w:pPr>
            <w:r w:rsidRPr="009F6FA6">
              <w:rPr>
                <w:rFonts w:asciiTheme="majorBidi" w:hAnsiTheme="majorBidi" w:cstheme="majorBidi"/>
                <w:b/>
                <w:lang w:val="fr-FR"/>
              </w:rPr>
              <w:t>HAP/VAP</w:t>
            </w:r>
          </w:p>
        </w:tc>
        <w:tc>
          <w:tcPr>
            <w:tcW w:w="610" w:type="pct"/>
          </w:tcPr>
          <w:p w14:paraId="238DC99F" w14:textId="4DDABFA6" w:rsidR="00001050" w:rsidRPr="009F6FA6" w:rsidRDefault="00001050" w:rsidP="00A83123">
            <w:pPr>
              <w:jc w:val="both"/>
              <w:rPr>
                <w:rFonts w:asciiTheme="majorBidi" w:hAnsiTheme="majorBidi" w:cstheme="majorBidi"/>
                <w:lang w:val="fr-FR"/>
              </w:rPr>
            </w:pPr>
            <w:r w:rsidRPr="009F6FA6">
              <w:rPr>
                <w:rFonts w:asciiTheme="majorBidi" w:hAnsiTheme="majorBidi" w:cstheme="majorBidi"/>
                <w:lang w:val="fr-FR"/>
              </w:rPr>
              <w:t>Torres et al. (2018)</w:t>
            </w:r>
            <w:r w:rsidRPr="00A83123">
              <w:rPr>
                <w:rFonts w:asciiTheme="majorBidi" w:hAnsiTheme="majorBidi" w:cstheme="majorBidi"/>
                <w:noProof/>
                <w:vertAlign w:val="superscript"/>
                <w:lang w:val="fr-FR"/>
              </w:rPr>
              <w:t>33</w:t>
            </w:r>
            <w:r w:rsidRPr="009F6FA6">
              <w:rPr>
                <w:rFonts w:asciiTheme="majorBidi" w:hAnsiTheme="majorBidi" w:cstheme="majorBidi"/>
                <w:lang w:val="fr-FR"/>
              </w:rPr>
              <w:t xml:space="preserve"> REPROVE (NCT01808092) </w:t>
            </w:r>
          </w:p>
          <w:p w14:paraId="117C936F" w14:textId="77777777" w:rsidR="00001050" w:rsidRPr="009F6FA6" w:rsidRDefault="00001050" w:rsidP="009F01D8">
            <w:pPr>
              <w:jc w:val="both"/>
              <w:rPr>
                <w:rFonts w:asciiTheme="majorBidi" w:hAnsiTheme="majorBidi" w:cstheme="majorBidi"/>
                <w:lang w:val="fr-FR"/>
              </w:rPr>
            </w:pPr>
            <w:r w:rsidRPr="009F6FA6">
              <w:rPr>
                <w:rFonts w:asciiTheme="majorBidi" w:hAnsiTheme="majorBidi" w:cstheme="majorBidi"/>
                <w:lang w:val="fr-FR"/>
              </w:rPr>
              <w:t>N=879</w:t>
            </w:r>
          </w:p>
        </w:tc>
        <w:tc>
          <w:tcPr>
            <w:tcW w:w="610" w:type="pct"/>
          </w:tcPr>
          <w:p w14:paraId="7330C56A" w14:textId="77777777" w:rsidR="00001050" w:rsidRPr="009F6FA6" w:rsidRDefault="00001050" w:rsidP="009F01D8">
            <w:pPr>
              <w:jc w:val="both"/>
              <w:rPr>
                <w:rFonts w:asciiTheme="majorBidi" w:hAnsiTheme="majorBidi" w:cstheme="majorBidi"/>
                <w:lang w:val="fr-FR"/>
              </w:rPr>
            </w:pPr>
            <w:proofErr w:type="gramStart"/>
            <w:r w:rsidRPr="009F6FA6">
              <w:rPr>
                <w:rFonts w:asciiTheme="majorBidi" w:hAnsiTheme="majorBidi" w:cstheme="majorBidi"/>
                <w:color w:val="000000"/>
                <w:lang w:val="fr-FR"/>
              </w:rPr>
              <w:t>Multicentre;</w:t>
            </w:r>
            <w:proofErr w:type="gramEnd"/>
            <w:r w:rsidRPr="009F6FA6">
              <w:rPr>
                <w:rFonts w:asciiTheme="majorBidi" w:hAnsiTheme="majorBidi" w:cstheme="majorBidi"/>
                <w:color w:val="000000"/>
                <w:lang w:val="fr-FR"/>
              </w:rPr>
              <w:t xml:space="preserve"> multinational; phase III RCT</w:t>
            </w:r>
          </w:p>
        </w:tc>
        <w:tc>
          <w:tcPr>
            <w:tcW w:w="676" w:type="pct"/>
          </w:tcPr>
          <w:p w14:paraId="31126746"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GNOs not likely to be CAZ-AVI or meropenem resistant: (suspected CPE excluded at baseline)</w:t>
            </w:r>
          </w:p>
        </w:tc>
        <w:tc>
          <w:tcPr>
            <w:tcW w:w="621" w:type="pct"/>
          </w:tcPr>
          <w:p w14:paraId="2A10B455"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 xml:space="preserve">HAP/VAP </w:t>
            </w:r>
          </w:p>
          <w:p w14:paraId="5DE2FACB" w14:textId="6C5936D9" w:rsidR="00001050" w:rsidRPr="009F6FA6" w:rsidRDefault="00001050" w:rsidP="009F01D8">
            <w:pPr>
              <w:jc w:val="both"/>
              <w:rPr>
                <w:rFonts w:asciiTheme="majorBidi" w:hAnsiTheme="majorBidi" w:cstheme="majorBidi"/>
                <w:lang w:val="pt-PT"/>
              </w:rPr>
            </w:pPr>
            <w:r w:rsidRPr="00FE2007">
              <w:rPr>
                <w:rFonts w:asciiTheme="majorBidi" w:hAnsiTheme="majorBidi" w:cstheme="majorBidi"/>
                <w:i/>
                <w:iCs/>
                <w:lang w:val="pt-PT"/>
              </w:rPr>
              <w:t>Enterobacterales</w:t>
            </w:r>
            <w:r w:rsidRPr="009F6FA6">
              <w:rPr>
                <w:rFonts w:asciiTheme="majorBidi" w:hAnsiTheme="majorBidi" w:cstheme="majorBidi"/>
                <w:lang w:val="pt-PT"/>
              </w:rPr>
              <w:t xml:space="preserve"> and PA</w:t>
            </w:r>
          </w:p>
          <w:p w14:paraId="67BC1662"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OXA-48: N=0</w:t>
            </w:r>
          </w:p>
        </w:tc>
        <w:tc>
          <w:tcPr>
            <w:tcW w:w="518" w:type="pct"/>
          </w:tcPr>
          <w:p w14:paraId="35B3A93C"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CAZ-AVI (n=409)</w:t>
            </w:r>
          </w:p>
          <w:p w14:paraId="48703165"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Meropenem (n=408)</w:t>
            </w:r>
          </w:p>
        </w:tc>
        <w:tc>
          <w:tcPr>
            <w:tcW w:w="467" w:type="pct"/>
          </w:tcPr>
          <w:p w14:paraId="1323DE4A"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Suspected CPE (And therefore OXA-48) excluded at baseline</w:t>
            </w:r>
          </w:p>
        </w:tc>
        <w:tc>
          <w:tcPr>
            <w:tcW w:w="292" w:type="pct"/>
          </w:tcPr>
          <w:p w14:paraId="62137441"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None</w:t>
            </w:r>
          </w:p>
        </w:tc>
        <w:tc>
          <w:tcPr>
            <w:tcW w:w="750" w:type="pct"/>
          </w:tcPr>
          <w:p w14:paraId="1F5FC45F" w14:textId="77777777" w:rsidR="00001050" w:rsidRPr="009F6FA6" w:rsidRDefault="00001050" w:rsidP="009F01D8">
            <w:pPr>
              <w:jc w:val="both"/>
              <w:rPr>
                <w:rFonts w:asciiTheme="majorBidi" w:hAnsiTheme="majorBidi" w:cstheme="majorBidi"/>
                <w:b/>
              </w:rPr>
            </w:pPr>
            <w:r w:rsidRPr="009F6FA6">
              <w:rPr>
                <w:rFonts w:asciiTheme="majorBidi" w:hAnsiTheme="majorBidi" w:cstheme="majorBidi"/>
                <w:b/>
              </w:rPr>
              <w:t xml:space="preserve">CC at </w:t>
            </w:r>
            <w:proofErr w:type="spellStart"/>
            <w:r w:rsidRPr="009F6FA6">
              <w:rPr>
                <w:rFonts w:asciiTheme="majorBidi" w:hAnsiTheme="majorBidi" w:cstheme="majorBidi"/>
                <w:b/>
              </w:rPr>
              <w:t>ToC</w:t>
            </w:r>
            <w:proofErr w:type="spellEnd"/>
          </w:p>
          <w:p w14:paraId="37FD336C"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CAZ-AVI: 245/356 (68.8%) </w:t>
            </w:r>
          </w:p>
          <w:p w14:paraId="07AA97F2"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t xml:space="preserve">Mero: 270/370 (73.0%) </w:t>
            </w:r>
          </w:p>
          <w:p w14:paraId="3693CCFF"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t>Difference: 4-4.2% (95% CI –10.8 to 2.5%)</w:t>
            </w:r>
          </w:p>
        </w:tc>
      </w:tr>
      <w:tr w:rsidR="00001050" w:rsidRPr="009F6FA6" w14:paraId="029BB03F" w14:textId="77777777" w:rsidTr="0004391D">
        <w:tc>
          <w:tcPr>
            <w:tcW w:w="456" w:type="pct"/>
          </w:tcPr>
          <w:p w14:paraId="7C6145B1" w14:textId="54BFDD4D" w:rsidR="00001050" w:rsidRPr="009F6FA6" w:rsidRDefault="00001050" w:rsidP="00A83123">
            <w:pPr>
              <w:jc w:val="both"/>
              <w:rPr>
                <w:rFonts w:asciiTheme="majorBidi" w:hAnsiTheme="majorBidi" w:cstheme="majorBidi"/>
                <w:lang w:val="fr-FR"/>
              </w:rPr>
            </w:pPr>
            <w:proofErr w:type="spellStart"/>
            <w:proofErr w:type="gramStart"/>
            <w:r>
              <w:rPr>
                <w:rFonts w:asciiTheme="majorBidi" w:hAnsiTheme="majorBidi" w:cstheme="majorBidi"/>
                <w:b/>
                <w:lang w:val="fr-FR"/>
              </w:rPr>
              <w:t>cU</w:t>
            </w:r>
            <w:r w:rsidRPr="009F6FA6">
              <w:rPr>
                <w:rFonts w:asciiTheme="majorBidi" w:hAnsiTheme="majorBidi" w:cstheme="majorBidi"/>
                <w:b/>
                <w:lang w:val="fr-FR"/>
              </w:rPr>
              <w:t>TI</w:t>
            </w:r>
            <w:proofErr w:type="spellEnd"/>
            <w:proofErr w:type="gramEnd"/>
          </w:p>
        </w:tc>
        <w:tc>
          <w:tcPr>
            <w:tcW w:w="610" w:type="pct"/>
          </w:tcPr>
          <w:p w14:paraId="29ECBBC6" w14:textId="49708313" w:rsidR="00001050" w:rsidRPr="009F6FA6" w:rsidRDefault="00001050" w:rsidP="00A83123">
            <w:pPr>
              <w:jc w:val="both"/>
              <w:rPr>
                <w:rFonts w:asciiTheme="majorBidi" w:hAnsiTheme="majorBidi" w:cstheme="majorBidi"/>
                <w:lang w:val="fr-FR"/>
              </w:rPr>
            </w:pPr>
            <w:proofErr w:type="spellStart"/>
            <w:r w:rsidRPr="009F6FA6">
              <w:rPr>
                <w:rFonts w:asciiTheme="majorBidi" w:hAnsiTheme="majorBidi" w:cstheme="majorBidi"/>
                <w:lang w:val="fr-FR"/>
              </w:rPr>
              <w:t>Carmeli</w:t>
            </w:r>
            <w:proofErr w:type="spellEnd"/>
            <w:r w:rsidRPr="009F6FA6">
              <w:rPr>
                <w:rFonts w:asciiTheme="majorBidi" w:hAnsiTheme="majorBidi" w:cstheme="majorBidi"/>
                <w:lang w:val="fr-FR"/>
              </w:rPr>
              <w:t xml:space="preserve"> et al. (2016)</w:t>
            </w:r>
            <w:r w:rsidRPr="00A83123">
              <w:rPr>
                <w:rFonts w:asciiTheme="majorBidi" w:hAnsiTheme="majorBidi" w:cstheme="majorBidi"/>
                <w:noProof/>
                <w:vertAlign w:val="superscript"/>
                <w:lang w:val="fr-FR"/>
              </w:rPr>
              <w:t>32</w:t>
            </w:r>
            <w:r w:rsidRPr="009F6FA6">
              <w:rPr>
                <w:rFonts w:asciiTheme="majorBidi" w:hAnsiTheme="majorBidi" w:cstheme="majorBidi"/>
                <w:lang w:val="fr-FR"/>
              </w:rPr>
              <w:t xml:space="preserve"> REPRISE (NCT01644643) </w:t>
            </w:r>
          </w:p>
          <w:p w14:paraId="79EC5A51" w14:textId="77777777" w:rsidR="00001050" w:rsidRPr="009F6FA6" w:rsidRDefault="00001050" w:rsidP="009F01D8">
            <w:pPr>
              <w:jc w:val="both"/>
              <w:rPr>
                <w:rFonts w:asciiTheme="majorBidi" w:hAnsiTheme="majorBidi" w:cstheme="majorBidi"/>
                <w:lang w:val="fr-FR"/>
              </w:rPr>
            </w:pPr>
            <w:r w:rsidRPr="009F6FA6">
              <w:rPr>
                <w:rFonts w:asciiTheme="majorBidi" w:hAnsiTheme="majorBidi" w:cstheme="majorBidi"/>
                <w:lang w:val="fr-FR"/>
              </w:rPr>
              <w:t>N=333</w:t>
            </w:r>
          </w:p>
        </w:tc>
        <w:tc>
          <w:tcPr>
            <w:tcW w:w="610" w:type="pct"/>
          </w:tcPr>
          <w:p w14:paraId="7B51C8E3" w14:textId="77777777" w:rsidR="00001050" w:rsidRPr="009F6FA6" w:rsidRDefault="00001050" w:rsidP="009F01D8">
            <w:pPr>
              <w:jc w:val="both"/>
              <w:rPr>
                <w:rFonts w:asciiTheme="majorBidi" w:hAnsiTheme="majorBidi" w:cstheme="majorBidi"/>
                <w:lang w:val="fr-FR"/>
              </w:rPr>
            </w:pPr>
            <w:proofErr w:type="gramStart"/>
            <w:r w:rsidRPr="009F6FA6">
              <w:rPr>
                <w:rFonts w:asciiTheme="majorBidi" w:hAnsiTheme="majorBidi" w:cstheme="majorBidi"/>
                <w:color w:val="000000"/>
                <w:lang w:val="fr-FR"/>
              </w:rPr>
              <w:t>Multicentre;</w:t>
            </w:r>
            <w:proofErr w:type="gramEnd"/>
            <w:r w:rsidRPr="009F6FA6">
              <w:rPr>
                <w:rFonts w:asciiTheme="majorBidi" w:hAnsiTheme="majorBidi" w:cstheme="majorBidi"/>
                <w:color w:val="000000"/>
                <w:lang w:val="fr-FR"/>
              </w:rPr>
              <w:t xml:space="preserve"> multinational; phase III RCT</w:t>
            </w:r>
          </w:p>
        </w:tc>
        <w:tc>
          <w:tcPr>
            <w:tcW w:w="676" w:type="pct"/>
          </w:tcPr>
          <w:p w14:paraId="0B94A939"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18-80 years with </w:t>
            </w:r>
            <w:proofErr w:type="spellStart"/>
            <w:r w:rsidRPr="009F6FA6">
              <w:rPr>
                <w:rFonts w:asciiTheme="majorBidi" w:hAnsiTheme="majorBidi" w:cstheme="majorBidi"/>
              </w:rPr>
              <w:t>cUTI</w:t>
            </w:r>
            <w:proofErr w:type="spellEnd"/>
            <w:r w:rsidRPr="009F6FA6">
              <w:rPr>
                <w:rFonts w:asciiTheme="majorBidi" w:hAnsiTheme="majorBidi" w:cstheme="majorBidi"/>
              </w:rPr>
              <w:t xml:space="preserve"> or IAI, ceftazidime-resistant</w:t>
            </w:r>
          </w:p>
        </w:tc>
        <w:tc>
          <w:tcPr>
            <w:tcW w:w="621" w:type="pct"/>
          </w:tcPr>
          <w:p w14:paraId="612CB3D1" w14:textId="77777777" w:rsidR="00001050" w:rsidRPr="009F6FA6" w:rsidRDefault="00001050" w:rsidP="009F01D8">
            <w:pPr>
              <w:jc w:val="both"/>
              <w:rPr>
                <w:rFonts w:asciiTheme="majorBidi" w:hAnsiTheme="majorBidi" w:cstheme="majorBidi"/>
              </w:rPr>
            </w:pPr>
            <w:proofErr w:type="spellStart"/>
            <w:r w:rsidRPr="009F6FA6">
              <w:rPr>
                <w:rFonts w:asciiTheme="majorBidi" w:hAnsiTheme="majorBidi" w:cstheme="majorBidi"/>
              </w:rPr>
              <w:t>cUTI</w:t>
            </w:r>
            <w:proofErr w:type="spellEnd"/>
            <w:r w:rsidRPr="009F6FA6">
              <w:rPr>
                <w:rFonts w:asciiTheme="majorBidi" w:hAnsiTheme="majorBidi" w:cstheme="majorBidi"/>
              </w:rPr>
              <w:t xml:space="preserve"> or </w:t>
            </w:r>
            <w:proofErr w:type="spellStart"/>
            <w:r w:rsidRPr="009F6FA6">
              <w:rPr>
                <w:rFonts w:asciiTheme="majorBidi" w:hAnsiTheme="majorBidi" w:cstheme="majorBidi"/>
              </w:rPr>
              <w:t>cIAI</w:t>
            </w:r>
            <w:proofErr w:type="spellEnd"/>
            <w:r w:rsidRPr="009F6FA6">
              <w:rPr>
                <w:rFonts w:asciiTheme="majorBidi" w:hAnsiTheme="majorBidi" w:cstheme="majorBidi"/>
              </w:rPr>
              <w:t xml:space="preserve"> </w:t>
            </w:r>
          </w:p>
          <w:p w14:paraId="0AFB370A" w14:textId="73563800" w:rsidR="00001050" w:rsidRPr="000E4A41" w:rsidRDefault="00001050" w:rsidP="009F01D8">
            <w:pPr>
              <w:jc w:val="both"/>
              <w:rPr>
                <w:rFonts w:asciiTheme="majorBidi" w:hAnsiTheme="majorBidi" w:cstheme="majorBidi"/>
              </w:rPr>
            </w:pPr>
            <w:proofErr w:type="spellStart"/>
            <w:r w:rsidRPr="000E4A41">
              <w:rPr>
                <w:rFonts w:asciiTheme="majorBidi" w:hAnsiTheme="majorBidi" w:cstheme="majorBidi"/>
                <w:i/>
                <w:iCs/>
              </w:rPr>
              <w:t>Enterobacterales</w:t>
            </w:r>
            <w:proofErr w:type="spellEnd"/>
            <w:r w:rsidRPr="000E4A41">
              <w:rPr>
                <w:rFonts w:asciiTheme="majorBidi" w:hAnsiTheme="majorBidi" w:cstheme="majorBidi"/>
              </w:rPr>
              <w:t xml:space="preserve"> and PA </w:t>
            </w:r>
          </w:p>
          <w:p w14:paraId="627B3380" w14:textId="77777777" w:rsidR="00001050" w:rsidRPr="00FE2007" w:rsidRDefault="00001050" w:rsidP="009F01D8">
            <w:pPr>
              <w:jc w:val="both"/>
              <w:rPr>
                <w:rFonts w:asciiTheme="majorBidi" w:hAnsiTheme="majorBidi" w:cstheme="majorBidi"/>
                <w:lang w:val="pt-PT"/>
              </w:rPr>
            </w:pPr>
            <w:r w:rsidRPr="00FE2007">
              <w:rPr>
                <w:rFonts w:asciiTheme="majorBidi" w:hAnsiTheme="majorBidi" w:cstheme="majorBidi"/>
                <w:lang w:val="pt-PT"/>
              </w:rPr>
              <w:t>OXA-48: N=3</w:t>
            </w:r>
          </w:p>
        </w:tc>
        <w:tc>
          <w:tcPr>
            <w:tcW w:w="518" w:type="pct"/>
          </w:tcPr>
          <w:p w14:paraId="2B73B089"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CAZ-AVI (n=165)</w:t>
            </w:r>
          </w:p>
          <w:p w14:paraId="104834FD"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BAT* (n=168)</w:t>
            </w:r>
          </w:p>
          <w:p w14:paraId="3D2590BF" w14:textId="77777777" w:rsidR="00001050" w:rsidRPr="009F6FA6" w:rsidRDefault="00001050" w:rsidP="009F01D8">
            <w:pPr>
              <w:jc w:val="both"/>
              <w:rPr>
                <w:rFonts w:asciiTheme="majorBidi" w:hAnsiTheme="majorBidi" w:cstheme="majorBidi"/>
                <w:lang w:val="pt-PT"/>
              </w:rPr>
            </w:pPr>
          </w:p>
          <w:p w14:paraId="652ECA1F" w14:textId="77777777" w:rsidR="00001050" w:rsidRPr="009F6FA6" w:rsidRDefault="00001050" w:rsidP="009F01D8">
            <w:pPr>
              <w:jc w:val="both"/>
              <w:rPr>
                <w:rFonts w:asciiTheme="majorBidi" w:hAnsiTheme="majorBidi" w:cstheme="majorBidi"/>
                <w:lang w:val="pt-PT"/>
              </w:rPr>
            </w:pPr>
          </w:p>
        </w:tc>
        <w:tc>
          <w:tcPr>
            <w:tcW w:w="467" w:type="pct"/>
          </w:tcPr>
          <w:p w14:paraId="4F0D0631"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Only 3 OXA-48 infections</w:t>
            </w:r>
          </w:p>
        </w:tc>
        <w:tc>
          <w:tcPr>
            <w:tcW w:w="292" w:type="pct"/>
          </w:tcPr>
          <w:p w14:paraId="41B3541A" w14:textId="77777777" w:rsidR="00001050" w:rsidRPr="009F6FA6" w:rsidRDefault="00001050" w:rsidP="009F01D8">
            <w:pPr>
              <w:jc w:val="both"/>
              <w:rPr>
                <w:rFonts w:asciiTheme="majorBidi" w:hAnsiTheme="majorBidi" w:cstheme="majorBidi"/>
                <w:lang w:val="fr-FR"/>
              </w:rPr>
            </w:pPr>
            <w:r w:rsidRPr="009F6FA6">
              <w:rPr>
                <w:rFonts w:asciiTheme="majorBidi" w:hAnsiTheme="majorBidi" w:cstheme="majorBidi"/>
                <w:lang w:val="fr-FR"/>
              </w:rPr>
              <w:t>None</w:t>
            </w:r>
          </w:p>
        </w:tc>
        <w:tc>
          <w:tcPr>
            <w:tcW w:w="750" w:type="pct"/>
          </w:tcPr>
          <w:p w14:paraId="17AE3C2B" w14:textId="77777777" w:rsidR="00001050" w:rsidRPr="009F6FA6" w:rsidRDefault="00001050" w:rsidP="009F01D8">
            <w:pPr>
              <w:jc w:val="both"/>
              <w:rPr>
                <w:rFonts w:asciiTheme="majorBidi" w:hAnsiTheme="majorBidi" w:cstheme="majorBidi"/>
                <w:b/>
                <w:lang w:val="it-IT"/>
              </w:rPr>
            </w:pPr>
            <w:r w:rsidRPr="009F6FA6">
              <w:rPr>
                <w:rFonts w:asciiTheme="majorBidi" w:hAnsiTheme="majorBidi" w:cstheme="majorBidi"/>
                <w:b/>
                <w:lang w:val="it-IT"/>
              </w:rPr>
              <w:t>CC at ToC</w:t>
            </w:r>
          </w:p>
          <w:p w14:paraId="1247057B"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t xml:space="preserve">CAZ-AVI 140/154 (91%; 95% CI 85·6–94·7) </w:t>
            </w:r>
          </w:p>
          <w:p w14:paraId="49A9FA94" w14:textId="77777777" w:rsidR="00001050" w:rsidRPr="009F6FA6" w:rsidRDefault="00001050" w:rsidP="009F01D8">
            <w:pPr>
              <w:jc w:val="both"/>
              <w:rPr>
                <w:rFonts w:asciiTheme="majorBidi" w:hAnsiTheme="majorBidi" w:cstheme="majorBidi"/>
                <w:lang w:val="fr-FR"/>
              </w:rPr>
            </w:pPr>
            <w:proofErr w:type="gramStart"/>
            <w:r w:rsidRPr="009F6FA6">
              <w:rPr>
                <w:rFonts w:asciiTheme="majorBidi" w:hAnsiTheme="majorBidi" w:cstheme="majorBidi"/>
                <w:lang w:val="fr-FR"/>
              </w:rPr>
              <w:t>BAT:</w:t>
            </w:r>
            <w:proofErr w:type="gramEnd"/>
            <w:r w:rsidRPr="009F6FA6">
              <w:rPr>
                <w:rFonts w:asciiTheme="majorBidi" w:hAnsiTheme="majorBidi" w:cstheme="majorBidi"/>
                <w:lang w:val="fr-FR"/>
              </w:rPr>
              <w:t xml:space="preserve"> 135/148 (91%; 85·9–95·0)</w:t>
            </w:r>
          </w:p>
          <w:p w14:paraId="18FED0C4" w14:textId="77777777" w:rsidR="00001050" w:rsidRPr="009F6FA6" w:rsidRDefault="00001050" w:rsidP="009F01D8">
            <w:pPr>
              <w:jc w:val="both"/>
              <w:rPr>
                <w:rFonts w:asciiTheme="majorBidi" w:hAnsiTheme="majorBidi" w:cstheme="majorBidi"/>
                <w:lang w:val="fr-FR"/>
              </w:rPr>
            </w:pPr>
            <w:proofErr w:type="spellStart"/>
            <w:r w:rsidRPr="009F6FA6">
              <w:rPr>
                <w:rFonts w:asciiTheme="majorBidi" w:hAnsiTheme="majorBidi" w:cstheme="majorBidi"/>
                <w:lang w:val="fr-FR"/>
              </w:rPr>
              <w:t>Difference</w:t>
            </w:r>
            <w:proofErr w:type="spellEnd"/>
            <w:r w:rsidRPr="009F6FA6">
              <w:rPr>
                <w:rFonts w:asciiTheme="majorBidi" w:hAnsiTheme="majorBidi" w:cstheme="majorBidi"/>
                <w:lang w:val="fr-FR"/>
              </w:rPr>
              <w:t xml:space="preserve"> NR</w:t>
            </w:r>
          </w:p>
        </w:tc>
      </w:tr>
      <w:tr w:rsidR="00001050" w:rsidRPr="009F6FA6" w14:paraId="394D77E8" w14:textId="77777777" w:rsidTr="0004391D">
        <w:tc>
          <w:tcPr>
            <w:tcW w:w="456" w:type="pct"/>
          </w:tcPr>
          <w:p w14:paraId="499062F5" w14:textId="4D5CFF60" w:rsidR="00001050" w:rsidRPr="009F6FA6" w:rsidRDefault="00001050" w:rsidP="00A83123">
            <w:pPr>
              <w:jc w:val="both"/>
              <w:rPr>
                <w:rFonts w:asciiTheme="majorBidi" w:hAnsiTheme="majorBidi" w:cstheme="majorBidi"/>
              </w:rPr>
            </w:pPr>
            <w:proofErr w:type="spellStart"/>
            <w:proofErr w:type="gramStart"/>
            <w:r>
              <w:rPr>
                <w:rFonts w:asciiTheme="majorBidi" w:hAnsiTheme="majorBidi" w:cstheme="majorBidi"/>
                <w:b/>
                <w:lang w:val="fr-FR"/>
              </w:rPr>
              <w:t>cU</w:t>
            </w:r>
            <w:r w:rsidRPr="009F6FA6">
              <w:rPr>
                <w:rFonts w:asciiTheme="majorBidi" w:hAnsiTheme="majorBidi" w:cstheme="majorBidi"/>
                <w:b/>
                <w:lang w:val="fr-FR"/>
              </w:rPr>
              <w:t>TI</w:t>
            </w:r>
            <w:proofErr w:type="spellEnd"/>
            <w:proofErr w:type="gramEnd"/>
          </w:p>
        </w:tc>
        <w:tc>
          <w:tcPr>
            <w:tcW w:w="610" w:type="pct"/>
          </w:tcPr>
          <w:p w14:paraId="29C5077A" w14:textId="3ABB96AE" w:rsidR="00001050" w:rsidRPr="009F6FA6" w:rsidRDefault="00001050" w:rsidP="00A83123">
            <w:pPr>
              <w:jc w:val="both"/>
              <w:rPr>
                <w:rFonts w:asciiTheme="majorBidi" w:hAnsiTheme="majorBidi" w:cstheme="majorBidi"/>
              </w:rPr>
            </w:pPr>
            <w:proofErr w:type="spellStart"/>
            <w:r w:rsidRPr="009F6FA6">
              <w:rPr>
                <w:rFonts w:asciiTheme="majorBidi" w:hAnsiTheme="majorBidi" w:cstheme="majorBidi"/>
              </w:rPr>
              <w:t>Wagenlehner</w:t>
            </w:r>
            <w:proofErr w:type="spellEnd"/>
            <w:r w:rsidRPr="009F6FA6">
              <w:rPr>
                <w:rFonts w:asciiTheme="majorBidi" w:hAnsiTheme="majorBidi" w:cstheme="majorBidi"/>
              </w:rPr>
              <w:t xml:space="preserve"> et al. (2016)</w:t>
            </w:r>
            <w:r w:rsidRPr="00A83123">
              <w:rPr>
                <w:rFonts w:asciiTheme="majorBidi" w:hAnsiTheme="majorBidi" w:cstheme="majorBidi"/>
                <w:noProof/>
                <w:vertAlign w:val="superscript"/>
              </w:rPr>
              <w:t>35</w:t>
            </w:r>
            <w:r w:rsidRPr="009F6FA6">
              <w:rPr>
                <w:rFonts w:asciiTheme="majorBidi" w:hAnsiTheme="majorBidi" w:cstheme="majorBidi"/>
              </w:rPr>
              <w:t xml:space="preserve"> RECAPTURE 1 &amp; 2 (NCT01595438 and NCT01599806) </w:t>
            </w:r>
          </w:p>
          <w:p w14:paraId="06BC9BB5"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N=1033</w:t>
            </w:r>
          </w:p>
        </w:tc>
        <w:tc>
          <w:tcPr>
            <w:tcW w:w="610" w:type="pct"/>
          </w:tcPr>
          <w:p w14:paraId="0CAE24B5" w14:textId="77777777" w:rsidR="00001050" w:rsidRPr="009F6FA6" w:rsidRDefault="00001050" w:rsidP="009F01D8">
            <w:pPr>
              <w:jc w:val="both"/>
              <w:rPr>
                <w:rFonts w:asciiTheme="majorBidi" w:hAnsiTheme="majorBidi" w:cstheme="majorBidi"/>
                <w:lang w:val="fr-FR"/>
              </w:rPr>
            </w:pPr>
            <w:proofErr w:type="gramStart"/>
            <w:r w:rsidRPr="009F6FA6">
              <w:rPr>
                <w:rFonts w:asciiTheme="majorBidi" w:hAnsiTheme="majorBidi" w:cstheme="majorBidi"/>
                <w:color w:val="000000"/>
                <w:lang w:val="fr-FR"/>
              </w:rPr>
              <w:t>Multicentre;</w:t>
            </w:r>
            <w:proofErr w:type="gramEnd"/>
            <w:r w:rsidRPr="009F6FA6">
              <w:rPr>
                <w:rFonts w:asciiTheme="majorBidi" w:hAnsiTheme="majorBidi" w:cstheme="majorBidi"/>
                <w:color w:val="000000"/>
                <w:lang w:val="fr-FR"/>
              </w:rPr>
              <w:t xml:space="preserve"> multinational; phase III RCT</w:t>
            </w:r>
          </w:p>
        </w:tc>
        <w:tc>
          <w:tcPr>
            <w:tcW w:w="676" w:type="pct"/>
          </w:tcPr>
          <w:p w14:paraId="0FC2DED7" w14:textId="77777777" w:rsidR="00001050" w:rsidRPr="009F6FA6" w:rsidRDefault="00001050" w:rsidP="009F01D8">
            <w:pPr>
              <w:jc w:val="both"/>
              <w:rPr>
                <w:rFonts w:asciiTheme="majorBidi" w:hAnsiTheme="majorBidi" w:cstheme="majorBidi"/>
              </w:rPr>
            </w:pPr>
            <w:proofErr w:type="spellStart"/>
            <w:r w:rsidRPr="009F6FA6">
              <w:rPr>
                <w:rFonts w:asciiTheme="majorBidi" w:hAnsiTheme="majorBidi" w:cstheme="majorBidi"/>
              </w:rPr>
              <w:t>cUTI</w:t>
            </w:r>
            <w:proofErr w:type="spellEnd"/>
            <w:r w:rsidRPr="009F6FA6">
              <w:rPr>
                <w:rFonts w:asciiTheme="majorBidi" w:hAnsiTheme="majorBidi" w:cstheme="majorBidi"/>
              </w:rPr>
              <w:t xml:space="preserve"> and for whom study drugs were considered appropriate empiric therapy</w:t>
            </w:r>
          </w:p>
        </w:tc>
        <w:tc>
          <w:tcPr>
            <w:tcW w:w="621" w:type="pct"/>
          </w:tcPr>
          <w:p w14:paraId="41EBA297"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 xml:space="preserve">cUTI </w:t>
            </w:r>
          </w:p>
          <w:p w14:paraId="07C95573" w14:textId="57931A32" w:rsidR="00001050" w:rsidRPr="009F6FA6" w:rsidRDefault="00001050" w:rsidP="009F01D8">
            <w:pPr>
              <w:jc w:val="both"/>
              <w:rPr>
                <w:rFonts w:asciiTheme="majorBidi" w:hAnsiTheme="majorBidi" w:cstheme="majorBidi"/>
                <w:lang w:val="pt-PT"/>
              </w:rPr>
            </w:pPr>
            <w:r w:rsidRPr="00FE2007">
              <w:rPr>
                <w:rFonts w:asciiTheme="majorBidi" w:hAnsiTheme="majorBidi" w:cstheme="majorBidi"/>
                <w:i/>
                <w:iCs/>
                <w:lang w:val="pt-PT"/>
              </w:rPr>
              <w:t>Enterobacterales</w:t>
            </w:r>
            <w:r w:rsidRPr="009F6FA6">
              <w:rPr>
                <w:rFonts w:asciiTheme="majorBidi" w:hAnsiTheme="majorBidi" w:cstheme="majorBidi"/>
                <w:lang w:val="pt-PT"/>
              </w:rPr>
              <w:t xml:space="preserve"> and PA</w:t>
            </w:r>
          </w:p>
          <w:p w14:paraId="51DFC10B"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OXA-48: N=3</w:t>
            </w:r>
          </w:p>
        </w:tc>
        <w:tc>
          <w:tcPr>
            <w:tcW w:w="518" w:type="pct"/>
          </w:tcPr>
          <w:p w14:paraId="0FFD998B"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CAZ-AVI (n=516)</w:t>
            </w:r>
          </w:p>
          <w:p w14:paraId="0EF8151C"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DPM (n=517)</w:t>
            </w:r>
          </w:p>
        </w:tc>
        <w:tc>
          <w:tcPr>
            <w:tcW w:w="467" w:type="pct"/>
          </w:tcPr>
          <w:p w14:paraId="5E4E7BB5"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Only 3 OXA-48 infections</w:t>
            </w:r>
          </w:p>
        </w:tc>
        <w:tc>
          <w:tcPr>
            <w:tcW w:w="292" w:type="pct"/>
          </w:tcPr>
          <w:p w14:paraId="03ECB2DD"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None</w:t>
            </w:r>
          </w:p>
        </w:tc>
        <w:tc>
          <w:tcPr>
            <w:tcW w:w="750" w:type="pct"/>
          </w:tcPr>
          <w:p w14:paraId="2A966F2D" w14:textId="77777777" w:rsidR="00001050" w:rsidRPr="009F6FA6" w:rsidRDefault="00001050" w:rsidP="009F01D8">
            <w:pPr>
              <w:jc w:val="both"/>
              <w:rPr>
                <w:rFonts w:asciiTheme="majorBidi" w:hAnsiTheme="majorBidi" w:cstheme="majorBidi"/>
                <w:b/>
              </w:rPr>
            </w:pPr>
            <w:r w:rsidRPr="009F6FA6">
              <w:rPr>
                <w:rFonts w:asciiTheme="majorBidi" w:hAnsiTheme="majorBidi" w:cstheme="majorBidi"/>
                <w:b/>
              </w:rPr>
              <w:t>Patient-reported symptomatic resolution</w:t>
            </w:r>
          </w:p>
          <w:p w14:paraId="6833CF3C"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CAZ-AVI: 276/393 (70.2%) </w:t>
            </w:r>
          </w:p>
          <w:p w14:paraId="26A2325A"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DPM 276/417 (66.2%) </w:t>
            </w:r>
          </w:p>
          <w:p w14:paraId="37725C58"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Difference: 4% (95% CI -2.39 to 10.42%)</w:t>
            </w:r>
          </w:p>
        </w:tc>
      </w:tr>
      <w:tr w:rsidR="00001050" w:rsidRPr="007D1B7F" w14:paraId="68EFFC38" w14:textId="77777777" w:rsidTr="0004391D">
        <w:tc>
          <w:tcPr>
            <w:tcW w:w="456" w:type="pct"/>
          </w:tcPr>
          <w:p w14:paraId="513F86E3" w14:textId="03BDE497" w:rsidR="00001050" w:rsidRPr="009F6FA6" w:rsidRDefault="00001050" w:rsidP="00A83123">
            <w:pPr>
              <w:jc w:val="both"/>
              <w:rPr>
                <w:rFonts w:asciiTheme="majorBidi" w:hAnsiTheme="majorBidi" w:cstheme="majorBidi"/>
                <w:lang w:val="fr-FR"/>
              </w:rPr>
            </w:pPr>
            <w:proofErr w:type="spellStart"/>
            <w:proofErr w:type="gramStart"/>
            <w:r>
              <w:rPr>
                <w:rFonts w:asciiTheme="majorBidi" w:hAnsiTheme="majorBidi" w:cstheme="majorBidi"/>
                <w:b/>
                <w:lang w:val="fr-FR"/>
              </w:rPr>
              <w:t>cU</w:t>
            </w:r>
            <w:r w:rsidRPr="009F6FA6">
              <w:rPr>
                <w:rFonts w:asciiTheme="majorBidi" w:hAnsiTheme="majorBidi" w:cstheme="majorBidi"/>
                <w:b/>
                <w:lang w:val="fr-FR"/>
              </w:rPr>
              <w:t>TI</w:t>
            </w:r>
            <w:proofErr w:type="spellEnd"/>
            <w:proofErr w:type="gramEnd"/>
          </w:p>
        </w:tc>
        <w:tc>
          <w:tcPr>
            <w:tcW w:w="610" w:type="pct"/>
          </w:tcPr>
          <w:p w14:paraId="6BFDD43F" w14:textId="4331315D" w:rsidR="00001050" w:rsidRPr="009F6FA6" w:rsidRDefault="00001050" w:rsidP="00A83123">
            <w:pPr>
              <w:jc w:val="both"/>
              <w:rPr>
                <w:rFonts w:asciiTheme="majorBidi" w:hAnsiTheme="majorBidi" w:cstheme="majorBidi"/>
                <w:lang w:val="fr-FR"/>
              </w:rPr>
            </w:pPr>
            <w:r w:rsidRPr="009F6FA6">
              <w:rPr>
                <w:rFonts w:asciiTheme="majorBidi" w:hAnsiTheme="majorBidi" w:cstheme="majorBidi"/>
                <w:lang w:val="fr-FR"/>
              </w:rPr>
              <w:t>Vazquez et al (2012)</w:t>
            </w:r>
            <w:r w:rsidRPr="00A83123">
              <w:rPr>
                <w:rFonts w:asciiTheme="majorBidi" w:hAnsiTheme="majorBidi" w:cstheme="majorBidi"/>
                <w:noProof/>
                <w:vertAlign w:val="superscript"/>
                <w:lang w:val="fr-FR"/>
              </w:rPr>
              <w:t>34</w:t>
            </w:r>
            <w:r w:rsidRPr="009F6FA6">
              <w:rPr>
                <w:rFonts w:asciiTheme="majorBidi" w:hAnsiTheme="majorBidi" w:cstheme="majorBidi"/>
                <w:lang w:val="fr-FR"/>
              </w:rPr>
              <w:t xml:space="preserve"> (NCT00690378) </w:t>
            </w:r>
          </w:p>
          <w:p w14:paraId="03C47458" w14:textId="77777777" w:rsidR="00001050" w:rsidRPr="009F6FA6" w:rsidRDefault="00001050" w:rsidP="009F01D8">
            <w:pPr>
              <w:jc w:val="both"/>
              <w:rPr>
                <w:rFonts w:asciiTheme="majorBidi" w:hAnsiTheme="majorBidi" w:cstheme="majorBidi"/>
                <w:lang w:val="fr-FR"/>
              </w:rPr>
            </w:pPr>
            <w:r w:rsidRPr="009F6FA6">
              <w:rPr>
                <w:rFonts w:asciiTheme="majorBidi" w:hAnsiTheme="majorBidi" w:cstheme="majorBidi"/>
                <w:lang w:val="fr-FR"/>
              </w:rPr>
              <w:t>N=137</w:t>
            </w:r>
          </w:p>
        </w:tc>
        <w:tc>
          <w:tcPr>
            <w:tcW w:w="610" w:type="pct"/>
          </w:tcPr>
          <w:p w14:paraId="22B00666" w14:textId="77777777" w:rsidR="00001050" w:rsidRPr="009F6FA6" w:rsidRDefault="00001050" w:rsidP="009F01D8">
            <w:pPr>
              <w:jc w:val="both"/>
              <w:rPr>
                <w:rFonts w:asciiTheme="majorBidi" w:hAnsiTheme="majorBidi" w:cstheme="majorBidi"/>
                <w:lang w:val="fr-FR"/>
              </w:rPr>
            </w:pPr>
            <w:proofErr w:type="gramStart"/>
            <w:r w:rsidRPr="009F6FA6">
              <w:rPr>
                <w:rFonts w:asciiTheme="majorBidi" w:hAnsiTheme="majorBidi" w:cstheme="majorBidi"/>
                <w:lang w:val="fr-FR"/>
              </w:rPr>
              <w:t>Multicentre;</w:t>
            </w:r>
            <w:proofErr w:type="gramEnd"/>
            <w:r w:rsidRPr="009F6FA6">
              <w:rPr>
                <w:rFonts w:asciiTheme="majorBidi" w:hAnsiTheme="majorBidi" w:cstheme="majorBidi"/>
                <w:lang w:val="fr-FR"/>
              </w:rPr>
              <w:t xml:space="preserve"> multinational; phase II RCT</w:t>
            </w:r>
          </w:p>
        </w:tc>
        <w:tc>
          <w:tcPr>
            <w:tcW w:w="676" w:type="pct"/>
          </w:tcPr>
          <w:p w14:paraId="55F233E5"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GNOs likely to be susceptible to study drugs; </w:t>
            </w:r>
            <w:r w:rsidRPr="009F6FA6">
              <w:rPr>
                <w:rFonts w:asciiTheme="majorBidi" w:hAnsiTheme="majorBidi" w:cstheme="majorBidi"/>
              </w:rPr>
              <w:lastRenderedPageBreak/>
              <w:t>excluded known CRO</w:t>
            </w:r>
          </w:p>
        </w:tc>
        <w:tc>
          <w:tcPr>
            <w:tcW w:w="621" w:type="pct"/>
          </w:tcPr>
          <w:p w14:paraId="47BDC4EA" w14:textId="77777777" w:rsidR="00001050" w:rsidRPr="009F6FA6" w:rsidRDefault="00001050" w:rsidP="009F01D8">
            <w:pPr>
              <w:jc w:val="both"/>
              <w:rPr>
                <w:rFonts w:asciiTheme="majorBidi" w:hAnsiTheme="majorBidi" w:cstheme="majorBidi"/>
              </w:rPr>
            </w:pPr>
            <w:proofErr w:type="spellStart"/>
            <w:r w:rsidRPr="009F6FA6">
              <w:rPr>
                <w:rFonts w:asciiTheme="majorBidi" w:hAnsiTheme="majorBidi" w:cstheme="majorBidi"/>
              </w:rPr>
              <w:lastRenderedPageBreak/>
              <w:t>cUTI</w:t>
            </w:r>
            <w:proofErr w:type="spellEnd"/>
          </w:p>
          <w:p w14:paraId="56380DFD" w14:textId="77777777" w:rsidR="00001050" w:rsidRPr="009F6FA6" w:rsidRDefault="00001050" w:rsidP="009F01D8">
            <w:pPr>
              <w:jc w:val="both"/>
              <w:rPr>
                <w:rFonts w:asciiTheme="majorBidi" w:hAnsiTheme="majorBidi" w:cstheme="majorBidi"/>
                <w:lang w:val="fr-FR"/>
              </w:rPr>
            </w:pPr>
            <w:proofErr w:type="spellStart"/>
            <w:r w:rsidRPr="009F6FA6">
              <w:rPr>
                <w:rFonts w:asciiTheme="majorBidi" w:hAnsiTheme="majorBidi" w:cstheme="majorBidi"/>
                <w:lang w:val="fr-FR"/>
              </w:rPr>
              <w:t>GNOs</w:t>
            </w:r>
            <w:proofErr w:type="spellEnd"/>
          </w:p>
          <w:p w14:paraId="3F7D799A"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OXA-48: N=0</w:t>
            </w:r>
          </w:p>
        </w:tc>
        <w:tc>
          <w:tcPr>
            <w:tcW w:w="518" w:type="pct"/>
          </w:tcPr>
          <w:p w14:paraId="4BAEE8DA"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CAZ-AVI (N=69)</w:t>
            </w:r>
          </w:p>
          <w:p w14:paraId="1027E038" w14:textId="77777777" w:rsidR="00001050" w:rsidRPr="009F6FA6" w:rsidRDefault="00001050" w:rsidP="009F01D8">
            <w:pPr>
              <w:jc w:val="both"/>
              <w:rPr>
                <w:rFonts w:asciiTheme="majorBidi" w:hAnsiTheme="majorBidi" w:cstheme="majorBidi"/>
                <w:lang w:val="pt-PT"/>
              </w:rPr>
            </w:pPr>
            <w:r w:rsidRPr="009F6FA6">
              <w:rPr>
                <w:rFonts w:asciiTheme="majorBidi" w:hAnsiTheme="majorBidi" w:cstheme="majorBidi"/>
                <w:lang w:val="pt-PT"/>
              </w:rPr>
              <w:t>Imi-cil (N=68)</w:t>
            </w:r>
          </w:p>
        </w:tc>
        <w:tc>
          <w:tcPr>
            <w:tcW w:w="467" w:type="pct"/>
          </w:tcPr>
          <w:p w14:paraId="64D182D5"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t xml:space="preserve">Known CR infections excluded at baseline; </w:t>
            </w:r>
            <w:r w:rsidRPr="009F6FA6">
              <w:rPr>
                <w:rFonts w:asciiTheme="majorBidi" w:hAnsiTheme="majorBidi" w:cstheme="majorBidi"/>
              </w:rPr>
              <w:lastRenderedPageBreak/>
              <w:t>zero OXA-48 infections</w:t>
            </w:r>
          </w:p>
        </w:tc>
        <w:tc>
          <w:tcPr>
            <w:tcW w:w="292" w:type="pct"/>
          </w:tcPr>
          <w:p w14:paraId="549511F3" w14:textId="77777777" w:rsidR="00001050" w:rsidRPr="009F6FA6" w:rsidRDefault="00001050" w:rsidP="009F01D8">
            <w:pPr>
              <w:jc w:val="both"/>
              <w:rPr>
                <w:rFonts w:asciiTheme="majorBidi" w:hAnsiTheme="majorBidi" w:cstheme="majorBidi"/>
              </w:rPr>
            </w:pPr>
            <w:r w:rsidRPr="009F6FA6">
              <w:rPr>
                <w:rFonts w:asciiTheme="majorBidi" w:hAnsiTheme="majorBidi" w:cstheme="majorBidi"/>
              </w:rPr>
              <w:lastRenderedPageBreak/>
              <w:t>None</w:t>
            </w:r>
          </w:p>
        </w:tc>
        <w:tc>
          <w:tcPr>
            <w:tcW w:w="750" w:type="pct"/>
          </w:tcPr>
          <w:p w14:paraId="75DE78AE" w14:textId="77777777" w:rsidR="00001050" w:rsidRPr="009F6FA6" w:rsidRDefault="00001050" w:rsidP="009F01D8">
            <w:pPr>
              <w:jc w:val="both"/>
              <w:rPr>
                <w:rFonts w:asciiTheme="majorBidi" w:hAnsiTheme="majorBidi" w:cstheme="majorBidi"/>
                <w:b/>
                <w:lang w:val="it-IT"/>
              </w:rPr>
            </w:pPr>
            <w:r w:rsidRPr="009F6FA6">
              <w:rPr>
                <w:rFonts w:asciiTheme="majorBidi" w:hAnsiTheme="majorBidi" w:cstheme="majorBidi"/>
                <w:b/>
                <w:lang w:val="it-IT"/>
              </w:rPr>
              <w:t>Microbiological response</w:t>
            </w:r>
          </w:p>
          <w:p w14:paraId="72C8B081"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t>CAZ-AVI: 19/27 (70.4%)</w:t>
            </w:r>
          </w:p>
          <w:p w14:paraId="18284A77"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lastRenderedPageBreak/>
              <w:t>Imi-cil: 25/35 (71.4%)</w:t>
            </w:r>
          </w:p>
          <w:p w14:paraId="5CBD659C" w14:textId="77777777" w:rsidR="00001050" w:rsidRPr="009F6FA6" w:rsidRDefault="00001050" w:rsidP="009F01D8">
            <w:pPr>
              <w:jc w:val="both"/>
              <w:rPr>
                <w:rFonts w:asciiTheme="majorBidi" w:hAnsiTheme="majorBidi" w:cstheme="majorBidi"/>
                <w:lang w:val="it-IT"/>
              </w:rPr>
            </w:pPr>
            <w:r w:rsidRPr="009F6FA6">
              <w:rPr>
                <w:rFonts w:asciiTheme="majorBidi" w:hAnsiTheme="majorBidi" w:cstheme="majorBidi"/>
                <w:lang w:val="it-IT"/>
              </w:rPr>
              <w:t>Difference: -1.1% (95% CI -27.2 to 25.0%)</w:t>
            </w:r>
          </w:p>
        </w:tc>
      </w:tr>
    </w:tbl>
    <w:p w14:paraId="59ABD56C" w14:textId="77777777" w:rsidR="009F01D8" w:rsidRPr="00885DFB" w:rsidRDefault="009F01D8" w:rsidP="009F01D8">
      <w:pPr>
        <w:jc w:val="both"/>
        <w:rPr>
          <w:rFonts w:asciiTheme="majorBidi" w:hAnsiTheme="majorBidi" w:cstheme="majorBidi"/>
          <w:sz w:val="20"/>
          <w:szCs w:val="20"/>
          <w:lang w:val="it-IT"/>
        </w:rPr>
      </w:pPr>
      <w:r w:rsidRPr="00885DFB">
        <w:rPr>
          <w:rFonts w:asciiTheme="majorBidi" w:hAnsiTheme="majorBidi" w:cstheme="majorBidi"/>
          <w:sz w:val="20"/>
          <w:szCs w:val="20"/>
          <w:lang w:val="it-IT"/>
        </w:rPr>
        <w:lastRenderedPageBreak/>
        <w:t>BAT, best available therapy; CAZ-AVI, ceftazidime-avibactam; CC, clinical cure; CRO, carbapenem-resistant organism; cUTI, complicated urinary tract infection; DPM, doripenem; GNO, Gram negative organism; HVCS, high value clinical scenario; IAI, intraabdominal infection; Imi-cil, imipenem-cilastatin; N, number; OXA-48, oxacillinase-48; PA, pseudomonas aeruginosa; ToC, test of cure</w:t>
      </w:r>
    </w:p>
    <w:p w14:paraId="30276B59" w14:textId="77777777" w:rsidR="009F01D8" w:rsidRPr="00885DFB" w:rsidRDefault="009F01D8" w:rsidP="009F01D8">
      <w:pPr>
        <w:jc w:val="both"/>
        <w:rPr>
          <w:rFonts w:asciiTheme="majorBidi" w:hAnsiTheme="majorBidi" w:cstheme="majorBidi"/>
          <w:sz w:val="20"/>
          <w:szCs w:val="20"/>
        </w:rPr>
      </w:pPr>
      <w:r w:rsidRPr="00885DFB">
        <w:rPr>
          <w:rFonts w:asciiTheme="majorBidi" w:hAnsiTheme="majorBidi" w:cstheme="majorBidi"/>
          <w:sz w:val="20"/>
          <w:szCs w:val="20"/>
        </w:rPr>
        <w:t xml:space="preserve">* (meropenem, imipenem, </w:t>
      </w:r>
      <w:proofErr w:type="spellStart"/>
      <w:r w:rsidRPr="00885DFB">
        <w:rPr>
          <w:rFonts w:asciiTheme="majorBidi" w:hAnsiTheme="majorBidi" w:cstheme="majorBidi"/>
          <w:sz w:val="20"/>
          <w:szCs w:val="20"/>
        </w:rPr>
        <w:t>doripenem</w:t>
      </w:r>
      <w:proofErr w:type="spellEnd"/>
      <w:r w:rsidRPr="00885DFB">
        <w:rPr>
          <w:rFonts w:asciiTheme="majorBidi" w:hAnsiTheme="majorBidi" w:cstheme="majorBidi"/>
          <w:sz w:val="20"/>
          <w:szCs w:val="20"/>
        </w:rPr>
        <w:t xml:space="preserve">, colistin, and (for </w:t>
      </w:r>
      <w:proofErr w:type="spellStart"/>
      <w:r w:rsidRPr="00885DFB">
        <w:rPr>
          <w:rFonts w:asciiTheme="majorBidi" w:hAnsiTheme="majorBidi" w:cstheme="majorBidi"/>
          <w:sz w:val="20"/>
          <w:szCs w:val="20"/>
        </w:rPr>
        <w:t>cIAI</w:t>
      </w:r>
      <w:proofErr w:type="spellEnd"/>
      <w:r w:rsidRPr="00885DFB">
        <w:rPr>
          <w:rFonts w:asciiTheme="majorBidi" w:hAnsiTheme="majorBidi" w:cstheme="majorBidi"/>
          <w:sz w:val="20"/>
          <w:szCs w:val="20"/>
        </w:rPr>
        <w:t>) tigecycline)</w:t>
      </w:r>
    </w:p>
    <w:p w14:paraId="734E0A5F" w14:textId="77777777" w:rsidR="009F01D8" w:rsidRPr="00885DFB" w:rsidRDefault="009F01D8" w:rsidP="009F01D8">
      <w:pPr>
        <w:jc w:val="both"/>
        <w:rPr>
          <w:rFonts w:asciiTheme="majorBidi" w:hAnsiTheme="majorBidi" w:cstheme="majorBidi"/>
        </w:rPr>
      </w:pPr>
      <w:r w:rsidRPr="00885DFB">
        <w:rPr>
          <w:rFonts w:asciiTheme="majorBidi" w:hAnsiTheme="majorBidi" w:cstheme="majorBidi"/>
          <w:sz w:val="20"/>
          <w:szCs w:val="20"/>
        </w:rPr>
        <w:t>**Q5a: what is the link between susceptibility and clinical outcomes? RCTs were checked for subgroup data relating to patients from either arm who were susceptible to the treatment they received.</w:t>
      </w:r>
    </w:p>
    <w:p w14:paraId="13F0E4F0" w14:textId="77777777" w:rsidR="009F01D8" w:rsidRPr="00885DFB" w:rsidRDefault="009F01D8" w:rsidP="009F01D8">
      <w:pPr>
        <w:spacing w:line="360" w:lineRule="auto"/>
        <w:jc w:val="both"/>
        <w:rPr>
          <w:rFonts w:asciiTheme="majorBidi" w:hAnsiTheme="majorBidi" w:cstheme="majorBidi"/>
        </w:rPr>
        <w:sectPr w:rsidR="009F01D8" w:rsidRPr="00885DFB" w:rsidSect="009F01D8">
          <w:pgSz w:w="16838" w:h="11906" w:orient="landscape"/>
          <w:pgMar w:top="1440" w:right="1440" w:bottom="1440" w:left="1440" w:header="709" w:footer="709" w:gutter="0"/>
          <w:cols w:space="708"/>
          <w:docGrid w:linePitch="360"/>
        </w:sectPr>
      </w:pPr>
    </w:p>
    <w:p w14:paraId="1B8B7992" w14:textId="2A564A3E" w:rsidR="009F01D8" w:rsidRPr="00886459" w:rsidRDefault="009F01D8" w:rsidP="00886459">
      <w:pPr>
        <w:pStyle w:val="Heading3"/>
        <w:ind w:left="360"/>
        <w:rPr>
          <w:rFonts w:asciiTheme="majorBidi" w:hAnsiTheme="majorBidi"/>
          <w:b w:val="0"/>
          <w:bCs/>
          <w:sz w:val="26"/>
          <w:szCs w:val="26"/>
        </w:rPr>
      </w:pPr>
      <w:bookmarkStart w:id="660" w:name="_Ref85124273"/>
      <w:bookmarkStart w:id="661" w:name="_Toc87463092"/>
      <w:r w:rsidRPr="00886459">
        <w:rPr>
          <w:rFonts w:asciiTheme="majorBidi" w:hAnsiTheme="majorBidi"/>
          <w:sz w:val="26"/>
          <w:szCs w:val="26"/>
        </w:rPr>
        <w:lastRenderedPageBreak/>
        <w:t>A6.2 Summary of results for the phase II study (Vazquez et al. 2012)</w:t>
      </w:r>
      <w:r w:rsidR="00A83123" w:rsidRPr="00886459">
        <w:rPr>
          <w:rFonts w:asciiTheme="majorBidi" w:hAnsiTheme="majorBidi"/>
          <w:sz w:val="26"/>
          <w:szCs w:val="26"/>
        </w:rPr>
        <w:t>34</w:t>
      </w:r>
      <w:r w:rsidRPr="00886459">
        <w:rPr>
          <w:rFonts w:asciiTheme="majorBidi" w:hAnsiTheme="majorBidi"/>
          <w:sz w:val="26"/>
          <w:szCs w:val="26"/>
        </w:rPr>
        <w:t xml:space="preserve"> not </w:t>
      </w:r>
      <w:r w:rsidR="00432C84" w:rsidRPr="00886459">
        <w:rPr>
          <w:rFonts w:asciiTheme="majorBidi" w:hAnsiTheme="majorBidi"/>
          <w:sz w:val="26"/>
          <w:szCs w:val="26"/>
        </w:rPr>
        <w:tab/>
      </w:r>
      <w:r w:rsidRPr="00886459">
        <w:rPr>
          <w:rFonts w:asciiTheme="majorBidi" w:hAnsiTheme="majorBidi"/>
          <w:sz w:val="26"/>
          <w:szCs w:val="26"/>
        </w:rPr>
        <w:t>included in the Pfizer company submission</w:t>
      </w:r>
      <w:bookmarkEnd w:id="660"/>
      <w:bookmarkEnd w:id="661"/>
    </w:p>
    <w:p w14:paraId="50C39A39" w14:textId="7166CDC7" w:rsidR="009F01D8" w:rsidRPr="009F6FA6" w:rsidRDefault="009F01D8" w:rsidP="00A83123">
      <w:pPr>
        <w:pStyle w:val="Caption"/>
        <w:jc w:val="both"/>
        <w:rPr>
          <w:rFonts w:asciiTheme="majorBidi" w:hAnsiTheme="majorBidi" w:cstheme="majorBidi"/>
          <w:b/>
          <w:bCs/>
          <w:i w:val="0"/>
          <w:iCs w:val="0"/>
          <w:sz w:val="20"/>
          <w:szCs w:val="20"/>
        </w:rPr>
      </w:pPr>
      <w:bookmarkStart w:id="662" w:name="_Ref85644589"/>
      <w:bookmarkStart w:id="663" w:name="_Toc73634783"/>
      <w:bookmarkStart w:id="664" w:name="_Toc63320100"/>
      <w:bookmarkStart w:id="665" w:name="_Toc83300876"/>
      <w:bookmarkStart w:id="666" w:name="_Toc86419031"/>
      <w:r w:rsidRPr="009F6FA6">
        <w:rPr>
          <w:rFonts w:asciiTheme="majorBidi" w:hAnsiTheme="majorBidi" w:cstheme="majorBidi"/>
          <w:b/>
          <w:bCs/>
          <w:i w:val="0"/>
          <w:iCs w:val="0"/>
          <w:sz w:val="20"/>
          <w:szCs w:val="20"/>
        </w:rPr>
        <w:t xml:space="preserve">Table </w:t>
      </w:r>
      <w:r w:rsidR="00F10F0A">
        <w:rPr>
          <w:rFonts w:asciiTheme="majorBidi" w:hAnsiTheme="majorBidi" w:cstheme="majorBidi"/>
          <w:b/>
          <w:bCs/>
          <w:i w:val="0"/>
          <w:iCs w:val="0"/>
          <w:noProof/>
          <w:sz w:val="20"/>
          <w:szCs w:val="20"/>
        </w:rPr>
        <w:t>54</w:t>
      </w:r>
      <w:bookmarkEnd w:id="662"/>
      <w:r w:rsidR="009F6FA6" w:rsidRPr="009F6FA6">
        <w:rPr>
          <w:rFonts w:asciiTheme="majorBidi" w:hAnsiTheme="majorBidi" w:cstheme="majorBidi"/>
          <w:b/>
          <w:bCs/>
          <w:i w:val="0"/>
          <w:iCs w:val="0"/>
          <w:sz w:val="20"/>
          <w:szCs w:val="20"/>
        </w:rPr>
        <w:t xml:space="preserve"> </w:t>
      </w:r>
      <w:r w:rsidRPr="009F6FA6">
        <w:rPr>
          <w:rFonts w:asciiTheme="majorBidi" w:hAnsiTheme="majorBidi" w:cstheme="majorBidi"/>
          <w:b/>
          <w:bCs/>
          <w:i w:val="0"/>
          <w:iCs w:val="0"/>
          <w:sz w:val="20"/>
          <w:szCs w:val="20"/>
        </w:rPr>
        <w:t>Vazquez 2012</w:t>
      </w:r>
      <w:r w:rsidR="00A83123" w:rsidRPr="00A83123">
        <w:rPr>
          <w:rFonts w:asciiTheme="majorBidi" w:hAnsiTheme="majorBidi" w:cstheme="majorBidi"/>
          <w:b/>
          <w:bCs/>
          <w:i w:val="0"/>
          <w:iCs w:val="0"/>
          <w:noProof/>
          <w:sz w:val="20"/>
          <w:szCs w:val="20"/>
          <w:vertAlign w:val="superscript"/>
        </w:rPr>
        <w:t>34</w:t>
      </w:r>
      <w:r w:rsidRPr="009F6FA6">
        <w:rPr>
          <w:rFonts w:asciiTheme="majorBidi" w:hAnsiTheme="majorBidi" w:cstheme="majorBidi"/>
          <w:b/>
          <w:bCs/>
          <w:i w:val="0"/>
          <w:iCs w:val="0"/>
          <w:sz w:val="20"/>
          <w:szCs w:val="20"/>
        </w:rPr>
        <w:t xml:space="preserve"> RCT summary of results</w:t>
      </w:r>
      <w:bookmarkEnd w:id="663"/>
      <w:bookmarkEnd w:id="664"/>
      <w:bookmarkEnd w:id="665"/>
      <w:bookmarkEnd w:id="666"/>
    </w:p>
    <w:tbl>
      <w:tblPr>
        <w:tblStyle w:val="TableGrid"/>
        <w:tblW w:w="5000" w:type="pct"/>
        <w:tblLook w:val="00A0" w:firstRow="1" w:lastRow="0" w:firstColumn="1" w:lastColumn="0" w:noHBand="0" w:noVBand="0"/>
      </w:tblPr>
      <w:tblGrid>
        <w:gridCol w:w="1980"/>
        <w:gridCol w:w="7036"/>
      </w:tblGrid>
      <w:tr w:rsidR="009F01D8" w:rsidRPr="009F6FA6" w14:paraId="14B3E866" w14:textId="77777777" w:rsidTr="009F01D8">
        <w:trPr>
          <w:trHeight w:val="20"/>
        </w:trPr>
        <w:tc>
          <w:tcPr>
            <w:tcW w:w="1098" w:type="pct"/>
            <w:hideMark/>
          </w:tcPr>
          <w:p w14:paraId="7B0061C8" w14:textId="77777777" w:rsidR="009F01D8" w:rsidRPr="009F6FA6" w:rsidRDefault="009F01D8" w:rsidP="009F01D8">
            <w:pPr>
              <w:pStyle w:val="TableContent"/>
              <w:rPr>
                <w:rFonts w:asciiTheme="majorBidi" w:hAnsiTheme="majorBidi" w:cstheme="majorBidi"/>
                <w:b/>
                <w:bCs/>
                <w:szCs w:val="22"/>
              </w:rPr>
            </w:pPr>
            <w:r w:rsidRPr="009F6FA6">
              <w:rPr>
                <w:rFonts w:asciiTheme="majorBidi" w:hAnsiTheme="majorBidi" w:cstheme="majorBidi"/>
                <w:b/>
                <w:bCs/>
                <w:szCs w:val="22"/>
              </w:rPr>
              <w:t>Outcomes</w:t>
            </w:r>
          </w:p>
        </w:tc>
        <w:tc>
          <w:tcPr>
            <w:tcW w:w="3902" w:type="pct"/>
            <w:hideMark/>
          </w:tcPr>
          <w:p w14:paraId="58B43722" w14:textId="77777777" w:rsidR="009F01D8" w:rsidRPr="009F6FA6" w:rsidRDefault="009F01D8" w:rsidP="009F01D8">
            <w:pPr>
              <w:pStyle w:val="TableContent"/>
              <w:rPr>
                <w:rFonts w:asciiTheme="majorBidi" w:hAnsiTheme="majorBidi" w:cstheme="majorBidi"/>
                <w:b/>
                <w:bCs/>
                <w:szCs w:val="22"/>
              </w:rPr>
            </w:pPr>
            <w:r w:rsidRPr="009F6FA6">
              <w:rPr>
                <w:rFonts w:asciiTheme="majorBidi" w:hAnsiTheme="majorBidi" w:cstheme="majorBidi"/>
                <w:b/>
                <w:bCs/>
                <w:szCs w:val="22"/>
              </w:rPr>
              <w:t>Results</w:t>
            </w:r>
          </w:p>
        </w:tc>
      </w:tr>
      <w:tr w:rsidR="009F01D8" w:rsidRPr="009F6FA6" w14:paraId="474E1894" w14:textId="77777777" w:rsidTr="009F01D8">
        <w:trPr>
          <w:trHeight w:val="20"/>
        </w:trPr>
        <w:tc>
          <w:tcPr>
            <w:tcW w:w="1098" w:type="pct"/>
            <w:hideMark/>
          </w:tcPr>
          <w:p w14:paraId="54E74AC0"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Efficacy results- primary endpoint</w:t>
            </w:r>
          </w:p>
        </w:tc>
        <w:tc>
          <w:tcPr>
            <w:tcW w:w="3902" w:type="pct"/>
            <w:hideMark/>
          </w:tcPr>
          <w:p w14:paraId="482B7C58"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Favourable microbiological response in the ME population at the TOC visit was observed in 19/27 (70.4%) patients in the CAZ-AVI arm and 25/35 (71.4%) in the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 (observed difference -1.1% [95% CI: -27.2%, 25.0%])</w:t>
            </w:r>
          </w:p>
        </w:tc>
      </w:tr>
      <w:tr w:rsidR="009F01D8" w:rsidRPr="009F6FA6" w14:paraId="70CCDB73" w14:textId="77777777" w:rsidTr="009F01D8">
        <w:trPr>
          <w:trHeight w:val="20"/>
        </w:trPr>
        <w:tc>
          <w:tcPr>
            <w:tcW w:w="1098" w:type="pct"/>
            <w:hideMark/>
          </w:tcPr>
          <w:p w14:paraId="1A11D317"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Efficacy results - key secondary endpoint(s)</w:t>
            </w:r>
          </w:p>
        </w:tc>
        <w:tc>
          <w:tcPr>
            <w:tcW w:w="3902" w:type="pct"/>
            <w:hideMark/>
          </w:tcPr>
          <w:p w14:paraId="38DBCD5B" w14:textId="77777777" w:rsidR="009F01D8" w:rsidRPr="009F6FA6" w:rsidRDefault="009F01D8" w:rsidP="009F01D8">
            <w:pPr>
              <w:pStyle w:val="bulletsintable"/>
              <w:numPr>
                <w:ilvl w:val="0"/>
                <w:numId w:val="0"/>
              </w:numPr>
              <w:jc w:val="both"/>
              <w:rPr>
                <w:rFonts w:asciiTheme="majorBidi" w:hAnsiTheme="majorBidi" w:cstheme="majorBidi"/>
                <w:szCs w:val="22"/>
              </w:rPr>
            </w:pPr>
            <w:r w:rsidRPr="009F6FA6">
              <w:rPr>
                <w:rFonts w:asciiTheme="majorBidi" w:hAnsiTheme="majorBidi" w:cstheme="majorBidi"/>
                <w:szCs w:val="22"/>
              </w:rPr>
              <w:t>ME population</w:t>
            </w:r>
          </w:p>
          <w:p w14:paraId="6361F825"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Favourable microbiological response rates at the end of iv therapy were 25/26 (96.2%) and 34/34 (100%) in the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arms, respectively</w:t>
            </w:r>
          </w:p>
          <w:p w14:paraId="40798659"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LFU visit, 3/26 (11.5%) and 2/30 (6.7%) patients in the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arms, respectively, reported a recurrence, while 8/26 (30.8%) and 10/30 (33.3%), respectively, were diagnosed with persistent infections</w:t>
            </w:r>
          </w:p>
          <w:p w14:paraId="1123D52F" w14:textId="77777777" w:rsidR="009F01D8" w:rsidRPr="009F6FA6" w:rsidRDefault="009F01D8" w:rsidP="009F01D8">
            <w:pPr>
              <w:pStyle w:val="bulletsintable"/>
              <w:numPr>
                <w:ilvl w:val="0"/>
                <w:numId w:val="0"/>
              </w:numPr>
              <w:jc w:val="both"/>
              <w:rPr>
                <w:rFonts w:asciiTheme="majorBidi" w:hAnsiTheme="majorBidi" w:cstheme="majorBidi"/>
                <w:szCs w:val="22"/>
              </w:rPr>
            </w:pPr>
            <w:r w:rsidRPr="009F6FA6">
              <w:rPr>
                <w:rFonts w:asciiTheme="majorBidi" w:hAnsiTheme="majorBidi" w:cstheme="majorBidi"/>
                <w:szCs w:val="22"/>
              </w:rPr>
              <w:t>CE population</w:t>
            </w:r>
          </w:p>
          <w:p w14:paraId="26B61F2D"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Favourable clinical response was observed in all patients in both treatment arms at the end of iv therapy.</w:t>
            </w:r>
          </w:p>
          <w:p w14:paraId="33D6D68B"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TOC visit, clinical response was maintained in 24/28 (85.7%) and 29/36 (80.6%) of patients in the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arms, respectively (observed difference 5.2 [95% CI: -16.3%, 26.6%]).</w:t>
            </w:r>
          </w:p>
          <w:p w14:paraId="53F15A20"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LFU visit, sustained clinical responses were achieved in 20/27 (74.1%) and 24/ 36 (66.7%) patients in the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arms, respectively (observed difference 7.4 [95% CI: -18.4%, 33.2%]).</w:t>
            </w:r>
          </w:p>
          <w:p w14:paraId="6D1B7056" w14:textId="77777777" w:rsidR="009F01D8" w:rsidRPr="009F6FA6" w:rsidRDefault="009F01D8" w:rsidP="009F01D8">
            <w:pPr>
              <w:pStyle w:val="bulletsintable"/>
              <w:numPr>
                <w:ilvl w:val="0"/>
                <w:numId w:val="0"/>
              </w:numPr>
              <w:jc w:val="both"/>
              <w:rPr>
                <w:rFonts w:asciiTheme="majorBidi" w:hAnsiTheme="majorBidi" w:cstheme="majorBidi"/>
                <w:szCs w:val="22"/>
              </w:rPr>
            </w:pPr>
            <w:r w:rsidRPr="009F6FA6">
              <w:rPr>
                <w:rFonts w:asciiTheme="majorBidi" w:hAnsiTheme="majorBidi" w:cstheme="majorBidi"/>
                <w:szCs w:val="22"/>
              </w:rPr>
              <w:t>Microbiological and clinical responses</w:t>
            </w:r>
          </w:p>
          <w:p w14:paraId="50B196F7"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Favourable microbiological and clinical responses were achieved in 18/27 (66.7%) ME patients treated with CAZ-AVI, and 21/35 (60.0%) ME patients treated with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at the TOC visit (observed difference 6.7 [95% CI: -17.4%, 30.7%]). </w:t>
            </w:r>
          </w:p>
          <w:p w14:paraId="47F96828"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LFU visit, 14/26 (53.8%) and 18/30 (60%) of patients treated with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respectively.</w:t>
            </w:r>
          </w:p>
          <w:p w14:paraId="461DABFC" w14:textId="77777777" w:rsidR="009F01D8" w:rsidRPr="009F6FA6" w:rsidRDefault="009F01D8" w:rsidP="009F01D8">
            <w:pPr>
              <w:pStyle w:val="bulletsintable"/>
              <w:numPr>
                <w:ilvl w:val="0"/>
                <w:numId w:val="0"/>
              </w:numPr>
              <w:jc w:val="both"/>
              <w:rPr>
                <w:rFonts w:asciiTheme="majorBidi" w:hAnsiTheme="majorBidi" w:cstheme="majorBidi"/>
                <w:szCs w:val="22"/>
              </w:rPr>
            </w:pPr>
            <w:r w:rsidRPr="009F6FA6">
              <w:rPr>
                <w:rFonts w:asciiTheme="majorBidi" w:hAnsiTheme="majorBidi" w:cstheme="majorBidi"/>
                <w:szCs w:val="22"/>
              </w:rPr>
              <w:t>MITT population</w:t>
            </w:r>
          </w:p>
          <w:p w14:paraId="7B5BBA22"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Favourable microbiological response (eradication) at the end of iv therapy was achieved in 40/46 (87.0%) of patients in the CAZ-AVI group and 45/49 (91.8%) of patients in the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group (observed difference -4.0 [95% CI: -19.4%, 9.6%])</w:t>
            </w:r>
          </w:p>
          <w:p w14:paraId="0900B785"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TOC visit, eradication was reported in 31/46 (67.4%) of patients in the CAZ-AVI group and in 31/49 (63.3%) of patients in the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group (observed difference 4.1 [95% CI: -17.1%, 25.4%]). </w:t>
            </w:r>
          </w:p>
          <w:p w14:paraId="7B8D24E2"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At the LFU visit, sustained microbiologic eradication was observed in 23/46 (50.0%) of patients and 23/49 (46.9%) of patients in each group, respectively (observed difference 3.1 [95% CI: -19.1%, 25.3%]).</w:t>
            </w:r>
          </w:p>
        </w:tc>
      </w:tr>
      <w:tr w:rsidR="009F01D8" w:rsidRPr="009F6FA6" w14:paraId="36428FF5" w14:textId="77777777" w:rsidTr="009F01D8">
        <w:trPr>
          <w:trHeight w:val="20"/>
        </w:trPr>
        <w:tc>
          <w:tcPr>
            <w:tcW w:w="1098" w:type="pct"/>
            <w:hideMark/>
          </w:tcPr>
          <w:p w14:paraId="7E0BB399"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lastRenderedPageBreak/>
              <w:t>Safety results</w:t>
            </w:r>
          </w:p>
        </w:tc>
        <w:tc>
          <w:tcPr>
            <w:tcW w:w="3902" w:type="pct"/>
            <w:hideMark/>
          </w:tcPr>
          <w:p w14:paraId="21F5F948"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Over the course of the study, AEs were reported in 46/68 (67.6%) patients in the CAZ-AVI arm and 51/67 (76.1%) patients in the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w:t>
            </w:r>
          </w:p>
          <w:p w14:paraId="74690D01"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The most common AEs in both treatment arms included constipation, diarrhoea, abdominal pain, headache, anxiety, and injection/infusion site reactions</w:t>
            </w:r>
          </w:p>
          <w:p w14:paraId="7D24D4FF"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Treatment-emergent serious AEs (SAEs) were reported in 6/68 (8.8%) and 2/67 (3.0%) of patients in the CAZ-AVI and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arms, respectively, </w:t>
            </w:r>
            <w:proofErr w:type="gramStart"/>
            <w:r w:rsidRPr="009F6FA6">
              <w:rPr>
                <w:rFonts w:asciiTheme="majorBidi" w:hAnsiTheme="majorBidi" w:cstheme="majorBidi"/>
                <w:szCs w:val="22"/>
              </w:rPr>
              <w:t>during the course of</w:t>
            </w:r>
            <w:proofErr w:type="gramEnd"/>
            <w:r w:rsidRPr="009F6FA6">
              <w:rPr>
                <w:rFonts w:asciiTheme="majorBidi" w:hAnsiTheme="majorBidi" w:cstheme="majorBidi"/>
                <w:szCs w:val="22"/>
              </w:rPr>
              <w:t xml:space="preserve"> the study.</w:t>
            </w:r>
          </w:p>
          <w:p w14:paraId="090C41BC" w14:textId="77777777" w:rsidR="009F01D8" w:rsidRPr="009F6FA6" w:rsidRDefault="009F01D8" w:rsidP="009F01D8">
            <w:pPr>
              <w:pStyle w:val="bulletsintable"/>
              <w:jc w:val="both"/>
              <w:rPr>
                <w:rFonts w:asciiTheme="majorBidi" w:hAnsiTheme="majorBidi" w:cstheme="majorBidi"/>
                <w:szCs w:val="22"/>
              </w:rPr>
            </w:pPr>
            <w:r w:rsidRPr="009F6FA6">
              <w:rPr>
                <w:rFonts w:asciiTheme="majorBidi" w:hAnsiTheme="majorBidi" w:cstheme="majorBidi"/>
                <w:szCs w:val="22"/>
              </w:rPr>
              <w:t xml:space="preserve">Three of the SAEs in the CAZ-AVI arm </w:t>
            </w:r>
            <w:proofErr w:type="gramStart"/>
            <w:r w:rsidRPr="009F6FA6">
              <w:rPr>
                <w:rFonts w:asciiTheme="majorBidi" w:hAnsiTheme="majorBidi" w:cstheme="majorBidi"/>
                <w:szCs w:val="22"/>
              </w:rPr>
              <w:t>were considered to be</w:t>
            </w:r>
            <w:proofErr w:type="gramEnd"/>
            <w:r w:rsidRPr="009F6FA6">
              <w:rPr>
                <w:rFonts w:asciiTheme="majorBidi" w:hAnsiTheme="majorBidi" w:cstheme="majorBidi"/>
                <w:szCs w:val="22"/>
              </w:rPr>
              <w:t xml:space="preserve"> drug-related: renal failure, </w:t>
            </w:r>
            <w:proofErr w:type="spellStart"/>
            <w:r w:rsidRPr="009F6FA6">
              <w:rPr>
                <w:rFonts w:asciiTheme="majorBidi" w:hAnsiTheme="majorBidi" w:cstheme="majorBidi"/>
                <w:szCs w:val="22"/>
              </w:rPr>
              <w:t>diarrhea</w:t>
            </w:r>
            <w:proofErr w:type="spellEnd"/>
            <w:r w:rsidRPr="009F6FA6">
              <w:rPr>
                <w:rFonts w:asciiTheme="majorBidi" w:hAnsiTheme="majorBidi" w:cstheme="majorBidi"/>
                <w:szCs w:val="22"/>
              </w:rPr>
              <w:t>, and accidental overdose of CAZ-AVI. One patient in the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arm developed a drug-related SAE associated with an increase in serum creatinine level.</w:t>
            </w:r>
          </w:p>
        </w:tc>
      </w:tr>
      <w:tr w:rsidR="009F01D8" w:rsidRPr="009F6FA6" w14:paraId="6761C85B" w14:textId="77777777" w:rsidTr="009F01D8">
        <w:trPr>
          <w:trHeight w:val="20"/>
        </w:trPr>
        <w:tc>
          <w:tcPr>
            <w:tcW w:w="1098" w:type="pct"/>
            <w:hideMark/>
          </w:tcPr>
          <w:p w14:paraId="3299687F"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Conclusion(s)</w:t>
            </w:r>
          </w:p>
        </w:tc>
        <w:tc>
          <w:tcPr>
            <w:tcW w:w="3902" w:type="pct"/>
            <w:hideMark/>
          </w:tcPr>
          <w:p w14:paraId="424A9658"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CAZ/AVI</w:t>
            </w:r>
            <w:r w:rsidRPr="009F6FA6">
              <w:rPr>
                <w:rFonts w:asciiTheme="majorBidi" w:hAnsiTheme="majorBidi" w:cstheme="majorBidi"/>
                <w:szCs w:val="22"/>
                <w:vertAlign w:val="superscript"/>
              </w:rPr>
              <w:t xml:space="preserve"> </w:t>
            </w:r>
            <w:r w:rsidRPr="009F6FA6">
              <w:rPr>
                <w:rFonts w:asciiTheme="majorBidi" w:hAnsiTheme="majorBidi" w:cstheme="majorBidi"/>
                <w:szCs w:val="22"/>
              </w:rPr>
              <w:t xml:space="preserve">and BAT led to the same proportion of patients achieving an overall clinical cure at the test-of-cure visit in the </w:t>
            </w:r>
            <w:proofErr w:type="spellStart"/>
            <w:r w:rsidRPr="009F6FA6">
              <w:rPr>
                <w:rFonts w:asciiTheme="majorBidi" w:hAnsiTheme="majorBidi" w:cstheme="majorBidi"/>
                <w:szCs w:val="22"/>
              </w:rPr>
              <w:t>mMITT</w:t>
            </w:r>
            <w:proofErr w:type="spellEnd"/>
            <w:r w:rsidRPr="009F6FA6">
              <w:rPr>
                <w:rFonts w:asciiTheme="majorBidi" w:hAnsiTheme="majorBidi" w:cstheme="majorBidi"/>
                <w:szCs w:val="22"/>
              </w:rPr>
              <w:t xml:space="preserve"> population (91% in both groups).</w:t>
            </w:r>
          </w:p>
          <w:p w14:paraId="42768F60"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 xml:space="preserve">The efficacy and safety of CAZ-AVI may be </w:t>
            </w:r>
            <w:proofErr w:type="gramStart"/>
            <w:r w:rsidRPr="009F6FA6">
              <w:rPr>
                <w:rFonts w:asciiTheme="majorBidi" w:hAnsiTheme="majorBidi" w:cstheme="majorBidi"/>
                <w:szCs w:val="22"/>
              </w:rPr>
              <w:t>similar to</w:t>
            </w:r>
            <w:proofErr w:type="gramEnd"/>
            <w:r w:rsidRPr="009F6FA6">
              <w:rPr>
                <w:rFonts w:asciiTheme="majorBidi" w:hAnsiTheme="majorBidi" w:cstheme="majorBidi"/>
                <w:szCs w:val="22"/>
              </w:rPr>
              <w:t xml:space="preserve"> that of imipenem–</w:t>
            </w:r>
            <w:proofErr w:type="spellStart"/>
            <w:r w:rsidRPr="009F6FA6">
              <w:rPr>
                <w:rFonts w:asciiTheme="majorBidi" w:hAnsiTheme="majorBidi" w:cstheme="majorBidi"/>
                <w:szCs w:val="22"/>
              </w:rPr>
              <w:t>cilastatin</w:t>
            </w:r>
            <w:proofErr w:type="spellEnd"/>
            <w:r w:rsidRPr="009F6FA6">
              <w:rPr>
                <w:rFonts w:asciiTheme="majorBidi" w:hAnsiTheme="majorBidi" w:cstheme="majorBidi"/>
                <w:szCs w:val="22"/>
              </w:rPr>
              <w:t xml:space="preserve"> for the treatment of </w:t>
            </w:r>
            <w:proofErr w:type="spellStart"/>
            <w:r w:rsidRPr="009F6FA6">
              <w:rPr>
                <w:rFonts w:asciiTheme="majorBidi" w:hAnsiTheme="majorBidi" w:cstheme="majorBidi"/>
                <w:szCs w:val="22"/>
              </w:rPr>
              <w:t>cUTI</w:t>
            </w:r>
            <w:proofErr w:type="spellEnd"/>
            <w:r w:rsidRPr="009F6FA6">
              <w:rPr>
                <w:rFonts w:asciiTheme="majorBidi" w:hAnsiTheme="majorBidi" w:cstheme="majorBidi"/>
                <w:szCs w:val="22"/>
              </w:rPr>
              <w:t xml:space="preserve"> in adults, including those with ceftazidime-non-susceptible</w:t>
            </w:r>
          </w:p>
          <w:p w14:paraId="596734CF" w14:textId="77777777" w:rsidR="009F01D8" w:rsidRPr="009F6FA6" w:rsidRDefault="009F01D8" w:rsidP="009F01D8">
            <w:pPr>
              <w:pStyle w:val="TableContent"/>
              <w:rPr>
                <w:rFonts w:asciiTheme="majorBidi" w:hAnsiTheme="majorBidi" w:cstheme="majorBidi"/>
                <w:szCs w:val="22"/>
              </w:rPr>
            </w:pPr>
            <w:r w:rsidRPr="009F6FA6">
              <w:rPr>
                <w:rFonts w:asciiTheme="majorBidi" w:hAnsiTheme="majorBidi" w:cstheme="majorBidi"/>
                <w:szCs w:val="22"/>
              </w:rPr>
              <w:t>pathogens.</w:t>
            </w:r>
          </w:p>
        </w:tc>
      </w:tr>
    </w:tbl>
    <w:p w14:paraId="09794B24" w14:textId="1F40ACDA" w:rsidR="009F01D8" w:rsidRDefault="00001050" w:rsidP="009F01D8">
      <w:pPr>
        <w:jc w:val="both"/>
      </w:pPr>
      <w:r w:rsidRPr="009F6FA6">
        <w:rPr>
          <w:rFonts w:asciiTheme="majorBidi" w:hAnsiTheme="majorBidi" w:cstheme="majorBidi"/>
        </w:rPr>
        <w:t>CE: clinically evaluable; ME: microbiologically evaluable; LFU: late follow-up; MITT: modified intention-to-treat; TOC: test-of-cure</w:t>
      </w:r>
    </w:p>
    <w:p w14:paraId="5715FF17" w14:textId="01E7F784" w:rsidR="009F01D8" w:rsidRPr="00885DFB" w:rsidRDefault="00001050" w:rsidP="00001050">
      <w:pPr>
        <w:rPr>
          <w:rFonts w:asciiTheme="majorBidi" w:hAnsiTheme="majorBidi" w:cstheme="majorBidi"/>
        </w:rPr>
      </w:pPr>
      <w:r>
        <w:rPr>
          <w:rFonts w:asciiTheme="majorBidi" w:hAnsiTheme="majorBidi" w:cstheme="majorBidi"/>
        </w:rPr>
        <w:br w:type="page"/>
      </w:r>
    </w:p>
    <w:p w14:paraId="1010E915" w14:textId="778D6FA7" w:rsidR="009F01D8" w:rsidRPr="00886459" w:rsidRDefault="009F01D8" w:rsidP="00886459">
      <w:pPr>
        <w:pStyle w:val="Heading3"/>
        <w:ind w:left="360"/>
        <w:rPr>
          <w:rFonts w:asciiTheme="majorBidi" w:hAnsiTheme="majorBidi"/>
          <w:sz w:val="26"/>
          <w:szCs w:val="26"/>
        </w:rPr>
      </w:pPr>
      <w:bookmarkStart w:id="667" w:name="_Toc83890512"/>
      <w:bookmarkStart w:id="668" w:name="_Toc87463093"/>
      <w:r w:rsidRPr="00886459">
        <w:rPr>
          <w:rFonts w:asciiTheme="majorBidi" w:hAnsiTheme="majorBidi"/>
          <w:sz w:val="26"/>
          <w:szCs w:val="26"/>
        </w:rPr>
        <w:lastRenderedPageBreak/>
        <w:t xml:space="preserve">A6.3 Review 2: </w:t>
      </w:r>
      <w:bookmarkEnd w:id="667"/>
      <w:r w:rsidRPr="00886459">
        <w:rPr>
          <w:rFonts w:asciiTheme="majorBidi" w:hAnsiTheme="majorBidi"/>
          <w:sz w:val="26"/>
          <w:szCs w:val="26"/>
        </w:rPr>
        <w:t>Observational studies</w:t>
      </w:r>
      <w:bookmarkEnd w:id="668"/>
      <w:r w:rsidRPr="00886459">
        <w:rPr>
          <w:rFonts w:asciiTheme="majorBidi" w:hAnsiTheme="majorBidi"/>
          <w:sz w:val="26"/>
          <w:szCs w:val="26"/>
        </w:rPr>
        <w:t xml:space="preserve"> </w:t>
      </w:r>
    </w:p>
    <w:p w14:paraId="73CA88F7" w14:textId="3A9F699D" w:rsidR="009F01D8" w:rsidRDefault="009F01D8" w:rsidP="009F01D8">
      <w:pPr>
        <w:spacing w:line="360" w:lineRule="auto"/>
        <w:jc w:val="both"/>
        <w:rPr>
          <w:rFonts w:asciiTheme="majorBidi" w:eastAsiaTheme="majorEastAsia" w:hAnsiTheme="majorBidi" w:cstheme="majorBidi"/>
          <w:b/>
          <w:bCs/>
          <w:sz w:val="24"/>
          <w:szCs w:val="26"/>
        </w:rPr>
      </w:pPr>
      <w:r w:rsidRPr="008546E0">
        <w:rPr>
          <w:rFonts w:asciiTheme="majorBidi" w:eastAsiaTheme="majorEastAsia" w:hAnsiTheme="majorBidi" w:cstheme="majorBidi"/>
          <w:b/>
          <w:bCs/>
          <w:sz w:val="24"/>
          <w:szCs w:val="26"/>
        </w:rPr>
        <w:t xml:space="preserve">Based on observational studies, what is the comparative effectiveness of the intervention and comparators in patients with </w:t>
      </w:r>
      <w:proofErr w:type="spellStart"/>
      <w:r w:rsidRPr="008546E0">
        <w:rPr>
          <w:rFonts w:asciiTheme="majorBidi" w:eastAsiaTheme="majorEastAsia" w:hAnsiTheme="majorBidi" w:cstheme="majorBidi"/>
          <w:b/>
          <w:bCs/>
          <w:sz w:val="24"/>
          <w:szCs w:val="26"/>
        </w:rPr>
        <w:t>cUTI</w:t>
      </w:r>
      <w:proofErr w:type="spellEnd"/>
      <w:r w:rsidRPr="008546E0">
        <w:rPr>
          <w:rFonts w:asciiTheme="majorBidi" w:eastAsiaTheme="majorEastAsia" w:hAnsiTheme="majorBidi" w:cstheme="majorBidi"/>
          <w:b/>
          <w:bCs/>
          <w:sz w:val="24"/>
          <w:szCs w:val="26"/>
        </w:rPr>
        <w:t xml:space="preserve"> or HAP/VAP caused by </w:t>
      </w:r>
      <w:r w:rsidR="00FE2007">
        <w:rPr>
          <w:rFonts w:asciiTheme="majorBidi" w:eastAsiaTheme="majorEastAsia" w:hAnsiTheme="majorBidi" w:cstheme="majorBidi"/>
          <w:b/>
          <w:bCs/>
          <w:sz w:val="24"/>
          <w:szCs w:val="26"/>
        </w:rPr>
        <w:t xml:space="preserve">an OXA-48 </w:t>
      </w:r>
      <w:proofErr w:type="spellStart"/>
      <w:r w:rsidR="00FE2007" w:rsidRPr="00FE2007">
        <w:rPr>
          <w:rFonts w:asciiTheme="majorBidi" w:eastAsiaTheme="majorEastAsia" w:hAnsiTheme="majorBidi" w:cstheme="majorBidi"/>
          <w:b/>
          <w:bCs/>
          <w:i/>
          <w:iCs/>
          <w:sz w:val="24"/>
          <w:szCs w:val="26"/>
        </w:rPr>
        <w:t>Enterobacterales</w:t>
      </w:r>
      <w:proofErr w:type="spellEnd"/>
      <w:r w:rsidRPr="008546E0">
        <w:rPr>
          <w:rFonts w:asciiTheme="majorBidi" w:eastAsiaTheme="majorEastAsia" w:hAnsiTheme="majorBidi" w:cstheme="majorBidi"/>
          <w:b/>
          <w:bCs/>
          <w:sz w:val="24"/>
          <w:szCs w:val="26"/>
        </w:rPr>
        <w:t xml:space="preserve"> infection?</w:t>
      </w:r>
    </w:p>
    <w:p w14:paraId="3BF570BB" w14:textId="77777777" w:rsidR="009F01D8" w:rsidRPr="00885DFB" w:rsidRDefault="009F01D8" w:rsidP="009F01D8">
      <w:pPr>
        <w:spacing w:line="360" w:lineRule="auto"/>
        <w:jc w:val="both"/>
        <w:rPr>
          <w:rFonts w:asciiTheme="majorBidi" w:hAnsiTheme="majorBidi" w:cstheme="majorBidi"/>
        </w:rPr>
      </w:pPr>
      <w:r w:rsidRPr="00885DFB">
        <w:rPr>
          <w:rFonts w:asciiTheme="majorBidi" w:hAnsiTheme="majorBidi" w:cstheme="majorBidi"/>
        </w:rPr>
        <w:t xml:space="preserve">Since the RCTs did not recruit or report outcomes for subgroups of patients with OXA-48 infections, and were largely in patients susceptible to carbapenems, Approach 2 was considered. </w:t>
      </w:r>
    </w:p>
    <w:p w14:paraId="51F2794B" w14:textId="221FA3DA"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Of the studies included in the key characteristics mapping, 9</w:t>
      </w:r>
      <w:r w:rsidR="00A83123" w:rsidRPr="00A83123">
        <w:rPr>
          <w:rFonts w:asciiTheme="majorBidi" w:hAnsiTheme="majorBidi" w:cstheme="majorBidi"/>
          <w:noProof/>
          <w:vertAlign w:val="superscript"/>
        </w:rPr>
        <w:t>36-43,96</w:t>
      </w:r>
      <w:r w:rsidRPr="00885DFB">
        <w:rPr>
          <w:rFonts w:asciiTheme="majorBidi" w:hAnsiTheme="majorBidi" w:cstheme="majorBidi"/>
        </w:rPr>
        <w:t xml:space="preserve"> </w:t>
      </w:r>
      <w:proofErr w:type="gramStart"/>
      <w:r w:rsidRPr="00885DFB">
        <w:rPr>
          <w:rFonts w:asciiTheme="majorBidi" w:hAnsiTheme="majorBidi" w:cstheme="majorBidi"/>
        </w:rPr>
        <w:t>were</w:t>
      </w:r>
      <w:proofErr w:type="gramEnd"/>
      <w:r w:rsidRPr="00885DFB">
        <w:rPr>
          <w:rFonts w:asciiTheme="majorBidi" w:hAnsiTheme="majorBidi" w:cstheme="majorBidi"/>
        </w:rPr>
        <w:t xml:space="preserve"> observational or case-control studies, reporting treatment with CAZ-AVI.</w:t>
      </w:r>
    </w:p>
    <w:p w14:paraId="5E241766" w14:textId="259C67A8" w:rsidR="009F01D8" w:rsidRPr="00885DFB" w:rsidRDefault="009F01D8" w:rsidP="00A83123">
      <w:pPr>
        <w:spacing w:line="360" w:lineRule="auto"/>
        <w:jc w:val="both"/>
        <w:rPr>
          <w:rFonts w:asciiTheme="majorBidi" w:hAnsiTheme="majorBidi" w:cstheme="majorBidi"/>
        </w:rPr>
      </w:pPr>
      <w:r w:rsidRPr="00885DFB">
        <w:rPr>
          <w:rFonts w:asciiTheme="majorBidi" w:hAnsiTheme="majorBidi" w:cstheme="majorBidi"/>
        </w:rPr>
        <w:t>Of the nine observational studies</w:t>
      </w:r>
      <w:r w:rsidR="00A83123" w:rsidRPr="00A83123">
        <w:rPr>
          <w:rFonts w:asciiTheme="majorBidi" w:hAnsiTheme="majorBidi" w:cstheme="majorBidi"/>
          <w:noProof/>
          <w:vertAlign w:val="superscript"/>
        </w:rPr>
        <w:t>36-43,96</w:t>
      </w:r>
      <w:r w:rsidRPr="00885DFB">
        <w:rPr>
          <w:rFonts w:asciiTheme="majorBidi" w:hAnsiTheme="majorBidi" w:cstheme="majorBidi"/>
        </w:rPr>
        <w:t xml:space="preserve"> (</w:t>
      </w:r>
      <w:r w:rsidR="005158B3" w:rsidRPr="005158B3">
        <w:rPr>
          <w:rFonts w:asciiTheme="majorBidi" w:hAnsiTheme="majorBidi" w:cstheme="majorBidi"/>
        </w:rPr>
        <w:t xml:space="preserve">Table </w:t>
      </w:r>
      <w:r w:rsidR="005158B3" w:rsidRPr="005158B3">
        <w:rPr>
          <w:rFonts w:asciiTheme="majorBidi" w:hAnsiTheme="majorBidi" w:cstheme="majorBidi"/>
          <w:noProof/>
        </w:rPr>
        <w:t>48</w:t>
      </w:r>
      <w:r w:rsidRPr="00885DFB">
        <w:rPr>
          <w:rFonts w:asciiTheme="majorBidi" w:hAnsiTheme="majorBidi" w:cstheme="majorBidi"/>
        </w:rPr>
        <w:t>), six</w:t>
      </w:r>
      <w:bookmarkStart w:id="669" w:name="_Hlk85042188"/>
      <w:r w:rsidR="00A83123" w:rsidRPr="00A83123">
        <w:rPr>
          <w:rFonts w:asciiTheme="majorBidi" w:hAnsiTheme="majorBidi" w:cstheme="majorBidi"/>
          <w:noProof/>
          <w:vertAlign w:val="superscript"/>
        </w:rPr>
        <w:t>36-41</w:t>
      </w:r>
      <w:r w:rsidRPr="00885DFB">
        <w:rPr>
          <w:rFonts w:asciiTheme="majorBidi" w:hAnsiTheme="majorBidi" w:cstheme="majorBidi"/>
        </w:rPr>
        <w:t xml:space="preserve"> </w:t>
      </w:r>
      <w:bookmarkEnd w:id="669"/>
      <w:r w:rsidRPr="00885DFB">
        <w:rPr>
          <w:rFonts w:asciiTheme="majorBidi" w:hAnsiTheme="majorBidi" w:cstheme="majorBidi"/>
        </w:rPr>
        <w:t>reported outcomes for patients with OXA-48 infections</w:t>
      </w:r>
      <w:bookmarkStart w:id="670" w:name="_Hlk85041593"/>
      <w:r w:rsidRPr="00885DFB">
        <w:rPr>
          <w:rFonts w:asciiTheme="majorBidi" w:hAnsiTheme="majorBidi" w:cstheme="majorBidi"/>
        </w:rPr>
        <w:t xml:space="preserve">. However, all reported infections across a range of sites, and in none of these was it possible to separate out patients with </w:t>
      </w:r>
      <w:proofErr w:type="spellStart"/>
      <w:r w:rsidRPr="00885DFB">
        <w:rPr>
          <w:rFonts w:asciiTheme="majorBidi" w:hAnsiTheme="majorBidi" w:cstheme="majorBidi"/>
        </w:rPr>
        <w:t>cUTI</w:t>
      </w:r>
      <w:proofErr w:type="spellEnd"/>
      <w:r w:rsidRPr="00885DFB">
        <w:rPr>
          <w:rFonts w:asciiTheme="majorBidi" w:hAnsiTheme="majorBidi" w:cstheme="majorBidi"/>
        </w:rPr>
        <w:t xml:space="preserve"> or HAP/VAP.</w:t>
      </w:r>
      <w:bookmarkEnd w:id="670"/>
      <w:r w:rsidRPr="00885DFB">
        <w:rPr>
          <w:rFonts w:asciiTheme="majorBidi" w:hAnsiTheme="majorBidi" w:cstheme="majorBidi"/>
        </w:rPr>
        <w:t xml:space="preserve"> In addition, five did not report comparator data, and as such it would have been necessary to obtain patient level data to at least one study </w:t>
      </w:r>
      <w:proofErr w:type="gramStart"/>
      <w:r w:rsidRPr="00885DFB">
        <w:rPr>
          <w:rFonts w:asciiTheme="majorBidi" w:hAnsiTheme="majorBidi" w:cstheme="majorBidi"/>
        </w:rPr>
        <w:t>in order to</w:t>
      </w:r>
      <w:proofErr w:type="gramEnd"/>
      <w:r w:rsidRPr="00885DFB">
        <w:rPr>
          <w:rFonts w:asciiTheme="majorBidi" w:hAnsiTheme="majorBidi" w:cstheme="majorBidi"/>
        </w:rPr>
        <w:t xml:space="preserve"> perform any (adjusted) form of synthesis; given the timescales of the project it was thought unlikely this could be achieved. A question was raised with the company regarding whether they had or would be conducting their own adjusted comparison, and whether they had access to the relevant IPD data (submitted to NICE on 21</w:t>
      </w:r>
      <w:r w:rsidRPr="00885DFB">
        <w:rPr>
          <w:rFonts w:asciiTheme="majorBidi" w:hAnsiTheme="majorBidi" w:cstheme="majorBidi"/>
          <w:vertAlign w:val="superscript"/>
        </w:rPr>
        <w:t>st</w:t>
      </w:r>
      <w:r w:rsidRPr="00885DFB">
        <w:rPr>
          <w:rFonts w:asciiTheme="majorBidi" w:hAnsiTheme="majorBidi" w:cstheme="majorBidi"/>
        </w:rPr>
        <w:t xml:space="preserve"> May 2021, see Appendix </w:t>
      </w:r>
      <w:r w:rsidR="001648C3">
        <w:rPr>
          <w:rFonts w:asciiTheme="majorBidi" w:hAnsiTheme="majorBidi" w:cstheme="majorBidi"/>
        </w:rPr>
        <w:t>2</w:t>
      </w:r>
      <w:r w:rsidRPr="00885DFB">
        <w:rPr>
          <w:rFonts w:asciiTheme="majorBidi" w:hAnsiTheme="majorBidi" w:cstheme="majorBidi"/>
          <w:b/>
          <w:bCs/>
        </w:rPr>
        <w:t>)</w:t>
      </w:r>
      <w:r w:rsidRPr="00885DFB">
        <w:rPr>
          <w:rFonts w:asciiTheme="majorBidi" w:hAnsiTheme="majorBidi" w:cstheme="majorBidi"/>
        </w:rPr>
        <w:t xml:space="preserve">, but the company were unable to help.  Additionally, all studies were of a small sample size, limiting the conclusions that could be drawn from them </w:t>
      </w:r>
      <w:r>
        <w:rPr>
          <w:rFonts w:asciiTheme="majorBidi" w:hAnsiTheme="majorBidi" w:cstheme="majorBidi"/>
        </w:rPr>
        <w:t xml:space="preserve">due to the possibility of chance imbalances at baseline biasing results, </w:t>
      </w:r>
      <w:r w:rsidRPr="00885DFB">
        <w:rPr>
          <w:rFonts w:asciiTheme="majorBidi" w:hAnsiTheme="majorBidi" w:cstheme="majorBidi"/>
        </w:rPr>
        <w:t>and increasing the likely uncertainty associated with any synthesis performed.</w:t>
      </w:r>
    </w:p>
    <w:p w14:paraId="29A28623" w14:textId="72804774" w:rsidR="009F01D8" w:rsidRPr="00885DFB" w:rsidRDefault="009F01D8" w:rsidP="00A83123">
      <w:pPr>
        <w:spacing w:line="360" w:lineRule="auto"/>
        <w:jc w:val="both"/>
        <w:rPr>
          <w:rFonts w:asciiTheme="majorBidi" w:hAnsiTheme="majorBidi" w:cstheme="majorBidi"/>
        </w:rPr>
        <w:sectPr w:rsidR="009F01D8" w:rsidRPr="00885DFB" w:rsidSect="009F01D8">
          <w:pgSz w:w="11906" w:h="16838"/>
          <w:pgMar w:top="1440" w:right="1440" w:bottom="1440" w:left="1440" w:header="709" w:footer="709" w:gutter="0"/>
          <w:cols w:space="708"/>
          <w:docGrid w:linePitch="360"/>
        </w:sectPr>
      </w:pPr>
      <w:r w:rsidRPr="00885DFB">
        <w:rPr>
          <w:rFonts w:asciiTheme="majorBidi" w:hAnsiTheme="majorBidi" w:cstheme="majorBidi"/>
        </w:rPr>
        <w:t>The three remaining studies</w:t>
      </w:r>
      <w:r w:rsidR="00A83123" w:rsidRPr="00A83123">
        <w:rPr>
          <w:rFonts w:asciiTheme="majorBidi" w:hAnsiTheme="majorBidi" w:cstheme="majorBidi"/>
          <w:noProof/>
          <w:vertAlign w:val="superscript"/>
        </w:rPr>
        <w:t>42,43,96</w:t>
      </w:r>
      <w:r w:rsidRPr="00885DFB">
        <w:rPr>
          <w:rFonts w:asciiTheme="majorBidi" w:hAnsiTheme="majorBidi" w:cstheme="majorBidi"/>
        </w:rPr>
        <w:t xml:space="preserve"> treated a wider selection of </w:t>
      </w:r>
      <w:r>
        <w:rPr>
          <w:rFonts w:asciiTheme="majorBidi" w:hAnsiTheme="majorBidi" w:cstheme="majorBidi"/>
        </w:rPr>
        <w:t>pathogens</w:t>
      </w:r>
      <w:r w:rsidRPr="00885DFB">
        <w:rPr>
          <w:rFonts w:asciiTheme="majorBidi" w:hAnsiTheme="majorBidi" w:cstheme="majorBidi"/>
        </w:rPr>
        <w:t xml:space="preserve">, which may have had relevance to the ES, where </w:t>
      </w:r>
      <w:bookmarkStart w:id="671" w:name="_Hlk85041626"/>
      <w:r w:rsidRPr="00885DFB">
        <w:rPr>
          <w:rFonts w:asciiTheme="majorBidi" w:hAnsiTheme="majorBidi" w:cstheme="majorBidi"/>
        </w:rPr>
        <w:t xml:space="preserve">patients were treated on the suspicion of a </w:t>
      </w:r>
      <w:r w:rsidR="007C6FC0">
        <w:rPr>
          <w:rFonts w:asciiTheme="majorBidi" w:hAnsiTheme="majorBidi" w:cstheme="majorBidi"/>
        </w:rPr>
        <w:t>carbapenem-resistant</w:t>
      </w:r>
      <w:r w:rsidRPr="00885DFB">
        <w:rPr>
          <w:rFonts w:asciiTheme="majorBidi" w:hAnsiTheme="majorBidi" w:cstheme="majorBidi"/>
        </w:rPr>
        <w:t xml:space="preserve"> infection</w:t>
      </w:r>
      <w:bookmarkEnd w:id="671"/>
      <w:r w:rsidRPr="00885DFB">
        <w:rPr>
          <w:rFonts w:asciiTheme="majorBidi" w:hAnsiTheme="majorBidi" w:cstheme="majorBidi"/>
        </w:rPr>
        <w:t xml:space="preserve">. </w:t>
      </w:r>
      <w:bookmarkStart w:id="672" w:name="_Hlk85042176"/>
      <w:r w:rsidRPr="00885DFB">
        <w:rPr>
          <w:rFonts w:asciiTheme="majorBidi" w:hAnsiTheme="majorBidi" w:cstheme="majorBidi"/>
        </w:rPr>
        <w:t xml:space="preserve">However, again, no studies reported results for HAP/VAP or </w:t>
      </w:r>
      <w:proofErr w:type="spellStart"/>
      <w:r w:rsidRPr="00885DFB">
        <w:rPr>
          <w:rFonts w:asciiTheme="majorBidi" w:hAnsiTheme="majorBidi" w:cstheme="majorBidi"/>
        </w:rPr>
        <w:t>cUTI</w:t>
      </w:r>
      <w:proofErr w:type="spellEnd"/>
      <w:r w:rsidRPr="00885DFB">
        <w:rPr>
          <w:rFonts w:asciiTheme="majorBidi" w:hAnsiTheme="majorBidi" w:cstheme="majorBidi"/>
        </w:rPr>
        <w:t xml:space="preserve"> alone and two</w:t>
      </w:r>
      <w:r w:rsidR="00A83123" w:rsidRPr="00A83123">
        <w:rPr>
          <w:rFonts w:asciiTheme="majorBidi" w:hAnsiTheme="majorBidi" w:cstheme="majorBidi"/>
          <w:noProof/>
          <w:vertAlign w:val="superscript"/>
        </w:rPr>
        <w:t>42,43</w:t>
      </w:r>
      <w:r w:rsidRPr="00885DFB">
        <w:rPr>
          <w:rFonts w:asciiTheme="majorBidi" w:hAnsiTheme="majorBidi" w:cstheme="majorBidi"/>
        </w:rPr>
        <w:t xml:space="preserve"> reported a mixture of patients treated in the MDS and ES. </w:t>
      </w:r>
      <w:bookmarkEnd w:id="672"/>
      <w:r w:rsidRPr="00885DFB">
        <w:rPr>
          <w:rFonts w:asciiTheme="majorBidi" w:hAnsiTheme="majorBidi" w:cstheme="majorBidi"/>
        </w:rPr>
        <w:t>One (CARBAR)</w:t>
      </w:r>
      <w:r w:rsidR="00A83123" w:rsidRPr="00A83123">
        <w:rPr>
          <w:rFonts w:asciiTheme="majorBidi" w:hAnsiTheme="majorBidi" w:cstheme="majorBidi"/>
          <w:noProof/>
          <w:vertAlign w:val="superscript"/>
        </w:rPr>
        <w:t>96</w:t>
      </w:r>
      <w:r w:rsidRPr="00885DFB">
        <w:rPr>
          <w:rFonts w:asciiTheme="majorBidi" w:hAnsiTheme="majorBidi" w:cstheme="majorBidi"/>
        </w:rPr>
        <w:t xml:space="preserve"> only reported data for 3 patients treated with CAZ-AVI. It was therefore concluded that observational studies would not be able to fulfil the evidential requirements of an economic model. </w:t>
      </w:r>
    </w:p>
    <w:p w14:paraId="5B00BDA3" w14:textId="0471025D" w:rsidR="009F01D8" w:rsidRPr="009F6FA6" w:rsidRDefault="009F01D8" w:rsidP="009F01D8">
      <w:pPr>
        <w:spacing w:line="360" w:lineRule="auto"/>
        <w:jc w:val="both"/>
        <w:rPr>
          <w:rFonts w:asciiTheme="majorBidi" w:hAnsiTheme="majorBidi" w:cstheme="majorBidi"/>
          <w:b/>
          <w:bCs/>
          <w:sz w:val="20"/>
          <w:szCs w:val="20"/>
        </w:rPr>
      </w:pPr>
      <w:bookmarkStart w:id="673" w:name="_Ref78193499"/>
      <w:bookmarkStart w:id="674" w:name="_Toc77931482"/>
      <w:bookmarkStart w:id="675" w:name="_Toc83300852"/>
      <w:bookmarkStart w:id="676" w:name="_Toc83821908"/>
      <w:bookmarkStart w:id="677" w:name="_Toc85029611"/>
      <w:bookmarkStart w:id="678" w:name="_Toc86419032"/>
      <w:r w:rsidRPr="009F6FA6">
        <w:rPr>
          <w:rFonts w:asciiTheme="majorBidi" w:hAnsiTheme="majorBidi" w:cstheme="majorBidi"/>
          <w:b/>
          <w:bCs/>
          <w:sz w:val="20"/>
          <w:szCs w:val="20"/>
        </w:rPr>
        <w:lastRenderedPageBreak/>
        <w:t xml:space="preserve">Table </w:t>
      </w:r>
      <w:r w:rsidR="00F10F0A">
        <w:rPr>
          <w:rFonts w:asciiTheme="majorBidi" w:hAnsiTheme="majorBidi" w:cstheme="majorBidi"/>
          <w:b/>
          <w:bCs/>
          <w:noProof/>
          <w:sz w:val="20"/>
          <w:szCs w:val="20"/>
        </w:rPr>
        <w:t>55</w:t>
      </w:r>
      <w:bookmarkEnd w:id="673"/>
      <w:r w:rsidRPr="009F6FA6">
        <w:rPr>
          <w:rFonts w:asciiTheme="majorBidi" w:hAnsiTheme="majorBidi" w:cstheme="majorBidi"/>
          <w:b/>
          <w:bCs/>
          <w:sz w:val="20"/>
          <w:szCs w:val="20"/>
        </w:rPr>
        <w:t>:  Observational studies reporting treatment of patients with CAZ-AVI</w:t>
      </w:r>
      <w:bookmarkEnd w:id="674"/>
      <w:bookmarkEnd w:id="675"/>
      <w:bookmarkEnd w:id="676"/>
      <w:bookmarkEnd w:id="677"/>
      <w:bookmarkEnd w:id="678"/>
    </w:p>
    <w:tbl>
      <w:tblPr>
        <w:tblStyle w:val="TableGrid"/>
        <w:tblW w:w="0" w:type="auto"/>
        <w:tblLook w:val="04A0" w:firstRow="1" w:lastRow="0" w:firstColumn="1" w:lastColumn="0" w:noHBand="0" w:noVBand="1"/>
      </w:tblPr>
      <w:tblGrid>
        <w:gridCol w:w="1471"/>
        <w:gridCol w:w="1023"/>
        <w:gridCol w:w="1485"/>
        <w:gridCol w:w="1534"/>
        <w:gridCol w:w="1788"/>
        <w:gridCol w:w="1298"/>
        <w:gridCol w:w="3305"/>
        <w:gridCol w:w="2044"/>
      </w:tblGrid>
      <w:tr w:rsidR="009F01D8" w:rsidRPr="00E052E9" w14:paraId="34E7A488" w14:textId="77777777" w:rsidTr="009F01D8">
        <w:tc>
          <w:tcPr>
            <w:tcW w:w="0" w:type="auto"/>
          </w:tcPr>
          <w:p w14:paraId="4677F6A6"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Author, year</w:t>
            </w:r>
          </w:p>
        </w:tc>
        <w:tc>
          <w:tcPr>
            <w:tcW w:w="0" w:type="auto"/>
          </w:tcPr>
          <w:p w14:paraId="033E0F62"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Country</w:t>
            </w:r>
          </w:p>
        </w:tc>
        <w:tc>
          <w:tcPr>
            <w:tcW w:w="0" w:type="auto"/>
          </w:tcPr>
          <w:p w14:paraId="7EE0C43E"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Site of infection</w:t>
            </w:r>
          </w:p>
        </w:tc>
        <w:tc>
          <w:tcPr>
            <w:tcW w:w="0" w:type="auto"/>
          </w:tcPr>
          <w:p w14:paraId="0FD56DB9"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Intervention</w:t>
            </w:r>
          </w:p>
          <w:p w14:paraId="09DF0BAE"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Comparator</w:t>
            </w:r>
          </w:p>
        </w:tc>
        <w:tc>
          <w:tcPr>
            <w:tcW w:w="1788" w:type="dxa"/>
          </w:tcPr>
          <w:p w14:paraId="4CCFD1E6"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Pathogen-mechanism</w:t>
            </w:r>
          </w:p>
        </w:tc>
        <w:tc>
          <w:tcPr>
            <w:tcW w:w="1298" w:type="dxa"/>
          </w:tcPr>
          <w:p w14:paraId="5BB44D87"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b/>
                <w:sz w:val="20"/>
                <w:szCs w:val="20"/>
              </w:rPr>
              <w:t>Sample size**</w:t>
            </w:r>
          </w:p>
        </w:tc>
        <w:tc>
          <w:tcPr>
            <w:tcW w:w="3305" w:type="dxa"/>
          </w:tcPr>
          <w:p w14:paraId="2F0F203E"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Outcomes</w:t>
            </w:r>
          </w:p>
        </w:tc>
        <w:tc>
          <w:tcPr>
            <w:tcW w:w="0" w:type="auto"/>
          </w:tcPr>
          <w:p w14:paraId="7254A916"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Reason for exclusion</w:t>
            </w:r>
          </w:p>
        </w:tc>
      </w:tr>
      <w:tr w:rsidR="009F01D8" w:rsidRPr="00E052E9" w14:paraId="4F686F5A" w14:textId="77777777" w:rsidTr="009F01D8">
        <w:tc>
          <w:tcPr>
            <w:tcW w:w="13948" w:type="dxa"/>
            <w:gridSpan w:val="8"/>
            <w:shd w:val="clear" w:color="auto" w:fill="BFBFBF" w:themeFill="background1" w:themeFillShade="BF"/>
          </w:tcPr>
          <w:p w14:paraId="359FD2D8"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b/>
                <w:sz w:val="20"/>
                <w:szCs w:val="20"/>
              </w:rPr>
              <w:t>Studies reporting all or a subgroup of OXA-48 infections treated with CAZ-AVI</w:t>
            </w:r>
          </w:p>
        </w:tc>
      </w:tr>
      <w:tr w:rsidR="009F01D8" w:rsidRPr="00E052E9" w14:paraId="59C19F8C" w14:textId="77777777" w:rsidTr="009F01D8">
        <w:tc>
          <w:tcPr>
            <w:tcW w:w="0" w:type="auto"/>
          </w:tcPr>
          <w:p w14:paraId="7484A316" w14:textId="59767334" w:rsidR="009F01D8" w:rsidRPr="00E052E9" w:rsidRDefault="009F01D8" w:rsidP="00C83FB7">
            <w:pPr>
              <w:jc w:val="both"/>
              <w:rPr>
                <w:rFonts w:asciiTheme="majorBidi" w:hAnsiTheme="majorBidi" w:cstheme="majorBidi"/>
                <w:sz w:val="20"/>
                <w:szCs w:val="20"/>
                <w:lang w:val="es-ES_tradnl"/>
              </w:rPr>
            </w:pPr>
            <w:r w:rsidRPr="00E052E9">
              <w:rPr>
                <w:rFonts w:asciiTheme="majorBidi" w:hAnsiTheme="majorBidi" w:cstheme="majorBidi"/>
                <w:sz w:val="20"/>
                <w:szCs w:val="20"/>
                <w:lang w:val="es-ES_tradnl"/>
              </w:rPr>
              <w:t>De la Calle et al. (2019)</w:t>
            </w:r>
            <w:r w:rsidR="00A83123" w:rsidRPr="00A83123">
              <w:rPr>
                <w:rFonts w:asciiTheme="majorBidi" w:hAnsiTheme="majorBidi" w:cstheme="majorBidi"/>
                <w:noProof/>
                <w:sz w:val="20"/>
                <w:szCs w:val="20"/>
                <w:vertAlign w:val="superscript"/>
                <w:lang w:val="es-ES_tradnl"/>
              </w:rPr>
              <w:t>37</w:t>
            </w:r>
            <w:r w:rsidRPr="00E052E9">
              <w:rPr>
                <w:rFonts w:asciiTheme="majorBidi" w:hAnsiTheme="majorBidi" w:cstheme="majorBidi"/>
                <w:sz w:val="20"/>
                <w:szCs w:val="20"/>
                <w:lang w:val="es-ES_tradnl"/>
              </w:rPr>
              <w:t xml:space="preserve"> </w:t>
            </w:r>
          </w:p>
        </w:tc>
        <w:tc>
          <w:tcPr>
            <w:tcW w:w="0" w:type="auto"/>
          </w:tcPr>
          <w:p w14:paraId="1F71899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Spain </w:t>
            </w:r>
          </w:p>
        </w:tc>
        <w:tc>
          <w:tcPr>
            <w:tcW w:w="0" w:type="auto"/>
          </w:tcPr>
          <w:p w14:paraId="61B73BD7"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Any/mixed</w:t>
            </w:r>
          </w:p>
        </w:tc>
        <w:tc>
          <w:tcPr>
            <w:tcW w:w="0" w:type="auto"/>
          </w:tcPr>
          <w:p w14:paraId="4D7FA1D6"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CAZ-AVI; mono and combination</w:t>
            </w:r>
          </w:p>
          <w:p w14:paraId="34707CD0"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No comparator arm</w:t>
            </w:r>
          </w:p>
        </w:tc>
        <w:tc>
          <w:tcPr>
            <w:tcW w:w="1788" w:type="dxa"/>
          </w:tcPr>
          <w:p w14:paraId="5A710AE2" w14:textId="6890BF5E" w:rsidR="009F01D8" w:rsidRPr="00E052E9" w:rsidRDefault="00FE2007"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OXA-48 </w:t>
            </w:r>
            <w:proofErr w:type="spellStart"/>
            <w:r w:rsidRPr="00E052E9">
              <w:rPr>
                <w:rFonts w:asciiTheme="majorBidi" w:hAnsiTheme="majorBidi" w:cstheme="majorBidi"/>
                <w:i/>
                <w:iCs/>
                <w:color w:val="000000"/>
                <w:sz w:val="20"/>
                <w:szCs w:val="20"/>
              </w:rPr>
              <w:t>Enterobacterales</w:t>
            </w:r>
            <w:proofErr w:type="spellEnd"/>
          </w:p>
        </w:tc>
        <w:tc>
          <w:tcPr>
            <w:tcW w:w="1298" w:type="dxa"/>
          </w:tcPr>
          <w:p w14:paraId="3DBB5957"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23 </w:t>
            </w:r>
          </w:p>
        </w:tc>
        <w:tc>
          <w:tcPr>
            <w:tcW w:w="3305" w:type="dxa"/>
          </w:tcPr>
          <w:p w14:paraId="575F4542"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30-day and 90-day mortality</w:t>
            </w:r>
          </w:p>
          <w:p w14:paraId="7CF0C8F8"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8.3% and 20.8%, respectively</w:t>
            </w:r>
          </w:p>
          <w:p w14:paraId="3C5AC3B0"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Clinical cure at 30 days</w:t>
            </w:r>
          </w:p>
          <w:p w14:paraId="0111F88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62.5% of episodes</w:t>
            </w:r>
          </w:p>
        </w:tc>
        <w:tc>
          <w:tcPr>
            <w:tcW w:w="0" w:type="auto"/>
          </w:tcPr>
          <w:p w14:paraId="29771DDE"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no comparator arm; small number of patients</w:t>
            </w:r>
          </w:p>
        </w:tc>
      </w:tr>
      <w:tr w:rsidR="009F01D8" w:rsidRPr="00E052E9" w14:paraId="70DD095C" w14:textId="77777777" w:rsidTr="009F01D8">
        <w:tc>
          <w:tcPr>
            <w:tcW w:w="0" w:type="auto"/>
          </w:tcPr>
          <w:p w14:paraId="7412914A" w14:textId="5CF979DE" w:rsidR="009F01D8" w:rsidRPr="00E052E9" w:rsidRDefault="009F01D8" w:rsidP="00C83FB7">
            <w:pPr>
              <w:jc w:val="both"/>
              <w:rPr>
                <w:rFonts w:asciiTheme="majorBidi" w:hAnsiTheme="majorBidi" w:cstheme="majorBidi"/>
                <w:sz w:val="20"/>
                <w:szCs w:val="20"/>
                <w:lang w:val="fr-FR"/>
              </w:rPr>
            </w:pPr>
            <w:r w:rsidRPr="00E052E9">
              <w:rPr>
                <w:rFonts w:asciiTheme="majorBidi" w:hAnsiTheme="majorBidi" w:cstheme="majorBidi"/>
                <w:sz w:val="20"/>
                <w:szCs w:val="20"/>
                <w:lang w:val="fr-FR"/>
              </w:rPr>
              <w:t>Sousa et al. (2018)</w:t>
            </w:r>
            <w:r w:rsidR="00A83123" w:rsidRPr="00A83123">
              <w:rPr>
                <w:rFonts w:asciiTheme="majorBidi" w:hAnsiTheme="majorBidi" w:cstheme="majorBidi"/>
                <w:noProof/>
                <w:sz w:val="20"/>
                <w:szCs w:val="20"/>
                <w:vertAlign w:val="superscript"/>
              </w:rPr>
              <w:t>40</w:t>
            </w:r>
          </w:p>
        </w:tc>
        <w:tc>
          <w:tcPr>
            <w:tcW w:w="0" w:type="auto"/>
          </w:tcPr>
          <w:p w14:paraId="075CBAB9"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Spain</w:t>
            </w:r>
          </w:p>
        </w:tc>
        <w:tc>
          <w:tcPr>
            <w:tcW w:w="0" w:type="auto"/>
          </w:tcPr>
          <w:p w14:paraId="0B7401F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Any/mixed (mortality by site)</w:t>
            </w:r>
          </w:p>
        </w:tc>
        <w:tc>
          <w:tcPr>
            <w:tcW w:w="0" w:type="auto"/>
          </w:tcPr>
          <w:p w14:paraId="7C7CCB8D"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 xml:space="preserve">CAZ-AVI; mono and combination </w:t>
            </w:r>
          </w:p>
          <w:p w14:paraId="5A99EA77"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No comparator arm</w:t>
            </w:r>
          </w:p>
        </w:tc>
        <w:tc>
          <w:tcPr>
            <w:tcW w:w="1788" w:type="dxa"/>
          </w:tcPr>
          <w:p w14:paraId="5DC4B603" w14:textId="70B8E50C" w:rsidR="009F01D8" w:rsidRPr="00E052E9" w:rsidRDefault="00FE2007" w:rsidP="009F01D8">
            <w:pPr>
              <w:jc w:val="both"/>
              <w:rPr>
                <w:rFonts w:asciiTheme="majorBidi" w:hAnsiTheme="majorBidi" w:cstheme="majorBidi"/>
                <w:sz w:val="20"/>
                <w:szCs w:val="20"/>
                <w:lang w:val="pt-PT"/>
              </w:rPr>
            </w:pPr>
            <w:r w:rsidRPr="00E052E9">
              <w:rPr>
                <w:rFonts w:asciiTheme="majorBidi" w:hAnsiTheme="majorBidi" w:cstheme="majorBidi"/>
                <w:color w:val="000000"/>
                <w:sz w:val="20"/>
                <w:szCs w:val="20"/>
                <w:lang w:val="pt-PT"/>
              </w:rPr>
              <w:t xml:space="preserve">OXA-48 </w:t>
            </w:r>
            <w:r w:rsidRPr="00E052E9">
              <w:rPr>
                <w:rFonts w:asciiTheme="majorBidi" w:hAnsiTheme="majorBidi" w:cstheme="majorBidi"/>
                <w:i/>
                <w:iCs/>
                <w:color w:val="000000"/>
                <w:sz w:val="20"/>
                <w:szCs w:val="20"/>
                <w:lang w:val="pt-PT"/>
              </w:rPr>
              <w:t>Enterobacterales</w:t>
            </w:r>
          </w:p>
        </w:tc>
        <w:tc>
          <w:tcPr>
            <w:tcW w:w="1298" w:type="dxa"/>
          </w:tcPr>
          <w:p w14:paraId="5E8788AD" w14:textId="77777777" w:rsidR="009F01D8" w:rsidRPr="00E052E9" w:rsidRDefault="009F01D8" w:rsidP="009F01D8">
            <w:pPr>
              <w:jc w:val="both"/>
              <w:rPr>
                <w:rFonts w:asciiTheme="majorBidi" w:hAnsiTheme="majorBidi" w:cstheme="majorBidi"/>
                <w:sz w:val="20"/>
                <w:szCs w:val="20"/>
                <w:lang w:val="pt-PT"/>
              </w:rPr>
            </w:pPr>
            <w:r w:rsidRPr="00E052E9">
              <w:rPr>
                <w:rFonts w:asciiTheme="majorBidi" w:hAnsiTheme="majorBidi" w:cstheme="majorBidi"/>
                <w:color w:val="000000"/>
                <w:sz w:val="20"/>
                <w:szCs w:val="20"/>
              </w:rPr>
              <w:t>57</w:t>
            </w:r>
          </w:p>
        </w:tc>
        <w:tc>
          <w:tcPr>
            <w:tcW w:w="3305" w:type="dxa"/>
          </w:tcPr>
          <w:p w14:paraId="10932ACB" w14:textId="77777777" w:rsidR="009F01D8" w:rsidRPr="00E052E9" w:rsidRDefault="009F01D8" w:rsidP="009F01D8">
            <w:pPr>
              <w:jc w:val="both"/>
              <w:rPr>
                <w:rFonts w:asciiTheme="majorBidi" w:hAnsiTheme="majorBidi" w:cstheme="majorBidi"/>
                <w:b/>
                <w:sz w:val="20"/>
                <w:szCs w:val="20"/>
              </w:rPr>
            </w:pPr>
            <w:proofErr w:type="gramStart"/>
            <w:r w:rsidRPr="00E052E9">
              <w:rPr>
                <w:rFonts w:asciiTheme="majorBidi" w:hAnsiTheme="majorBidi" w:cstheme="majorBidi"/>
                <w:b/>
                <w:sz w:val="20"/>
                <w:szCs w:val="20"/>
              </w:rPr>
              <w:t>14 and 30 day</w:t>
            </w:r>
            <w:proofErr w:type="gramEnd"/>
            <w:r w:rsidRPr="00E052E9">
              <w:rPr>
                <w:rFonts w:asciiTheme="majorBidi" w:hAnsiTheme="majorBidi" w:cstheme="majorBidi"/>
                <w:b/>
                <w:sz w:val="20"/>
                <w:szCs w:val="20"/>
              </w:rPr>
              <w:t xml:space="preserve"> all-cause mortality</w:t>
            </w:r>
          </w:p>
          <w:p w14:paraId="78DD6E55"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14% and 22%, respectively</w:t>
            </w:r>
          </w:p>
          <w:p w14:paraId="61DEA2BF"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Clinical cure</w:t>
            </w:r>
          </w:p>
          <w:p w14:paraId="35165A92"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77%</w:t>
            </w:r>
          </w:p>
          <w:p w14:paraId="359D5D12"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Microbiological cure</w:t>
            </w:r>
          </w:p>
          <w:p w14:paraId="710840B2"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65%</w:t>
            </w:r>
          </w:p>
        </w:tc>
        <w:tc>
          <w:tcPr>
            <w:tcW w:w="0" w:type="auto"/>
          </w:tcPr>
          <w:p w14:paraId="64A6DF9A"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no comparator arm; small number of patients</w:t>
            </w:r>
          </w:p>
        </w:tc>
      </w:tr>
      <w:tr w:rsidR="009F01D8" w:rsidRPr="00E052E9" w14:paraId="043445A0" w14:textId="77777777" w:rsidTr="009F01D8">
        <w:tc>
          <w:tcPr>
            <w:tcW w:w="0" w:type="auto"/>
          </w:tcPr>
          <w:p w14:paraId="6ABCF645" w14:textId="281DE545" w:rsidR="009F01D8" w:rsidRPr="00E052E9" w:rsidRDefault="009F01D8" w:rsidP="00C83FB7">
            <w:pPr>
              <w:jc w:val="both"/>
              <w:rPr>
                <w:rFonts w:asciiTheme="majorBidi" w:hAnsiTheme="majorBidi" w:cstheme="majorBidi"/>
                <w:sz w:val="20"/>
                <w:szCs w:val="20"/>
                <w:lang w:val="fr-FR"/>
              </w:rPr>
            </w:pPr>
            <w:proofErr w:type="spellStart"/>
            <w:r w:rsidRPr="00E052E9">
              <w:rPr>
                <w:rFonts w:asciiTheme="majorBidi" w:hAnsiTheme="majorBidi" w:cstheme="majorBidi"/>
                <w:sz w:val="20"/>
                <w:szCs w:val="20"/>
                <w:lang w:val="fr-FR"/>
              </w:rPr>
              <w:t>Temkin</w:t>
            </w:r>
            <w:proofErr w:type="spellEnd"/>
            <w:r w:rsidRPr="00E052E9">
              <w:rPr>
                <w:rFonts w:asciiTheme="majorBidi" w:hAnsiTheme="majorBidi" w:cstheme="majorBidi"/>
                <w:sz w:val="20"/>
                <w:szCs w:val="20"/>
                <w:lang w:val="fr-FR"/>
              </w:rPr>
              <w:t xml:space="preserve"> et al. (2017)</w:t>
            </w:r>
            <w:r w:rsidR="00A83123" w:rsidRPr="00A83123">
              <w:rPr>
                <w:rFonts w:asciiTheme="majorBidi" w:hAnsiTheme="majorBidi" w:cstheme="majorBidi"/>
                <w:noProof/>
                <w:sz w:val="20"/>
                <w:szCs w:val="20"/>
                <w:vertAlign w:val="superscript"/>
              </w:rPr>
              <w:t>41</w:t>
            </w:r>
          </w:p>
        </w:tc>
        <w:tc>
          <w:tcPr>
            <w:tcW w:w="0" w:type="auto"/>
          </w:tcPr>
          <w:p w14:paraId="6E40ABFA"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Europe; Australia</w:t>
            </w:r>
          </w:p>
        </w:tc>
        <w:tc>
          <w:tcPr>
            <w:tcW w:w="0" w:type="auto"/>
          </w:tcPr>
          <w:p w14:paraId="421279C6"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Any/mixed</w:t>
            </w:r>
          </w:p>
        </w:tc>
        <w:tc>
          <w:tcPr>
            <w:tcW w:w="0" w:type="auto"/>
          </w:tcPr>
          <w:p w14:paraId="59D686C2"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 xml:space="preserve">CAZ-AVI; mono and combination </w:t>
            </w:r>
          </w:p>
          <w:p w14:paraId="15FC948D"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No comparator arm</w:t>
            </w:r>
          </w:p>
        </w:tc>
        <w:tc>
          <w:tcPr>
            <w:tcW w:w="1788" w:type="dxa"/>
          </w:tcPr>
          <w:p w14:paraId="15DB910F" w14:textId="7B7DD7B8" w:rsidR="009F01D8" w:rsidRPr="00E052E9" w:rsidRDefault="00FE2007"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OXA-48 </w:t>
            </w:r>
            <w:proofErr w:type="spellStart"/>
            <w:r w:rsidRPr="00E052E9">
              <w:rPr>
                <w:rFonts w:asciiTheme="majorBidi" w:hAnsiTheme="majorBidi" w:cstheme="majorBidi"/>
                <w:i/>
                <w:iCs/>
                <w:color w:val="000000"/>
                <w:sz w:val="20"/>
                <w:szCs w:val="20"/>
              </w:rPr>
              <w:t>Enterobacterales</w:t>
            </w:r>
            <w:proofErr w:type="spellEnd"/>
          </w:p>
        </w:tc>
        <w:tc>
          <w:tcPr>
            <w:tcW w:w="1298" w:type="dxa"/>
          </w:tcPr>
          <w:p w14:paraId="2358A9E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38 </w:t>
            </w:r>
          </w:p>
        </w:tc>
        <w:tc>
          <w:tcPr>
            <w:tcW w:w="3305" w:type="dxa"/>
          </w:tcPr>
          <w:p w14:paraId="1B7A6792"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All-cause in-hospital mortality</w:t>
            </w:r>
          </w:p>
          <w:p w14:paraId="41E41A6A"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39.5% (95% CI, 24.0 to 56.6%).</w:t>
            </w:r>
          </w:p>
          <w:p w14:paraId="66D62E32"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Clinical and/or microbiological cure</w:t>
            </w:r>
          </w:p>
          <w:p w14:paraId="41B71E43"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73.7% (95% CI,</w:t>
            </w:r>
          </w:p>
          <w:p w14:paraId="2910D1F9"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56.9 to 86.6%)</w:t>
            </w:r>
          </w:p>
        </w:tc>
        <w:tc>
          <w:tcPr>
            <w:tcW w:w="0" w:type="auto"/>
          </w:tcPr>
          <w:p w14:paraId="05540AF0"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no comparator arm; small number of patients</w:t>
            </w:r>
          </w:p>
        </w:tc>
      </w:tr>
      <w:tr w:rsidR="009F01D8" w:rsidRPr="00E052E9" w14:paraId="3066BBF9" w14:textId="77777777" w:rsidTr="009F01D8">
        <w:tc>
          <w:tcPr>
            <w:tcW w:w="0" w:type="auto"/>
          </w:tcPr>
          <w:p w14:paraId="645FB396" w14:textId="7A086FAA" w:rsidR="009F01D8" w:rsidRPr="00E052E9" w:rsidRDefault="009F01D8" w:rsidP="00C83FB7">
            <w:pPr>
              <w:jc w:val="both"/>
              <w:rPr>
                <w:rFonts w:asciiTheme="majorBidi" w:hAnsiTheme="majorBidi" w:cstheme="majorBidi"/>
                <w:sz w:val="20"/>
                <w:szCs w:val="20"/>
              </w:rPr>
            </w:pPr>
            <w:r w:rsidRPr="00E052E9">
              <w:rPr>
                <w:rFonts w:asciiTheme="majorBidi" w:hAnsiTheme="majorBidi" w:cstheme="majorBidi"/>
                <w:color w:val="000000"/>
                <w:sz w:val="20"/>
                <w:szCs w:val="20"/>
              </w:rPr>
              <w:t>Lim 2020</w:t>
            </w:r>
            <w:r w:rsidR="00A83123" w:rsidRPr="00A83123">
              <w:rPr>
                <w:rFonts w:asciiTheme="majorBidi" w:hAnsiTheme="majorBidi" w:cstheme="majorBidi"/>
                <w:noProof/>
                <w:color w:val="000000"/>
                <w:sz w:val="20"/>
                <w:szCs w:val="20"/>
                <w:vertAlign w:val="superscript"/>
              </w:rPr>
              <w:t>39</w:t>
            </w:r>
            <w:r w:rsidRPr="00E052E9">
              <w:rPr>
                <w:rFonts w:asciiTheme="majorBidi" w:hAnsiTheme="majorBidi" w:cstheme="majorBidi"/>
                <w:color w:val="0000FF"/>
                <w:sz w:val="20"/>
                <w:szCs w:val="20"/>
              </w:rPr>
              <w:t xml:space="preserve"> </w:t>
            </w:r>
          </w:p>
        </w:tc>
        <w:tc>
          <w:tcPr>
            <w:tcW w:w="0" w:type="auto"/>
          </w:tcPr>
          <w:p w14:paraId="46795EA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UK</w:t>
            </w:r>
          </w:p>
        </w:tc>
        <w:tc>
          <w:tcPr>
            <w:tcW w:w="0" w:type="auto"/>
          </w:tcPr>
          <w:p w14:paraId="393017D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Screening, and 6 clinical isolates (4 urine, 1blood, 1 pus)</w:t>
            </w:r>
          </w:p>
        </w:tc>
        <w:tc>
          <w:tcPr>
            <w:tcW w:w="0" w:type="auto"/>
          </w:tcPr>
          <w:p w14:paraId="051036CE"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sz w:val="20"/>
                <w:szCs w:val="20"/>
              </w:rPr>
              <w:t>CAZ-AVI</w:t>
            </w:r>
            <w:r w:rsidRPr="00E052E9">
              <w:rPr>
                <w:rFonts w:asciiTheme="majorBidi" w:hAnsiTheme="majorBidi" w:cstheme="majorBidi"/>
                <w:color w:val="000000"/>
                <w:sz w:val="20"/>
                <w:szCs w:val="20"/>
              </w:rPr>
              <w:t xml:space="preserve"> </w:t>
            </w:r>
          </w:p>
          <w:p w14:paraId="5A13352E"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No comparator arm</w:t>
            </w:r>
          </w:p>
        </w:tc>
        <w:tc>
          <w:tcPr>
            <w:tcW w:w="1788" w:type="dxa"/>
          </w:tcPr>
          <w:p w14:paraId="2DEC165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KP OXA-48</w:t>
            </w:r>
          </w:p>
        </w:tc>
        <w:tc>
          <w:tcPr>
            <w:tcW w:w="1298" w:type="dxa"/>
          </w:tcPr>
          <w:p w14:paraId="55216E9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 xml:space="preserve">4 </w:t>
            </w:r>
          </w:p>
        </w:tc>
        <w:tc>
          <w:tcPr>
            <w:tcW w:w="3305" w:type="dxa"/>
          </w:tcPr>
          <w:p w14:paraId="7E9C0A57"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 xml:space="preserve">Antibiotic susceptibility results for the </w:t>
            </w:r>
            <w:proofErr w:type="spellStart"/>
            <w:r w:rsidRPr="00E052E9">
              <w:rPr>
                <w:rFonts w:asciiTheme="majorBidi" w:hAnsiTheme="majorBidi" w:cstheme="majorBidi"/>
                <w:b/>
                <w:sz w:val="20"/>
                <w:szCs w:val="20"/>
              </w:rPr>
              <w:t>OXAKp</w:t>
            </w:r>
            <w:proofErr w:type="spellEnd"/>
            <w:r w:rsidRPr="00E052E9">
              <w:rPr>
                <w:rFonts w:asciiTheme="majorBidi" w:hAnsiTheme="majorBidi" w:cstheme="majorBidi"/>
                <w:b/>
                <w:sz w:val="20"/>
                <w:szCs w:val="20"/>
              </w:rPr>
              <w:t xml:space="preserve"> isolates</w:t>
            </w:r>
          </w:p>
          <w:p w14:paraId="43459EF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100% for CAZ-AVI appearing sensitive on disc diffusion testing (EUCAST</w:t>
            </w:r>
          </w:p>
          <w:p w14:paraId="60F16BF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methodology)</w:t>
            </w:r>
          </w:p>
        </w:tc>
        <w:tc>
          <w:tcPr>
            <w:tcW w:w="0" w:type="auto"/>
          </w:tcPr>
          <w:p w14:paraId="28C88A19"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no comparator arm; small number of patients</w:t>
            </w:r>
          </w:p>
        </w:tc>
      </w:tr>
      <w:tr w:rsidR="009F01D8" w:rsidRPr="00E052E9" w14:paraId="01B23743" w14:textId="77777777" w:rsidTr="009F01D8">
        <w:tc>
          <w:tcPr>
            <w:tcW w:w="0" w:type="auto"/>
          </w:tcPr>
          <w:p w14:paraId="7045FF98" w14:textId="27E9F11A" w:rsidR="009F01D8" w:rsidRPr="00E052E9" w:rsidRDefault="009F01D8" w:rsidP="00C83FB7">
            <w:pPr>
              <w:jc w:val="both"/>
              <w:rPr>
                <w:rFonts w:asciiTheme="majorBidi" w:hAnsiTheme="majorBidi" w:cstheme="majorBidi"/>
                <w:sz w:val="20"/>
                <w:szCs w:val="20"/>
                <w:lang w:val="it-IT"/>
              </w:rPr>
            </w:pPr>
            <w:r w:rsidRPr="00E052E9">
              <w:rPr>
                <w:rFonts w:asciiTheme="majorBidi" w:hAnsiTheme="majorBidi" w:cstheme="majorBidi"/>
                <w:sz w:val="20"/>
                <w:szCs w:val="20"/>
                <w:lang w:val="it-IT"/>
              </w:rPr>
              <w:t>Alraddadi et al. (2019)</w:t>
            </w:r>
            <w:r w:rsidR="00A83123" w:rsidRPr="00A83123">
              <w:rPr>
                <w:rFonts w:asciiTheme="majorBidi" w:hAnsiTheme="majorBidi" w:cstheme="majorBidi"/>
                <w:noProof/>
                <w:sz w:val="20"/>
                <w:szCs w:val="20"/>
                <w:vertAlign w:val="superscript"/>
              </w:rPr>
              <w:t>36</w:t>
            </w:r>
          </w:p>
        </w:tc>
        <w:tc>
          <w:tcPr>
            <w:tcW w:w="0" w:type="auto"/>
          </w:tcPr>
          <w:p w14:paraId="486B56A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Saudi Arabia</w:t>
            </w:r>
          </w:p>
        </w:tc>
        <w:tc>
          <w:tcPr>
            <w:tcW w:w="0" w:type="auto"/>
          </w:tcPr>
          <w:p w14:paraId="58E7A51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 xml:space="preserve">Mixed; BSI; HAP; </w:t>
            </w:r>
            <w:proofErr w:type="spellStart"/>
            <w:r w:rsidRPr="00E052E9">
              <w:rPr>
                <w:rFonts w:asciiTheme="majorBidi" w:hAnsiTheme="majorBidi" w:cstheme="majorBidi"/>
                <w:color w:val="000000"/>
                <w:sz w:val="20"/>
                <w:szCs w:val="20"/>
              </w:rPr>
              <w:t>cUTI</w:t>
            </w:r>
            <w:proofErr w:type="spellEnd"/>
            <w:r w:rsidRPr="00E052E9">
              <w:rPr>
                <w:rFonts w:asciiTheme="majorBidi" w:hAnsiTheme="majorBidi" w:cstheme="majorBidi"/>
                <w:color w:val="000000"/>
                <w:sz w:val="20"/>
                <w:szCs w:val="20"/>
              </w:rPr>
              <w:t xml:space="preserve">; </w:t>
            </w:r>
            <w:proofErr w:type="spellStart"/>
            <w:r w:rsidRPr="00E052E9">
              <w:rPr>
                <w:rFonts w:asciiTheme="majorBidi" w:hAnsiTheme="majorBidi" w:cstheme="majorBidi"/>
                <w:color w:val="000000"/>
                <w:sz w:val="20"/>
                <w:szCs w:val="20"/>
              </w:rPr>
              <w:t>cIAI</w:t>
            </w:r>
            <w:proofErr w:type="spellEnd"/>
            <w:r w:rsidRPr="00E052E9">
              <w:rPr>
                <w:rFonts w:asciiTheme="majorBidi" w:hAnsiTheme="majorBidi" w:cstheme="majorBidi"/>
                <w:color w:val="000000"/>
                <w:sz w:val="20"/>
                <w:szCs w:val="20"/>
              </w:rPr>
              <w:t>; soft tissue infection</w:t>
            </w:r>
          </w:p>
        </w:tc>
        <w:tc>
          <w:tcPr>
            <w:tcW w:w="0" w:type="auto"/>
          </w:tcPr>
          <w:p w14:paraId="49B68468"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sz w:val="20"/>
                <w:szCs w:val="20"/>
              </w:rPr>
              <w:t>CAZ-AVI</w:t>
            </w:r>
            <w:r w:rsidRPr="00E052E9">
              <w:rPr>
                <w:rFonts w:asciiTheme="majorBidi" w:hAnsiTheme="majorBidi" w:cstheme="majorBidi"/>
                <w:color w:val="000000"/>
                <w:sz w:val="20"/>
                <w:szCs w:val="20"/>
              </w:rPr>
              <w:t xml:space="preserve"> </w:t>
            </w:r>
          </w:p>
          <w:p w14:paraId="7A026411"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color w:val="000000"/>
                <w:sz w:val="20"/>
                <w:szCs w:val="20"/>
              </w:rPr>
              <w:t>Various comparators*</w:t>
            </w:r>
          </w:p>
        </w:tc>
        <w:tc>
          <w:tcPr>
            <w:tcW w:w="1788" w:type="dxa"/>
          </w:tcPr>
          <w:p w14:paraId="48C5DBA8"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CRE OXA-48</w:t>
            </w:r>
          </w:p>
        </w:tc>
        <w:tc>
          <w:tcPr>
            <w:tcW w:w="1298" w:type="dxa"/>
          </w:tcPr>
          <w:p w14:paraId="6988A30E" w14:textId="77777777" w:rsidR="009F01D8" w:rsidRPr="00E052E9" w:rsidRDefault="009F01D8" w:rsidP="009F01D8">
            <w:pPr>
              <w:jc w:val="both"/>
              <w:rPr>
                <w:rFonts w:asciiTheme="majorBidi" w:hAnsiTheme="majorBidi" w:cstheme="majorBidi"/>
                <w:sz w:val="20"/>
                <w:szCs w:val="20"/>
                <w:lang w:val="pt-PT"/>
              </w:rPr>
            </w:pPr>
            <w:r w:rsidRPr="00E052E9">
              <w:rPr>
                <w:rFonts w:asciiTheme="majorBidi" w:hAnsiTheme="majorBidi" w:cstheme="majorBidi"/>
                <w:sz w:val="20"/>
                <w:szCs w:val="20"/>
                <w:lang w:val="pt-PT"/>
              </w:rPr>
              <w:t>CAZ-AVI n=8</w:t>
            </w:r>
          </w:p>
          <w:p w14:paraId="39E446EC" w14:textId="77777777" w:rsidR="009F01D8" w:rsidRPr="00E052E9" w:rsidRDefault="009F01D8" w:rsidP="009F01D8">
            <w:pPr>
              <w:jc w:val="both"/>
              <w:rPr>
                <w:rFonts w:asciiTheme="majorBidi" w:hAnsiTheme="majorBidi" w:cstheme="majorBidi"/>
                <w:sz w:val="20"/>
                <w:szCs w:val="20"/>
                <w:lang w:val="pt-PT"/>
              </w:rPr>
            </w:pPr>
            <w:r w:rsidRPr="00E052E9">
              <w:rPr>
                <w:rFonts w:asciiTheme="majorBidi" w:hAnsiTheme="majorBidi" w:cstheme="majorBidi"/>
                <w:sz w:val="20"/>
                <w:szCs w:val="20"/>
                <w:lang w:val="pt-PT"/>
              </w:rPr>
              <w:t>Comparator n=19</w:t>
            </w:r>
          </w:p>
        </w:tc>
        <w:tc>
          <w:tcPr>
            <w:tcW w:w="3305" w:type="dxa"/>
          </w:tcPr>
          <w:p w14:paraId="0581A8B9" w14:textId="77777777" w:rsidR="009F01D8" w:rsidRPr="00E052E9" w:rsidRDefault="009F01D8" w:rsidP="009F01D8">
            <w:pPr>
              <w:jc w:val="both"/>
              <w:rPr>
                <w:rFonts w:asciiTheme="majorBidi" w:hAnsiTheme="majorBidi" w:cstheme="majorBidi"/>
                <w:b/>
                <w:sz w:val="20"/>
                <w:szCs w:val="20"/>
                <w:lang w:val="it-IT"/>
              </w:rPr>
            </w:pPr>
            <w:r w:rsidRPr="00E052E9">
              <w:rPr>
                <w:rFonts w:asciiTheme="majorBidi" w:hAnsiTheme="majorBidi" w:cstheme="majorBidi"/>
                <w:b/>
                <w:sz w:val="20"/>
                <w:szCs w:val="20"/>
                <w:lang w:val="it-IT"/>
              </w:rPr>
              <w:t>Complete remission</w:t>
            </w:r>
          </w:p>
          <w:p w14:paraId="5A3284A4" w14:textId="77777777" w:rsidR="009F01D8" w:rsidRPr="00E052E9" w:rsidRDefault="009F01D8" w:rsidP="009F01D8">
            <w:pPr>
              <w:jc w:val="both"/>
              <w:rPr>
                <w:rFonts w:asciiTheme="majorBidi" w:hAnsiTheme="majorBidi" w:cstheme="majorBidi"/>
                <w:sz w:val="20"/>
                <w:szCs w:val="20"/>
                <w:lang w:val="it-IT"/>
              </w:rPr>
            </w:pPr>
            <w:r w:rsidRPr="00E052E9">
              <w:rPr>
                <w:rFonts w:asciiTheme="majorBidi" w:hAnsiTheme="majorBidi" w:cstheme="majorBidi"/>
                <w:sz w:val="20"/>
                <w:szCs w:val="20"/>
                <w:lang w:val="it-IT"/>
              </w:rPr>
              <w:t>CAZ-AVI: 80% (8/10)</w:t>
            </w:r>
          </w:p>
          <w:p w14:paraId="5F1773B3" w14:textId="77777777" w:rsidR="009F01D8" w:rsidRPr="00E052E9" w:rsidRDefault="009F01D8" w:rsidP="009F01D8">
            <w:pPr>
              <w:jc w:val="both"/>
              <w:rPr>
                <w:rFonts w:asciiTheme="majorBidi" w:hAnsiTheme="majorBidi" w:cstheme="majorBidi"/>
                <w:sz w:val="20"/>
                <w:szCs w:val="20"/>
                <w:lang w:val="it-IT"/>
              </w:rPr>
            </w:pPr>
            <w:r w:rsidRPr="00E052E9">
              <w:rPr>
                <w:rFonts w:asciiTheme="majorBidi" w:hAnsiTheme="majorBidi" w:cstheme="majorBidi"/>
                <w:sz w:val="20"/>
                <w:szCs w:val="20"/>
                <w:lang w:val="it-IT"/>
              </w:rPr>
              <w:t>Comparator: 53.6% (15/28)</w:t>
            </w:r>
          </w:p>
          <w:p w14:paraId="21BE77FD"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P=0.14</w:t>
            </w:r>
          </w:p>
          <w:p w14:paraId="230DF636"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Clinical cure without relapse or death within 30 days</w:t>
            </w:r>
          </w:p>
          <w:p w14:paraId="69AB2C2A"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CAZ-AVI: 40% (4/10)</w:t>
            </w:r>
          </w:p>
          <w:p w14:paraId="66CA2A16"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Comparator: 39% (11/28)</w:t>
            </w:r>
          </w:p>
          <w:p w14:paraId="74BD7E3B"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P &gt; 0.99</w:t>
            </w:r>
          </w:p>
          <w:p w14:paraId="24A0A162" w14:textId="77777777" w:rsidR="009F01D8" w:rsidRPr="00E052E9" w:rsidRDefault="009F01D8" w:rsidP="009F01D8">
            <w:pPr>
              <w:jc w:val="both"/>
              <w:rPr>
                <w:rFonts w:asciiTheme="majorBidi" w:hAnsiTheme="majorBidi" w:cstheme="majorBidi"/>
                <w:i/>
                <w:sz w:val="20"/>
                <w:szCs w:val="20"/>
              </w:rPr>
            </w:pPr>
            <w:r w:rsidRPr="00E052E9">
              <w:rPr>
                <w:rFonts w:asciiTheme="majorBidi" w:hAnsiTheme="majorBidi" w:cstheme="majorBidi"/>
                <w:i/>
                <w:sz w:val="20"/>
                <w:szCs w:val="20"/>
              </w:rPr>
              <w:t>Other outcomes not extracted</w:t>
            </w:r>
          </w:p>
        </w:tc>
        <w:tc>
          <w:tcPr>
            <w:tcW w:w="0" w:type="auto"/>
          </w:tcPr>
          <w:p w14:paraId="415C017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small number of patients</w:t>
            </w:r>
          </w:p>
        </w:tc>
      </w:tr>
      <w:tr w:rsidR="009F01D8" w:rsidRPr="00E052E9" w14:paraId="1025B7E5" w14:textId="77777777" w:rsidTr="009F01D8">
        <w:trPr>
          <w:trHeight w:val="1120"/>
        </w:trPr>
        <w:tc>
          <w:tcPr>
            <w:tcW w:w="0" w:type="auto"/>
          </w:tcPr>
          <w:p w14:paraId="2CFEBBD0" w14:textId="5D3FC84D" w:rsidR="009F01D8" w:rsidRPr="00E052E9" w:rsidRDefault="009F01D8" w:rsidP="00C83FB7">
            <w:pPr>
              <w:jc w:val="both"/>
              <w:rPr>
                <w:rFonts w:asciiTheme="majorBidi" w:hAnsiTheme="majorBidi" w:cstheme="majorBidi"/>
                <w:sz w:val="20"/>
                <w:szCs w:val="20"/>
              </w:rPr>
            </w:pPr>
            <w:proofErr w:type="spellStart"/>
            <w:r w:rsidRPr="00E052E9">
              <w:rPr>
                <w:rFonts w:asciiTheme="majorBidi" w:hAnsiTheme="majorBidi" w:cstheme="majorBidi"/>
                <w:color w:val="000000"/>
                <w:sz w:val="20"/>
                <w:szCs w:val="20"/>
              </w:rPr>
              <w:lastRenderedPageBreak/>
              <w:t>Katchanov</w:t>
            </w:r>
            <w:proofErr w:type="spellEnd"/>
            <w:r w:rsidRPr="00E052E9">
              <w:rPr>
                <w:rFonts w:asciiTheme="majorBidi" w:hAnsiTheme="majorBidi" w:cstheme="majorBidi"/>
                <w:color w:val="000000"/>
                <w:sz w:val="20"/>
                <w:szCs w:val="20"/>
              </w:rPr>
              <w:t xml:space="preserve"> 2018</w:t>
            </w:r>
            <w:r w:rsidR="00A83123" w:rsidRPr="00A83123">
              <w:rPr>
                <w:rFonts w:asciiTheme="majorBidi" w:hAnsiTheme="majorBidi" w:cstheme="majorBidi"/>
                <w:noProof/>
                <w:color w:val="000000"/>
                <w:sz w:val="20"/>
                <w:szCs w:val="20"/>
                <w:vertAlign w:val="superscript"/>
              </w:rPr>
              <w:t>38</w:t>
            </w:r>
          </w:p>
        </w:tc>
        <w:tc>
          <w:tcPr>
            <w:tcW w:w="0" w:type="auto"/>
          </w:tcPr>
          <w:p w14:paraId="4377F66D"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Germany</w:t>
            </w:r>
          </w:p>
        </w:tc>
        <w:tc>
          <w:tcPr>
            <w:tcW w:w="0" w:type="auto"/>
          </w:tcPr>
          <w:p w14:paraId="6C359899"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Any</w:t>
            </w:r>
          </w:p>
        </w:tc>
        <w:tc>
          <w:tcPr>
            <w:tcW w:w="0" w:type="auto"/>
          </w:tcPr>
          <w:p w14:paraId="5F2C2017" w14:textId="77777777" w:rsidR="009F01D8" w:rsidRPr="00E052E9" w:rsidRDefault="009F01D8" w:rsidP="009F01D8">
            <w:pPr>
              <w:jc w:val="both"/>
              <w:rPr>
                <w:rFonts w:asciiTheme="majorBidi" w:hAnsiTheme="majorBidi" w:cstheme="majorBidi"/>
                <w:color w:val="000000"/>
                <w:sz w:val="20"/>
                <w:szCs w:val="20"/>
              </w:rPr>
            </w:pPr>
            <w:r w:rsidRPr="00E052E9">
              <w:rPr>
                <w:rFonts w:asciiTheme="majorBidi" w:hAnsiTheme="majorBidi" w:cstheme="majorBidi"/>
                <w:sz w:val="20"/>
                <w:szCs w:val="20"/>
              </w:rPr>
              <w:t>CAZ-AVI</w:t>
            </w:r>
            <w:r w:rsidRPr="00E052E9">
              <w:rPr>
                <w:rFonts w:asciiTheme="majorBidi" w:hAnsiTheme="majorBidi" w:cstheme="majorBidi"/>
                <w:color w:val="000000"/>
                <w:sz w:val="20"/>
                <w:szCs w:val="20"/>
              </w:rPr>
              <w:t xml:space="preserve"> </w:t>
            </w:r>
          </w:p>
          <w:p w14:paraId="3AD7EB99"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No comparator arm</w:t>
            </w:r>
          </w:p>
        </w:tc>
        <w:tc>
          <w:tcPr>
            <w:tcW w:w="1788" w:type="dxa"/>
          </w:tcPr>
          <w:p w14:paraId="08760CE0"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KP OXA-48</w:t>
            </w:r>
          </w:p>
        </w:tc>
        <w:tc>
          <w:tcPr>
            <w:tcW w:w="1298" w:type="dxa"/>
          </w:tcPr>
          <w:p w14:paraId="33D89B02"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5</w:t>
            </w:r>
          </w:p>
        </w:tc>
        <w:tc>
          <w:tcPr>
            <w:tcW w:w="3305" w:type="dxa"/>
          </w:tcPr>
          <w:p w14:paraId="17BF66F5"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In-hospital mortality</w:t>
            </w:r>
          </w:p>
          <w:p w14:paraId="24DD869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100%</w:t>
            </w:r>
          </w:p>
        </w:tc>
        <w:tc>
          <w:tcPr>
            <w:tcW w:w="0" w:type="auto"/>
          </w:tcPr>
          <w:p w14:paraId="6180400A"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infection sites; small number of patients</w:t>
            </w:r>
          </w:p>
        </w:tc>
      </w:tr>
      <w:tr w:rsidR="009F01D8" w:rsidRPr="00E052E9" w14:paraId="079B517E" w14:textId="77777777" w:rsidTr="009F01D8">
        <w:tc>
          <w:tcPr>
            <w:tcW w:w="13948" w:type="dxa"/>
            <w:gridSpan w:val="8"/>
            <w:shd w:val="clear" w:color="auto" w:fill="BFBFBF" w:themeFill="background1" w:themeFillShade="BF"/>
          </w:tcPr>
          <w:p w14:paraId="120C9420"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b/>
                <w:bCs/>
                <w:color w:val="000000"/>
                <w:sz w:val="20"/>
                <w:szCs w:val="20"/>
              </w:rPr>
              <w:t>Studies recruiting wider populations potentially applicable to the ES, treated with CAZ-AVI</w:t>
            </w:r>
          </w:p>
        </w:tc>
      </w:tr>
      <w:tr w:rsidR="009F01D8" w:rsidRPr="00E052E9" w14:paraId="1EE570EB" w14:textId="77777777" w:rsidTr="009F01D8">
        <w:tc>
          <w:tcPr>
            <w:tcW w:w="0" w:type="auto"/>
          </w:tcPr>
          <w:p w14:paraId="6C91F549" w14:textId="7D78EE60" w:rsidR="009F01D8" w:rsidRPr="00E052E9" w:rsidRDefault="009F01D8" w:rsidP="00C83FB7">
            <w:pPr>
              <w:jc w:val="both"/>
              <w:rPr>
                <w:rFonts w:asciiTheme="majorBidi" w:hAnsiTheme="majorBidi" w:cstheme="majorBidi"/>
                <w:sz w:val="20"/>
                <w:szCs w:val="20"/>
              </w:rPr>
            </w:pPr>
            <w:r w:rsidRPr="00E052E9">
              <w:rPr>
                <w:rFonts w:asciiTheme="majorBidi" w:hAnsiTheme="majorBidi" w:cstheme="majorBidi"/>
                <w:color w:val="000000"/>
                <w:sz w:val="20"/>
                <w:szCs w:val="20"/>
              </w:rPr>
              <w:t>Nwankwo 2021</w:t>
            </w:r>
            <w:r w:rsidR="00A83123" w:rsidRPr="00A83123">
              <w:rPr>
                <w:rFonts w:asciiTheme="majorBidi" w:hAnsiTheme="majorBidi" w:cstheme="majorBidi"/>
                <w:noProof/>
                <w:color w:val="000000"/>
                <w:sz w:val="20"/>
                <w:szCs w:val="20"/>
                <w:vertAlign w:val="superscript"/>
              </w:rPr>
              <w:t>43</w:t>
            </w:r>
          </w:p>
        </w:tc>
        <w:tc>
          <w:tcPr>
            <w:tcW w:w="0" w:type="auto"/>
          </w:tcPr>
          <w:p w14:paraId="367BD94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UK</w:t>
            </w:r>
          </w:p>
        </w:tc>
        <w:tc>
          <w:tcPr>
            <w:tcW w:w="0" w:type="auto"/>
          </w:tcPr>
          <w:p w14:paraId="484C021D"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Respiratory diseases not limited to HAP/VAP</w:t>
            </w:r>
          </w:p>
        </w:tc>
        <w:tc>
          <w:tcPr>
            <w:tcW w:w="0" w:type="auto"/>
          </w:tcPr>
          <w:p w14:paraId="26F9F3A5"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CAZ-AVI</w:t>
            </w:r>
          </w:p>
          <w:p w14:paraId="5E04C400"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No comparator arm</w:t>
            </w:r>
          </w:p>
        </w:tc>
        <w:tc>
          <w:tcPr>
            <w:tcW w:w="1788" w:type="dxa"/>
          </w:tcPr>
          <w:p w14:paraId="77E023A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NR (various)</w:t>
            </w:r>
          </w:p>
        </w:tc>
        <w:tc>
          <w:tcPr>
            <w:tcW w:w="1298" w:type="dxa"/>
          </w:tcPr>
          <w:p w14:paraId="6CC43D2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28</w:t>
            </w:r>
          </w:p>
        </w:tc>
        <w:tc>
          <w:tcPr>
            <w:tcW w:w="3305" w:type="dxa"/>
          </w:tcPr>
          <w:p w14:paraId="3F6A83F1"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Susceptibility</w:t>
            </w:r>
          </w:p>
          <w:p w14:paraId="745483B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56% susceptibility (15/27 isolates) of MDR organisms</w:t>
            </w:r>
          </w:p>
        </w:tc>
        <w:tc>
          <w:tcPr>
            <w:tcW w:w="0" w:type="auto"/>
          </w:tcPr>
          <w:p w14:paraId="694F365D"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Not limited to HAP/VAP; mixture of MDS and ES treatment; unclear if any patients had OXA-48; outcomes reported for whole cohort</w:t>
            </w:r>
          </w:p>
        </w:tc>
      </w:tr>
      <w:tr w:rsidR="009F01D8" w:rsidRPr="00E052E9" w14:paraId="5A96F534" w14:textId="77777777" w:rsidTr="009F01D8">
        <w:tc>
          <w:tcPr>
            <w:tcW w:w="0" w:type="auto"/>
          </w:tcPr>
          <w:p w14:paraId="6329A6C2" w14:textId="5D75AF67" w:rsidR="009F01D8" w:rsidRPr="00E052E9" w:rsidRDefault="009F01D8" w:rsidP="00C83FB7">
            <w:pPr>
              <w:jc w:val="both"/>
              <w:rPr>
                <w:rFonts w:asciiTheme="majorBidi" w:hAnsiTheme="majorBidi" w:cstheme="majorBidi"/>
                <w:sz w:val="20"/>
                <w:szCs w:val="20"/>
              </w:rPr>
            </w:pPr>
            <w:r w:rsidRPr="00E052E9">
              <w:rPr>
                <w:rFonts w:asciiTheme="majorBidi" w:hAnsiTheme="majorBidi" w:cstheme="majorBidi"/>
                <w:sz w:val="20"/>
                <w:szCs w:val="20"/>
              </w:rPr>
              <w:t>CARBAR (Shionogi submission)</w:t>
            </w:r>
            <w:r w:rsidR="00A83123" w:rsidRPr="00A83123">
              <w:rPr>
                <w:rFonts w:asciiTheme="majorBidi" w:hAnsiTheme="majorBidi" w:cstheme="majorBidi"/>
                <w:noProof/>
                <w:sz w:val="20"/>
                <w:szCs w:val="20"/>
                <w:vertAlign w:val="superscript"/>
              </w:rPr>
              <w:t>96</w:t>
            </w:r>
          </w:p>
        </w:tc>
        <w:tc>
          <w:tcPr>
            <w:tcW w:w="0" w:type="auto"/>
          </w:tcPr>
          <w:p w14:paraId="4FEF53F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UK</w:t>
            </w:r>
          </w:p>
        </w:tc>
        <w:tc>
          <w:tcPr>
            <w:tcW w:w="0" w:type="auto"/>
          </w:tcPr>
          <w:p w14:paraId="2B741AD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Any/mixed</w:t>
            </w:r>
          </w:p>
        </w:tc>
        <w:tc>
          <w:tcPr>
            <w:tcW w:w="0" w:type="auto"/>
          </w:tcPr>
          <w:p w14:paraId="20379A15"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CAZ-AVI</w:t>
            </w:r>
          </w:p>
          <w:p w14:paraId="101ECC88"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Various comparators</w:t>
            </w:r>
          </w:p>
        </w:tc>
        <w:tc>
          <w:tcPr>
            <w:tcW w:w="1788" w:type="dxa"/>
          </w:tcPr>
          <w:p w14:paraId="08993A07"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CRE, CR Pseudomonas spp., CR Stenotrophomonas spp. and CR Acinetobacter spp.</w:t>
            </w:r>
          </w:p>
        </w:tc>
        <w:tc>
          <w:tcPr>
            <w:tcW w:w="1298" w:type="dxa"/>
          </w:tcPr>
          <w:p w14:paraId="7953CFFE"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157</w:t>
            </w:r>
          </w:p>
        </w:tc>
        <w:tc>
          <w:tcPr>
            <w:tcW w:w="3305" w:type="dxa"/>
          </w:tcPr>
          <w:p w14:paraId="1F5F3EFB"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 xml:space="preserve">Mortality </w:t>
            </w:r>
          </w:p>
          <w:p w14:paraId="23FFF8D4"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51% (76/148)</w:t>
            </w:r>
          </w:p>
          <w:p w14:paraId="2DF9A818"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 xml:space="preserve">In-hospital mortality </w:t>
            </w:r>
          </w:p>
          <w:p w14:paraId="5DB27AB5"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26% (n=39/148)</w:t>
            </w:r>
          </w:p>
          <w:p w14:paraId="231A515D"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Microbial cure</w:t>
            </w:r>
          </w:p>
          <w:p w14:paraId="43B02DE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89% (33/37)</w:t>
            </w:r>
          </w:p>
          <w:p w14:paraId="58DEF8C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Comparator:</w:t>
            </w:r>
          </w:p>
        </w:tc>
        <w:tc>
          <w:tcPr>
            <w:tcW w:w="0" w:type="auto"/>
          </w:tcPr>
          <w:p w14:paraId="7CFB952E"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 xml:space="preserve">Mixed infection </w:t>
            </w:r>
            <w:proofErr w:type="gramStart"/>
            <w:r w:rsidRPr="00E052E9">
              <w:rPr>
                <w:rFonts w:asciiTheme="majorBidi" w:hAnsiTheme="majorBidi" w:cstheme="majorBidi"/>
                <w:sz w:val="20"/>
                <w:szCs w:val="20"/>
              </w:rPr>
              <w:t>sites;</w:t>
            </w:r>
            <w:proofErr w:type="gramEnd"/>
            <w:r w:rsidRPr="00E052E9">
              <w:rPr>
                <w:rFonts w:asciiTheme="majorBidi" w:hAnsiTheme="majorBidi" w:cstheme="majorBidi"/>
                <w:sz w:val="20"/>
                <w:szCs w:val="20"/>
              </w:rPr>
              <w:t xml:space="preserve"> only 3 patients were treated with CAZ-AVI, mechanism not reported</w:t>
            </w:r>
          </w:p>
        </w:tc>
      </w:tr>
      <w:tr w:rsidR="009F01D8" w:rsidRPr="00E052E9" w14:paraId="68970B09" w14:textId="77777777" w:rsidTr="009F01D8">
        <w:tc>
          <w:tcPr>
            <w:tcW w:w="0" w:type="auto"/>
          </w:tcPr>
          <w:p w14:paraId="6C49B084" w14:textId="6CC1D147" w:rsidR="009F01D8" w:rsidRPr="00E052E9" w:rsidRDefault="009F01D8" w:rsidP="00C83FB7">
            <w:pPr>
              <w:jc w:val="both"/>
              <w:rPr>
                <w:rFonts w:asciiTheme="majorBidi" w:hAnsiTheme="majorBidi" w:cstheme="majorBidi"/>
                <w:sz w:val="20"/>
                <w:szCs w:val="20"/>
              </w:rPr>
            </w:pPr>
            <w:proofErr w:type="spellStart"/>
            <w:r w:rsidRPr="00E052E9">
              <w:rPr>
                <w:rFonts w:asciiTheme="majorBidi" w:hAnsiTheme="majorBidi" w:cstheme="majorBidi"/>
                <w:color w:val="000000"/>
                <w:sz w:val="20"/>
                <w:szCs w:val="20"/>
              </w:rPr>
              <w:t>Karaiskos</w:t>
            </w:r>
            <w:proofErr w:type="spellEnd"/>
            <w:r w:rsidRPr="00E052E9">
              <w:rPr>
                <w:rFonts w:asciiTheme="majorBidi" w:hAnsiTheme="majorBidi" w:cstheme="majorBidi"/>
                <w:color w:val="000000"/>
                <w:sz w:val="20"/>
                <w:szCs w:val="20"/>
              </w:rPr>
              <w:t xml:space="preserve"> 2021</w:t>
            </w:r>
            <w:r w:rsidR="00A83123" w:rsidRPr="00A83123">
              <w:rPr>
                <w:rFonts w:asciiTheme="majorBidi" w:hAnsiTheme="majorBidi" w:cstheme="majorBidi"/>
                <w:noProof/>
                <w:color w:val="000000"/>
                <w:sz w:val="20"/>
                <w:szCs w:val="20"/>
                <w:vertAlign w:val="superscript"/>
              </w:rPr>
              <w:t>42</w:t>
            </w:r>
          </w:p>
        </w:tc>
        <w:tc>
          <w:tcPr>
            <w:tcW w:w="0" w:type="auto"/>
          </w:tcPr>
          <w:p w14:paraId="6205B5FB"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Greece</w:t>
            </w:r>
          </w:p>
        </w:tc>
        <w:tc>
          <w:tcPr>
            <w:tcW w:w="0" w:type="auto"/>
          </w:tcPr>
          <w:p w14:paraId="10234C1B"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Any</w:t>
            </w:r>
          </w:p>
        </w:tc>
        <w:tc>
          <w:tcPr>
            <w:tcW w:w="0" w:type="auto"/>
          </w:tcPr>
          <w:p w14:paraId="352B6D3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CAZ-AVI</w:t>
            </w:r>
          </w:p>
          <w:p w14:paraId="5E08D248"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color w:val="000000"/>
                <w:sz w:val="20"/>
                <w:szCs w:val="20"/>
              </w:rPr>
              <w:t>No comparator arm</w:t>
            </w:r>
            <w:r w:rsidRPr="00E052E9">
              <w:rPr>
                <w:rFonts w:asciiTheme="majorBidi" w:hAnsiTheme="majorBidi" w:cstheme="majorBidi"/>
                <w:sz w:val="20"/>
                <w:szCs w:val="20"/>
              </w:rPr>
              <w:t xml:space="preserve"> for the OXA-48 patients</w:t>
            </w:r>
          </w:p>
        </w:tc>
        <w:tc>
          <w:tcPr>
            <w:tcW w:w="1788" w:type="dxa"/>
          </w:tcPr>
          <w:p w14:paraId="1377FA10"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KP OXA-48</w:t>
            </w:r>
          </w:p>
          <w:p w14:paraId="7CC0EC7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KP KPC</w:t>
            </w:r>
          </w:p>
        </w:tc>
        <w:tc>
          <w:tcPr>
            <w:tcW w:w="1298" w:type="dxa"/>
          </w:tcPr>
          <w:p w14:paraId="103D457D"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147</w:t>
            </w:r>
          </w:p>
          <w:p w14:paraId="199F8A61"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OXA-48 (n=7, 5%)</w:t>
            </w:r>
            <w:r w:rsidRPr="00E052E9">
              <w:rPr>
                <w:rFonts w:asciiTheme="majorBidi" w:hAnsiTheme="majorBidi" w:cstheme="majorBidi"/>
                <w:sz w:val="20"/>
                <w:szCs w:val="20"/>
              </w:rPr>
              <w:br/>
            </w:r>
          </w:p>
        </w:tc>
        <w:tc>
          <w:tcPr>
            <w:tcW w:w="3305" w:type="dxa"/>
          </w:tcPr>
          <w:p w14:paraId="188C6709" w14:textId="77777777" w:rsidR="009F01D8" w:rsidRPr="00E052E9" w:rsidRDefault="009F01D8" w:rsidP="009F01D8">
            <w:pPr>
              <w:jc w:val="both"/>
              <w:rPr>
                <w:rFonts w:asciiTheme="majorBidi" w:hAnsiTheme="majorBidi" w:cstheme="majorBidi"/>
                <w:b/>
                <w:sz w:val="20"/>
                <w:szCs w:val="20"/>
              </w:rPr>
            </w:pPr>
            <w:proofErr w:type="gramStart"/>
            <w:r w:rsidRPr="00E052E9">
              <w:rPr>
                <w:rFonts w:asciiTheme="majorBidi" w:hAnsiTheme="majorBidi" w:cstheme="majorBidi"/>
                <w:b/>
                <w:sz w:val="20"/>
                <w:szCs w:val="20"/>
              </w:rPr>
              <w:t>14 and 28 day</w:t>
            </w:r>
            <w:proofErr w:type="gramEnd"/>
            <w:r w:rsidRPr="00E052E9">
              <w:rPr>
                <w:rFonts w:asciiTheme="majorBidi" w:hAnsiTheme="majorBidi" w:cstheme="majorBidi"/>
                <w:b/>
                <w:sz w:val="20"/>
                <w:szCs w:val="20"/>
              </w:rPr>
              <w:t xml:space="preserve"> all-cause mortality</w:t>
            </w:r>
          </w:p>
          <w:p w14:paraId="5D5975CC"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9% and 20%, respectively</w:t>
            </w:r>
          </w:p>
          <w:p w14:paraId="4C08EF6C" w14:textId="77777777" w:rsidR="009F01D8" w:rsidRPr="00E052E9" w:rsidRDefault="009F01D8" w:rsidP="009F01D8">
            <w:pPr>
              <w:jc w:val="both"/>
              <w:rPr>
                <w:rFonts w:asciiTheme="majorBidi" w:hAnsiTheme="majorBidi" w:cstheme="majorBidi"/>
                <w:b/>
                <w:sz w:val="20"/>
                <w:szCs w:val="20"/>
              </w:rPr>
            </w:pPr>
            <w:r w:rsidRPr="00E052E9">
              <w:rPr>
                <w:rFonts w:asciiTheme="majorBidi" w:hAnsiTheme="majorBidi" w:cstheme="majorBidi"/>
                <w:b/>
                <w:sz w:val="20"/>
                <w:szCs w:val="20"/>
              </w:rPr>
              <w:t>Microbiological eradication</w:t>
            </w:r>
          </w:p>
          <w:p w14:paraId="0DD5D3A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37.4% (55/147)</w:t>
            </w:r>
          </w:p>
        </w:tc>
        <w:tc>
          <w:tcPr>
            <w:tcW w:w="0" w:type="auto"/>
          </w:tcPr>
          <w:p w14:paraId="5F26A50F" w14:textId="77777777" w:rsidR="009F01D8" w:rsidRPr="00E052E9" w:rsidRDefault="009F01D8" w:rsidP="009F01D8">
            <w:pPr>
              <w:jc w:val="both"/>
              <w:rPr>
                <w:rFonts w:asciiTheme="majorBidi" w:hAnsiTheme="majorBidi" w:cstheme="majorBidi"/>
                <w:sz w:val="20"/>
                <w:szCs w:val="20"/>
              </w:rPr>
            </w:pPr>
            <w:r w:rsidRPr="00E052E9">
              <w:rPr>
                <w:rFonts w:asciiTheme="majorBidi" w:hAnsiTheme="majorBidi" w:cstheme="majorBidi"/>
                <w:sz w:val="20"/>
                <w:szCs w:val="20"/>
              </w:rPr>
              <w:t>Mixed population of MDS and ES patients; not reported by site</w:t>
            </w:r>
          </w:p>
        </w:tc>
      </w:tr>
    </w:tbl>
    <w:p w14:paraId="058F4944" w14:textId="0EB86A39" w:rsidR="009F01D8" w:rsidRPr="00432C84" w:rsidRDefault="006E3947" w:rsidP="009F01D8">
      <w:pPr>
        <w:jc w:val="both"/>
        <w:rPr>
          <w:rFonts w:asciiTheme="majorBidi" w:eastAsiaTheme="minorEastAsia" w:hAnsiTheme="majorBidi" w:cstheme="majorBidi"/>
          <w:bCs/>
          <w:sz w:val="20"/>
          <w:szCs w:val="20"/>
        </w:rPr>
      </w:pPr>
      <w:r w:rsidRPr="00432C84">
        <w:rPr>
          <w:rFonts w:asciiTheme="majorBidi" w:eastAsiaTheme="minorEastAsia" w:hAnsiTheme="majorBidi" w:cstheme="majorBidi"/>
          <w:bCs/>
          <w:sz w:val="20"/>
          <w:szCs w:val="20"/>
        </w:rPr>
        <w:t xml:space="preserve">CAZ-AVI, ceftazidime-avibactam; CR, </w:t>
      </w:r>
      <w:proofErr w:type="spellStart"/>
      <w:r w:rsidRPr="00432C84">
        <w:rPr>
          <w:rFonts w:asciiTheme="majorBidi" w:eastAsiaTheme="minorEastAsia" w:hAnsiTheme="majorBidi" w:cstheme="majorBidi"/>
          <w:bCs/>
          <w:sz w:val="20"/>
          <w:szCs w:val="20"/>
        </w:rPr>
        <w:t>crabapenem</w:t>
      </w:r>
      <w:proofErr w:type="spellEnd"/>
      <w:r w:rsidRPr="00432C84">
        <w:rPr>
          <w:rFonts w:asciiTheme="majorBidi" w:eastAsiaTheme="minorEastAsia" w:hAnsiTheme="majorBidi" w:cstheme="majorBidi"/>
          <w:bCs/>
          <w:sz w:val="20"/>
          <w:szCs w:val="20"/>
        </w:rPr>
        <w:t>-resistant; ES, empiric setting;</w:t>
      </w:r>
      <w:r w:rsidRPr="00432C84">
        <w:rPr>
          <w:rFonts w:asciiTheme="majorBidi" w:eastAsiaTheme="minorEastAsia" w:hAnsiTheme="majorBidi" w:cstheme="majorBidi"/>
          <w:bCs/>
          <w:i/>
          <w:iCs/>
          <w:sz w:val="20"/>
          <w:szCs w:val="20"/>
        </w:rPr>
        <w:t xml:space="preserve"> </w:t>
      </w:r>
      <w:r w:rsidRPr="00432C84">
        <w:rPr>
          <w:rFonts w:asciiTheme="majorBidi" w:eastAsiaTheme="minorEastAsia" w:hAnsiTheme="majorBidi" w:cstheme="majorBidi"/>
          <w:bCs/>
          <w:sz w:val="20"/>
          <w:szCs w:val="20"/>
        </w:rPr>
        <w:t xml:space="preserve">HAP/VAP, hospital acquired pneumonia/ventilator acquired pneumonia; KP, </w:t>
      </w:r>
      <w:r w:rsidRPr="00432C84">
        <w:rPr>
          <w:rFonts w:asciiTheme="majorBidi" w:eastAsiaTheme="minorEastAsia" w:hAnsiTheme="majorBidi" w:cstheme="majorBidi"/>
          <w:bCs/>
          <w:i/>
          <w:iCs/>
          <w:sz w:val="20"/>
          <w:szCs w:val="20"/>
        </w:rPr>
        <w:t xml:space="preserve">Klebsiella pneumoniae; </w:t>
      </w:r>
      <w:r w:rsidRPr="00432C84">
        <w:rPr>
          <w:rFonts w:asciiTheme="majorBidi" w:eastAsiaTheme="minorEastAsia" w:hAnsiTheme="majorBidi" w:cstheme="majorBidi"/>
          <w:bCs/>
          <w:sz w:val="20"/>
          <w:szCs w:val="20"/>
        </w:rPr>
        <w:t xml:space="preserve">MDR, multi-drug </w:t>
      </w:r>
      <w:proofErr w:type="spellStart"/>
      <w:proofErr w:type="gramStart"/>
      <w:r w:rsidRPr="00432C84">
        <w:rPr>
          <w:rFonts w:asciiTheme="majorBidi" w:eastAsiaTheme="minorEastAsia" w:hAnsiTheme="majorBidi" w:cstheme="majorBidi"/>
          <w:bCs/>
          <w:sz w:val="20"/>
          <w:szCs w:val="20"/>
        </w:rPr>
        <w:t>resistant;MDS</w:t>
      </w:r>
      <w:proofErr w:type="spellEnd"/>
      <w:proofErr w:type="gramEnd"/>
      <w:r w:rsidRPr="00432C84">
        <w:rPr>
          <w:rFonts w:asciiTheme="majorBidi" w:eastAsiaTheme="minorEastAsia" w:hAnsiTheme="majorBidi" w:cstheme="majorBidi"/>
          <w:bCs/>
          <w:sz w:val="20"/>
          <w:szCs w:val="20"/>
        </w:rPr>
        <w:t>, microbiology-directed setting; NR, not reported; OXA-48, oxacillinase 48;.</w:t>
      </w:r>
      <w:r w:rsidRPr="00432C84">
        <w:rPr>
          <w:rFonts w:asciiTheme="majorBidi" w:eastAsiaTheme="minorEastAsia" w:hAnsiTheme="majorBidi" w:cstheme="majorBidi"/>
          <w:bCs/>
          <w:i/>
          <w:iCs/>
          <w:sz w:val="20"/>
          <w:szCs w:val="20"/>
        </w:rPr>
        <w:t xml:space="preserve"> </w:t>
      </w:r>
    </w:p>
    <w:p w14:paraId="185111BF" w14:textId="53CFBC10" w:rsidR="00D90EA7" w:rsidRPr="006E3947" w:rsidRDefault="009F01D8" w:rsidP="00D90EA7">
      <w:pPr>
        <w:rPr>
          <w:rFonts w:asciiTheme="majorBidi" w:eastAsiaTheme="minorEastAsia" w:hAnsiTheme="majorBidi" w:cstheme="majorBidi"/>
          <w:bCs/>
          <w:sz w:val="18"/>
          <w:szCs w:val="18"/>
        </w:rPr>
        <w:sectPr w:rsidR="00D90EA7" w:rsidRPr="006E3947" w:rsidSect="00D90EA7">
          <w:pgSz w:w="16838" w:h="11906" w:orient="landscape"/>
          <w:pgMar w:top="1440" w:right="1440" w:bottom="1440" w:left="1440" w:header="709" w:footer="709" w:gutter="0"/>
          <w:cols w:space="708"/>
          <w:docGrid w:linePitch="360"/>
        </w:sectPr>
      </w:pPr>
      <w:r w:rsidRPr="006E3947">
        <w:rPr>
          <w:rFonts w:asciiTheme="majorBidi" w:eastAsiaTheme="minorEastAsia" w:hAnsiTheme="majorBidi" w:cstheme="majorBidi"/>
          <w:bCs/>
          <w:sz w:val="18"/>
          <w:szCs w:val="18"/>
        </w:rPr>
        <w:t xml:space="preserve">* Meropenem; </w:t>
      </w:r>
      <w:proofErr w:type="spellStart"/>
      <w:r w:rsidRPr="006E3947">
        <w:rPr>
          <w:rFonts w:asciiTheme="majorBidi" w:eastAsiaTheme="minorEastAsia" w:hAnsiTheme="majorBidi" w:cstheme="majorBidi"/>
          <w:bCs/>
          <w:sz w:val="18"/>
          <w:szCs w:val="18"/>
        </w:rPr>
        <w:t>Impenem</w:t>
      </w:r>
      <w:proofErr w:type="spellEnd"/>
      <w:r w:rsidRPr="006E3947">
        <w:rPr>
          <w:rFonts w:asciiTheme="majorBidi" w:eastAsiaTheme="minorEastAsia" w:hAnsiTheme="majorBidi" w:cstheme="majorBidi"/>
          <w:bCs/>
          <w:sz w:val="18"/>
          <w:szCs w:val="18"/>
        </w:rPr>
        <w:t xml:space="preserve"> (Colistin/Carbapenem; Colistin/Carbapenem/aminoglycoside; Colistin/Carbapenem/tigecycline; Colistin/tigecycline; Carbapenem/tigecycline; Colistin/Carbapenem/quinolone; Colistin/Carbapenem/trimethoprim/sulfamethoxazole; Colistin/Carbapenem/aztreonam; Colistin/tigecycline/aminoglycoside; Carbapenem/quinolone; Colistin/tigecycline/aminoglycoside; Quinolone/</w:t>
      </w:r>
      <w:proofErr w:type="spellStart"/>
      <w:r w:rsidRPr="006E3947">
        <w:rPr>
          <w:rFonts w:asciiTheme="majorBidi" w:eastAsiaTheme="minorEastAsia" w:hAnsiTheme="majorBidi" w:cstheme="majorBidi"/>
          <w:bCs/>
          <w:sz w:val="18"/>
          <w:szCs w:val="18"/>
        </w:rPr>
        <w:t>aminoglycosid</w:t>
      </w:r>
      <w:proofErr w:type="spellEnd"/>
    </w:p>
    <w:p w14:paraId="66640699" w14:textId="56B654DF" w:rsidR="009F01D8" w:rsidRPr="00A1033E" w:rsidRDefault="009F01D8" w:rsidP="006E3947">
      <w:pPr>
        <w:pStyle w:val="Heading2"/>
        <w:jc w:val="both"/>
        <w:rPr>
          <w:sz w:val="32"/>
          <w:szCs w:val="32"/>
        </w:rPr>
      </w:pPr>
      <w:bookmarkStart w:id="679" w:name="_Ref78199504"/>
      <w:bookmarkStart w:id="680" w:name="_Ref78202466"/>
      <w:bookmarkStart w:id="681" w:name="_Ref82437952"/>
      <w:bookmarkStart w:id="682" w:name="_Toc87463094"/>
      <w:bookmarkEnd w:id="609"/>
      <w:r w:rsidRPr="00A1033E">
        <w:rPr>
          <w:sz w:val="32"/>
          <w:szCs w:val="32"/>
        </w:rPr>
        <w:lastRenderedPageBreak/>
        <w:t xml:space="preserve">Appendix </w:t>
      </w:r>
      <w:bookmarkEnd w:id="679"/>
      <w:bookmarkEnd w:id="680"/>
      <w:bookmarkEnd w:id="681"/>
      <w:r w:rsidRPr="00A1033E">
        <w:rPr>
          <w:sz w:val="32"/>
          <w:szCs w:val="32"/>
        </w:rPr>
        <w:t xml:space="preserve">7: </w:t>
      </w:r>
      <w:bookmarkStart w:id="683" w:name="_Hlk85404708"/>
      <w:r w:rsidR="00E74323" w:rsidRPr="00A1033E">
        <w:rPr>
          <w:sz w:val="32"/>
          <w:szCs w:val="32"/>
        </w:rPr>
        <w:t>Susceptibility</w:t>
      </w:r>
      <w:r w:rsidRPr="00A1033E">
        <w:rPr>
          <w:sz w:val="32"/>
          <w:szCs w:val="32"/>
        </w:rPr>
        <w:t xml:space="preserve"> synthesis methods and sensitivity </w:t>
      </w:r>
      <w:r w:rsidR="00A1033E">
        <w:rPr>
          <w:sz w:val="32"/>
          <w:szCs w:val="32"/>
        </w:rPr>
        <w:tab/>
      </w:r>
      <w:r w:rsidR="00A1033E">
        <w:rPr>
          <w:sz w:val="32"/>
          <w:szCs w:val="32"/>
        </w:rPr>
        <w:tab/>
      </w:r>
      <w:r w:rsidRPr="00A1033E">
        <w:rPr>
          <w:sz w:val="32"/>
          <w:szCs w:val="32"/>
        </w:rPr>
        <w:t>analysis results</w:t>
      </w:r>
      <w:bookmarkEnd w:id="683"/>
      <w:bookmarkEnd w:id="682"/>
    </w:p>
    <w:p w14:paraId="265DF725" w14:textId="573CCCD2" w:rsidR="009F01D8" w:rsidRPr="00A1033E" w:rsidRDefault="00A1033E" w:rsidP="009F6FA6">
      <w:pPr>
        <w:pStyle w:val="Heading3"/>
        <w:rPr>
          <w:rFonts w:asciiTheme="majorBidi" w:hAnsiTheme="majorBidi"/>
          <w:sz w:val="26"/>
          <w:szCs w:val="26"/>
        </w:rPr>
      </w:pPr>
      <w:bookmarkStart w:id="684" w:name="_Hlk85404725"/>
      <w:r>
        <w:rPr>
          <w:rFonts w:asciiTheme="majorBidi" w:hAnsiTheme="majorBidi"/>
          <w:sz w:val="26"/>
          <w:szCs w:val="26"/>
        </w:rPr>
        <w:tab/>
      </w:r>
      <w:bookmarkStart w:id="685" w:name="_Toc87463095"/>
      <w:r w:rsidR="009F01D8" w:rsidRPr="00A1033E">
        <w:rPr>
          <w:rFonts w:asciiTheme="majorBidi" w:hAnsiTheme="majorBidi"/>
          <w:sz w:val="26"/>
          <w:szCs w:val="26"/>
        </w:rPr>
        <w:t>A7.1 Statistical model for the network meta-analysis</w:t>
      </w:r>
      <w:bookmarkEnd w:id="685"/>
    </w:p>
    <w:bookmarkEnd w:id="684"/>
    <w:p w14:paraId="7DDF1EEE"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 xml:space="preserve">The data are presented as the total number </w:t>
      </w:r>
      <w:r>
        <w:rPr>
          <w:rFonts w:asciiTheme="majorBidi" w:hAnsiTheme="majorBidi" w:cstheme="majorBidi"/>
        </w:rPr>
        <w:t>susceptible</w:t>
      </w:r>
      <w:r w:rsidRPr="001A38E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ik</m:t>
            </m:r>
          </m:sub>
        </m:sSub>
      </m:oMath>
      <w:r w:rsidRPr="001A38EF">
        <w:rPr>
          <w:rFonts w:asciiTheme="majorBidi" w:hAnsiTheme="majorBidi" w:cstheme="majorBidi"/>
        </w:rPr>
        <w:t xml:space="preserve"> out of the total number of </w:t>
      </w:r>
      <w:r>
        <w:rPr>
          <w:rFonts w:asciiTheme="majorBidi" w:hAnsiTheme="majorBidi" w:cstheme="majorBidi"/>
        </w:rPr>
        <w:t>isolates</w:t>
      </w:r>
      <w:r w:rsidRPr="001A38E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ik</m:t>
            </m:r>
          </m:sub>
        </m:sSub>
      </m:oMath>
      <w:r w:rsidRPr="001A38EF">
        <w:rPr>
          <w:rFonts w:asciiTheme="majorBidi" w:hAnsiTheme="majorBidi" w:cstheme="majorBidi"/>
        </w:rPr>
        <w:t xml:space="preserve">, for patients arm </w:t>
      </w:r>
      <m:oMath>
        <m:r>
          <w:rPr>
            <w:rFonts w:ascii="Cambria Math" w:hAnsi="Cambria Math" w:cstheme="majorBidi"/>
          </w:rPr>
          <m:t>k</m:t>
        </m:r>
      </m:oMath>
      <w:r w:rsidRPr="001A38EF">
        <w:rPr>
          <w:rFonts w:asciiTheme="majorBidi" w:hAnsiTheme="majorBidi" w:cstheme="majorBidi"/>
        </w:rPr>
        <w:t xml:space="preserve"> of study </w:t>
      </w:r>
      <m:oMath>
        <m:r>
          <w:rPr>
            <w:rFonts w:ascii="Cambria Math" w:hAnsi="Cambria Math" w:cstheme="majorBidi"/>
          </w:rPr>
          <m:t>i</m:t>
        </m:r>
      </m:oMath>
      <w:r w:rsidRPr="001A38EF">
        <w:rPr>
          <w:rFonts w:asciiTheme="majorBidi" w:hAnsiTheme="majorBidi" w:cstheme="majorBidi"/>
        </w:rPr>
        <w:t>. The data generation process is assumed to follow a Binomial likelihood such that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92"/>
        <w:gridCol w:w="624"/>
      </w:tblGrid>
      <w:tr w:rsidR="009F01D8" w:rsidRPr="001A38EF" w14:paraId="5CBB796E" w14:textId="77777777" w:rsidTr="009F01D8">
        <w:tc>
          <w:tcPr>
            <w:tcW w:w="8613" w:type="dxa"/>
          </w:tcPr>
          <w:p w14:paraId="73B27E27" w14:textId="77777777" w:rsidR="009F01D8" w:rsidRPr="001A38EF" w:rsidRDefault="0070201C" w:rsidP="009F01D8">
            <w:pPr>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ik</m:t>
                  </m:r>
                </m:sub>
              </m:sSub>
              <m:r>
                <w:rPr>
                  <w:rFonts w:ascii="Cambria Math" w:hAnsi="Cambria Math" w:cstheme="majorBidi"/>
                </w:rPr>
                <m:t>~ bin</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ik</m:t>
                      </m:r>
                    </m:sub>
                  </m:sSub>
                </m:e>
              </m:d>
            </m:oMath>
            <w:r w:rsidR="009F01D8" w:rsidRPr="001A38EF">
              <w:rPr>
                <w:rFonts w:asciiTheme="majorBidi" w:hAnsiTheme="majorBidi" w:cstheme="majorBidi"/>
              </w:rPr>
              <w:t>,</w:t>
            </w:r>
          </w:p>
        </w:tc>
        <w:tc>
          <w:tcPr>
            <w:tcW w:w="629" w:type="dxa"/>
          </w:tcPr>
          <w:p w14:paraId="219E9B60"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(1)</w:t>
            </w:r>
          </w:p>
        </w:tc>
      </w:tr>
    </w:tbl>
    <w:p w14:paraId="1F2E5CB6"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oMath>
      <w:r w:rsidRPr="001A38EF">
        <w:rPr>
          <w:rFonts w:asciiTheme="majorBidi" w:hAnsiTheme="majorBidi" w:cstheme="majorBidi"/>
        </w:rPr>
        <w:t xml:space="preserve"> represents the probability of an event in arm </w:t>
      </w:r>
      <m:oMath>
        <m:r>
          <w:rPr>
            <w:rFonts w:ascii="Cambria Math" w:hAnsi="Cambria Math" w:cstheme="majorBidi"/>
          </w:rPr>
          <m:t>k</m:t>
        </m:r>
      </m:oMath>
      <w:r w:rsidRPr="001A38EF">
        <w:rPr>
          <w:rFonts w:asciiTheme="majorBidi" w:hAnsiTheme="majorBidi" w:cstheme="majorBidi"/>
        </w:rPr>
        <w:t xml:space="preserve"> of trial </w:t>
      </w:r>
      <m:oMath>
        <m:r>
          <w:rPr>
            <w:rFonts w:ascii="Cambria Math" w:hAnsi="Cambria Math" w:cstheme="majorBidi"/>
          </w:rPr>
          <m:t>i</m:t>
        </m:r>
      </m:oMath>
      <w:r w:rsidRPr="001A38EF">
        <w:rPr>
          <w:rFonts w:asciiTheme="majorBidi" w:hAnsiTheme="majorBidi" w:cstheme="majorBidi"/>
        </w:rPr>
        <w:t>. The probabilities are modelled on the logit scale as</w:t>
      </w:r>
    </w:p>
    <w:tbl>
      <w:tblPr>
        <w:tblW w:w="8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59"/>
        <w:gridCol w:w="639"/>
      </w:tblGrid>
      <w:tr w:rsidR="009F01D8" w:rsidRPr="001A38EF" w14:paraId="73BABA10" w14:textId="77777777" w:rsidTr="009F01D8">
        <w:trPr>
          <w:trHeight w:val="389"/>
        </w:trPr>
        <w:tc>
          <w:tcPr>
            <w:tcW w:w="8359" w:type="dxa"/>
          </w:tcPr>
          <w:p w14:paraId="50A76D3C" w14:textId="77777777" w:rsidR="009F01D8" w:rsidRPr="001A38EF" w:rsidRDefault="009F01D8" w:rsidP="009F01D8">
            <w:pPr>
              <w:jc w:val="both"/>
              <w:rPr>
                <w:rFonts w:asciiTheme="majorBidi" w:hAnsiTheme="majorBidi" w:cstheme="majorBidi"/>
              </w:rPr>
            </w:pPr>
            <m:oMathPara>
              <m:oMath>
                <m:r>
                  <w:rPr>
                    <w:rFonts w:ascii="Cambria Math" w:hAnsi="Cambria Math" w:cstheme="majorBidi"/>
                  </w:rPr>
                  <m:t>logit</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ik</m:t>
                        </m:r>
                      </m:sub>
                    </m:sSub>
                  </m:e>
                </m:d>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k≠1</m:t>
                    </m:r>
                  </m:sub>
                </m:sSub>
                <m:r>
                  <w:rPr>
                    <w:rFonts w:ascii="Cambria Math" w:hAnsi="Cambria Math" w:cstheme="majorBidi"/>
                  </w:rPr>
                  <m:t>,</m:t>
                </m:r>
              </m:oMath>
            </m:oMathPara>
          </w:p>
        </w:tc>
        <w:tc>
          <w:tcPr>
            <w:tcW w:w="639" w:type="dxa"/>
          </w:tcPr>
          <w:p w14:paraId="42167CB3"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w:t>
            </w:r>
            <w:r>
              <w:rPr>
                <w:rFonts w:asciiTheme="majorBidi" w:hAnsiTheme="majorBidi" w:cstheme="majorBidi"/>
              </w:rPr>
              <w:t>2</w:t>
            </w:r>
            <w:r w:rsidRPr="001A38EF">
              <w:rPr>
                <w:rFonts w:asciiTheme="majorBidi" w:hAnsiTheme="majorBidi" w:cstheme="majorBidi"/>
              </w:rPr>
              <w:t>)</w:t>
            </w:r>
          </w:p>
        </w:tc>
      </w:tr>
    </w:tbl>
    <w:p w14:paraId="5D80EC40" w14:textId="77777777" w:rsidR="009F01D8" w:rsidRPr="001A38EF" w:rsidRDefault="009F01D8" w:rsidP="009F01D8">
      <w:pPr>
        <w:jc w:val="both"/>
        <w:rPr>
          <w:rFonts w:asciiTheme="majorBidi" w:hAnsiTheme="majorBidi" w:cstheme="majorBidi"/>
        </w:rPr>
      </w:pPr>
      <w:r>
        <w:rPr>
          <w:rFonts w:asciiTheme="majorBidi" w:hAnsiTheme="majorBidi" w:cstheme="majorBidi"/>
        </w:rPr>
        <w:t xml:space="preserve">where </w:t>
      </w:r>
      <w:r w:rsidRPr="001A38EF">
        <w:rPr>
          <w:rFonts w:asciiTheme="majorBidi" w:hAnsiTheme="majorBidi" w:cstheme="majorBidi"/>
        </w:rPr>
        <w:t xml:space="preserve">the </w:t>
      </w:r>
      <m:oMath>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oMath>
      <w:r w:rsidRPr="001A38EF">
        <w:rPr>
          <w:rFonts w:asciiTheme="majorBidi" w:hAnsiTheme="majorBidi" w:cstheme="majorBidi"/>
        </w:rPr>
        <w:t xml:space="preserve"> are trial</w:t>
      </w:r>
      <w:r>
        <w:rPr>
          <w:rFonts w:asciiTheme="majorBidi" w:hAnsiTheme="majorBidi" w:cstheme="majorBidi"/>
        </w:rPr>
        <w:t>-</w:t>
      </w:r>
      <w:r w:rsidRPr="001A38EF">
        <w:rPr>
          <w:rFonts w:asciiTheme="majorBidi" w:hAnsiTheme="majorBidi" w:cstheme="majorBidi"/>
        </w:rPr>
        <w:t xml:space="preserve">specific baselines, representing the log-odds of response in the baseline treatment. The trial-specific treatment effects, </w:t>
      </w: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oMath>
      <w:r w:rsidRPr="001A38EF">
        <w:rPr>
          <w:rFonts w:asciiTheme="majorBidi" w:hAnsiTheme="majorBidi" w:cstheme="majorBidi"/>
        </w:rPr>
        <w:t xml:space="preserve"> , are log-odds ratios of response for the treatment in arm </w:t>
      </w:r>
      <m:oMath>
        <m:r>
          <w:rPr>
            <w:rFonts w:ascii="Cambria Math" w:hAnsi="Cambria Math" w:cstheme="majorBidi"/>
          </w:rPr>
          <m:t>k</m:t>
        </m:r>
      </m:oMath>
      <w:r w:rsidRPr="001A38EF">
        <w:rPr>
          <w:rFonts w:asciiTheme="majorBidi" w:hAnsiTheme="majorBidi" w:cstheme="majorBidi"/>
        </w:rPr>
        <w:t>, relative to the baseline treatment.</w:t>
      </w:r>
    </w:p>
    <w:p w14:paraId="35F43794"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 xml:space="preserve">For the random effects model, the trial-specific treatment effects, </w:t>
      </w: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oMath>
      <w:r w:rsidRPr="001A38EF">
        <w:rPr>
          <w:rFonts w:asciiTheme="majorBidi" w:hAnsiTheme="majorBidi" w:cstheme="majorBidi"/>
        </w:rPr>
        <w:t xml:space="preserve">, are assumed to arise from a common </w:t>
      </w:r>
      <w:r>
        <w:rPr>
          <w:rFonts w:asciiTheme="majorBidi" w:hAnsiTheme="majorBidi" w:cstheme="majorBidi"/>
        </w:rPr>
        <w:t>random effects</w:t>
      </w:r>
      <w:r w:rsidRPr="001A38EF">
        <w:rPr>
          <w:rFonts w:asciiTheme="majorBidi" w:hAnsiTheme="majorBidi" w:cstheme="majorBidi"/>
        </w:rPr>
        <w:t xml:space="preserve"> distribution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392"/>
        <w:gridCol w:w="624"/>
      </w:tblGrid>
      <w:tr w:rsidR="009F01D8" w:rsidRPr="001A38EF" w14:paraId="32DCF183" w14:textId="77777777" w:rsidTr="009F01D8">
        <w:tc>
          <w:tcPr>
            <w:tcW w:w="8613" w:type="dxa"/>
          </w:tcPr>
          <w:p w14:paraId="75050AEB" w14:textId="77777777" w:rsidR="009F01D8" w:rsidRPr="001A38EF" w:rsidRDefault="0070201C" w:rsidP="009F01D8">
            <w:pPr>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δ</m:t>
                  </m:r>
                </m:e>
                <m:sub>
                  <m:r>
                    <w:rPr>
                      <w:rFonts w:ascii="Cambria Math" w:hAnsi="Cambria Math" w:cstheme="majorBidi"/>
                    </w:rPr>
                    <m:t>i,1k</m:t>
                  </m:r>
                </m:sub>
              </m:sSub>
              <m:r>
                <w:rPr>
                  <w:rFonts w:ascii="Cambria Math" w:hAnsi="Cambria Math" w:cstheme="majorBidi"/>
                </w:rPr>
                <m:t>~ N</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d</m:t>
                      </m:r>
                    </m:e>
                    <m: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i1</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ik</m:t>
                          </m:r>
                        </m:sub>
                      </m:sSub>
                    </m:sub>
                  </m:sSub>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τ</m:t>
                      </m:r>
                    </m:e>
                    <m:sup>
                      <m:r>
                        <w:rPr>
                          <w:rFonts w:ascii="Cambria Math" w:hAnsi="Cambria Math" w:cstheme="majorBidi"/>
                        </w:rPr>
                        <m:t>2</m:t>
                      </m:r>
                    </m:sup>
                  </m:sSup>
                </m:e>
              </m:d>
            </m:oMath>
            <w:r w:rsidR="009F01D8" w:rsidRPr="001A38EF">
              <w:rPr>
                <w:rFonts w:asciiTheme="majorBidi" w:hAnsiTheme="majorBidi" w:cstheme="majorBidi"/>
              </w:rPr>
              <w:t>,</w:t>
            </w:r>
          </w:p>
        </w:tc>
        <w:tc>
          <w:tcPr>
            <w:tcW w:w="629" w:type="dxa"/>
          </w:tcPr>
          <w:p w14:paraId="5D80D7A0"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w:t>
            </w:r>
            <w:r>
              <w:rPr>
                <w:rFonts w:asciiTheme="majorBidi" w:hAnsiTheme="majorBidi" w:cstheme="majorBidi"/>
              </w:rPr>
              <w:t>3</w:t>
            </w:r>
            <w:r w:rsidRPr="001A38EF">
              <w:rPr>
                <w:rFonts w:asciiTheme="majorBidi" w:hAnsiTheme="majorBidi" w:cstheme="majorBidi"/>
              </w:rPr>
              <w:t>)</w:t>
            </w:r>
          </w:p>
        </w:tc>
      </w:tr>
    </w:tbl>
    <w:p w14:paraId="612A0701"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 xml:space="preserve">where </w:t>
      </w:r>
      <m:oMath>
        <m:sSub>
          <m:sSubPr>
            <m:ctrlPr>
              <w:rPr>
                <w:rFonts w:ascii="Cambria Math" w:hAnsi="Cambria Math" w:cstheme="majorBidi"/>
              </w:rPr>
            </m:ctrlPr>
          </m:sSubPr>
          <m:e>
            <m:r>
              <m:rPr>
                <m:sty m:val="p"/>
              </m:rPr>
              <w:rPr>
                <w:rFonts w:ascii="Cambria Math" w:hAnsi="Cambria Math" w:cstheme="majorBidi"/>
              </w:rPr>
              <m:t>d</m:t>
            </m:r>
          </m:e>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i1</m:t>
                </m:r>
              </m:sub>
            </m:s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ik</m:t>
                </m:r>
              </m:sub>
            </m:sSub>
          </m:sub>
        </m:sSub>
      </m:oMath>
      <w:r w:rsidRPr="001A38EF">
        <w:rPr>
          <w:rFonts w:asciiTheme="majorBidi" w:hAnsiTheme="majorBidi" w:cstheme="majorBidi"/>
        </w:rPr>
        <w:t xml:space="preserve">represents the mean effect of the treatment in arm </w:t>
      </w:r>
      <m:oMath>
        <m:r>
          <w:rPr>
            <w:rFonts w:ascii="Cambria Math" w:hAnsi="Cambria Math" w:cstheme="majorBidi"/>
          </w:rPr>
          <m:t>k</m:t>
        </m:r>
      </m:oMath>
      <w:r w:rsidRPr="001A38EF">
        <w:rPr>
          <w:rFonts w:asciiTheme="majorBidi" w:hAnsiTheme="majorBidi" w:cstheme="majorBidi"/>
        </w:rPr>
        <w:t xml:space="preserve"> of study </w:t>
      </w:r>
      <m:oMath>
        <m:r>
          <w:rPr>
            <w:rFonts w:ascii="Cambria Math" w:hAnsi="Cambria Math" w:cstheme="majorBidi"/>
          </w:rPr>
          <m:t>i</m:t>
        </m:r>
      </m:oMath>
      <w:r>
        <w:rPr>
          <w:rFonts w:asciiTheme="majorBidi"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ik</m:t>
            </m:r>
          </m:sub>
        </m:sSub>
      </m:oMath>
      <w:r>
        <w:rPr>
          <w:rFonts w:asciiTheme="majorBidi" w:hAnsiTheme="majorBidi" w:cstheme="majorBidi"/>
        </w:rPr>
        <w:t>,</w:t>
      </w:r>
      <w:r w:rsidRPr="001A38EF">
        <w:rPr>
          <w:rFonts w:asciiTheme="majorBidi" w:hAnsiTheme="majorBidi" w:cstheme="majorBidi"/>
        </w:rPr>
        <w:t xml:space="preserve"> compared to the treatment in arm </w:t>
      </w:r>
      <m:oMath>
        <m:r>
          <w:rPr>
            <w:rFonts w:ascii="Cambria Math" w:hAnsi="Cambria Math" w:cstheme="majorBidi"/>
          </w:rPr>
          <m:t>1</m:t>
        </m:r>
      </m:oMath>
      <w:r w:rsidRPr="001A38EF">
        <w:rPr>
          <w:rFonts w:asciiTheme="majorBidi" w:hAnsiTheme="majorBidi" w:cstheme="majorBidi"/>
        </w:rPr>
        <w:t xml:space="preserve"> of study </w:t>
      </w:r>
      <m:oMath>
        <m:r>
          <w:rPr>
            <w:rFonts w:ascii="Cambria Math" w:hAnsi="Cambria Math" w:cstheme="majorBidi"/>
          </w:rPr>
          <m:t>i</m:t>
        </m:r>
      </m:oMath>
      <w:r>
        <w:rPr>
          <w:rFonts w:asciiTheme="majorBidi"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i1</m:t>
            </m:r>
          </m:sub>
        </m:sSub>
      </m:oMath>
      <w:r>
        <w:rPr>
          <w:rFonts w:asciiTheme="majorBidi" w:hAnsiTheme="majorBidi" w:cstheme="majorBidi"/>
        </w:rPr>
        <w:t>,</w:t>
      </w:r>
      <w:r w:rsidRPr="001A38EF">
        <w:rPr>
          <w:rFonts w:asciiTheme="majorBidi" w:hAnsiTheme="majorBidi" w:cstheme="majorBidi"/>
        </w:rPr>
        <w:t xml:space="preserve"> and </w:t>
      </w:r>
      <m:oMath>
        <m:sSup>
          <m:sSupPr>
            <m:ctrlPr>
              <w:rPr>
                <w:rFonts w:ascii="Cambria Math" w:hAnsi="Cambria Math" w:cstheme="majorBidi"/>
                <w:i/>
              </w:rPr>
            </m:ctrlPr>
          </m:sSupPr>
          <m:e>
            <m:r>
              <w:rPr>
                <w:rFonts w:ascii="Cambria Math" w:hAnsi="Cambria Math" w:cstheme="majorBidi"/>
              </w:rPr>
              <m:t>τ</m:t>
            </m:r>
          </m:e>
          <m:sup>
            <m:r>
              <w:rPr>
                <w:rFonts w:ascii="Cambria Math" w:hAnsi="Cambria Math" w:cstheme="majorBidi"/>
              </w:rPr>
              <m:t>2</m:t>
            </m:r>
          </m:sup>
        </m:sSup>
      </m:oMath>
      <w:r w:rsidRPr="001A38EF">
        <w:rPr>
          <w:rFonts w:asciiTheme="majorBidi" w:hAnsiTheme="majorBidi" w:cstheme="majorBidi"/>
        </w:rPr>
        <w:t xml:space="preserve"> represents the between study variance in treatment effects (heterogeneity) which is assumed to be the same for all treatments. </w:t>
      </w:r>
    </w:p>
    <w:p w14:paraId="245B9818" w14:textId="77777777" w:rsidR="009F01D8" w:rsidRPr="001A38EF" w:rsidRDefault="009F01D8" w:rsidP="009F01D8">
      <w:pPr>
        <w:jc w:val="both"/>
        <w:rPr>
          <w:rFonts w:asciiTheme="majorBidi" w:hAnsiTheme="majorBidi" w:cstheme="majorBidi"/>
        </w:rPr>
      </w:pPr>
      <w:r w:rsidRPr="001A38EF">
        <w:rPr>
          <w:rFonts w:asciiTheme="majorBidi" w:hAnsiTheme="majorBidi" w:cstheme="majorBidi"/>
        </w:rPr>
        <w:t xml:space="preserve">The model was completed by specifying prior distributions for the parameters. Where there were sufficient sample data, conventional </w:t>
      </w:r>
      <w:r>
        <w:rPr>
          <w:rFonts w:asciiTheme="majorBidi" w:hAnsiTheme="majorBidi" w:cstheme="majorBidi"/>
        </w:rPr>
        <w:t>non-informative</w:t>
      </w:r>
      <w:r w:rsidRPr="001A38EF">
        <w:rPr>
          <w:rFonts w:asciiTheme="majorBidi" w:hAnsiTheme="majorBidi" w:cstheme="majorBidi"/>
        </w:rPr>
        <w:t xml:space="preserve"> prior distributions were used:</w:t>
      </w:r>
    </w:p>
    <w:p w14:paraId="68E68551" w14:textId="77777777" w:rsidR="009F01D8" w:rsidRPr="001A38EF" w:rsidRDefault="009F01D8" w:rsidP="005A3BE6">
      <w:pPr>
        <w:pStyle w:val="ListParagraph"/>
        <w:numPr>
          <w:ilvl w:val="0"/>
          <w:numId w:val="73"/>
        </w:numPr>
        <w:spacing w:after="0" w:line="360" w:lineRule="auto"/>
        <w:jc w:val="both"/>
        <w:rPr>
          <w:rFonts w:asciiTheme="majorBidi" w:hAnsiTheme="majorBidi" w:cstheme="majorBidi"/>
        </w:rPr>
      </w:pPr>
      <w:r w:rsidRPr="001A38EF">
        <w:rPr>
          <w:rFonts w:asciiTheme="majorBidi" w:hAnsiTheme="majorBidi" w:cstheme="majorBidi"/>
        </w:rPr>
        <w:t xml:space="preserve">Trial specific baseline,  </w:t>
      </w:r>
      <m:oMath>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i</m:t>
            </m:r>
          </m:sub>
        </m:sSub>
        <m:r>
          <w:rPr>
            <w:rFonts w:ascii="Cambria Math" w:hAnsi="Cambria Math" w:cstheme="majorBidi"/>
          </w:rPr>
          <m:t xml:space="preserve"> ~ N</m:t>
        </m:r>
        <m:d>
          <m:dPr>
            <m:ctrlPr>
              <w:rPr>
                <w:rFonts w:ascii="Cambria Math" w:hAnsi="Cambria Math" w:cstheme="majorBidi"/>
                <w:i/>
              </w:rPr>
            </m:ctrlPr>
          </m:dPr>
          <m:e>
            <m:r>
              <w:rPr>
                <w:rFonts w:ascii="Cambria Math" w:hAnsi="Cambria Math" w:cstheme="majorBidi"/>
              </w:rPr>
              <m:t>0,</m:t>
            </m:r>
            <m:sSup>
              <m:sSupPr>
                <m:ctrlPr>
                  <w:rPr>
                    <w:rFonts w:ascii="Cambria Math" w:hAnsi="Cambria Math" w:cstheme="majorBidi"/>
                    <w:i/>
                  </w:rPr>
                </m:ctrlPr>
              </m:sSupPr>
              <m:e>
                <m:r>
                  <w:rPr>
                    <w:rFonts w:ascii="Cambria Math" w:hAnsi="Cambria Math" w:cstheme="majorBidi"/>
                  </w:rPr>
                  <m:t>100</m:t>
                </m:r>
              </m:e>
              <m:sup>
                <m:r>
                  <w:rPr>
                    <w:rFonts w:ascii="Cambria Math" w:hAnsi="Cambria Math" w:cstheme="majorBidi"/>
                  </w:rPr>
                  <m:t>2</m:t>
                </m:r>
              </m:sup>
            </m:sSup>
          </m:e>
        </m:d>
      </m:oMath>
      <w:r w:rsidRPr="001A38EF">
        <w:rPr>
          <w:rFonts w:asciiTheme="majorBidi" w:hAnsiTheme="majorBidi" w:cstheme="majorBidi"/>
        </w:rPr>
        <w:t>,</w:t>
      </w:r>
    </w:p>
    <w:p w14:paraId="6E9561E5" w14:textId="77777777" w:rsidR="009F01D8" w:rsidRPr="001A38EF" w:rsidRDefault="009F01D8" w:rsidP="005A3BE6">
      <w:pPr>
        <w:pStyle w:val="ListParagraph"/>
        <w:numPr>
          <w:ilvl w:val="0"/>
          <w:numId w:val="73"/>
        </w:numPr>
        <w:spacing w:after="0" w:line="360" w:lineRule="auto"/>
        <w:jc w:val="both"/>
        <w:rPr>
          <w:rFonts w:asciiTheme="majorBidi" w:hAnsiTheme="majorBidi" w:cstheme="majorBidi"/>
        </w:rPr>
      </w:pPr>
      <w:r w:rsidRPr="001A38EF">
        <w:rPr>
          <w:rFonts w:asciiTheme="majorBidi" w:hAnsiTheme="majorBidi" w:cstheme="majorBidi"/>
        </w:rPr>
        <w:t xml:space="preserve">Treatment effects relative to reference treatment,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1k</m:t>
            </m:r>
          </m:sub>
        </m:sSub>
        <m:r>
          <w:rPr>
            <w:rFonts w:ascii="Cambria Math" w:hAnsi="Cambria Math" w:cstheme="majorBidi"/>
          </w:rPr>
          <m:t xml:space="preserve"> ~ N</m:t>
        </m:r>
        <m:d>
          <m:dPr>
            <m:ctrlPr>
              <w:rPr>
                <w:rFonts w:ascii="Cambria Math" w:hAnsi="Cambria Math" w:cstheme="majorBidi"/>
                <w:i/>
              </w:rPr>
            </m:ctrlPr>
          </m:dPr>
          <m:e>
            <m:r>
              <w:rPr>
                <w:rFonts w:ascii="Cambria Math" w:hAnsi="Cambria Math" w:cstheme="majorBidi"/>
              </w:rPr>
              <m:t>0,</m:t>
            </m:r>
            <m:sSup>
              <m:sSupPr>
                <m:ctrlPr>
                  <w:rPr>
                    <w:rFonts w:ascii="Cambria Math" w:hAnsi="Cambria Math" w:cstheme="majorBidi"/>
                    <w:i/>
                  </w:rPr>
                </m:ctrlPr>
              </m:sSupPr>
              <m:e>
                <m:r>
                  <w:rPr>
                    <w:rFonts w:ascii="Cambria Math" w:hAnsi="Cambria Math" w:cstheme="majorBidi"/>
                  </w:rPr>
                  <m:t>100</m:t>
                </m:r>
              </m:e>
              <m:sup>
                <m:r>
                  <w:rPr>
                    <w:rFonts w:ascii="Cambria Math" w:hAnsi="Cambria Math" w:cstheme="majorBidi"/>
                  </w:rPr>
                  <m:t>2</m:t>
                </m:r>
              </m:sup>
            </m:sSup>
          </m:e>
        </m:d>
      </m:oMath>
      <w:r w:rsidRPr="001A38EF">
        <w:rPr>
          <w:rFonts w:asciiTheme="majorBidi" w:hAnsiTheme="majorBidi" w:cstheme="majorBidi"/>
        </w:rPr>
        <w:t>,</w:t>
      </w:r>
    </w:p>
    <w:p w14:paraId="73D9767D" w14:textId="77777777" w:rsidR="009F01D8" w:rsidRPr="001A38EF" w:rsidRDefault="009F01D8" w:rsidP="005A3BE6">
      <w:pPr>
        <w:pStyle w:val="ListParagraph"/>
        <w:numPr>
          <w:ilvl w:val="0"/>
          <w:numId w:val="73"/>
        </w:numPr>
        <w:spacing w:after="0" w:line="360" w:lineRule="auto"/>
        <w:jc w:val="both"/>
        <w:rPr>
          <w:rFonts w:asciiTheme="majorBidi" w:hAnsiTheme="majorBidi" w:cstheme="majorBidi"/>
        </w:rPr>
      </w:pPr>
      <w:r w:rsidRPr="001A38EF">
        <w:rPr>
          <w:rFonts w:asciiTheme="majorBidi" w:hAnsiTheme="majorBidi" w:cstheme="majorBidi"/>
        </w:rPr>
        <w:t xml:space="preserve">Between study standard deviation of treatment effects, </w:t>
      </w:r>
      <m:oMath>
        <m:r>
          <w:rPr>
            <w:rFonts w:ascii="Cambria Math" w:hAnsi="Cambria Math" w:cstheme="majorBidi"/>
          </w:rPr>
          <m:t>τ~ U</m:t>
        </m:r>
        <m:d>
          <m:dPr>
            <m:ctrlPr>
              <w:rPr>
                <w:rFonts w:ascii="Cambria Math" w:hAnsi="Cambria Math" w:cstheme="majorBidi"/>
                <w:i/>
              </w:rPr>
            </m:ctrlPr>
          </m:dPr>
          <m:e>
            <m:r>
              <w:rPr>
                <w:rFonts w:ascii="Cambria Math" w:hAnsi="Cambria Math" w:cstheme="majorBidi"/>
              </w:rPr>
              <m:t>0,3</m:t>
            </m:r>
          </m:e>
        </m:d>
      </m:oMath>
      <w:r w:rsidRPr="001A38EF">
        <w:rPr>
          <w:rFonts w:asciiTheme="majorBidi" w:hAnsiTheme="majorBidi" w:cstheme="majorBidi"/>
        </w:rPr>
        <w:t xml:space="preserve">.  </w:t>
      </w:r>
    </w:p>
    <w:p w14:paraId="78A3939D" w14:textId="77777777" w:rsidR="009F01D8" w:rsidRDefault="009F01D8" w:rsidP="009F01D8">
      <w:pPr>
        <w:jc w:val="both"/>
      </w:pPr>
    </w:p>
    <w:p w14:paraId="0DD5DAD7" w14:textId="77777777" w:rsidR="009F01D8" w:rsidRDefault="009F01D8" w:rsidP="009F01D8">
      <w:pPr>
        <w:jc w:val="both"/>
      </w:pPr>
    </w:p>
    <w:p w14:paraId="614EB668" w14:textId="5475398E" w:rsidR="009F01D8" w:rsidRPr="00A1033E" w:rsidRDefault="00A1033E" w:rsidP="009F6FA6">
      <w:pPr>
        <w:pStyle w:val="Heading3"/>
        <w:rPr>
          <w:rFonts w:asciiTheme="majorBidi" w:hAnsiTheme="majorBidi"/>
          <w:sz w:val="26"/>
          <w:szCs w:val="26"/>
        </w:rPr>
      </w:pPr>
      <w:bookmarkStart w:id="686" w:name="_Hlk85404756"/>
      <w:r>
        <w:rPr>
          <w:rFonts w:asciiTheme="majorBidi" w:hAnsiTheme="majorBidi"/>
          <w:sz w:val="26"/>
          <w:szCs w:val="26"/>
        </w:rPr>
        <w:tab/>
      </w:r>
      <w:bookmarkStart w:id="687" w:name="_Toc87463096"/>
      <w:r w:rsidR="009F01D8" w:rsidRPr="00A1033E">
        <w:rPr>
          <w:rFonts w:asciiTheme="majorBidi" w:hAnsiTheme="majorBidi"/>
          <w:sz w:val="26"/>
          <w:szCs w:val="26"/>
        </w:rPr>
        <w:t>A7.2 Sensitivity analysis NMA results</w:t>
      </w:r>
      <w:bookmarkEnd w:id="687"/>
    </w:p>
    <w:bookmarkEnd w:id="686"/>
    <w:p w14:paraId="23B8A680" w14:textId="3A908FD5" w:rsidR="009F01D8" w:rsidRPr="00A1033E" w:rsidRDefault="00A1033E" w:rsidP="009F01D8">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ab/>
      </w:r>
      <w:r>
        <w:rPr>
          <w:rFonts w:asciiTheme="majorBidi" w:hAnsiTheme="majorBidi" w:cstheme="majorBidi"/>
          <w:b/>
          <w:bCs/>
          <w:sz w:val="26"/>
          <w:szCs w:val="26"/>
        </w:rPr>
        <w:tab/>
        <w:t xml:space="preserve">A7.2.1 </w:t>
      </w:r>
      <w:r w:rsidR="009F01D8" w:rsidRPr="00A1033E">
        <w:rPr>
          <w:rFonts w:asciiTheme="majorBidi" w:hAnsiTheme="majorBidi" w:cstheme="majorBidi"/>
          <w:b/>
          <w:bCs/>
          <w:sz w:val="26"/>
          <w:szCs w:val="26"/>
        </w:rPr>
        <w:t>Sensitivity analyses</w:t>
      </w:r>
    </w:p>
    <w:p w14:paraId="7DD8337E" w14:textId="721AC878" w:rsidR="009F01D8" w:rsidRPr="00A1033E" w:rsidRDefault="00A1033E" w:rsidP="009F01D8">
      <w:pPr>
        <w:spacing w:line="360" w:lineRule="auto"/>
        <w:jc w:val="both"/>
        <w:rPr>
          <w:rFonts w:asciiTheme="majorBidi" w:hAnsiTheme="majorBidi" w:cstheme="majorBidi"/>
          <w:b/>
          <w:bCs/>
          <w:sz w:val="26"/>
          <w:szCs w:val="26"/>
        </w:rPr>
      </w:pPr>
      <w:bookmarkStart w:id="688" w:name="_Toc83300895"/>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sidRPr="00A1033E">
        <w:rPr>
          <w:rFonts w:asciiTheme="majorBidi" w:hAnsiTheme="majorBidi" w:cstheme="majorBidi"/>
          <w:b/>
          <w:bCs/>
          <w:sz w:val="26"/>
          <w:szCs w:val="26"/>
        </w:rPr>
        <w:t xml:space="preserve">A.7.2.1.1 </w:t>
      </w:r>
      <w:r w:rsidR="009F01D8" w:rsidRPr="00A1033E">
        <w:rPr>
          <w:rFonts w:asciiTheme="majorBidi" w:hAnsiTheme="majorBidi" w:cstheme="majorBidi"/>
          <w:b/>
          <w:bCs/>
          <w:sz w:val="26"/>
          <w:szCs w:val="26"/>
        </w:rPr>
        <w:t xml:space="preserve">Studies with unusual inclusion criteria: </w:t>
      </w:r>
    </w:p>
    <w:p w14:paraId="6A3C7569" w14:textId="4C105D2E" w:rsidR="009F01D8" w:rsidRDefault="009F01D8" w:rsidP="00A83123">
      <w:pPr>
        <w:spacing w:line="360" w:lineRule="auto"/>
        <w:jc w:val="both"/>
        <w:rPr>
          <w:rFonts w:asciiTheme="majorBidi" w:hAnsiTheme="majorBidi" w:cstheme="majorBidi"/>
        </w:rPr>
      </w:pPr>
      <w:r>
        <w:rPr>
          <w:rFonts w:asciiTheme="majorBidi" w:hAnsiTheme="majorBidi" w:cstheme="majorBidi"/>
        </w:rPr>
        <w:t>The methods of recruitment of isolates and identification of OXA-48 carriage were not always well reported,</w:t>
      </w:r>
      <w:r w:rsidR="00A83123" w:rsidRPr="00A83123">
        <w:rPr>
          <w:rFonts w:asciiTheme="majorBidi" w:hAnsiTheme="majorBidi" w:cstheme="majorBidi"/>
          <w:noProof/>
          <w:vertAlign w:val="superscript"/>
        </w:rPr>
        <w:t>45,51,60,62,65,66</w:t>
      </w:r>
      <w:r>
        <w:rPr>
          <w:rFonts w:asciiTheme="majorBidi" w:hAnsiTheme="majorBidi" w:cstheme="majorBidi"/>
        </w:rPr>
        <w:t xml:space="preserve"> </w:t>
      </w:r>
      <w:r w:rsidR="00A83123" w:rsidRPr="00A83123">
        <w:rPr>
          <w:rFonts w:asciiTheme="majorBidi" w:hAnsiTheme="majorBidi" w:cstheme="majorBidi"/>
          <w:noProof/>
          <w:vertAlign w:val="superscript"/>
        </w:rPr>
        <w:t>6</w:t>
      </w:r>
      <w:r>
        <w:rPr>
          <w:rFonts w:asciiTheme="majorBidi" w:hAnsiTheme="majorBidi" w:cstheme="majorBidi"/>
        </w:rPr>
        <w:t xml:space="preserve">but generally isolates were selected for the more resource-intensive beta-lactamase testing through some form of screening process. In five studies, </w:t>
      </w:r>
      <w:r w:rsidR="00A83123" w:rsidRPr="00A83123">
        <w:rPr>
          <w:rFonts w:asciiTheme="majorBidi" w:hAnsiTheme="majorBidi" w:cstheme="majorBidi"/>
          <w:noProof/>
          <w:vertAlign w:val="superscript"/>
        </w:rPr>
        <w:t>1,37,50,52,53,61</w:t>
      </w:r>
      <w:r>
        <w:rPr>
          <w:rFonts w:asciiTheme="majorBidi" w:hAnsiTheme="majorBidi" w:cstheme="majorBidi"/>
        </w:rPr>
        <w:t xml:space="preserve"> this was by identification of carbapenem resistance or non-susceptibility, probably through AST, though this wasn’t always clear. Resistance to other treatments was used to select isolates for beta-lactamase testing in </w:t>
      </w:r>
      <w:r>
        <w:rPr>
          <w:rFonts w:asciiTheme="majorBidi" w:hAnsiTheme="majorBidi" w:cstheme="majorBidi"/>
        </w:rPr>
        <w:lastRenderedPageBreak/>
        <w:t>three cases (ceftazidime resistance,</w:t>
      </w:r>
      <w:r w:rsidR="00A83123" w:rsidRPr="00A83123">
        <w:rPr>
          <w:rFonts w:asciiTheme="majorBidi" w:hAnsiTheme="majorBidi" w:cstheme="majorBidi"/>
          <w:noProof/>
          <w:vertAlign w:val="superscript"/>
        </w:rPr>
        <w:t>56</w:t>
      </w:r>
      <w:r>
        <w:rPr>
          <w:rFonts w:asciiTheme="majorBidi" w:hAnsiTheme="majorBidi" w:cstheme="majorBidi"/>
        </w:rPr>
        <w:t xml:space="preserve"> meropenem or colistin resistance,</w:t>
      </w:r>
      <w:r w:rsidR="00A83123" w:rsidRPr="00A83123">
        <w:rPr>
          <w:rFonts w:asciiTheme="majorBidi" w:hAnsiTheme="majorBidi" w:cstheme="majorBidi"/>
          <w:noProof/>
          <w:vertAlign w:val="superscript"/>
        </w:rPr>
        <w:t>57</w:t>
      </w:r>
      <w:r>
        <w:rPr>
          <w:rFonts w:asciiTheme="majorBidi" w:hAnsiTheme="majorBidi" w:cstheme="majorBidi"/>
        </w:rPr>
        <w:t xml:space="preserve"> aztreonam-avibactam resistance,</w:t>
      </w:r>
      <w:r w:rsidR="00A83123" w:rsidRPr="00A83123">
        <w:rPr>
          <w:rFonts w:asciiTheme="majorBidi" w:hAnsiTheme="majorBidi" w:cstheme="majorBidi"/>
          <w:noProof/>
          <w:vertAlign w:val="superscript"/>
        </w:rPr>
        <w:t>46</w:t>
      </w:r>
      <w:r>
        <w:rPr>
          <w:rFonts w:asciiTheme="majorBidi" w:hAnsiTheme="majorBidi" w:cstheme="majorBidi"/>
        </w:rPr>
        <w:t xml:space="preserve">). In the NMA, the affected ceftazidime (along with the cefepime arm, since this is also a cephalosporin) and colistin arms were removed from the analysis altogether, since these relate to comparator treatments, and the three affected studies were removed in a sensitivity analysis. </w:t>
      </w:r>
    </w:p>
    <w:p w14:paraId="2C713B1A" w14:textId="78BFA59D" w:rsidR="009F01D8" w:rsidRDefault="009F01D8" w:rsidP="00A83123">
      <w:pPr>
        <w:spacing w:line="360" w:lineRule="auto"/>
        <w:jc w:val="both"/>
        <w:rPr>
          <w:rFonts w:asciiTheme="majorBidi" w:hAnsiTheme="majorBidi" w:cstheme="majorBidi"/>
          <w:color w:val="000000" w:themeColor="text1"/>
        </w:rPr>
      </w:pPr>
      <w:r>
        <w:rPr>
          <w:rFonts w:asciiTheme="majorBidi" w:hAnsiTheme="majorBidi" w:cstheme="majorBidi"/>
        </w:rPr>
        <w:t xml:space="preserve">A meta-regression model was fitted with a covariate indicating whether the study had unusual inclusion criteria </w:t>
      </w:r>
      <w:r w:rsidR="00A83123" w:rsidRPr="00A83123">
        <w:rPr>
          <w:rFonts w:asciiTheme="majorBidi" w:hAnsiTheme="majorBidi" w:cstheme="majorBidi"/>
          <w:noProof/>
          <w:highlight w:val="lightGray"/>
          <w:vertAlign w:val="superscript"/>
        </w:rPr>
        <w:t>56</w:t>
      </w:r>
      <w:r>
        <w:rPr>
          <w:rFonts w:asciiTheme="majorBidi" w:hAnsiTheme="majorBidi" w:cstheme="majorBidi"/>
          <w:highlight w:val="lightGray"/>
        </w:rPr>
        <w:t xml:space="preserve"> </w:t>
      </w:r>
      <w:r w:rsidR="00A83123" w:rsidRPr="00A83123">
        <w:rPr>
          <w:rFonts w:asciiTheme="majorBidi" w:hAnsiTheme="majorBidi" w:cstheme="majorBidi"/>
          <w:noProof/>
          <w:highlight w:val="lightGray"/>
          <w:vertAlign w:val="superscript"/>
        </w:rPr>
        <w:t>57</w:t>
      </w:r>
      <w:r>
        <w:rPr>
          <w:rFonts w:asciiTheme="majorBidi" w:hAnsiTheme="majorBidi" w:cstheme="majorBidi"/>
          <w:highlight w:val="lightGray"/>
        </w:rPr>
        <w:t xml:space="preserve"> </w:t>
      </w:r>
      <w:r w:rsidR="00A83123" w:rsidRPr="00A83123">
        <w:rPr>
          <w:rFonts w:asciiTheme="majorBidi" w:hAnsiTheme="majorBidi" w:cstheme="majorBidi"/>
          <w:noProof/>
          <w:highlight w:val="lightGray"/>
          <w:vertAlign w:val="superscript"/>
        </w:rPr>
        <w:t>46</w:t>
      </w:r>
      <w:r>
        <w:rPr>
          <w:rFonts w:asciiTheme="majorBidi" w:hAnsiTheme="majorBidi" w:cstheme="majorBidi"/>
        </w:rPr>
        <w:t xml:space="preserve">. Compared </w:t>
      </w:r>
      <w:r>
        <w:rPr>
          <w:rFonts w:asciiTheme="majorBidi" w:hAnsiTheme="majorBidi" w:cstheme="majorBidi"/>
          <w:color w:val="000000" w:themeColor="text1"/>
        </w:rPr>
        <w:t>to the standard NMA model, t</w:t>
      </w:r>
      <w:r>
        <w:rPr>
          <w:rFonts w:asciiTheme="majorBidi" w:hAnsiTheme="majorBidi" w:cstheme="majorBidi"/>
        </w:rPr>
        <w:t xml:space="preserve">he meta-regression model provided a similar fit to the data based on the DIC and </w:t>
      </w:r>
      <w:r>
        <w:rPr>
          <w:rFonts w:asciiTheme="majorBidi" w:hAnsiTheme="majorBidi" w:cstheme="majorBidi"/>
          <w:color w:val="000000" w:themeColor="text1"/>
        </w:rPr>
        <w:t xml:space="preserve">did not reduce the estimated between-study SD (1.57,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1.28 to 1.95</w:t>
      </w:r>
      <w:r>
        <w:rPr>
          <w:rFonts w:asciiTheme="majorBidi" w:hAnsiTheme="majorBidi" w:cstheme="majorBidi"/>
          <w:color w:val="000000" w:themeColor="text1"/>
        </w:rPr>
        <w:t>)</w:t>
      </w:r>
      <w:r>
        <w:rPr>
          <w:rFonts w:asciiTheme="majorBidi" w:hAnsiTheme="majorBidi" w:cstheme="majorBidi"/>
        </w:rPr>
        <w:t xml:space="preserve">. </w:t>
      </w:r>
      <w:r>
        <w:rPr>
          <w:rFonts w:asciiTheme="majorBidi" w:hAnsiTheme="majorBidi" w:cstheme="majorBidi"/>
          <w:color w:val="000000" w:themeColor="text1"/>
        </w:rPr>
        <w:t xml:space="preserve">The coefficient from the meta-regression was not statistically significant (0.81,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-1.75 to 3.40).</w:t>
      </w:r>
      <w:r>
        <w:rPr>
          <w:rFonts w:asciiTheme="majorBidi" w:hAnsiTheme="majorBidi" w:cstheme="majorBidi"/>
          <w:color w:val="000000" w:themeColor="text1"/>
        </w:rPr>
        <w:t xml:space="preserve">  </w:t>
      </w:r>
      <w:r>
        <w:rPr>
          <w:rFonts w:asciiTheme="majorBidi" w:hAnsiTheme="majorBidi" w:cstheme="majorBidi"/>
        </w:rPr>
        <w:t>There was therefore no evidence to suggest that the relative treatment effects differ according to the identified unusual inclusion criteria.</w:t>
      </w:r>
    </w:p>
    <w:p w14:paraId="4B5224DE" w14:textId="5E1C870C" w:rsidR="00A02611" w:rsidRDefault="009F01D8" w:rsidP="00E052E9">
      <w:pPr>
        <w:pStyle w:val="Caption"/>
        <w:jc w:val="both"/>
        <w:rPr>
          <w:rFonts w:asciiTheme="majorBidi" w:hAnsiTheme="majorBidi" w:cstheme="majorBidi"/>
          <w:b/>
          <w:bCs/>
          <w:i w:val="0"/>
          <w:iCs w:val="0"/>
          <w:sz w:val="20"/>
          <w:szCs w:val="20"/>
        </w:rPr>
      </w:pPr>
      <w:bookmarkStart w:id="689" w:name="_Toc86419071"/>
      <w:r w:rsidRPr="009F6FA6">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26</w:t>
      </w:r>
      <w:r w:rsidRPr="009F6FA6">
        <w:rPr>
          <w:rFonts w:asciiTheme="majorBidi" w:hAnsiTheme="majorBidi" w:cstheme="majorBidi"/>
          <w:b/>
          <w:bCs/>
          <w:i w:val="0"/>
          <w:iCs w:val="0"/>
          <w:sz w:val="20"/>
          <w:szCs w:val="20"/>
        </w:rPr>
        <w:t>: Forest plot of OR vs colistin for reduced dataset, meta-regression model for unusual inclusion criteria</w:t>
      </w:r>
      <w:bookmarkEnd w:id="688"/>
      <w:bookmarkEnd w:id="689"/>
    </w:p>
    <w:p w14:paraId="6B2F0408" w14:textId="799B066B" w:rsidR="009F01D8" w:rsidRPr="009F6FA6" w:rsidRDefault="009F01D8" w:rsidP="00E052E9">
      <w:pPr>
        <w:pStyle w:val="Caption"/>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5C57F29D" wp14:editId="1C514B33">
            <wp:extent cx="5731510" cy="4991100"/>
            <wp:effectExtent l="0" t="0" r="2540" b="0"/>
            <wp:docPr id="51" name="Picture 51" descr="Forest plot of OR vs colistin for reduced dataset, meta-regression model for unusual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orest plot of OR vs colistin for reduced dataset, meta-regression model for unusual inclusion criteria"/>
                    <pic:cNvPicPr/>
                  </pic:nvPicPr>
                  <pic:blipFill>
                    <a:blip r:embed="rId46">
                      <a:extLst>
                        <a:ext uri="{28A0092B-C50C-407E-A947-70E740481C1C}">
                          <a14:useLocalDpi xmlns:a14="http://schemas.microsoft.com/office/drawing/2010/main" val="0"/>
                        </a:ext>
                      </a:extLst>
                    </a:blip>
                    <a:stretch>
                      <a:fillRect/>
                    </a:stretch>
                  </pic:blipFill>
                  <pic:spPr>
                    <a:xfrm>
                      <a:off x="0" y="0"/>
                      <a:ext cx="5731510" cy="4991100"/>
                    </a:xfrm>
                    <a:prstGeom prst="rect">
                      <a:avLst/>
                    </a:prstGeom>
                  </pic:spPr>
                </pic:pic>
              </a:graphicData>
            </a:graphic>
          </wp:inline>
        </w:drawing>
      </w:r>
    </w:p>
    <w:p w14:paraId="05BA9042" w14:textId="77777777" w:rsidR="009F01D8" w:rsidRPr="003765AE" w:rsidRDefault="009F01D8" w:rsidP="009F01D8">
      <w:pPr>
        <w:spacing w:line="360" w:lineRule="auto"/>
        <w:jc w:val="both"/>
        <w:rPr>
          <w:rFonts w:asciiTheme="majorBidi" w:hAnsiTheme="majorBidi" w:cstheme="majorBidi"/>
          <w:bCs/>
        </w:rPr>
      </w:pPr>
      <w:r w:rsidRPr="003765AE">
        <w:rPr>
          <w:rFonts w:asciiTheme="majorBidi" w:hAnsiTheme="majorBidi" w:cstheme="majorBidi"/>
          <w:bCs/>
        </w:rPr>
        <w:t xml:space="preserve">Abbreviations: </w:t>
      </w:r>
      <w:proofErr w:type="gramStart"/>
      <w:r w:rsidRPr="003765AE">
        <w:rPr>
          <w:rFonts w:asciiTheme="majorBidi" w:hAnsiTheme="majorBidi" w:cstheme="majorBidi"/>
          <w:bCs/>
        </w:rPr>
        <w:t>OR,</w:t>
      </w:r>
      <w:proofErr w:type="gramEnd"/>
      <w:r w:rsidRPr="003765AE">
        <w:rPr>
          <w:rFonts w:asciiTheme="majorBidi" w:hAnsiTheme="majorBidi" w:cstheme="majorBidi"/>
          <w:bCs/>
        </w:rPr>
        <w:t xml:space="preserve"> odds ratio; </w:t>
      </w:r>
      <w:proofErr w:type="spellStart"/>
      <w:r w:rsidRPr="003765AE">
        <w:rPr>
          <w:rFonts w:asciiTheme="majorBidi" w:hAnsiTheme="majorBidi" w:cstheme="majorBidi"/>
          <w:bCs/>
        </w:rPr>
        <w:t>CrI</w:t>
      </w:r>
      <w:proofErr w:type="spellEnd"/>
      <w:r w:rsidRPr="003765AE">
        <w:rPr>
          <w:rFonts w:asciiTheme="majorBidi" w:hAnsiTheme="majorBidi" w:cstheme="majorBidi"/>
          <w:bCs/>
        </w:rPr>
        <w:t xml:space="preserve">, credible interval, </w:t>
      </w:r>
      <w:proofErr w:type="spellStart"/>
      <w:r w:rsidRPr="003765AE">
        <w:rPr>
          <w:rFonts w:asciiTheme="majorBidi" w:hAnsiTheme="majorBidi" w:cstheme="majorBidi"/>
          <w:bCs/>
        </w:rPr>
        <w:t>PrI</w:t>
      </w:r>
      <w:proofErr w:type="spellEnd"/>
      <w:r w:rsidRPr="003765AE">
        <w:rPr>
          <w:rFonts w:asciiTheme="majorBidi" w:hAnsiTheme="majorBidi" w:cstheme="majorBidi"/>
          <w:bCs/>
        </w:rPr>
        <w:t>, prediction interval; P</w:t>
      </w:r>
      <w:r>
        <w:rPr>
          <w:rFonts w:asciiTheme="majorBidi" w:hAnsiTheme="majorBidi" w:cstheme="majorBidi"/>
          <w:bCs/>
        </w:rPr>
        <w:t>B</w:t>
      </w:r>
      <w:r w:rsidRPr="003765AE">
        <w:rPr>
          <w:rFonts w:asciiTheme="majorBidi" w:hAnsiTheme="majorBidi" w:cstheme="majorBidi"/>
          <w:bCs/>
        </w:rPr>
        <w:t>, probability being the best treatment.</w:t>
      </w:r>
    </w:p>
    <w:p w14:paraId="74300990" w14:textId="77777777" w:rsidR="009F6FA6" w:rsidRDefault="009F6FA6" w:rsidP="009F01D8">
      <w:pPr>
        <w:pStyle w:val="Caption"/>
        <w:jc w:val="both"/>
        <w:rPr>
          <w:rFonts w:asciiTheme="majorBidi" w:hAnsiTheme="majorBidi" w:cstheme="majorBidi"/>
          <w:b/>
          <w:bCs/>
          <w:i w:val="0"/>
          <w:iCs w:val="0"/>
          <w:sz w:val="20"/>
          <w:szCs w:val="20"/>
        </w:rPr>
      </w:pPr>
      <w:bookmarkStart w:id="690" w:name="_Toc83300896"/>
    </w:p>
    <w:p w14:paraId="613CF670" w14:textId="69808146" w:rsidR="009F01D8" w:rsidRPr="009F6FA6" w:rsidRDefault="009F01D8" w:rsidP="009F01D8">
      <w:pPr>
        <w:pStyle w:val="Caption"/>
        <w:jc w:val="both"/>
        <w:rPr>
          <w:rFonts w:asciiTheme="majorBidi" w:hAnsiTheme="majorBidi" w:cstheme="majorBidi"/>
          <w:b/>
          <w:bCs/>
          <w:i w:val="0"/>
          <w:iCs w:val="0"/>
          <w:sz w:val="20"/>
          <w:szCs w:val="20"/>
        </w:rPr>
      </w:pPr>
      <w:bookmarkStart w:id="691" w:name="_Toc86419072"/>
      <w:r w:rsidRPr="009F6FA6">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27</w:t>
      </w:r>
      <w:r w:rsidRPr="009F6FA6">
        <w:rPr>
          <w:rFonts w:asciiTheme="majorBidi" w:hAnsiTheme="majorBidi" w:cstheme="majorBidi"/>
          <w:b/>
          <w:bCs/>
          <w:i w:val="0"/>
          <w:iCs w:val="0"/>
          <w:sz w:val="20"/>
          <w:szCs w:val="20"/>
        </w:rPr>
        <w:t>: Forest plot of OR vs colistin for reduced dataset, subgroup analysis for unusual inclusion criteria</w:t>
      </w:r>
      <w:bookmarkEnd w:id="690"/>
      <w:bookmarkEnd w:id="691"/>
    </w:p>
    <w:p w14:paraId="7AC704F2" w14:textId="77777777" w:rsidR="009F01D8" w:rsidRDefault="009F01D8" w:rsidP="009F01D8">
      <w:pPr>
        <w:spacing w:line="360" w:lineRule="auto"/>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5D5322E7" wp14:editId="77683606">
            <wp:extent cx="5731510" cy="5731510"/>
            <wp:effectExtent l="0" t="0" r="2540" b="2540"/>
            <wp:docPr id="52" name="Picture 52" descr="Forest plot of OR vs colistin for reduced dataset, subgroup analysis for unusual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orest plot of OR vs colistin for reduced dataset, subgroup analysis for unusual inclusion criteria"/>
                    <pic:cNvPicPr/>
                  </pic:nvPicPr>
                  <pic:blipFill>
                    <a:blip r:embed="rId4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015A516" w14:textId="77777777" w:rsidR="009F01D8" w:rsidRPr="009F6FA6" w:rsidRDefault="009F01D8" w:rsidP="009F01D8">
      <w:pPr>
        <w:spacing w:line="360" w:lineRule="auto"/>
        <w:jc w:val="both"/>
        <w:rPr>
          <w:rFonts w:asciiTheme="majorBidi" w:hAnsiTheme="majorBidi" w:cstheme="majorBidi"/>
          <w:bCs/>
          <w:sz w:val="20"/>
          <w:szCs w:val="20"/>
        </w:rPr>
      </w:pPr>
      <w:r w:rsidRPr="009F6FA6">
        <w:rPr>
          <w:rFonts w:asciiTheme="majorBidi" w:hAnsiTheme="majorBidi" w:cstheme="majorBidi"/>
          <w:bCs/>
          <w:sz w:val="20"/>
          <w:szCs w:val="20"/>
        </w:rPr>
        <w:t xml:space="preserve">Abbreviations: </w:t>
      </w:r>
      <w:proofErr w:type="gramStart"/>
      <w:r w:rsidRPr="009F6FA6">
        <w:rPr>
          <w:rFonts w:asciiTheme="majorBidi" w:hAnsiTheme="majorBidi" w:cstheme="majorBidi"/>
          <w:bCs/>
          <w:sz w:val="20"/>
          <w:szCs w:val="20"/>
        </w:rPr>
        <w:t>OR,</w:t>
      </w:r>
      <w:proofErr w:type="gramEnd"/>
      <w:r w:rsidRPr="009F6FA6">
        <w:rPr>
          <w:rFonts w:asciiTheme="majorBidi" w:hAnsiTheme="majorBidi" w:cstheme="majorBidi"/>
          <w:bCs/>
          <w:sz w:val="20"/>
          <w:szCs w:val="20"/>
        </w:rPr>
        <w:t xml:space="preserve"> odds ratio; </w:t>
      </w:r>
      <w:proofErr w:type="spellStart"/>
      <w:r w:rsidRPr="009F6FA6">
        <w:rPr>
          <w:rFonts w:asciiTheme="majorBidi" w:hAnsiTheme="majorBidi" w:cstheme="majorBidi"/>
          <w:bCs/>
          <w:sz w:val="20"/>
          <w:szCs w:val="20"/>
        </w:rPr>
        <w:t>CrI</w:t>
      </w:r>
      <w:proofErr w:type="spellEnd"/>
      <w:r w:rsidRPr="009F6FA6">
        <w:rPr>
          <w:rFonts w:asciiTheme="majorBidi" w:hAnsiTheme="majorBidi" w:cstheme="majorBidi"/>
          <w:bCs/>
          <w:sz w:val="20"/>
          <w:szCs w:val="20"/>
        </w:rPr>
        <w:t xml:space="preserve">, credible interval, </w:t>
      </w:r>
      <w:proofErr w:type="spellStart"/>
      <w:r w:rsidRPr="009F6FA6">
        <w:rPr>
          <w:rFonts w:asciiTheme="majorBidi" w:hAnsiTheme="majorBidi" w:cstheme="majorBidi"/>
          <w:bCs/>
          <w:sz w:val="20"/>
          <w:szCs w:val="20"/>
        </w:rPr>
        <w:t>PrI</w:t>
      </w:r>
      <w:proofErr w:type="spellEnd"/>
      <w:r w:rsidRPr="009F6FA6">
        <w:rPr>
          <w:rFonts w:asciiTheme="majorBidi" w:hAnsiTheme="majorBidi" w:cstheme="majorBidi"/>
          <w:bCs/>
          <w:sz w:val="20"/>
          <w:szCs w:val="20"/>
        </w:rPr>
        <w:t>, prediction interval; PB, probability being the best treatment.</w:t>
      </w:r>
    </w:p>
    <w:p w14:paraId="196B097F" w14:textId="77777777" w:rsidR="009F01D8" w:rsidRDefault="009F01D8" w:rsidP="009F01D8">
      <w:pPr>
        <w:spacing w:line="360" w:lineRule="auto"/>
        <w:jc w:val="both"/>
        <w:rPr>
          <w:rFonts w:asciiTheme="majorBidi" w:hAnsiTheme="majorBidi" w:cstheme="majorBidi"/>
          <w:b/>
          <w:bCs/>
        </w:rPr>
      </w:pPr>
    </w:p>
    <w:p w14:paraId="3A581212" w14:textId="77777777" w:rsidR="009F01D8" w:rsidRPr="009F6FA6" w:rsidRDefault="009F01D8" w:rsidP="009F01D8">
      <w:pPr>
        <w:spacing w:line="360" w:lineRule="auto"/>
        <w:jc w:val="both"/>
        <w:rPr>
          <w:rFonts w:asciiTheme="majorBidi" w:eastAsia="Calibri" w:hAnsiTheme="majorBidi" w:cstheme="majorBidi"/>
          <w:b/>
          <w:bCs/>
          <w:i/>
          <w:iCs/>
        </w:rPr>
      </w:pPr>
      <w:r w:rsidRPr="009F6FA6">
        <w:rPr>
          <w:rFonts w:asciiTheme="majorBidi" w:eastAsia="Calibri" w:hAnsiTheme="majorBidi" w:cstheme="majorBidi"/>
          <w:b/>
          <w:bCs/>
          <w:i/>
          <w:iCs/>
        </w:rPr>
        <w:t xml:space="preserve">MBL co-carriage:  </w:t>
      </w:r>
    </w:p>
    <w:p w14:paraId="5FBA1A93" w14:textId="6353831E" w:rsidR="009F01D8" w:rsidRPr="00454CF5" w:rsidRDefault="009F01D8" w:rsidP="00A83123">
      <w:pPr>
        <w:spacing w:line="360" w:lineRule="auto"/>
        <w:jc w:val="both"/>
        <w:rPr>
          <w:rFonts w:asciiTheme="majorBidi" w:eastAsia="Calibri" w:hAnsiTheme="majorBidi" w:cstheme="majorBidi"/>
          <w:b/>
          <w:bCs/>
        </w:rPr>
      </w:pPr>
      <w:proofErr w:type="gramStart"/>
      <w:r w:rsidRPr="009F6FA6">
        <w:rPr>
          <w:rFonts w:asciiTheme="majorBidi" w:eastAsia="Calibri" w:hAnsiTheme="majorBidi" w:cstheme="majorBidi"/>
        </w:rPr>
        <w:t>The majority of</w:t>
      </w:r>
      <w:proofErr w:type="gramEnd"/>
      <w:r w:rsidRPr="009F6FA6">
        <w:rPr>
          <w:rFonts w:asciiTheme="majorBidi" w:eastAsia="Calibri" w:hAnsiTheme="majorBidi" w:cstheme="majorBidi"/>
        </w:rPr>
        <w:t xml:space="preserve"> studies (eight)</w:t>
      </w:r>
      <w:r w:rsidR="00A83123" w:rsidRPr="00A83123">
        <w:rPr>
          <w:rFonts w:asciiTheme="majorBidi" w:eastAsia="Calibri" w:hAnsiTheme="majorBidi" w:cstheme="majorBidi"/>
          <w:noProof/>
          <w:vertAlign w:val="superscript"/>
        </w:rPr>
        <w:t>37,44,51,53,60,62,65,66</w:t>
      </w:r>
      <w:r w:rsidRPr="009F6FA6">
        <w:rPr>
          <w:rFonts w:asciiTheme="majorBidi" w:eastAsia="Calibri" w:hAnsiTheme="majorBidi" w:cstheme="majorBidi"/>
        </w:rPr>
        <w:t xml:space="preserve"> did not state whether isolates with MBL co-carriage were included. Two studies reported data both with and without MBL co-carriage</w:t>
      </w:r>
      <w:r w:rsidR="00A83123" w:rsidRPr="00A83123">
        <w:rPr>
          <w:rFonts w:asciiTheme="majorBidi" w:eastAsia="Calibri" w:hAnsiTheme="majorBidi" w:cstheme="majorBidi"/>
          <w:noProof/>
          <w:vertAlign w:val="superscript"/>
        </w:rPr>
        <w:t>46,56</w:t>
      </w:r>
      <w:r w:rsidRPr="009F6FA6">
        <w:rPr>
          <w:rFonts w:asciiTheme="majorBidi" w:eastAsia="Calibri" w:hAnsiTheme="majorBidi" w:cstheme="majorBidi"/>
        </w:rPr>
        <w:t>and the IPD for one study</w:t>
      </w:r>
      <w:r w:rsidR="00A83123" w:rsidRPr="00A83123">
        <w:rPr>
          <w:rFonts w:asciiTheme="majorBidi" w:eastAsia="Calibri" w:hAnsiTheme="majorBidi" w:cstheme="majorBidi"/>
          <w:noProof/>
          <w:vertAlign w:val="superscript"/>
        </w:rPr>
        <w:t>1</w:t>
      </w:r>
      <w:r w:rsidRPr="009F6FA6">
        <w:rPr>
          <w:rFonts w:asciiTheme="majorBidi" w:eastAsia="Calibri" w:hAnsiTheme="majorBidi" w:cstheme="majorBidi"/>
        </w:rPr>
        <w:t xml:space="preserve"> was reanalysed by EEPRU to exclude MBL co-carriage. Two studies</w:t>
      </w:r>
      <w:r w:rsidR="00A83123" w:rsidRPr="00A83123">
        <w:rPr>
          <w:rFonts w:asciiTheme="majorBidi" w:eastAsia="Calibri" w:hAnsiTheme="majorBidi" w:cstheme="majorBidi"/>
          <w:noProof/>
          <w:vertAlign w:val="superscript"/>
        </w:rPr>
        <w:t>57,61</w:t>
      </w:r>
      <w:r w:rsidRPr="009F6FA6">
        <w:rPr>
          <w:rFonts w:asciiTheme="majorBidi" w:eastAsia="Calibri" w:hAnsiTheme="majorBidi" w:cstheme="majorBidi"/>
        </w:rPr>
        <w:t xml:space="preserve"> included isolates with MBL co-carriage, and reported that 9.4%</w:t>
      </w:r>
      <w:r w:rsidR="00A83123" w:rsidRPr="00A83123">
        <w:rPr>
          <w:rFonts w:asciiTheme="majorBidi" w:eastAsia="Calibri" w:hAnsiTheme="majorBidi" w:cstheme="majorBidi"/>
          <w:noProof/>
          <w:vertAlign w:val="superscript"/>
        </w:rPr>
        <w:t>61</w:t>
      </w:r>
      <w:r w:rsidRPr="009F6FA6">
        <w:rPr>
          <w:rFonts w:asciiTheme="majorBidi" w:eastAsia="Calibri" w:hAnsiTheme="majorBidi" w:cstheme="majorBidi"/>
        </w:rPr>
        <w:t xml:space="preserve"> and 15.6%</w:t>
      </w:r>
      <w:r w:rsidR="00A83123" w:rsidRPr="00A83123">
        <w:rPr>
          <w:rFonts w:asciiTheme="majorBidi" w:eastAsia="Calibri" w:hAnsiTheme="majorBidi" w:cstheme="majorBidi"/>
          <w:noProof/>
          <w:vertAlign w:val="superscript"/>
        </w:rPr>
        <w:t>57</w:t>
      </w:r>
      <w:r w:rsidRPr="009F6FA6">
        <w:rPr>
          <w:rFonts w:asciiTheme="majorBidi" w:eastAsia="Calibri" w:hAnsiTheme="majorBidi" w:cstheme="majorBidi"/>
        </w:rPr>
        <w:t xml:space="preserve"> of isolates co-carried MBLs. Two studies</w:t>
      </w:r>
      <w:r w:rsidR="00A83123" w:rsidRPr="00A83123">
        <w:rPr>
          <w:rFonts w:asciiTheme="majorBidi" w:eastAsia="Calibri" w:hAnsiTheme="majorBidi" w:cstheme="majorBidi"/>
          <w:noProof/>
          <w:vertAlign w:val="superscript"/>
        </w:rPr>
        <w:t>50,52</w:t>
      </w:r>
      <w:r w:rsidRPr="009F6FA6">
        <w:rPr>
          <w:rFonts w:asciiTheme="majorBidi" w:eastAsia="Calibri" w:hAnsiTheme="majorBidi" w:cstheme="majorBidi"/>
        </w:rPr>
        <w:t xml:space="preserve"> </w:t>
      </w:r>
      <w:r w:rsidRPr="009F6FA6">
        <w:rPr>
          <w:rFonts w:asciiTheme="majorBidi" w:eastAsia="Calibri" w:hAnsiTheme="majorBidi" w:cstheme="majorBidi"/>
        </w:rPr>
        <w:lastRenderedPageBreak/>
        <w:t xml:space="preserve">excluded isolates co-carrying MBLs from the analysis. </w:t>
      </w:r>
      <w:r w:rsidRPr="00454CF5">
        <w:rPr>
          <w:rFonts w:asciiTheme="majorBidi" w:eastAsia="Calibri" w:hAnsiTheme="majorBidi" w:cstheme="majorBidi"/>
        </w:rPr>
        <w:t>One ACIC study</w:t>
      </w:r>
      <w:r w:rsidR="00A83123" w:rsidRPr="00454CF5">
        <w:rPr>
          <w:rFonts w:asciiTheme="majorBidi" w:eastAsia="Calibri" w:hAnsiTheme="majorBidi" w:cstheme="majorBidi"/>
          <w:noProof/>
          <w:vertAlign w:val="superscript"/>
        </w:rPr>
        <w:t>45</w:t>
      </w:r>
      <w:r w:rsidRPr="00454CF5">
        <w:rPr>
          <w:rFonts w:asciiTheme="majorBidi" w:eastAsia="Calibri" w:hAnsiTheme="majorBidi" w:cstheme="majorBidi"/>
        </w:rPr>
        <w:t xml:space="preserve"> also reported only isolates without MBL co-carriage. </w:t>
      </w:r>
    </w:p>
    <w:p w14:paraId="019A51AC" w14:textId="77777777" w:rsidR="009F01D8" w:rsidRPr="009F6FA6" w:rsidRDefault="009F01D8" w:rsidP="009F01D8">
      <w:pPr>
        <w:spacing w:line="360" w:lineRule="auto"/>
        <w:jc w:val="both"/>
        <w:rPr>
          <w:rFonts w:asciiTheme="majorBidi" w:eastAsia="Calibri" w:hAnsiTheme="majorBidi" w:cstheme="majorBidi"/>
        </w:rPr>
      </w:pPr>
      <w:r w:rsidRPr="009F6FA6">
        <w:rPr>
          <w:rFonts w:asciiTheme="majorBidi" w:eastAsia="Calibri" w:hAnsiTheme="majorBidi" w:cstheme="majorBidi"/>
        </w:rPr>
        <w:t xml:space="preserve">A subgroup analysis was performed including just the 6 studies that provided data with no co-carriage of MBLs. A meta-regression model was not considered appropriate in this instance since the direction of the interaction effect may differ for alternative comparators. </w:t>
      </w:r>
    </w:p>
    <w:p w14:paraId="183BE5EA" w14:textId="64266319" w:rsidR="009F01D8" w:rsidRPr="009F6FA6" w:rsidRDefault="009F01D8" w:rsidP="009F01D8">
      <w:pPr>
        <w:spacing w:line="360" w:lineRule="auto"/>
        <w:jc w:val="both"/>
        <w:rPr>
          <w:rFonts w:asciiTheme="majorBidi" w:eastAsia="Calibri" w:hAnsiTheme="majorBidi" w:cstheme="majorBidi"/>
        </w:rPr>
      </w:pPr>
      <w:r w:rsidRPr="009F6FA6">
        <w:rPr>
          <w:rFonts w:asciiTheme="majorBidi" w:eastAsia="Calibri" w:hAnsiTheme="majorBidi" w:cstheme="majorBidi"/>
        </w:rPr>
        <w:t>The estimated </w:t>
      </w:r>
      <w:r w:rsidRPr="009F6FA6">
        <w:rPr>
          <w:rFonts w:asciiTheme="majorBidi" w:eastAsia="Calibri" w:hAnsiTheme="majorBidi" w:cstheme="majorBidi"/>
          <w:color w:val="000000"/>
        </w:rPr>
        <w:t>between-study SD was slightly reduced (1.38, </w:t>
      </w:r>
      <w:r w:rsidRPr="009F6FA6">
        <w:rPr>
          <w:rFonts w:asciiTheme="majorBidi" w:eastAsia="Calibri" w:hAnsiTheme="majorBidi" w:cstheme="majorBidi"/>
        </w:rPr>
        <w:t xml:space="preserve">95% </w:t>
      </w:r>
      <w:proofErr w:type="spellStart"/>
      <w:r w:rsidRPr="009F6FA6">
        <w:rPr>
          <w:rFonts w:asciiTheme="majorBidi" w:eastAsia="Calibri" w:hAnsiTheme="majorBidi" w:cstheme="majorBidi"/>
        </w:rPr>
        <w:t>CrI</w:t>
      </w:r>
      <w:proofErr w:type="spellEnd"/>
      <w:r w:rsidRPr="009F6FA6">
        <w:rPr>
          <w:rFonts w:asciiTheme="majorBidi" w:eastAsia="Calibri" w:hAnsiTheme="majorBidi" w:cstheme="majorBidi"/>
        </w:rPr>
        <w:t>: 0.95 to 2.06</w:t>
      </w:r>
      <w:r w:rsidRPr="009F6FA6">
        <w:rPr>
          <w:rFonts w:asciiTheme="majorBidi" w:eastAsia="Calibri" w:hAnsiTheme="majorBidi" w:cstheme="majorBidi"/>
          <w:color w:val="000000"/>
        </w:rPr>
        <w:t xml:space="preserve">) compared to the standard NMA model, but with wider </w:t>
      </w:r>
      <w:proofErr w:type="spellStart"/>
      <w:r w:rsidRPr="009F6FA6">
        <w:rPr>
          <w:rFonts w:asciiTheme="majorBidi" w:eastAsia="Calibri" w:hAnsiTheme="majorBidi" w:cstheme="majorBidi"/>
          <w:color w:val="000000"/>
        </w:rPr>
        <w:t>CrI</w:t>
      </w:r>
      <w:proofErr w:type="spellEnd"/>
      <w:r w:rsidRPr="009F6FA6">
        <w:rPr>
          <w:rFonts w:asciiTheme="majorBidi" w:eastAsia="Calibri" w:hAnsiTheme="majorBidi" w:cstheme="majorBidi"/>
          <w:color w:val="000000"/>
        </w:rPr>
        <w:t xml:space="preserve"> and still classed as extremely high. Estimated OR vs colistin were increased compared to the model with all studies included, however there was a large amount of </w:t>
      </w:r>
      <w:r w:rsidRPr="009F6FA6">
        <w:rPr>
          <w:rFonts w:asciiTheme="majorBidi" w:eastAsia="Calibri" w:hAnsiTheme="majorBidi" w:cstheme="majorBidi"/>
        </w:rPr>
        <w:t>uncertainty. Although the analysis did not provide conclusive evidence that co-carriage of MBLs has a statistically significant effect on the resulting relative effects, the analysis further highlights the heterogeneity in treatment effects and since there was a good clinical rationale to support this analysis, a scenario analysis based on co-carriage of MBLs was planned in the modelling.  Since it was also concluded that restricting to studies using EUCAST methods and breakpoints was the preferred approach (</w:t>
      </w:r>
      <w:r w:rsidRPr="00D90EA7">
        <w:rPr>
          <w:rFonts w:asciiTheme="majorBidi" w:eastAsia="Calibri" w:hAnsiTheme="majorBidi" w:cstheme="majorBidi"/>
        </w:rPr>
        <w:t>see Section</w:t>
      </w:r>
      <w:r w:rsidR="00D90EA7" w:rsidRPr="00D90EA7">
        <w:rPr>
          <w:rFonts w:asciiTheme="majorBidi" w:eastAsia="Calibri" w:hAnsiTheme="majorBidi" w:cstheme="majorBidi"/>
        </w:rPr>
        <w:t xml:space="preserve"> 4.5</w:t>
      </w:r>
      <w:r w:rsidR="00D90EA7">
        <w:rPr>
          <w:rFonts w:asciiTheme="majorBidi" w:eastAsia="Calibri" w:hAnsiTheme="majorBidi" w:cstheme="majorBidi"/>
        </w:rPr>
        <w:t xml:space="preserve">.4) </w:t>
      </w:r>
      <w:r w:rsidRPr="009F6FA6">
        <w:rPr>
          <w:rFonts w:asciiTheme="majorBidi" w:eastAsia="Calibri" w:hAnsiTheme="majorBidi" w:cstheme="majorBidi"/>
        </w:rPr>
        <w:t>this left only one study (Vazquez-</w:t>
      </w:r>
      <w:proofErr w:type="spellStart"/>
      <w:r w:rsidRPr="009F6FA6">
        <w:rPr>
          <w:rFonts w:asciiTheme="majorBidi" w:eastAsia="Calibri" w:hAnsiTheme="majorBidi" w:cstheme="majorBidi"/>
        </w:rPr>
        <w:t>Ucha</w:t>
      </w:r>
      <w:proofErr w:type="spellEnd"/>
      <w:r w:rsidRPr="009F6FA6">
        <w:rPr>
          <w:rFonts w:asciiTheme="majorBidi" w:eastAsia="Calibri" w:hAnsiTheme="majorBidi" w:cstheme="majorBidi"/>
        </w:rPr>
        <w:t> </w:t>
      </w:r>
      <w:r w:rsidRPr="009F6FA6">
        <w:rPr>
          <w:rFonts w:asciiTheme="majorBidi" w:eastAsia="Calibri" w:hAnsiTheme="majorBidi" w:cstheme="majorBidi"/>
          <w:i/>
          <w:iCs/>
        </w:rPr>
        <w:t>et al</w:t>
      </w:r>
      <w:r w:rsidRPr="009F6FA6">
        <w:rPr>
          <w:rFonts w:asciiTheme="majorBidi" w:eastAsia="Calibri" w:hAnsiTheme="majorBidi" w:cstheme="majorBidi"/>
        </w:rPr>
        <w:t> 2021)</w:t>
      </w:r>
      <w:r w:rsidRPr="009F6FA6">
        <w:rPr>
          <w:rFonts w:asciiTheme="majorBidi" w:eastAsia="Calibri" w:hAnsiTheme="majorBidi" w:cstheme="majorBidi"/>
          <w:vertAlign w:val="superscript"/>
        </w:rPr>
        <w:t>15</w:t>
      </w:r>
      <w:r w:rsidRPr="009F6FA6">
        <w:rPr>
          <w:rFonts w:asciiTheme="majorBidi" w:eastAsia="Calibri" w:hAnsiTheme="majorBidi" w:cstheme="majorBidi"/>
        </w:rPr>
        <w:t> that both reported data with 0% MBLs and used EUCAST methods and breakpoints. A scenario analysis within the cost-effectiveness analysis based on this one study was therefore planned.</w:t>
      </w:r>
    </w:p>
    <w:p w14:paraId="4CEFFEDA" w14:textId="77777777" w:rsidR="009F01D8" w:rsidRPr="00E610DC" w:rsidRDefault="009F01D8" w:rsidP="009F01D8">
      <w:pPr>
        <w:spacing w:line="360" w:lineRule="auto"/>
        <w:jc w:val="both"/>
        <w:rPr>
          <w:rFonts w:asciiTheme="majorBidi" w:hAnsiTheme="majorBidi" w:cstheme="majorBidi"/>
          <w:b/>
          <w:bCs/>
        </w:rPr>
      </w:pPr>
    </w:p>
    <w:p w14:paraId="665FB787" w14:textId="77777777" w:rsidR="009F6FA6" w:rsidRDefault="009F6FA6" w:rsidP="009F01D8">
      <w:pPr>
        <w:pStyle w:val="Caption"/>
        <w:jc w:val="both"/>
      </w:pPr>
      <w:bookmarkStart w:id="692" w:name="_Toc83300897"/>
    </w:p>
    <w:p w14:paraId="75A8A909" w14:textId="77777777" w:rsidR="009F6FA6" w:rsidRDefault="009F6FA6" w:rsidP="009F01D8">
      <w:pPr>
        <w:pStyle w:val="Caption"/>
        <w:jc w:val="both"/>
      </w:pPr>
    </w:p>
    <w:p w14:paraId="0B80FEE8" w14:textId="77777777" w:rsidR="009F6FA6" w:rsidRDefault="009F6FA6" w:rsidP="009F01D8">
      <w:pPr>
        <w:pStyle w:val="Caption"/>
        <w:jc w:val="both"/>
      </w:pPr>
    </w:p>
    <w:p w14:paraId="4ED0D6C6" w14:textId="77777777" w:rsidR="009F6FA6" w:rsidRDefault="009F6FA6" w:rsidP="009F01D8">
      <w:pPr>
        <w:pStyle w:val="Caption"/>
        <w:jc w:val="both"/>
      </w:pPr>
    </w:p>
    <w:p w14:paraId="05A69358" w14:textId="77777777" w:rsidR="009F6FA6" w:rsidRDefault="009F6FA6" w:rsidP="009F01D8">
      <w:pPr>
        <w:pStyle w:val="Caption"/>
        <w:jc w:val="both"/>
      </w:pPr>
    </w:p>
    <w:p w14:paraId="607CA09F" w14:textId="77777777" w:rsidR="009F6FA6" w:rsidRDefault="009F6FA6" w:rsidP="009F01D8">
      <w:pPr>
        <w:pStyle w:val="Caption"/>
        <w:jc w:val="both"/>
      </w:pPr>
    </w:p>
    <w:p w14:paraId="1037BAED" w14:textId="77777777" w:rsidR="009F6FA6" w:rsidRDefault="009F6FA6" w:rsidP="009F01D8">
      <w:pPr>
        <w:pStyle w:val="Caption"/>
        <w:jc w:val="both"/>
      </w:pPr>
    </w:p>
    <w:p w14:paraId="4BD80792" w14:textId="77777777" w:rsidR="009F6FA6" w:rsidRDefault="009F6FA6" w:rsidP="009F01D8">
      <w:pPr>
        <w:pStyle w:val="Caption"/>
        <w:jc w:val="both"/>
      </w:pPr>
    </w:p>
    <w:p w14:paraId="62E586C0" w14:textId="77777777" w:rsidR="009F6FA6" w:rsidRDefault="009F6FA6" w:rsidP="009F01D8">
      <w:pPr>
        <w:pStyle w:val="Caption"/>
        <w:jc w:val="both"/>
      </w:pPr>
    </w:p>
    <w:p w14:paraId="3ECBFFD1" w14:textId="77777777" w:rsidR="009F6FA6" w:rsidRDefault="009F6FA6" w:rsidP="009F01D8">
      <w:pPr>
        <w:pStyle w:val="Caption"/>
        <w:jc w:val="both"/>
      </w:pPr>
    </w:p>
    <w:p w14:paraId="312E9C16" w14:textId="77777777" w:rsidR="009F6FA6" w:rsidRDefault="009F6FA6" w:rsidP="009F01D8">
      <w:pPr>
        <w:pStyle w:val="Caption"/>
        <w:jc w:val="both"/>
      </w:pPr>
    </w:p>
    <w:p w14:paraId="3E08042D" w14:textId="77777777" w:rsidR="009F6FA6" w:rsidRDefault="009F6FA6" w:rsidP="009F01D8">
      <w:pPr>
        <w:pStyle w:val="Caption"/>
        <w:jc w:val="both"/>
      </w:pPr>
    </w:p>
    <w:p w14:paraId="733573CC" w14:textId="77777777" w:rsidR="009F6FA6" w:rsidRDefault="009F6FA6" w:rsidP="009F01D8">
      <w:pPr>
        <w:pStyle w:val="Caption"/>
        <w:jc w:val="both"/>
      </w:pPr>
    </w:p>
    <w:p w14:paraId="2A79D82C" w14:textId="77777777" w:rsidR="009F6FA6" w:rsidRDefault="009F6FA6" w:rsidP="009F01D8">
      <w:pPr>
        <w:pStyle w:val="Caption"/>
        <w:jc w:val="both"/>
      </w:pPr>
    </w:p>
    <w:p w14:paraId="4748164D" w14:textId="77777777" w:rsidR="009F6FA6" w:rsidRDefault="009F6FA6" w:rsidP="009F01D8">
      <w:pPr>
        <w:pStyle w:val="Caption"/>
        <w:jc w:val="both"/>
      </w:pPr>
    </w:p>
    <w:p w14:paraId="2DC1C104" w14:textId="77777777" w:rsidR="009F6FA6" w:rsidRDefault="009F6FA6" w:rsidP="009F01D8">
      <w:pPr>
        <w:pStyle w:val="Caption"/>
        <w:jc w:val="both"/>
      </w:pPr>
    </w:p>
    <w:p w14:paraId="65E6BC33" w14:textId="77777777" w:rsidR="009F6FA6" w:rsidRDefault="009F6FA6" w:rsidP="009F01D8">
      <w:pPr>
        <w:pStyle w:val="Caption"/>
        <w:jc w:val="both"/>
      </w:pPr>
    </w:p>
    <w:p w14:paraId="2E10C30E" w14:textId="25F5B480" w:rsidR="009F01D8" w:rsidRPr="009F6FA6" w:rsidRDefault="009F01D8" w:rsidP="009F01D8">
      <w:pPr>
        <w:pStyle w:val="Caption"/>
        <w:jc w:val="both"/>
        <w:rPr>
          <w:rFonts w:asciiTheme="majorBidi" w:hAnsiTheme="majorBidi" w:cstheme="majorBidi"/>
          <w:b/>
          <w:bCs/>
          <w:i w:val="0"/>
          <w:iCs w:val="0"/>
          <w:sz w:val="20"/>
          <w:szCs w:val="20"/>
        </w:rPr>
      </w:pPr>
      <w:bookmarkStart w:id="693" w:name="_Toc86419073"/>
      <w:r w:rsidRPr="009F6FA6">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28</w:t>
      </w:r>
      <w:r w:rsidRPr="009F6FA6">
        <w:rPr>
          <w:rFonts w:asciiTheme="majorBidi" w:hAnsiTheme="majorBidi" w:cstheme="majorBidi"/>
          <w:b/>
          <w:bCs/>
          <w:i w:val="0"/>
          <w:iCs w:val="0"/>
          <w:sz w:val="20"/>
          <w:szCs w:val="20"/>
        </w:rPr>
        <w:t xml:space="preserve">: Forest plot of OR vs colistin for reduced dataset, NMA model for MBL </w:t>
      </w:r>
      <w:proofErr w:type="spellStart"/>
      <w:r w:rsidRPr="009F6FA6">
        <w:rPr>
          <w:rFonts w:asciiTheme="majorBidi" w:hAnsiTheme="majorBidi" w:cstheme="majorBidi"/>
          <w:b/>
          <w:bCs/>
          <w:i w:val="0"/>
          <w:iCs w:val="0"/>
          <w:sz w:val="20"/>
          <w:szCs w:val="20"/>
        </w:rPr>
        <w:t>cocarriage</w:t>
      </w:r>
      <w:proofErr w:type="spellEnd"/>
      <w:r w:rsidRPr="009F6FA6">
        <w:rPr>
          <w:rFonts w:asciiTheme="majorBidi" w:hAnsiTheme="majorBidi" w:cstheme="majorBidi"/>
          <w:b/>
          <w:bCs/>
          <w:i w:val="0"/>
          <w:iCs w:val="0"/>
          <w:sz w:val="20"/>
          <w:szCs w:val="20"/>
        </w:rPr>
        <w:t xml:space="preserve"> subgroup</w:t>
      </w:r>
      <w:bookmarkEnd w:id="692"/>
      <w:bookmarkEnd w:id="693"/>
    </w:p>
    <w:p w14:paraId="5417C7C0" w14:textId="77777777" w:rsidR="009F01D8" w:rsidRDefault="009F01D8" w:rsidP="009F01D8">
      <w:pPr>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0F0F6782" wp14:editId="24B7BA2A">
            <wp:extent cx="5731510" cy="5731510"/>
            <wp:effectExtent l="0" t="0" r="2540" b="2540"/>
            <wp:docPr id="39" name="Picture 39" descr="Forest plot of OR vs colistin for reduced dataset, NMA model for MBL cocarriage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orest plot of OR vs colistin for reduced dataset, NMA model for MBL cocarriage subgroup"/>
                    <pic:cNvPicPr/>
                  </pic:nvPicPr>
                  <pic:blipFill>
                    <a:blip r:embed="rId4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F56FE85" w14:textId="77777777" w:rsidR="009F01D8" w:rsidRDefault="009F01D8" w:rsidP="009F01D8">
      <w:pPr>
        <w:spacing w:line="360" w:lineRule="auto"/>
        <w:jc w:val="both"/>
        <w:rPr>
          <w:rFonts w:asciiTheme="majorBidi" w:hAnsiTheme="majorBidi" w:cstheme="majorBidi"/>
          <w:bCs/>
        </w:rPr>
      </w:pPr>
      <w:r w:rsidRPr="003765AE">
        <w:rPr>
          <w:rFonts w:asciiTheme="majorBidi" w:hAnsiTheme="majorBidi" w:cstheme="majorBidi"/>
          <w:bCs/>
        </w:rPr>
        <w:t xml:space="preserve">Abbreviations: </w:t>
      </w:r>
      <w:proofErr w:type="gramStart"/>
      <w:r w:rsidRPr="003765AE">
        <w:rPr>
          <w:rFonts w:asciiTheme="majorBidi" w:hAnsiTheme="majorBidi" w:cstheme="majorBidi"/>
          <w:bCs/>
        </w:rPr>
        <w:t>OR,</w:t>
      </w:r>
      <w:proofErr w:type="gramEnd"/>
      <w:r w:rsidRPr="003765AE">
        <w:rPr>
          <w:rFonts w:asciiTheme="majorBidi" w:hAnsiTheme="majorBidi" w:cstheme="majorBidi"/>
          <w:bCs/>
        </w:rPr>
        <w:t xml:space="preserve"> odds ratio; </w:t>
      </w:r>
      <w:proofErr w:type="spellStart"/>
      <w:r w:rsidRPr="003765AE">
        <w:rPr>
          <w:rFonts w:asciiTheme="majorBidi" w:hAnsiTheme="majorBidi" w:cstheme="majorBidi"/>
          <w:bCs/>
        </w:rPr>
        <w:t>CrI</w:t>
      </w:r>
      <w:proofErr w:type="spellEnd"/>
      <w:r w:rsidRPr="003765AE">
        <w:rPr>
          <w:rFonts w:asciiTheme="majorBidi" w:hAnsiTheme="majorBidi" w:cstheme="majorBidi"/>
          <w:bCs/>
        </w:rPr>
        <w:t xml:space="preserve">, credible interval, </w:t>
      </w:r>
      <w:proofErr w:type="spellStart"/>
      <w:r w:rsidRPr="003765AE">
        <w:rPr>
          <w:rFonts w:asciiTheme="majorBidi" w:hAnsiTheme="majorBidi" w:cstheme="majorBidi"/>
          <w:bCs/>
        </w:rPr>
        <w:t>PrI</w:t>
      </w:r>
      <w:proofErr w:type="spellEnd"/>
      <w:r w:rsidRPr="003765AE">
        <w:rPr>
          <w:rFonts w:asciiTheme="majorBidi" w:hAnsiTheme="majorBidi" w:cstheme="majorBidi"/>
          <w:bCs/>
        </w:rPr>
        <w:t>, prediction interval; P</w:t>
      </w:r>
      <w:r>
        <w:rPr>
          <w:rFonts w:asciiTheme="majorBidi" w:hAnsiTheme="majorBidi" w:cstheme="majorBidi"/>
          <w:bCs/>
        </w:rPr>
        <w:t>B</w:t>
      </w:r>
      <w:r w:rsidRPr="003765AE">
        <w:rPr>
          <w:rFonts w:asciiTheme="majorBidi" w:hAnsiTheme="majorBidi" w:cstheme="majorBidi"/>
          <w:bCs/>
        </w:rPr>
        <w:t>, probability being the best treatment.</w:t>
      </w:r>
    </w:p>
    <w:p w14:paraId="376F1221" w14:textId="77777777" w:rsidR="009F01D8" w:rsidRPr="003765AE" w:rsidRDefault="009F01D8" w:rsidP="009F01D8">
      <w:pPr>
        <w:spacing w:line="360" w:lineRule="auto"/>
        <w:jc w:val="both"/>
        <w:rPr>
          <w:rFonts w:asciiTheme="majorBidi" w:hAnsiTheme="majorBidi" w:cstheme="majorBidi"/>
          <w:bCs/>
        </w:rPr>
      </w:pPr>
    </w:p>
    <w:p w14:paraId="3B173F59" w14:textId="77777777" w:rsidR="009F01D8" w:rsidRPr="009F6FA6" w:rsidRDefault="009F01D8" w:rsidP="009F01D8">
      <w:pPr>
        <w:spacing w:line="360" w:lineRule="auto"/>
        <w:jc w:val="both"/>
        <w:rPr>
          <w:rFonts w:asciiTheme="majorBidi" w:hAnsiTheme="majorBidi" w:cstheme="majorBidi"/>
          <w:b/>
          <w:bCs/>
          <w:i/>
          <w:iCs/>
        </w:rPr>
      </w:pPr>
      <w:r w:rsidRPr="009F6FA6">
        <w:rPr>
          <w:rFonts w:asciiTheme="majorBidi" w:hAnsiTheme="majorBidi" w:cstheme="majorBidi"/>
          <w:b/>
          <w:bCs/>
          <w:i/>
          <w:iCs/>
        </w:rPr>
        <w:t xml:space="preserve">Proportion with carbapenem susceptibility: </w:t>
      </w:r>
    </w:p>
    <w:p w14:paraId="05E61E7D" w14:textId="77777777" w:rsidR="009F01D8" w:rsidRDefault="009F01D8" w:rsidP="009F01D8">
      <w:pPr>
        <w:spacing w:line="360" w:lineRule="auto"/>
        <w:jc w:val="both"/>
        <w:rPr>
          <w:rFonts w:asciiTheme="majorBidi" w:hAnsiTheme="majorBidi" w:cstheme="majorBidi"/>
        </w:rPr>
      </w:pPr>
      <w:r>
        <w:rPr>
          <w:rFonts w:asciiTheme="majorBidi" w:hAnsiTheme="majorBidi" w:cstheme="majorBidi"/>
        </w:rPr>
        <w:t xml:space="preserve">To investigate the impact of the proportion of carbapenem non-susceptible isolates on CAZ-AVI susceptibility, the % non-susceptible to meropenem was extracted for each study as this was the most frequently reported statistic. </w:t>
      </w:r>
    </w:p>
    <w:p w14:paraId="682C5D20" w14:textId="78C96660" w:rsidR="009F01D8" w:rsidRDefault="009F01D8" w:rsidP="00A83123">
      <w:pPr>
        <w:spacing w:line="360" w:lineRule="auto"/>
        <w:jc w:val="both"/>
        <w:rPr>
          <w:rFonts w:asciiTheme="majorBidi" w:hAnsiTheme="majorBidi" w:cstheme="majorBidi"/>
          <w:color w:val="000000" w:themeColor="text1"/>
        </w:rPr>
      </w:pPr>
      <w:r>
        <w:rPr>
          <w:rFonts w:asciiTheme="majorBidi" w:hAnsiTheme="majorBidi" w:cstheme="majorBidi"/>
        </w:rPr>
        <w:lastRenderedPageBreak/>
        <w:t xml:space="preserve">A meta-regression was performed including a covariate indicating the proportion of non-susceptible isolates for each study. </w:t>
      </w:r>
      <w:r>
        <w:rPr>
          <w:rFonts w:asciiTheme="majorBidi" w:hAnsiTheme="majorBidi" w:cstheme="majorBidi"/>
          <w:color w:val="000000" w:themeColor="text1"/>
        </w:rPr>
        <w:t>Two studies did not provide information on carbapenem susceptibility and so were not included in the analysis.</w:t>
      </w:r>
      <w:r w:rsidR="00A83123" w:rsidRPr="00A83123">
        <w:rPr>
          <w:rFonts w:asciiTheme="majorBidi" w:hAnsiTheme="majorBidi" w:cstheme="majorBidi"/>
          <w:noProof/>
          <w:color w:val="000000" w:themeColor="text1"/>
          <w:vertAlign w:val="superscript"/>
        </w:rPr>
        <w:t>62,65</w:t>
      </w:r>
      <w:r>
        <w:rPr>
          <w:rFonts w:asciiTheme="majorBidi" w:hAnsiTheme="majorBidi" w:cstheme="majorBidi"/>
          <w:color w:val="000000" w:themeColor="text1"/>
        </w:rPr>
        <w:t xml:space="preserve"> For the remaining 14 studies, the percentage non-susceptible ranged from 0%</w:t>
      </w:r>
      <w:r w:rsidR="00A83123" w:rsidRPr="00A83123">
        <w:rPr>
          <w:rFonts w:asciiTheme="majorBidi" w:hAnsiTheme="majorBidi" w:cstheme="majorBidi"/>
          <w:noProof/>
          <w:color w:val="000000" w:themeColor="text1"/>
          <w:vertAlign w:val="superscript"/>
        </w:rPr>
        <w:t>46</w:t>
      </w:r>
      <w:r>
        <w:rPr>
          <w:rFonts w:asciiTheme="majorBidi" w:hAnsiTheme="majorBidi" w:cstheme="majorBidi"/>
          <w:color w:val="000000" w:themeColor="text1"/>
        </w:rPr>
        <w:t xml:space="preserve"> to 100%,</w:t>
      </w:r>
      <w:r w:rsidR="00A83123" w:rsidRPr="00A83123">
        <w:rPr>
          <w:rFonts w:asciiTheme="majorBidi" w:hAnsiTheme="majorBidi" w:cstheme="majorBidi"/>
          <w:noProof/>
          <w:color w:val="000000" w:themeColor="text1"/>
          <w:vertAlign w:val="superscript"/>
        </w:rPr>
        <w:t>50,57</w:t>
      </w:r>
      <w:r>
        <w:rPr>
          <w:rFonts w:asciiTheme="majorBidi" w:hAnsiTheme="majorBidi" w:cstheme="majorBidi"/>
          <w:color w:val="000000" w:themeColor="text1"/>
        </w:rPr>
        <w:t xml:space="preserve"> with mean 53.3% non-susceptible.</w:t>
      </w:r>
    </w:p>
    <w:p w14:paraId="08FD8BEA" w14:textId="77777777" w:rsidR="009F01D8" w:rsidRDefault="009F01D8" w:rsidP="009F01D8">
      <w:pPr>
        <w:spacing w:line="360" w:lineRule="auto"/>
        <w:jc w:val="both"/>
        <w:rPr>
          <w:rFonts w:asciiTheme="majorBidi" w:hAnsiTheme="majorBidi" w:cstheme="majorBidi"/>
        </w:rPr>
      </w:pPr>
      <w:r>
        <w:rPr>
          <w:rFonts w:asciiTheme="majorBidi" w:hAnsiTheme="majorBidi" w:cstheme="majorBidi"/>
          <w:color w:val="000000" w:themeColor="text1"/>
        </w:rPr>
        <w:t xml:space="preserve">The meta-regression model did not reduce the estimated between-study SD (1.56,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1.26 to 1.96</w:t>
      </w:r>
      <w:r>
        <w:rPr>
          <w:rFonts w:asciiTheme="majorBidi" w:hAnsiTheme="majorBidi" w:cstheme="majorBidi"/>
          <w:color w:val="000000" w:themeColor="text1"/>
        </w:rPr>
        <w:t>) compared to the standard NMA model.  The coefficient from the meta-regression was 0.30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xml:space="preserve">: -2.60 to 3.24) which is close to zero and not statistically significant. There was therefore no evidence to suggest that the relative treatment effects differ according to the proportion with carbapenem susceptibility. </w:t>
      </w:r>
    </w:p>
    <w:p w14:paraId="01ED4A15" w14:textId="062A2312" w:rsidR="009F01D8" w:rsidRPr="009F6FA6" w:rsidRDefault="009F01D8" w:rsidP="009F01D8">
      <w:pPr>
        <w:pStyle w:val="Caption"/>
        <w:jc w:val="both"/>
        <w:rPr>
          <w:rFonts w:asciiTheme="majorBidi" w:hAnsiTheme="majorBidi" w:cstheme="majorBidi"/>
          <w:b/>
          <w:bCs/>
          <w:i w:val="0"/>
          <w:iCs w:val="0"/>
          <w:sz w:val="20"/>
          <w:szCs w:val="20"/>
        </w:rPr>
      </w:pPr>
      <w:bookmarkStart w:id="694" w:name="_Toc83300898"/>
      <w:bookmarkStart w:id="695" w:name="_Toc86419074"/>
      <w:r w:rsidRPr="009F6FA6">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29</w:t>
      </w:r>
      <w:r w:rsidRPr="009F6FA6">
        <w:rPr>
          <w:rFonts w:asciiTheme="majorBidi" w:hAnsiTheme="majorBidi" w:cstheme="majorBidi"/>
          <w:b/>
          <w:bCs/>
          <w:i w:val="0"/>
          <w:iCs w:val="0"/>
          <w:sz w:val="20"/>
          <w:szCs w:val="20"/>
        </w:rPr>
        <w:t xml:space="preserve">: Forest plot of OR vs colistin for reduced dataset, meta-regression model for </w:t>
      </w:r>
      <w:proofErr w:type="spellStart"/>
      <w:r w:rsidRPr="009F6FA6">
        <w:rPr>
          <w:rFonts w:asciiTheme="majorBidi" w:hAnsiTheme="majorBidi" w:cstheme="majorBidi"/>
          <w:b/>
          <w:bCs/>
          <w:i w:val="0"/>
          <w:iCs w:val="0"/>
          <w:sz w:val="20"/>
          <w:szCs w:val="20"/>
        </w:rPr>
        <w:t>carbapenum</w:t>
      </w:r>
      <w:proofErr w:type="spellEnd"/>
      <w:r w:rsidRPr="009F6FA6">
        <w:rPr>
          <w:rFonts w:asciiTheme="majorBidi" w:hAnsiTheme="majorBidi" w:cstheme="majorBidi"/>
          <w:b/>
          <w:bCs/>
          <w:i w:val="0"/>
          <w:iCs w:val="0"/>
          <w:sz w:val="20"/>
          <w:szCs w:val="20"/>
        </w:rPr>
        <w:t xml:space="preserve"> susceptibility</w:t>
      </w:r>
      <w:bookmarkEnd w:id="694"/>
      <w:bookmarkEnd w:id="695"/>
    </w:p>
    <w:p w14:paraId="073FB258" w14:textId="77777777" w:rsidR="009F01D8" w:rsidRDefault="009F01D8" w:rsidP="009F01D8">
      <w:pPr>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4A19C5AE" wp14:editId="3F4B528B">
            <wp:extent cx="5731510" cy="5731510"/>
            <wp:effectExtent l="0" t="0" r="2540" b="2540"/>
            <wp:docPr id="40" name="Picture 40" descr="Forest plot of OR vs colistin for reduced dataset, meta-regression model for carbapenum suscept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orest plot of OR vs colistin for reduced dataset, meta-regression model for carbapenum susceptibility"/>
                    <pic:cNvPicPr/>
                  </pic:nvPicPr>
                  <pic:blipFill>
                    <a:blip r:embed="rId4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1A97B9D"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lastRenderedPageBreak/>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4DF815DC" w14:textId="77777777" w:rsidR="009F01D8" w:rsidRPr="006854DD" w:rsidRDefault="009F01D8" w:rsidP="009F01D8">
      <w:pPr>
        <w:spacing w:line="360" w:lineRule="auto"/>
        <w:jc w:val="both"/>
        <w:rPr>
          <w:rFonts w:asciiTheme="majorBidi" w:hAnsiTheme="majorBidi" w:cstheme="majorBidi"/>
          <w:b/>
          <w:bCs/>
          <w:i/>
          <w:iCs/>
        </w:rPr>
      </w:pPr>
      <w:r w:rsidRPr="006854DD">
        <w:rPr>
          <w:rFonts w:asciiTheme="majorBidi" w:hAnsiTheme="majorBidi" w:cstheme="majorBidi"/>
          <w:b/>
          <w:bCs/>
          <w:i/>
          <w:iCs/>
        </w:rPr>
        <w:t xml:space="preserve">Consecutive sample recruitment: </w:t>
      </w:r>
    </w:p>
    <w:p w14:paraId="416B6FBA" w14:textId="2BB78A6B" w:rsidR="009F01D8" w:rsidRDefault="009F01D8" w:rsidP="00A83123">
      <w:pPr>
        <w:spacing w:line="360" w:lineRule="auto"/>
        <w:jc w:val="both"/>
        <w:rPr>
          <w:rFonts w:asciiTheme="majorBidi" w:hAnsiTheme="majorBidi" w:cstheme="majorBidi"/>
        </w:rPr>
      </w:pPr>
      <w:r>
        <w:rPr>
          <w:rFonts w:asciiTheme="majorBidi" w:hAnsiTheme="majorBidi" w:cstheme="majorBidi"/>
        </w:rPr>
        <w:t>Five studies</w:t>
      </w:r>
      <w:r w:rsidR="00A83123" w:rsidRPr="00A83123">
        <w:rPr>
          <w:rFonts w:asciiTheme="majorBidi" w:hAnsiTheme="majorBidi" w:cstheme="majorBidi"/>
          <w:noProof/>
          <w:vertAlign w:val="superscript"/>
        </w:rPr>
        <w:t>37,50-52,66</w:t>
      </w:r>
      <w:r>
        <w:rPr>
          <w:rFonts w:asciiTheme="majorBidi" w:hAnsiTheme="majorBidi" w:cstheme="majorBidi"/>
        </w:rPr>
        <w:t xml:space="preserve"> selected consecutive isolates, whilst the remainder were either unclear</w:t>
      </w:r>
      <w:r w:rsidR="00A83123" w:rsidRPr="00A83123">
        <w:rPr>
          <w:rFonts w:asciiTheme="majorBidi" w:hAnsiTheme="majorBidi" w:cstheme="majorBidi"/>
          <w:noProof/>
          <w:vertAlign w:val="superscript"/>
        </w:rPr>
        <w:t>1,44-46,60,62</w:t>
      </w:r>
      <w:r>
        <w:rPr>
          <w:rFonts w:asciiTheme="majorBidi" w:hAnsiTheme="majorBidi" w:cstheme="majorBidi"/>
        </w:rPr>
        <w:t xml:space="preserve"> how isolates were selected, or used specific criteria to do so.</w:t>
      </w:r>
      <w:r w:rsidR="00A83123" w:rsidRPr="00A83123">
        <w:rPr>
          <w:rFonts w:asciiTheme="majorBidi" w:hAnsiTheme="majorBidi" w:cstheme="majorBidi"/>
          <w:noProof/>
          <w:vertAlign w:val="superscript"/>
        </w:rPr>
        <w:t>53,56,57,61,65</w:t>
      </w:r>
      <w:r>
        <w:rPr>
          <w:rFonts w:asciiTheme="majorBidi" w:hAnsiTheme="majorBidi" w:cstheme="majorBidi"/>
        </w:rPr>
        <w:t xml:space="preserve"> A meta-regression model was conducted comparing those studies with consecutive samples (the reference category) to those where sampling was either non-consecutive or unclear. </w:t>
      </w:r>
    </w:p>
    <w:p w14:paraId="51AA09C9" w14:textId="77777777" w:rsidR="009F01D8" w:rsidRDefault="009F01D8" w:rsidP="009F01D8">
      <w:pPr>
        <w:spacing w:line="360" w:lineRule="auto"/>
        <w:jc w:val="both"/>
        <w:rPr>
          <w:rFonts w:asciiTheme="majorBidi" w:hAnsiTheme="majorBidi" w:cstheme="majorBidi"/>
        </w:rPr>
      </w:pPr>
      <w:r>
        <w:rPr>
          <w:rFonts w:asciiTheme="majorBidi" w:hAnsiTheme="majorBidi" w:cstheme="majorBidi"/>
        </w:rPr>
        <w:t xml:space="preserve">Compared </w:t>
      </w:r>
      <w:r>
        <w:rPr>
          <w:rFonts w:asciiTheme="majorBidi" w:hAnsiTheme="majorBidi" w:cstheme="majorBidi"/>
          <w:color w:val="000000" w:themeColor="text1"/>
        </w:rPr>
        <w:t>to the standard NMA model, t</w:t>
      </w:r>
      <w:r>
        <w:rPr>
          <w:rFonts w:asciiTheme="majorBidi" w:hAnsiTheme="majorBidi" w:cstheme="majorBidi"/>
        </w:rPr>
        <w:t xml:space="preserve">he meta-regression model provided a similar fit to the data based on the DIC and </w:t>
      </w:r>
      <w:r>
        <w:rPr>
          <w:rFonts w:asciiTheme="majorBidi" w:hAnsiTheme="majorBidi" w:cstheme="majorBidi"/>
          <w:color w:val="000000" w:themeColor="text1"/>
        </w:rPr>
        <w:t xml:space="preserve">did not reduce the estimated between-study SD (1.57,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1.28 to 1.95</w:t>
      </w:r>
      <w:r>
        <w:rPr>
          <w:rFonts w:asciiTheme="majorBidi" w:hAnsiTheme="majorBidi" w:cstheme="majorBidi"/>
          <w:color w:val="000000" w:themeColor="text1"/>
        </w:rPr>
        <w:t>)</w:t>
      </w:r>
      <w:r>
        <w:rPr>
          <w:rFonts w:asciiTheme="majorBidi" w:hAnsiTheme="majorBidi" w:cstheme="majorBidi"/>
        </w:rPr>
        <w:t xml:space="preserve">. </w:t>
      </w:r>
      <w:r>
        <w:rPr>
          <w:rFonts w:asciiTheme="majorBidi" w:hAnsiTheme="majorBidi" w:cstheme="majorBidi"/>
          <w:color w:val="000000" w:themeColor="text1"/>
        </w:rPr>
        <w:t xml:space="preserve">The coefficient from the meta-regression was not statistically significant (-0.10, </w:t>
      </w:r>
      <w:r>
        <w:rPr>
          <w:rFonts w:asciiTheme="majorBidi" w:hAnsiTheme="majorBidi" w:cstheme="majorBidi"/>
        </w:rPr>
        <w:t xml:space="preserve">95% </w:t>
      </w:r>
      <w:proofErr w:type="spellStart"/>
      <w:r>
        <w:rPr>
          <w:rFonts w:asciiTheme="majorBidi" w:hAnsiTheme="majorBidi" w:cstheme="majorBidi"/>
        </w:rPr>
        <w:t>CrI</w:t>
      </w:r>
      <w:proofErr w:type="spellEnd"/>
      <w:r>
        <w:rPr>
          <w:rFonts w:asciiTheme="majorBidi" w:hAnsiTheme="majorBidi" w:cstheme="majorBidi"/>
        </w:rPr>
        <w:t>: -1.93 to 1.75).</w:t>
      </w:r>
      <w:r>
        <w:rPr>
          <w:rFonts w:asciiTheme="majorBidi" w:hAnsiTheme="majorBidi" w:cstheme="majorBidi"/>
          <w:color w:val="000000" w:themeColor="text1"/>
        </w:rPr>
        <w:t xml:space="preserve">  </w:t>
      </w:r>
      <w:r>
        <w:rPr>
          <w:rFonts w:asciiTheme="majorBidi" w:hAnsiTheme="majorBidi" w:cstheme="majorBidi"/>
        </w:rPr>
        <w:t>There was therefore no evidence to suggest that the relative treatment effects differ according to method of sample recruitment.</w:t>
      </w:r>
    </w:p>
    <w:p w14:paraId="634074DF" w14:textId="77777777" w:rsidR="00E052E9" w:rsidRDefault="00E052E9" w:rsidP="00E052E9">
      <w:pPr>
        <w:pStyle w:val="Caption"/>
        <w:jc w:val="both"/>
        <w:rPr>
          <w:rFonts w:asciiTheme="majorBidi" w:hAnsiTheme="majorBidi" w:cstheme="majorBidi"/>
          <w:b/>
          <w:bCs/>
          <w:i w:val="0"/>
          <w:iCs w:val="0"/>
          <w:sz w:val="20"/>
          <w:szCs w:val="20"/>
        </w:rPr>
      </w:pPr>
      <w:bookmarkStart w:id="696" w:name="_Toc83300899"/>
    </w:p>
    <w:p w14:paraId="4C96110A" w14:textId="77777777" w:rsidR="00E052E9" w:rsidRDefault="00E052E9" w:rsidP="00E052E9">
      <w:pPr>
        <w:pStyle w:val="Caption"/>
        <w:jc w:val="both"/>
        <w:rPr>
          <w:rFonts w:asciiTheme="majorBidi" w:hAnsiTheme="majorBidi" w:cstheme="majorBidi"/>
          <w:b/>
          <w:bCs/>
          <w:i w:val="0"/>
          <w:iCs w:val="0"/>
          <w:sz w:val="20"/>
          <w:szCs w:val="20"/>
        </w:rPr>
      </w:pPr>
    </w:p>
    <w:p w14:paraId="6D55F496" w14:textId="77777777" w:rsidR="00E052E9" w:rsidRDefault="00E052E9" w:rsidP="00E052E9">
      <w:pPr>
        <w:pStyle w:val="Caption"/>
        <w:jc w:val="both"/>
        <w:rPr>
          <w:rFonts w:asciiTheme="majorBidi" w:hAnsiTheme="majorBidi" w:cstheme="majorBidi"/>
          <w:b/>
          <w:bCs/>
          <w:i w:val="0"/>
          <w:iCs w:val="0"/>
          <w:sz w:val="20"/>
          <w:szCs w:val="20"/>
        </w:rPr>
      </w:pPr>
    </w:p>
    <w:p w14:paraId="2931F40E" w14:textId="77777777" w:rsidR="00E052E9" w:rsidRDefault="00E052E9" w:rsidP="00E052E9">
      <w:pPr>
        <w:pStyle w:val="Caption"/>
        <w:jc w:val="both"/>
        <w:rPr>
          <w:rFonts w:asciiTheme="majorBidi" w:hAnsiTheme="majorBidi" w:cstheme="majorBidi"/>
          <w:b/>
          <w:bCs/>
          <w:i w:val="0"/>
          <w:iCs w:val="0"/>
          <w:sz w:val="20"/>
          <w:szCs w:val="20"/>
        </w:rPr>
      </w:pPr>
    </w:p>
    <w:p w14:paraId="3C68C725" w14:textId="77777777" w:rsidR="00E052E9" w:rsidRDefault="00E052E9" w:rsidP="00E052E9">
      <w:pPr>
        <w:pStyle w:val="Caption"/>
        <w:jc w:val="both"/>
        <w:rPr>
          <w:rFonts w:asciiTheme="majorBidi" w:hAnsiTheme="majorBidi" w:cstheme="majorBidi"/>
          <w:b/>
          <w:bCs/>
          <w:i w:val="0"/>
          <w:iCs w:val="0"/>
          <w:sz w:val="20"/>
          <w:szCs w:val="20"/>
        </w:rPr>
      </w:pPr>
    </w:p>
    <w:p w14:paraId="5F6015F6" w14:textId="77777777" w:rsidR="00E052E9" w:rsidRDefault="00E052E9" w:rsidP="00E052E9">
      <w:pPr>
        <w:pStyle w:val="Caption"/>
        <w:jc w:val="both"/>
        <w:rPr>
          <w:rFonts w:asciiTheme="majorBidi" w:hAnsiTheme="majorBidi" w:cstheme="majorBidi"/>
          <w:b/>
          <w:bCs/>
          <w:i w:val="0"/>
          <w:iCs w:val="0"/>
          <w:sz w:val="20"/>
          <w:szCs w:val="20"/>
        </w:rPr>
      </w:pPr>
    </w:p>
    <w:p w14:paraId="0C48BF14" w14:textId="77777777" w:rsidR="00E052E9" w:rsidRDefault="00E052E9" w:rsidP="00E052E9">
      <w:pPr>
        <w:pStyle w:val="Caption"/>
        <w:jc w:val="both"/>
        <w:rPr>
          <w:rFonts w:asciiTheme="majorBidi" w:hAnsiTheme="majorBidi" w:cstheme="majorBidi"/>
          <w:b/>
          <w:bCs/>
          <w:i w:val="0"/>
          <w:iCs w:val="0"/>
          <w:sz w:val="20"/>
          <w:szCs w:val="20"/>
        </w:rPr>
      </w:pPr>
    </w:p>
    <w:p w14:paraId="161A9D83" w14:textId="77777777" w:rsidR="00E052E9" w:rsidRDefault="00E052E9" w:rsidP="00E052E9">
      <w:pPr>
        <w:pStyle w:val="Caption"/>
        <w:jc w:val="both"/>
        <w:rPr>
          <w:rFonts w:asciiTheme="majorBidi" w:hAnsiTheme="majorBidi" w:cstheme="majorBidi"/>
          <w:b/>
          <w:bCs/>
          <w:i w:val="0"/>
          <w:iCs w:val="0"/>
          <w:sz w:val="20"/>
          <w:szCs w:val="20"/>
        </w:rPr>
      </w:pPr>
    </w:p>
    <w:p w14:paraId="786D54D5" w14:textId="77777777" w:rsidR="00E052E9" w:rsidRDefault="00E052E9" w:rsidP="00E052E9">
      <w:pPr>
        <w:pStyle w:val="Caption"/>
        <w:jc w:val="both"/>
        <w:rPr>
          <w:rFonts w:asciiTheme="majorBidi" w:hAnsiTheme="majorBidi" w:cstheme="majorBidi"/>
          <w:b/>
          <w:bCs/>
          <w:i w:val="0"/>
          <w:iCs w:val="0"/>
          <w:sz w:val="20"/>
          <w:szCs w:val="20"/>
        </w:rPr>
      </w:pPr>
    </w:p>
    <w:p w14:paraId="5A9D0A92" w14:textId="2E0041B9" w:rsidR="00E052E9" w:rsidRDefault="00E052E9" w:rsidP="00E052E9">
      <w:pPr>
        <w:pStyle w:val="Caption"/>
        <w:jc w:val="both"/>
        <w:rPr>
          <w:rFonts w:asciiTheme="majorBidi" w:hAnsiTheme="majorBidi" w:cstheme="majorBidi"/>
          <w:b/>
          <w:bCs/>
          <w:i w:val="0"/>
          <w:iCs w:val="0"/>
          <w:sz w:val="20"/>
          <w:szCs w:val="20"/>
        </w:rPr>
      </w:pPr>
    </w:p>
    <w:p w14:paraId="5AE632AB" w14:textId="71225962" w:rsidR="00E052E9" w:rsidRDefault="00E052E9" w:rsidP="00E052E9"/>
    <w:p w14:paraId="4DCC069A" w14:textId="4335D2D5" w:rsidR="00E052E9" w:rsidRDefault="00E052E9" w:rsidP="00E052E9"/>
    <w:p w14:paraId="02E603D5" w14:textId="345E8D56" w:rsidR="00E052E9" w:rsidRDefault="00E052E9" w:rsidP="00E052E9"/>
    <w:p w14:paraId="2A60DDA8" w14:textId="4AAB7EB6" w:rsidR="00E052E9" w:rsidRDefault="00E052E9" w:rsidP="00E052E9"/>
    <w:p w14:paraId="3028D8B2" w14:textId="7DD1A5E4" w:rsidR="00E052E9" w:rsidRDefault="00E052E9" w:rsidP="00E052E9"/>
    <w:p w14:paraId="6ED60ADF" w14:textId="1E5A089E" w:rsidR="00E052E9" w:rsidRDefault="00E052E9" w:rsidP="00E052E9"/>
    <w:p w14:paraId="7F0951DD" w14:textId="58F7E3F2" w:rsidR="00E052E9" w:rsidRDefault="00E052E9" w:rsidP="00E052E9"/>
    <w:p w14:paraId="38F093EE" w14:textId="78D51306" w:rsidR="00E052E9" w:rsidRDefault="00E052E9" w:rsidP="00E052E9"/>
    <w:p w14:paraId="2147D75A" w14:textId="2BBD3CF6" w:rsidR="00E052E9" w:rsidRDefault="00E052E9" w:rsidP="00E052E9"/>
    <w:p w14:paraId="15D86995" w14:textId="0B75975F" w:rsidR="00E052E9" w:rsidRDefault="00E052E9" w:rsidP="00E052E9"/>
    <w:p w14:paraId="3527BB7C" w14:textId="77777777" w:rsidR="00E052E9" w:rsidRPr="00E052E9" w:rsidRDefault="00E052E9" w:rsidP="00E052E9"/>
    <w:p w14:paraId="10A2CA02" w14:textId="61816CAE" w:rsidR="00117B7D" w:rsidRDefault="009F01D8" w:rsidP="00E052E9">
      <w:pPr>
        <w:pStyle w:val="Caption"/>
        <w:jc w:val="both"/>
        <w:rPr>
          <w:rFonts w:asciiTheme="majorBidi" w:hAnsiTheme="majorBidi" w:cstheme="majorBidi"/>
          <w:b/>
          <w:bCs/>
          <w:i w:val="0"/>
          <w:iCs w:val="0"/>
          <w:sz w:val="20"/>
          <w:szCs w:val="20"/>
        </w:rPr>
      </w:pPr>
      <w:bookmarkStart w:id="697" w:name="_Toc86419075"/>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30</w:t>
      </w:r>
      <w:r w:rsidRPr="006854DD">
        <w:rPr>
          <w:rFonts w:asciiTheme="majorBidi" w:hAnsiTheme="majorBidi" w:cstheme="majorBidi"/>
          <w:b/>
          <w:bCs/>
          <w:i w:val="0"/>
          <w:iCs w:val="0"/>
          <w:sz w:val="20"/>
          <w:szCs w:val="20"/>
        </w:rPr>
        <w:t>: Forest plot of OR vs colistin for reduced dataset, meta-regression model for consecutive samples</w:t>
      </w:r>
      <w:bookmarkEnd w:id="696"/>
      <w:bookmarkEnd w:id="697"/>
    </w:p>
    <w:p w14:paraId="3B385625" w14:textId="75DBE9BC" w:rsidR="009F01D8" w:rsidRDefault="009F01D8" w:rsidP="00E052E9">
      <w:pPr>
        <w:pStyle w:val="Caption"/>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6F7AC57A" wp14:editId="7C66FF99">
            <wp:extent cx="5731510" cy="5731510"/>
            <wp:effectExtent l="0" t="0" r="2540" b="2540"/>
            <wp:docPr id="64" name="Picture 64" descr="Forest plot of OR vs colistin for reduced dataset, meta-regression model for consecutive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orest plot of OR vs colistin for reduced dataset, meta-regression model for consecutive samples"/>
                    <pic:cNvPicPr/>
                  </pic:nvPicPr>
                  <pic:blipFill>
                    <a:blip r:embed="rId5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B4D8A8E"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282DAFD6" w14:textId="77777777" w:rsidR="00E052E9" w:rsidRDefault="00E052E9" w:rsidP="009F01D8">
      <w:pPr>
        <w:jc w:val="both"/>
        <w:rPr>
          <w:rFonts w:asciiTheme="majorBidi" w:hAnsiTheme="majorBidi" w:cstheme="majorBidi"/>
          <w:b/>
          <w:bCs/>
        </w:rPr>
      </w:pPr>
    </w:p>
    <w:p w14:paraId="4869924B" w14:textId="77777777" w:rsidR="00E052E9" w:rsidRDefault="00E052E9" w:rsidP="009F01D8">
      <w:pPr>
        <w:jc w:val="both"/>
        <w:rPr>
          <w:rFonts w:asciiTheme="majorBidi" w:hAnsiTheme="majorBidi" w:cstheme="majorBidi"/>
          <w:b/>
          <w:bCs/>
        </w:rPr>
      </w:pPr>
    </w:p>
    <w:p w14:paraId="2ED90E92" w14:textId="77777777" w:rsidR="00E052E9" w:rsidRDefault="00E052E9" w:rsidP="009F01D8">
      <w:pPr>
        <w:jc w:val="both"/>
        <w:rPr>
          <w:rFonts w:asciiTheme="majorBidi" w:hAnsiTheme="majorBidi" w:cstheme="majorBidi"/>
          <w:b/>
          <w:bCs/>
        </w:rPr>
      </w:pPr>
    </w:p>
    <w:p w14:paraId="636F0EBC" w14:textId="77777777" w:rsidR="00E052E9" w:rsidRDefault="00E052E9" w:rsidP="009F01D8">
      <w:pPr>
        <w:jc w:val="both"/>
        <w:rPr>
          <w:rFonts w:asciiTheme="majorBidi" w:hAnsiTheme="majorBidi" w:cstheme="majorBidi"/>
          <w:b/>
          <w:bCs/>
        </w:rPr>
      </w:pPr>
    </w:p>
    <w:p w14:paraId="0C8623E9" w14:textId="77777777" w:rsidR="00E052E9" w:rsidRDefault="00E052E9" w:rsidP="009F01D8">
      <w:pPr>
        <w:jc w:val="both"/>
        <w:rPr>
          <w:rFonts w:asciiTheme="majorBidi" w:hAnsiTheme="majorBidi" w:cstheme="majorBidi"/>
          <w:b/>
          <w:bCs/>
        </w:rPr>
      </w:pPr>
    </w:p>
    <w:p w14:paraId="59B56A88" w14:textId="77777777" w:rsidR="00E052E9" w:rsidRDefault="00E052E9" w:rsidP="009F01D8">
      <w:pPr>
        <w:jc w:val="both"/>
        <w:rPr>
          <w:rFonts w:asciiTheme="majorBidi" w:hAnsiTheme="majorBidi" w:cstheme="majorBidi"/>
          <w:b/>
          <w:bCs/>
        </w:rPr>
      </w:pPr>
    </w:p>
    <w:p w14:paraId="2631ACC6" w14:textId="77777777" w:rsidR="00E052E9" w:rsidRDefault="00E052E9" w:rsidP="009F01D8">
      <w:pPr>
        <w:jc w:val="both"/>
        <w:rPr>
          <w:rFonts w:asciiTheme="majorBidi" w:hAnsiTheme="majorBidi" w:cstheme="majorBidi"/>
          <w:b/>
          <w:bCs/>
        </w:rPr>
      </w:pPr>
    </w:p>
    <w:p w14:paraId="4D41B7EE" w14:textId="77777777" w:rsidR="00E052E9" w:rsidRDefault="00E052E9" w:rsidP="009F01D8">
      <w:pPr>
        <w:jc w:val="both"/>
        <w:rPr>
          <w:rFonts w:asciiTheme="majorBidi" w:hAnsiTheme="majorBidi" w:cstheme="majorBidi"/>
          <w:b/>
          <w:bCs/>
        </w:rPr>
      </w:pPr>
    </w:p>
    <w:p w14:paraId="2E3B3CC1" w14:textId="77777777" w:rsidR="00E052E9" w:rsidRDefault="00E052E9" w:rsidP="009F01D8">
      <w:pPr>
        <w:jc w:val="both"/>
        <w:rPr>
          <w:rFonts w:asciiTheme="majorBidi" w:hAnsiTheme="majorBidi" w:cstheme="majorBidi"/>
          <w:b/>
          <w:bCs/>
        </w:rPr>
      </w:pPr>
    </w:p>
    <w:p w14:paraId="0EBBE0DD" w14:textId="0219AE2A" w:rsidR="009F01D8" w:rsidRDefault="009F01D8" w:rsidP="009F01D8">
      <w:pPr>
        <w:jc w:val="both"/>
        <w:rPr>
          <w:rFonts w:asciiTheme="majorBidi" w:hAnsiTheme="majorBidi" w:cstheme="majorBidi"/>
          <w:b/>
          <w:bCs/>
        </w:rPr>
      </w:pPr>
      <w:r>
        <w:rPr>
          <w:rFonts w:asciiTheme="majorBidi" w:hAnsiTheme="majorBidi" w:cstheme="majorBidi"/>
          <w:b/>
          <w:bCs/>
        </w:rPr>
        <w:t>NMA results with full dataset</w:t>
      </w:r>
    </w:p>
    <w:p w14:paraId="5C41D64A" w14:textId="2E408CA2" w:rsidR="00E4115A" w:rsidRDefault="009F01D8" w:rsidP="006854DD">
      <w:pPr>
        <w:keepNext/>
        <w:spacing w:before="360" w:after="200" w:line="240" w:lineRule="auto"/>
        <w:rPr>
          <w:rFonts w:asciiTheme="majorBidi" w:hAnsiTheme="majorBidi" w:cstheme="majorBidi"/>
          <w:b/>
          <w:iCs/>
          <w:sz w:val="20"/>
          <w:szCs w:val="20"/>
        </w:rPr>
      </w:pPr>
      <w:bookmarkStart w:id="698" w:name="_Toc86419076"/>
      <w:r w:rsidRPr="006854DD">
        <w:rPr>
          <w:rFonts w:asciiTheme="majorBidi" w:hAnsiTheme="majorBidi" w:cstheme="majorBidi"/>
          <w:b/>
          <w:iCs/>
          <w:sz w:val="20"/>
          <w:szCs w:val="20"/>
        </w:rPr>
        <w:t xml:space="preserve">Figure </w:t>
      </w:r>
      <w:r w:rsidR="0021430F">
        <w:rPr>
          <w:rFonts w:asciiTheme="majorBidi" w:hAnsiTheme="majorBidi" w:cstheme="majorBidi"/>
          <w:b/>
          <w:iCs/>
          <w:noProof/>
          <w:sz w:val="20"/>
          <w:szCs w:val="20"/>
        </w:rPr>
        <w:t>31</w:t>
      </w:r>
      <w:r w:rsidRPr="006854DD">
        <w:rPr>
          <w:rFonts w:asciiTheme="majorBidi" w:hAnsiTheme="majorBidi" w:cstheme="majorBidi"/>
          <w:b/>
          <w:iCs/>
          <w:sz w:val="20"/>
          <w:szCs w:val="20"/>
        </w:rPr>
        <w:t>: Forest plot of OR vs colistin for full data, NMA model</w:t>
      </w:r>
      <w:bookmarkEnd w:id="698"/>
    </w:p>
    <w:p w14:paraId="58AE2566" w14:textId="5EE6EDE8" w:rsidR="009F01D8" w:rsidRPr="009E2FC1" w:rsidRDefault="009F01D8" w:rsidP="006854DD">
      <w:pPr>
        <w:keepNext/>
        <w:spacing w:before="360" w:after="200" w:line="240" w:lineRule="auto"/>
        <w:rPr>
          <w:rFonts w:asciiTheme="majorBidi" w:hAnsiTheme="majorBidi" w:cstheme="majorBidi"/>
          <w:bCs/>
          <w:iCs/>
          <w:sz w:val="20"/>
          <w:szCs w:val="18"/>
        </w:rPr>
      </w:pPr>
      <w:r w:rsidRPr="009E2FC1">
        <w:rPr>
          <w:rFonts w:asciiTheme="majorBidi" w:hAnsiTheme="majorBidi" w:cstheme="majorBidi"/>
          <w:bCs/>
          <w:iCs/>
          <w:noProof/>
          <w:sz w:val="20"/>
          <w:szCs w:val="18"/>
          <w:lang w:eastAsia="en-GB"/>
        </w:rPr>
        <w:drawing>
          <wp:inline distT="0" distB="0" distL="0" distR="0" wp14:anchorId="3F79C1A2" wp14:editId="6B95EFE1">
            <wp:extent cx="5438140" cy="5190490"/>
            <wp:effectExtent l="0" t="0" r="0" b="0"/>
            <wp:docPr id="65" name="Picture 65" descr="Forest plot of OR vs colistin for full data, NM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orest plot of OR vs colistin for full data, NMA model"/>
                    <pic:cNvPicPr/>
                  </pic:nvPicPr>
                  <pic:blipFill>
                    <a:blip r:embed="rId51">
                      <a:extLst>
                        <a:ext uri="{28A0092B-C50C-407E-A947-70E740481C1C}">
                          <a14:useLocalDpi xmlns:a14="http://schemas.microsoft.com/office/drawing/2010/main" val="0"/>
                        </a:ext>
                      </a:extLst>
                    </a:blip>
                    <a:stretch>
                      <a:fillRect/>
                    </a:stretch>
                  </pic:blipFill>
                  <pic:spPr>
                    <a:xfrm>
                      <a:off x="0" y="0"/>
                      <a:ext cx="5464657" cy="5215799"/>
                    </a:xfrm>
                    <a:prstGeom prst="rect">
                      <a:avLst/>
                    </a:prstGeom>
                  </pic:spPr>
                </pic:pic>
              </a:graphicData>
            </a:graphic>
          </wp:inline>
        </w:drawing>
      </w:r>
    </w:p>
    <w:p w14:paraId="2BDD8CDA"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5712076A" w14:textId="77777777" w:rsidR="00E052E9" w:rsidRDefault="00E052E9" w:rsidP="009F01D8">
      <w:pPr>
        <w:jc w:val="both"/>
        <w:rPr>
          <w:rFonts w:asciiTheme="majorBidi" w:hAnsiTheme="majorBidi" w:cstheme="majorBidi"/>
        </w:rPr>
      </w:pPr>
    </w:p>
    <w:p w14:paraId="38F0769E" w14:textId="77777777" w:rsidR="00E052E9" w:rsidRDefault="00E052E9" w:rsidP="009F01D8">
      <w:pPr>
        <w:jc w:val="both"/>
        <w:rPr>
          <w:rFonts w:asciiTheme="majorBidi" w:hAnsiTheme="majorBidi" w:cstheme="majorBidi"/>
        </w:rPr>
      </w:pPr>
    </w:p>
    <w:p w14:paraId="455C83E6" w14:textId="77777777" w:rsidR="00E052E9" w:rsidRDefault="00E052E9" w:rsidP="009F01D8">
      <w:pPr>
        <w:jc w:val="both"/>
        <w:rPr>
          <w:rFonts w:asciiTheme="majorBidi" w:hAnsiTheme="majorBidi" w:cstheme="majorBidi"/>
        </w:rPr>
      </w:pPr>
    </w:p>
    <w:p w14:paraId="5C1D9242" w14:textId="77777777" w:rsidR="00E052E9" w:rsidRDefault="00E052E9" w:rsidP="009F01D8">
      <w:pPr>
        <w:jc w:val="both"/>
        <w:rPr>
          <w:rFonts w:asciiTheme="majorBidi" w:hAnsiTheme="majorBidi" w:cstheme="majorBidi"/>
        </w:rPr>
      </w:pPr>
    </w:p>
    <w:p w14:paraId="77E81479" w14:textId="77777777" w:rsidR="00E052E9" w:rsidRDefault="00E052E9" w:rsidP="009F01D8">
      <w:pPr>
        <w:jc w:val="both"/>
        <w:rPr>
          <w:rFonts w:asciiTheme="majorBidi" w:hAnsiTheme="majorBidi" w:cstheme="majorBidi"/>
        </w:rPr>
      </w:pPr>
    </w:p>
    <w:p w14:paraId="20474B4B" w14:textId="69A4F216" w:rsidR="009F01D8" w:rsidRPr="009E2FC1" w:rsidRDefault="009F01D8" w:rsidP="009F01D8">
      <w:pPr>
        <w:jc w:val="both"/>
        <w:rPr>
          <w:rFonts w:asciiTheme="majorBidi" w:hAnsiTheme="majorBidi" w:cstheme="majorBidi"/>
        </w:rPr>
      </w:pPr>
      <w:r>
        <w:rPr>
          <w:rFonts w:asciiTheme="majorBidi" w:hAnsiTheme="majorBidi" w:cstheme="majorBidi"/>
        </w:rPr>
        <w:t>The conclusions of the sensitivity analyses using the full data were consistent with the analyses using the reduced data.</w:t>
      </w:r>
    </w:p>
    <w:tbl>
      <w:tblPr>
        <w:tblW w:w="9159" w:type="dxa"/>
        <w:tblLook w:val="04A0" w:firstRow="1" w:lastRow="0" w:firstColumn="1" w:lastColumn="0" w:noHBand="0" w:noVBand="1"/>
      </w:tblPr>
      <w:tblGrid>
        <w:gridCol w:w="1661"/>
        <w:gridCol w:w="901"/>
        <w:gridCol w:w="10"/>
        <w:gridCol w:w="829"/>
        <w:gridCol w:w="10"/>
        <w:gridCol w:w="969"/>
        <w:gridCol w:w="11"/>
        <w:gridCol w:w="1379"/>
        <w:gridCol w:w="12"/>
        <w:gridCol w:w="1849"/>
        <w:gridCol w:w="12"/>
        <w:gridCol w:w="1535"/>
      </w:tblGrid>
      <w:tr w:rsidR="009F01D8" w:rsidRPr="006854DD" w14:paraId="6C1699CD" w14:textId="77777777" w:rsidTr="009F01D8">
        <w:trPr>
          <w:trHeight w:val="576"/>
        </w:trPr>
        <w:tc>
          <w:tcPr>
            <w:tcW w:w="1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052C9"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 xml:space="preserve">Model </w:t>
            </w:r>
            <w:proofErr w:type="spellStart"/>
            <w:r w:rsidRPr="006854DD">
              <w:rPr>
                <w:rFonts w:asciiTheme="majorBidi" w:eastAsia="Times New Roman" w:hAnsiTheme="majorBidi" w:cstheme="majorBidi"/>
                <w:b/>
                <w:bCs/>
                <w:color w:val="000000"/>
                <w:lang w:eastAsia="zh-CN"/>
              </w:rPr>
              <w:t>decription</w:t>
            </w:r>
            <w:proofErr w:type="spellEnd"/>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4E15A"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Studies</w:t>
            </w:r>
          </w:p>
        </w:tc>
        <w:tc>
          <w:tcPr>
            <w:tcW w:w="1818" w:type="dxa"/>
            <w:gridSpan w:val="4"/>
            <w:tcBorders>
              <w:top w:val="single" w:sz="4" w:space="0" w:color="auto"/>
              <w:left w:val="nil"/>
              <w:bottom w:val="single" w:sz="4" w:space="0" w:color="auto"/>
              <w:right w:val="single" w:sz="4" w:space="0" w:color="auto"/>
            </w:tcBorders>
            <w:shd w:val="clear" w:color="auto" w:fill="auto"/>
            <w:vAlign w:val="center"/>
            <w:hideMark/>
          </w:tcPr>
          <w:p w14:paraId="3D162EF5"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Absolute model fit</w:t>
            </w:r>
          </w:p>
        </w:tc>
        <w:tc>
          <w:tcPr>
            <w:tcW w:w="1390" w:type="dxa"/>
            <w:gridSpan w:val="2"/>
            <w:tcBorders>
              <w:top w:val="single" w:sz="4" w:space="0" w:color="auto"/>
              <w:left w:val="nil"/>
              <w:bottom w:val="single" w:sz="4" w:space="0" w:color="auto"/>
              <w:right w:val="single" w:sz="4" w:space="0" w:color="auto"/>
            </w:tcBorders>
            <w:shd w:val="clear" w:color="auto" w:fill="auto"/>
            <w:vAlign w:val="center"/>
            <w:hideMark/>
          </w:tcPr>
          <w:p w14:paraId="17145130"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Model comparison</w:t>
            </w:r>
          </w:p>
        </w:tc>
        <w:tc>
          <w:tcPr>
            <w:tcW w:w="18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7B4C4C"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Heterogeneity</w:t>
            </w:r>
          </w:p>
        </w:tc>
        <w:tc>
          <w:tcPr>
            <w:tcW w:w="15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B960"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meta-regression coefficient</w:t>
            </w:r>
          </w:p>
        </w:tc>
      </w:tr>
      <w:tr w:rsidR="009F01D8" w:rsidRPr="006854DD" w14:paraId="1663948A" w14:textId="77777777" w:rsidTr="009F01D8">
        <w:trPr>
          <w:trHeight w:val="303"/>
        </w:trPr>
        <w:tc>
          <w:tcPr>
            <w:tcW w:w="1661" w:type="dxa"/>
            <w:vMerge/>
            <w:tcBorders>
              <w:top w:val="single" w:sz="4" w:space="0" w:color="auto"/>
              <w:left w:val="single" w:sz="4" w:space="0" w:color="auto"/>
              <w:bottom w:val="single" w:sz="4" w:space="0" w:color="auto"/>
              <w:right w:val="single" w:sz="4" w:space="0" w:color="auto"/>
            </w:tcBorders>
            <w:vAlign w:val="center"/>
            <w:hideMark/>
          </w:tcPr>
          <w:p w14:paraId="3A173181"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14:paraId="26D2E839"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p>
        </w:tc>
        <w:tc>
          <w:tcPr>
            <w:tcW w:w="839" w:type="dxa"/>
            <w:gridSpan w:val="2"/>
            <w:tcBorders>
              <w:top w:val="nil"/>
              <w:left w:val="nil"/>
              <w:bottom w:val="single" w:sz="4" w:space="0" w:color="auto"/>
              <w:right w:val="single" w:sz="4" w:space="0" w:color="auto"/>
            </w:tcBorders>
            <w:shd w:val="clear" w:color="auto" w:fill="auto"/>
            <w:vAlign w:val="center"/>
            <w:hideMark/>
          </w:tcPr>
          <w:p w14:paraId="04239BB1"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DP</w:t>
            </w:r>
          </w:p>
        </w:tc>
        <w:tc>
          <w:tcPr>
            <w:tcW w:w="979" w:type="dxa"/>
            <w:gridSpan w:val="2"/>
            <w:tcBorders>
              <w:top w:val="nil"/>
              <w:left w:val="nil"/>
              <w:bottom w:val="single" w:sz="4" w:space="0" w:color="auto"/>
              <w:right w:val="single" w:sz="4" w:space="0" w:color="auto"/>
            </w:tcBorders>
            <w:shd w:val="clear" w:color="auto" w:fill="auto"/>
            <w:vAlign w:val="center"/>
            <w:hideMark/>
          </w:tcPr>
          <w:p w14:paraId="651885A1"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TRD</w:t>
            </w:r>
          </w:p>
        </w:tc>
        <w:tc>
          <w:tcPr>
            <w:tcW w:w="1390" w:type="dxa"/>
            <w:gridSpan w:val="2"/>
            <w:tcBorders>
              <w:top w:val="nil"/>
              <w:left w:val="nil"/>
              <w:bottom w:val="single" w:sz="4" w:space="0" w:color="auto"/>
              <w:right w:val="single" w:sz="4" w:space="0" w:color="auto"/>
            </w:tcBorders>
            <w:shd w:val="clear" w:color="auto" w:fill="auto"/>
            <w:vAlign w:val="center"/>
            <w:hideMark/>
          </w:tcPr>
          <w:p w14:paraId="78CB5165"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DIC</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2AFE7CB7"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 xml:space="preserve">SD (95 % </w:t>
            </w:r>
            <w:proofErr w:type="spellStart"/>
            <w:r w:rsidRPr="006854DD">
              <w:rPr>
                <w:rFonts w:asciiTheme="majorBidi" w:eastAsia="Times New Roman" w:hAnsiTheme="majorBidi" w:cstheme="majorBidi"/>
                <w:b/>
                <w:bCs/>
                <w:color w:val="000000"/>
                <w:lang w:eastAsia="zh-CN"/>
              </w:rPr>
              <w:t>CrI</w:t>
            </w:r>
            <w:proofErr w:type="spellEnd"/>
            <w:r w:rsidRPr="006854DD">
              <w:rPr>
                <w:rFonts w:asciiTheme="majorBidi" w:eastAsia="Times New Roman" w:hAnsiTheme="majorBidi" w:cstheme="majorBidi"/>
                <w:b/>
                <w:bCs/>
                <w:color w:val="000000"/>
                <w:lang w:eastAsia="zh-CN"/>
              </w:rPr>
              <w:t>)</w:t>
            </w:r>
          </w:p>
        </w:tc>
        <w:tc>
          <w:tcPr>
            <w:tcW w:w="1544" w:type="dxa"/>
            <w:gridSpan w:val="2"/>
            <w:vMerge/>
            <w:tcBorders>
              <w:top w:val="single" w:sz="4" w:space="0" w:color="auto"/>
              <w:left w:val="single" w:sz="4" w:space="0" w:color="auto"/>
              <w:bottom w:val="single" w:sz="4" w:space="0" w:color="auto"/>
              <w:right w:val="single" w:sz="4" w:space="0" w:color="auto"/>
            </w:tcBorders>
            <w:vAlign w:val="center"/>
            <w:hideMark/>
          </w:tcPr>
          <w:p w14:paraId="0003370D"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p>
        </w:tc>
      </w:tr>
      <w:tr w:rsidR="009F01D8" w:rsidRPr="006854DD" w14:paraId="6FA1EB37" w14:textId="77777777" w:rsidTr="009F01D8">
        <w:trPr>
          <w:trHeight w:val="303"/>
        </w:trPr>
        <w:tc>
          <w:tcPr>
            <w:tcW w:w="9159" w:type="dxa"/>
            <w:gridSpan w:val="12"/>
            <w:tcBorders>
              <w:top w:val="single" w:sz="4" w:space="0" w:color="auto"/>
              <w:left w:val="single" w:sz="4" w:space="0" w:color="auto"/>
              <w:bottom w:val="single" w:sz="4" w:space="0" w:color="auto"/>
              <w:right w:val="single" w:sz="4" w:space="0" w:color="auto"/>
            </w:tcBorders>
            <w:shd w:val="clear" w:color="000000" w:fill="D0CECE"/>
            <w:noWrap/>
            <w:hideMark/>
          </w:tcPr>
          <w:p w14:paraId="05462910" w14:textId="77777777" w:rsidR="009F01D8" w:rsidRPr="006854DD" w:rsidRDefault="009F01D8" w:rsidP="009F01D8">
            <w:pPr>
              <w:spacing w:after="0" w:line="240" w:lineRule="auto"/>
              <w:jc w:val="both"/>
              <w:rPr>
                <w:rFonts w:asciiTheme="majorBidi" w:eastAsia="Times New Roman" w:hAnsiTheme="majorBidi" w:cstheme="majorBidi"/>
                <w:b/>
                <w:bCs/>
                <w:color w:val="000000"/>
                <w:lang w:eastAsia="zh-CN"/>
              </w:rPr>
            </w:pPr>
            <w:r w:rsidRPr="006854DD">
              <w:rPr>
                <w:rFonts w:asciiTheme="majorBidi" w:eastAsia="Times New Roman" w:hAnsiTheme="majorBidi" w:cstheme="majorBidi"/>
                <w:b/>
                <w:bCs/>
                <w:color w:val="000000"/>
                <w:lang w:eastAsia="zh-CN"/>
              </w:rPr>
              <w:t>Sensitivity analyses using full data</w:t>
            </w:r>
          </w:p>
        </w:tc>
      </w:tr>
      <w:tr w:rsidR="009F01D8" w:rsidRPr="006854DD" w14:paraId="34640DA5" w14:textId="77777777" w:rsidTr="009F01D8">
        <w:trPr>
          <w:trHeight w:val="303"/>
        </w:trPr>
        <w:tc>
          <w:tcPr>
            <w:tcW w:w="1661" w:type="dxa"/>
            <w:tcBorders>
              <w:top w:val="nil"/>
              <w:left w:val="single" w:sz="4" w:space="0" w:color="auto"/>
              <w:bottom w:val="single" w:sz="4" w:space="0" w:color="auto"/>
              <w:right w:val="single" w:sz="4" w:space="0" w:color="auto"/>
            </w:tcBorders>
            <w:shd w:val="clear" w:color="auto" w:fill="auto"/>
            <w:vAlign w:val="bottom"/>
            <w:hideMark/>
          </w:tcPr>
          <w:p w14:paraId="31C99F78" w14:textId="77777777" w:rsidR="009F01D8" w:rsidRPr="006854DD" w:rsidRDefault="009F01D8" w:rsidP="009F01D8">
            <w:pPr>
              <w:spacing w:after="0" w:line="240" w:lineRule="auto"/>
              <w:jc w:val="both"/>
              <w:rPr>
                <w:rFonts w:asciiTheme="majorBidi" w:eastAsia="Times New Roman" w:hAnsiTheme="majorBidi" w:cstheme="majorBidi"/>
                <w:color w:val="000000"/>
                <w:lang w:val="it-IT" w:eastAsia="zh-CN"/>
              </w:rPr>
            </w:pPr>
            <w:r w:rsidRPr="006854DD">
              <w:rPr>
                <w:rFonts w:asciiTheme="majorBidi" w:eastAsia="Times New Roman" w:hAnsiTheme="majorBidi" w:cstheme="majorBidi"/>
                <w:color w:val="000000"/>
                <w:lang w:val="it-IT" w:eastAsia="zh-CN"/>
              </w:rPr>
              <w:t xml:space="preserve">Unusual inclusion criteria, meta-regression model </w:t>
            </w:r>
          </w:p>
        </w:tc>
        <w:tc>
          <w:tcPr>
            <w:tcW w:w="882" w:type="dxa"/>
            <w:tcBorders>
              <w:top w:val="nil"/>
              <w:left w:val="nil"/>
              <w:bottom w:val="single" w:sz="4" w:space="0" w:color="auto"/>
              <w:right w:val="single" w:sz="4" w:space="0" w:color="auto"/>
            </w:tcBorders>
            <w:shd w:val="clear" w:color="auto" w:fill="auto"/>
            <w:vAlign w:val="center"/>
            <w:hideMark/>
          </w:tcPr>
          <w:p w14:paraId="1EF791D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16</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1AA2B761"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111</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F61C8A5"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110.3</w:t>
            </w:r>
          </w:p>
        </w:tc>
        <w:tc>
          <w:tcPr>
            <w:tcW w:w="1390" w:type="dxa"/>
            <w:gridSpan w:val="2"/>
            <w:tcBorders>
              <w:top w:val="nil"/>
              <w:left w:val="nil"/>
              <w:bottom w:val="single" w:sz="4" w:space="0" w:color="auto"/>
              <w:right w:val="single" w:sz="4" w:space="0" w:color="auto"/>
            </w:tcBorders>
            <w:shd w:val="clear" w:color="auto" w:fill="auto"/>
            <w:noWrap/>
            <w:vAlign w:val="center"/>
            <w:hideMark/>
          </w:tcPr>
          <w:p w14:paraId="155B5BED"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616.57</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6CE261D8"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proofErr w:type="gramStart"/>
            <w:r w:rsidRPr="006854DD">
              <w:rPr>
                <w:rFonts w:asciiTheme="majorBidi" w:eastAsia="Times New Roman" w:hAnsiTheme="majorBidi" w:cstheme="majorBidi"/>
                <w:color w:val="000000"/>
                <w:lang w:eastAsia="zh-CN"/>
              </w:rPr>
              <w:t>2.01  (</w:t>
            </w:r>
            <w:proofErr w:type="gramEnd"/>
            <w:r w:rsidRPr="006854DD">
              <w:rPr>
                <w:rFonts w:asciiTheme="majorBidi" w:eastAsia="Times New Roman" w:hAnsiTheme="majorBidi" w:cstheme="majorBidi"/>
                <w:color w:val="000000"/>
                <w:lang w:eastAsia="zh-CN"/>
              </w:rPr>
              <w:t xml:space="preserve">1.66,  2.46) </w:t>
            </w:r>
          </w:p>
        </w:tc>
        <w:tc>
          <w:tcPr>
            <w:tcW w:w="1544" w:type="dxa"/>
            <w:gridSpan w:val="2"/>
            <w:tcBorders>
              <w:top w:val="nil"/>
              <w:left w:val="nil"/>
              <w:bottom w:val="single" w:sz="4" w:space="0" w:color="auto"/>
              <w:right w:val="single" w:sz="4" w:space="0" w:color="auto"/>
            </w:tcBorders>
            <w:shd w:val="clear" w:color="auto" w:fill="auto"/>
            <w:noWrap/>
            <w:vAlign w:val="center"/>
            <w:hideMark/>
          </w:tcPr>
          <w:p w14:paraId="43D09800"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0.05 (-3.16,3.49)</w:t>
            </w:r>
          </w:p>
        </w:tc>
      </w:tr>
      <w:tr w:rsidR="009F01D8" w:rsidRPr="006854DD" w14:paraId="00DA62DF" w14:textId="77777777" w:rsidTr="009F01D8">
        <w:trPr>
          <w:trHeight w:val="303"/>
        </w:trPr>
        <w:tc>
          <w:tcPr>
            <w:tcW w:w="1661" w:type="dxa"/>
            <w:tcBorders>
              <w:top w:val="nil"/>
              <w:left w:val="single" w:sz="4" w:space="0" w:color="auto"/>
              <w:bottom w:val="single" w:sz="4" w:space="0" w:color="auto"/>
              <w:right w:val="single" w:sz="4" w:space="0" w:color="auto"/>
            </w:tcBorders>
            <w:shd w:val="clear" w:color="auto" w:fill="auto"/>
            <w:vAlign w:val="bottom"/>
            <w:hideMark/>
          </w:tcPr>
          <w:p w14:paraId="7D6C3E04"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 xml:space="preserve">Unusual inclusion criteria subgroup </w:t>
            </w:r>
          </w:p>
        </w:tc>
        <w:tc>
          <w:tcPr>
            <w:tcW w:w="882" w:type="dxa"/>
            <w:tcBorders>
              <w:top w:val="nil"/>
              <w:left w:val="nil"/>
              <w:bottom w:val="single" w:sz="4" w:space="0" w:color="auto"/>
              <w:right w:val="single" w:sz="4" w:space="0" w:color="auto"/>
            </w:tcBorders>
            <w:shd w:val="clear" w:color="auto" w:fill="auto"/>
            <w:vAlign w:val="center"/>
            <w:hideMark/>
          </w:tcPr>
          <w:p w14:paraId="3C941FCE"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13</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19950186"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98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4682370"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96.96</w:t>
            </w:r>
          </w:p>
        </w:tc>
        <w:tc>
          <w:tcPr>
            <w:tcW w:w="1390" w:type="dxa"/>
            <w:gridSpan w:val="2"/>
            <w:tcBorders>
              <w:top w:val="nil"/>
              <w:left w:val="nil"/>
              <w:bottom w:val="single" w:sz="4" w:space="0" w:color="auto"/>
              <w:right w:val="single" w:sz="4" w:space="0" w:color="auto"/>
            </w:tcBorders>
            <w:shd w:val="clear" w:color="auto" w:fill="auto"/>
            <w:noWrap/>
            <w:vAlign w:val="center"/>
            <w:hideMark/>
          </w:tcPr>
          <w:p w14:paraId="2A24242E"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547.13</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478CBDCB"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proofErr w:type="gramStart"/>
            <w:r w:rsidRPr="006854DD">
              <w:rPr>
                <w:rFonts w:asciiTheme="majorBidi" w:eastAsia="Times New Roman" w:hAnsiTheme="majorBidi" w:cstheme="majorBidi"/>
                <w:color w:val="000000"/>
                <w:lang w:eastAsia="zh-CN"/>
              </w:rPr>
              <w:t>2.01  (</w:t>
            </w:r>
            <w:proofErr w:type="gramEnd"/>
            <w:r w:rsidRPr="006854DD">
              <w:rPr>
                <w:rFonts w:asciiTheme="majorBidi" w:eastAsia="Times New Roman" w:hAnsiTheme="majorBidi" w:cstheme="majorBidi"/>
                <w:color w:val="000000"/>
                <w:lang w:eastAsia="zh-CN"/>
              </w:rPr>
              <w:t xml:space="preserve">1.64,  2.50) </w:t>
            </w:r>
          </w:p>
        </w:tc>
        <w:tc>
          <w:tcPr>
            <w:tcW w:w="1544" w:type="dxa"/>
            <w:gridSpan w:val="2"/>
            <w:tcBorders>
              <w:top w:val="nil"/>
              <w:left w:val="nil"/>
              <w:bottom w:val="single" w:sz="4" w:space="0" w:color="auto"/>
              <w:right w:val="single" w:sz="4" w:space="0" w:color="auto"/>
            </w:tcBorders>
            <w:shd w:val="clear" w:color="auto" w:fill="auto"/>
            <w:noWrap/>
            <w:vAlign w:val="center"/>
            <w:hideMark/>
          </w:tcPr>
          <w:p w14:paraId="7D5A00B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NR</w:t>
            </w:r>
          </w:p>
        </w:tc>
      </w:tr>
      <w:tr w:rsidR="009F01D8" w:rsidRPr="006854DD" w14:paraId="0A882BA8" w14:textId="77777777" w:rsidTr="009F01D8">
        <w:trPr>
          <w:trHeight w:val="303"/>
        </w:trPr>
        <w:tc>
          <w:tcPr>
            <w:tcW w:w="1661" w:type="dxa"/>
            <w:tcBorders>
              <w:top w:val="nil"/>
              <w:left w:val="single" w:sz="4" w:space="0" w:color="auto"/>
              <w:bottom w:val="single" w:sz="4" w:space="0" w:color="auto"/>
              <w:right w:val="single" w:sz="4" w:space="0" w:color="auto"/>
            </w:tcBorders>
            <w:shd w:val="clear" w:color="auto" w:fill="auto"/>
            <w:vAlign w:val="bottom"/>
            <w:hideMark/>
          </w:tcPr>
          <w:p w14:paraId="550FB830"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 xml:space="preserve">MBL </w:t>
            </w:r>
            <w:proofErr w:type="spellStart"/>
            <w:r w:rsidRPr="006854DD">
              <w:rPr>
                <w:rFonts w:asciiTheme="majorBidi" w:eastAsia="Times New Roman" w:hAnsiTheme="majorBidi" w:cstheme="majorBidi"/>
                <w:color w:val="000000"/>
                <w:lang w:eastAsia="zh-CN"/>
              </w:rPr>
              <w:t>cocarriage</w:t>
            </w:r>
            <w:proofErr w:type="spellEnd"/>
            <w:r w:rsidRPr="006854DD">
              <w:rPr>
                <w:rFonts w:asciiTheme="majorBidi" w:eastAsia="Times New Roman" w:hAnsiTheme="majorBidi" w:cstheme="majorBidi"/>
                <w:color w:val="000000"/>
                <w:lang w:eastAsia="zh-CN"/>
              </w:rPr>
              <w:t>, subgroup</w:t>
            </w:r>
          </w:p>
        </w:tc>
        <w:tc>
          <w:tcPr>
            <w:tcW w:w="882" w:type="dxa"/>
            <w:tcBorders>
              <w:top w:val="nil"/>
              <w:left w:val="nil"/>
              <w:bottom w:val="single" w:sz="4" w:space="0" w:color="auto"/>
              <w:right w:val="single" w:sz="4" w:space="0" w:color="auto"/>
            </w:tcBorders>
            <w:shd w:val="clear" w:color="auto" w:fill="auto"/>
            <w:vAlign w:val="center"/>
            <w:hideMark/>
          </w:tcPr>
          <w:p w14:paraId="5719E599"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 6</w:t>
            </w:r>
          </w:p>
        </w:tc>
        <w:tc>
          <w:tcPr>
            <w:tcW w:w="839" w:type="dxa"/>
            <w:gridSpan w:val="2"/>
            <w:tcBorders>
              <w:top w:val="nil"/>
              <w:left w:val="nil"/>
              <w:bottom w:val="single" w:sz="4" w:space="0" w:color="auto"/>
              <w:right w:val="single" w:sz="4" w:space="0" w:color="auto"/>
            </w:tcBorders>
            <w:shd w:val="clear" w:color="auto" w:fill="auto"/>
            <w:vAlign w:val="center"/>
            <w:hideMark/>
          </w:tcPr>
          <w:p w14:paraId="178A13EC"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50 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72B0972"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50.53 </w:t>
            </w:r>
          </w:p>
        </w:tc>
        <w:tc>
          <w:tcPr>
            <w:tcW w:w="1390" w:type="dxa"/>
            <w:gridSpan w:val="2"/>
            <w:tcBorders>
              <w:top w:val="nil"/>
              <w:left w:val="nil"/>
              <w:bottom w:val="single" w:sz="4" w:space="0" w:color="auto"/>
              <w:right w:val="single" w:sz="4" w:space="0" w:color="auto"/>
            </w:tcBorders>
            <w:shd w:val="clear" w:color="auto" w:fill="auto"/>
            <w:noWrap/>
            <w:vAlign w:val="center"/>
            <w:hideMark/>
          </w:tcPr>
          <w:p w14:paraId="3916238B"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291.30 </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215E7021"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1.74 (1.22, 2.53) </w:t>
            </w:r>
          </w:p>
        </w:tc>
        <w:tc>
          <w:tcPr>
            <w:tcW w:w="1544" w:type="dxa"/>
            <w:gridSpan w:val="2"/>
            <w:tcBorders>
              <w:top w:val="nil"/>
              <w:left w:val="nil"/>
              <w:bottom w:val="single" w:sz="4" w:space="0" w:color="auto"/>
              <w:right w:val="single" w:sz="4" w:space="0" w:color="auto"/>
            </w:tcBorders>
            <w:shd w:val="clear" w:color="auto" w:fill="auto"/>
            <w:noWrap/>
            <w:vAlign w:val="center"/>
            <w:hideMark/>
          </w:tcPr>
          <w:p w14:paraId="3F00534B"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NR</w:t>
            </w:r>
          </w:p>
        </w:tc>
      </w:tr>
      <w:tr w:rsidR="009F01D8" w:rsidRPr="006854DD" w14:paraId="65BF3CBB" w14:textId="77777777" w:rsidTr="009F01D8">
        <w:trPr>
          <w:trHeight w:val="303"/>
        </w:trPr>
        <w:tc>
          <w:tcPr>
            <w:tcW w:w="1661" w:type="dxa"/>
            <w:tcBorders>
              <w:top w:val="nil"/>
              <w:left w:val="single" w:sz="4" w:space="0" w:color="auto"/>
              <w:bottom w:val="single" w:sz="4" w:space="0" w:color="auto"/>
              <w:right w:val="single" w:sz="4" w:space="0" w:color="auto"/>
            </w:tcBorders>
            <w:shd w:val="clear" w:color="auto" w:fill="auto"/>
            <w:vAlign w:val="bottom"/>
            <w:hideMark/>
          </w:tcPr>
          <w:p w14:paraId="24FF837B"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proofErr w:type="spellStart"/>
            <w:r w:rsidRPr="006854DD">
              <w:rPr>
                <w:rFonts w:asciiTheme="majorBidi" w:eastAsia="Times New Roman" w:hAnsiTheme="majorBidi" w:cstheme="majorBidi"/>
                <w:color w:val="000000"/>
                <w:lang w:eastAsia="zh-CN"/>
              </w:rPr>
              <w:t>Carbapenum</w:t>
            </w:r>
            <w:proofErr w:type="spellEnd"/>
            <w:r w:rsidRPr="006854DD">
              <w:rPr>
                <w:rFonts w:asciiTheme="majorBidi" w:eastAsia="Times New Roman" w:hAnsiTheme="majorBidi" w:cstheme="majorBidi"/>
                <w:color w:val="000000"/>
                <w:lang w:eastAsia="zh-CN"/>
              </w:rPr>
              <w:t xml:space="preserve"> </w:t>
            </w:r>
            <w:proofErr w:type="spellStart"/>
            <w:r w:rsidRPr="006854DD">
              <w:rPr>
                <w:rFonts w:asciiTheme="majorBidi" w:eastAsia="Times New Roman" w:hAnsiTheme="majorBidi" w:cstheme="majorBidi"/>
                <w:color w:val="000000"/>
                <w:lang w:eastAsia="zh-CN"/>
              </w:rPr>
              <w:t>suscptibility</w:t>
            </w:r>
            <w:proofErr w:type="spellEnd"/>
            <w:r w:rsidRPr="006854DD">
              <w:rPr>
                <w:rFonts w:asciiTheme="majorBidi" w:eastAsia="Times New Roman" w:hAnsiTheme="majorBidi" w:cstheme="majorBidi"/>
                <w:color w:val="000000"/>
                <w:lang w:eastAsia="zh-CN"/>
              </w:rPr>
              <w:t>, meta-regression model</w:t>
            </w:r>
          </w:p>
        </w:tc>
        <w:tc>
          <w:tcPr>
            <w:tcW w:w="882" w:type="dxa"/>
            <w:tcBorders>
              <w:top w:val="nil"/>
              <w:left w:val="nil"/>
              <w:bottom w:val="single" w:sz="4" w:space="0" w:color="auto"/>
              <w:right w:val="single" w:sz="4" w:space="0" w:color="auto"/>
            </w:tcBorders>
            <w:shd w:val="clear" w:color="auto" w:fill="auto"/>
            <w:vAlign w:val="center"/>
            <w:hideMark/>
          </w:tcPr>
          <w:p w14:paraId="7963C90A"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14</w:t>
            </w:r>
          </w:p>
        </w:tc>
        <w:tc>
          <w:tcPr>
            <w:tcW w:w="839" w:type="dxa"/>
            <w:gridSpan w:val="2"/>
            <w:tcBorders>
              <w:top w:val="nil"/>
              <w:left w:val="nil"/>
              <w:bottom w:val="single" w:sz="4" w:space="0" w:color="auto"/>
              <w:right w:val="single" w:sz="4" w:space="0" w:color="auto"/>
            </w:tcBorders>
            <w:shd w:val="clear" w:color="auto" w:fill="auto"/>
            <w:vAlign w:val="center"/>
            <w:hideMark/>
          </w:tcPr>
          <w:p w14:paraId="0424902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103</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9BAE40A"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102.5</w:t>
            </w:r>
          </w:p>
        </w:tc>
        <w:tc>
          <w:tcPr>
            <w:tcW w:w="1390" w:type="dxa"/>
            <w:gridSpan w:val="2"/>
            <w:tcBorders>
              <w:top w:val="nil"/>
              <w:left w:val="nil"/>
              <w:bottom w:val="single" w:sz="4" w:space="0" w:color="auto"/>
              <w:right w:val="single" w:sz="4" w:space="0" w:color="auto"/>
            </w:tcBorders>
            <w:shd w:val="clear" w:color="auto" w:fill="auto"/>
            <w:noWrap/>
            <w:vAlign w:val="center"/>
            <w:hideMark/>
          </w:tcPr>
          <w:p w14:paraId="61CB0C21"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571.95</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459D262E"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proofErr w:type="gramStart"/>
            <w:r w:rsidRPr="006854DD">
              <w:rPr>
                <w:rFonts w:asciiTheme="majorBidi" w:eastAsia="Times New Roman" w:hAnsiTheme="majorBidi" w:cstheme="majorBidi"/>
                <w:color w:val="000000"/>
                <w:lang w:eastAsia="zh-CN"/>
              </w:rPr>
              <w:t>2.02  (</w:t>
            </w:r>
            <w:proofErr w:type="gramEnd"/>
            <w:r w:rsidRPr="006854DD">
              <w:rPr>
                <w:rFonts w:asciiTheme="majorBidi" w:eastAsia="Times New Roman" w:hAnsiTheme="majorBidi" w:cstheme="majorBidi"/>
                <w:color w:val="000000"/>
                <w:lang w:eastAsia="zh-CN"/>
              </w:rPr>
              <w:t xml:space="preserve">1.65,  2.50) </w:t>
            </w:r>
          </w:p>
        </w:tc>
        <w:tc>
          <w:tcPr>
            <w:tcW w:w="1544" w:type="dxa"/>
            <w:gridSpan w:val="2"/>
            <w:tcBorders>
              <w:top w:val="nil"/>
              <w:left w:val="nil"/>
              <w:bottom w:val="single" w:sz="4" w:space="0" w:color="auto"/>
              <w:right w:val="single" w:sz="4" w:space="0" w:color="auto"/>
            </w:tcBorders>
            <w:shd w:val="clear" w:color="auto" w:fill="auto"/>
            <w:noWrap/>
            <w:vAlign w:val="center"/>
            <w:hideMark/>
          </w:tcPr>
          <w:p w14:paraId="38CE8489"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 xml:space="preserve"> -1.60 (-5.15,1.94)</w:t>
            </w:r>
          </w:p>
        </w:tc>
      </w:tr>
      <w:tr w:rsidR="009F01D8" w:rsidRPr="006854DD" w14:paraId="32C37990" w14:textId="77777777" w:rsidTr="009F01D8">
        <w:trPr>
          <w:trHeight w:val="303"/>
        </w:trPr>
        <w:tc>
          <w:tcPr>
            <w:tcW w:w="1661" w:type="dxa"/>
            <w:tcBorders>
              <w:top w:val="nil"/>
              <w:left w:val="single" w:sz="4" w:space="0" w:color="auto"/>
              <w:bottom w:val="single" w:sz="4" w:space="0" w:color="auto"/>
              <w:right w:val="single" w:sz="4" w:space="0" w:color="auto"/>
            </w:tcBorders>
            <w:shd w:val="clear" w:color="auto" w:fill="auto"/>
            <w:vAlign w:val="bottom"/>
            <w:hideMark/>
          </w:tcPr>
          <w:p w14:paraId="7489BE4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Consecutive samples. meta-regression model</w:t>
            </w:r>
          </w:p>
        </w:tc>
        <w:tc>
          <w:tcPr>
            <w:tcW w:w="882" w:type="dxa"/>
            <w:tcBorders>
              <w:top w:val="nil"/>
              <w:left w:val="nil"/>
              <w:bottom w:val="single" w:sz="4" w:space="0" w:color="auto"/>
              <w:right w:val="single" w:sz="4" w:space="0" w:color="auto"/>
            </w:tcBorders>
            <w:shd w:val="clear" w:color="auto" w:fill="auto"/>
            <w:vAlign w:val="center"/>
            <w:hideMark/>
          </w:tcPr>
          <w:p w14:paraId="63559CA8"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16</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6667C46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111</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5E6886C"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110.9</w:t>
            </w:r>
          </w:p>
        </w:tc>
        <w:tc>
          <w:tcPr>
            <w:tcW w:w="1390" w:type="dxa"/>
            <w:gridSpan w:val="2"/>
            <w:tcBorders>
              <w:top w:val="nil"/>
              <w:left w:val="nil"/>
              <w:bottom w:val="single" w:sz="4" w:space="0" w:color="auto"/>
              <w:right w:val="single" w:sz="4" w:space="0" w:color="auto"/>
            </w:tcBorders>
            <w:shd w:val="clear" w:color="auto" w:fill="auto"/>
            <w:noWrap/>
            <w:vAlign w:val="center"/>
            <w:hideMark/>
          </w:tcPr>
          <w:p w14:paraId="680C6B60"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617.301</w:t>
            </w:r>
          </w:p>
        </w:tc>
        <w:tc>
          <w:tcPr>
            <w:tcW w:w="1861" w:type="dxa"/>
            <w:gridSpan w:val="2"/>
            <w:tcBorders>
              <w:top w:val="nil"/>
              <w:left w:val="nil"/>
              <w:bottom w:val="single" w:sz="4" w:space="0" w:color="auto"/>
              <w:right w:val="single" w:sz="4" w:space="0" w:color="auto"/>
            </w:tcBorders>
            <w:shd w:val="clear" w:color="auto" w:fill="auto"/>
            <w:noWrap/>
            <w:vAlign w:val="center"/>
            <w:hideMark/>
          </w:tcPr>
          <w:p w14:paraId="3F804167"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proofErr w:type="gramStart"/>
            <w:r w:rsidRPr="006854DD">
              <w:rPr>
                <w:rFonts w:asciiTheme="majorBidi" w:eastAsia="Times New Roman" w:hAnsiTheme="majorBidi" w:cstheme="majorBidi"/>
                <w:color w:val="000000"/>
                <w:lang w:eastAsia="zh-CN"/>
              </w:rPr>
              <w:t>2.00  (</w:t>
            </w:r>
            <w:proofErr w:type="gramEnd"/>
            <w:r w:rsidRPr="006854DD">
              <w:rPr>
                <w:rFonts w:asciiTheme="majorBidi" w:eastAsia="Times New Roman" w:hAnsiTheme="majorBidi" w:cstheme="majorBidi"/>
                <w:color w:val="000000"/>
                <w:lang w:eastAsia="zh-CN"/>
              </w:rPr>
              <w:t>1.65,  2.46)</w:t>
            </w:r>
          </w:p>
        </w:tc>
        <w:tc>
          <w:tcPr>
            <w:tcW w:w="1544" w:type="dxa"/>
            <w:gridSpan w:val="2"/>
            <w:tcBorders>
              <w:top w:val="nil"/>
              <w:left w:val="nil"/>
              <w:bottom w:val="single" w:sz="4" w:space="0" w:color="auto"/>
              <w:right w:val="single" w:sz="4" w:space="0" w:color="auto"/>
            </w:tcBorders>
            <w:shd w:val="clear" w:color="auto" w:fill="auto"/>
            <w:noWrap/>
            <w:vAlign w:val="center"/>
            <w:hideMark/>
          </w:tcPr>
          <w:p w14:paraId="3659EC1A" w14:textId="77777777" w:rsidR="009F01D8" w:rsidRPr="006854DD" w:rsidRDefault="009F01D8" w:rsidP="009F01D8">
            <w:pPr>
              <w:spacing w:after="0" w:line="240" w:lineRule="auto"/>
              <w:jc w:val="both"/>
              <w:rPr>
                <w:rFonts w:asciiTheme="majorBidi" w:eastAsia="Times New Roman" w:hAnsiTheme="majorBidi" w:cstheme="majorBidi"/>
                <w:color w:val="000000"/>
                <w:lang w:eastAsia="zh-CN"/>
              </w:rPr>
            </w:pPr>
            <w:r w:rsidRPr="006854DD">
              <w:rPr>
                <w:rFonts w:asciiTheme="majorBidi" w:eastAsia="Times New Roman" w:hAnsiTheme="majorBidi" w:cstheme="majorBidi"/>
                <w:color w:val="000000"/>
                <w:lang w:eastAsia="zh-CN"/>
              </w:rPr>
              <w:t>0.91 (-1.20,3.28)</w:t>
            </w:r>
          </w:p>
        </w:tc>
      </w:tr>
      <w:tr w:rsidR="009F01D8" w:rsidRPr="006854DD" w14:paraId="05B2FAD0" w14:textId="77777777" w:rsidTr="009F01D8">
        <w:trPr>
          <w:trHeight w:val="303"/>
        </w:trPr>
        <w:tc>
          <w:tcPr>
            <w:tcW w:w="5763" w:type="dxa"/>
            <w:gridSpan w:val="9"/>
            <w:tcBorders>
              <w:top w:val="nil"/>
              <w:left w:val="nil"/>
              <w:bottom w:val="nil"/>
              <w:right w:val="nil"/>
            </w:tcBorders>
            <w:shd w:val="clear" w:color="auto" w:fill="auto"/>
            <w:noWrap/>
            <w:vAlign w:val="bottom"/>
            <w:hideMark/>
          </w:tcPr>
          <w:p w14:paraId="101B542B" w14:textId="77777777" w:rsidR="009F01D8" w:rsidRPr="00A1033E" w:rsidRDefault="009F01D8" w:rsidP="009F01D8">
            <w:pPr>
              <w:spacing w:after="0" w:line="240" w:lineRule="auto"/>
              <w:jc w:val="both"/>
              <w:rPr>
                <w:rFonts w:asciiTheme="majorBidi" w:eastAsia="Times New Roman" w:hAnsiTheme="majorBidi" w:cstheme="majorBidi"/>
                <w:color w:val="000000"/>
                <w:sz w:val="20"/>
                <w:szCs w:val="20"/>
                <w:lang w:eastAsia="zh-CN"/>
              </w:rPr>
            </w:pPr>
            <w:r w:rsidRPr="00A1033E">
              <w:rPr>
                <w:rFonts w:asciiTheme="majorBidi" w:eastAsia="Times New Roman" w:hAnsiTheme="majorBidi" w:cstheme="majorBidi"/>
                <w:color w:val="000000"/>
                <w:sz w:val="20"/>
                <w:szCs w:val="20"/>
                <w:lang w:eastAsia="zh-CN"/>
              </w:rPr>
              <w:t>DP: data points, TRD: total residual deviance (mean), SD: standard deviation (median)</w:t>
            </w:r>
          </w:p>
        </w:tc>
        <w:tc>
          <w:tcPr>
            <w:tcW w:w="1861" w:type="dxa"/>
            <w:gridSpan w:val="2"/>
            <w:tcBorders>
              <w:top w:val="nil"/>
              <w:left w:val="nil"/>
              <w:bottom w:val="nil"/>
              <w:right w:val="nil"/>
            </w:tcBorders>
            <w:shd w:val="clear" w:color="auto" w:fill="auto"/>
            <w:noWrap/>
            <w:vAlign w:val="bottom"/>
            <w:hideMark/>
          </w:tcPr>
          <w:p w14:paraId="0378BAB6" w14:textId="77777777" w:rsidR="009F01D8" w:rsidRPr="006854DD" w:rsidRDefault="009F01D8" w:rsidP="009F01D8">
            <w:pPr>
              <w:spacing w:after="0" w:line="240" w:lineRule="auto"/>
              <w:jc w:val="both"/>
              <w:rPr>
                <w:rFonts w:asciiTheme="majorBidi" w:eastAsia="Times New Roman" w:hAnsiTheme="majorBidi" w:cstheme="majorBidi"/>
                <w:i/>
                <w:iCs/>
                <w:color w:val="000000"/>
                <w:lang w:eastAsia="zh-CN"/>
              </w:rPr>
            </w:pPr>
          </w:p>
        </w:tc>
        <w:tc>
          <w:tcPr>
            <w:tcW w:w="1534" w:type="dxa"/>
            <w:tcBorders>
              <w:top w:val="nil"/>
              <w:left w:val="nil"/>
              <w:bottom w:val="nil"/>
              <w:right w:val="nil"/>
            </w:tcBorders>
            <w:shd w:val="clear" w:color="auto" w:fill="auto"/>
            <w:noWrap/>
            <w:vAlign w:val="bottom"/>
            <w:hideMark/>
          </w:tcPr>
          <w:p w14:paraId="499F775D"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r>
      <w:tr w:rsidR="009F01D8" w:rsidRPr="006854DD" w14:paraId="1707719B" w14:textId="77777777" w:rsidTr="009F01D8">
        <w:trPr>
          <w:trHeight w:val="303"/>
        </w:trPr>
        <w:tc>
          <w:tcPr>
            <w:tcW w:w="2553" w:type="dxa"/>
            <w:gridSpan w:val="3"/>
            <w:tcBorders>
              <w:top w:val="nil"/>
              <w:left w:val="nil"/>
              <w:bottom w:val="nil"/>
              <w:right w:val="nil"/>
            </w:tcBorders>
            <w:shd w:val="clear" w:color="auto" w:fill="auto"/>
            <w:noWrap/>
            <w:vAlign w:val="bottom"/>
          </w:tcPr>
          <w:p w14:paraId="3E4CB0BD" w14:textId="77777777" w:rsidR="009F01D8" w:rsidRPr="006854DD" w:rsidRDefault="009F01D8" w:rsidP="009F01D8">
            <w:pPr>
              <w:spacing w:after="0" w:line="240" w:lineRule="auto"/>
              <w:jc w:val="both"/>
              <w:rPr>
                <w:rFonts w:asciiTheme="majorBidi" w:eastAsia="Times New Roman" w:hAnsiTheme="majorBidi" w:cstheme="majorBidi"/>
                <w:i/>
                <w:iCs/>
                <w:color w:val="000000"/>
                <w:lang w:eastAsia="zh-CN"/>
              </w:rPr>
            </w:pPr>
          </w:p>
        </w:tc>
        <w:tc>
          <w:tcPr>
            <w:tcW w:w="839" w:type="dxa"/>
            <w:gridSpan w:val="2"/>
            <w:tcBorders>
              <w:top w:val="nil"/>
              <w:left w:val="nil"/>
              <w:bottom w:val="nil"/>
              <w:right w:val="nil"/>
            </w:tcBorders>
            <w:shd w:val="clear" w:color="auto" w:fill="auto"/>
            <w:noWrap/>
            <w:vAlign w:val="bottom"/>
            <w:hideMark/>
          </w:tcPr>
          <w:p w14:paraId="1F251ED3" w14:textId="77777777" w:rsidR="009F01D8" w:rsidRPr="006854DD" w:rsidRDefault="009F01D8" w:rsidP="009F01D8">
            <w:pPr>
              <w:spacing w:after="0" w:line="240" w:lineRule="auto"/>
              <w:jc w:val="both"/>
              <w:rPr>
                <w:rFonts w:asciiTheme="majorBidi" w:eastAsia="Times New Roman" w:hAnsiTheme="majorBidi" w:cstheme="majorBidi"/>
                <w:i/>
                <w:iCs/>
                <w:color w:val="000000"/>
                <w:lang w:eastAsia="zh-CN"/>
              </w:rPr>
            </w:pPr>
          </w:p>
        </w:tc>
        <w:tc>
          <w:tcPr>
            <w:tcW w:w="979" w:type="dxa"/>
            <w:gridSpan w:val="2"/>
            <w:tcBorders>
              <w:top w:val="nil"/>
              <w:left w:val="nil"/>
              <w:bottom w:val="nil"/>
              <w:right w:val="nil"/>
            </w:tcBorders>
            <w:shd w:val="clear" w:color="auto" w:fill="auto"/>
            <w:noWrap/>
            <w:vAlign w:val="bottom"/>
            <w:hideMark/>
          </w:tcPr>
          <w:p w14:paraId="6E1C4829"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c>
          <w:tcPr>
            <w:tcW w:w="1390" w:type="dxa"/>
            <w:gridSpan w:val="2"/>
            <w:tcBorders>
              <w:top w:val="nil"/>
              <w:left w:val="nil"/>
              <w:bottom w:val="nil"/>
              <w:right w:val="nil"/>
            </w:tcBorders>
            <w:shd w:val="clear" w:color="auto" w:fill="auto"/>
            <w:noWrap/>
            <w:vAlign w:val="bottom"/>
            <w:hideMark/>
          </w:tcPr>
          <w:p w14:paraId="4E093FFC"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c>
          <w:tcPr>
            <w:tcW w:w="1861" w:type="dxa"/>
            <w:gridSpan w:val="2"/>
            <w:tcBorders>
              <w:top w:val="nil"/>
              <w:left w:val="nil"/>
              <w:bottom w:val="nil"/>
              <w:right w:val="nil"/>
            </w:tcBorders>
            <w:shd w:val="clear" w:color="auto" w:fill="auto"/>
            <w:noWrap/>
            <w:vAlign w:val="bottom"/>
            <w:hideMark/>
          </w:tcPr>
          <w:p w14:paraId="53E88063"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c>
          <w:tcPr>
            <w:tcW w:w="1534" w:type="dxa"/>
            <w:tcBorders>
              <w:top w:val="nil"/>
              <w:left w:val="nil"/>
              <w:bottom w:val="nil"/>
              <w:right w:val="nil"/>
            </w:tcBorders>
            <w:shd w:val="clear" w:color="auto" w:fill="auto"/>
            <w:noWrap/>
            <w:vAlign w:val="bottom"/>
            <w:hideMark/>
          </w:tcPr>
          <w:p w14:paraId="199227A4"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r>
      <w:tr w:rsidR="009F01D8" w:rsidRPr="006854DD" w14:paraId="08214288" w14:textId="77777777" w:rsidTr="009F01D8">
        <w:trPr>
          <w:trHeight w:val="303"/>
        </w:trPr>
        <w:tc>
          <w:tcPr>
            <w:tcW w:w="4372" w:type="dxa"/>
            <w:gridSpan w:val="7"/>
            <w:tcBorders>
              <w:top w:val="nil"/>
              <w:left w:val="nil"/>
              <w:bottom w:val="nil"/>
              <w:right w:val="nil"/>
            </w:tcBorders>
            <w:shd w:val="clear" w:color="auto" w:fill="auto"/>
            <w:noWrap/>
            <w:vAlign w:val="bottom"/>
          </w:tcPr>
          <w:p w14:paraId="139E1589" w14:textId="77777777" w:rsidR="009F01D8" w:rsidRPr="006854DD" w:rsidRDefault="009F01D8" w:rsidP="009F01D8">
            <w:pPr>
              <w:spacing w:after="0" w:line="240" w:lineRule="auto"/>
              <w:jc w:val="both"/>
              <w:rPr>
                <w:rFonts w:asciiTheme="majorBidi" w:eastAsia="Times New Roman" w:hAnsiTheme="majorBidi" w:cstheme="majorBidi"/>
                <w:i/>
                <w:iCs/>
                <w:color w:val="000000"/>
                <w:lang w:eastAsia="zh-CN"/>
              </w:rPr>
            </w:pPr>
          </w:p>
        </w:tc>
        <w:tc>
          <w:tcPr>
            <w:tcW w:w="1390" w:type="dxa"/>
            <w:gridSpan w:val="2"/>
            <w:tcBorders>
              <w:top w:val="nil"/>
              <w:left w:val="nil"/>
              <w:bottom w:val="nil"/>
              <w:right w:val="nil"/>
            </w:tcBorders>
            <w:shd w:val="clear" w:color="auto" w:fill="auto"/>
            <w:noWrap/>
            <w:vAlign w:val="bottom"/>
            <w:hideMark/>
          </w:tcPr>
          <w:p w14:paraId="32ACF486" w14:textId="77777777" w:rsidR="009F01D8" w:rsidRPr="006854DD" w:rsidRDefault="009F01D8" w:rsidP="009F01D8">
            <w:pPr>
              <w:spacing w:after="0" w:line="240" w:lineRule="auto"/>
              <w:jc w:val="both"/>
              <w:rPr>
                <w:rFonts w:asciiTheme="majorBidi" w:eastAsia="Times New Roman" w:hAnsiTheme="majorBidi" w:cstheme="majorBidi"/>
                <w:i/>
                <w:iCs/>
                <w:color w:val="000000"/>
                <w:lang w:eastAsia="zh-CN"/>
              </w:rPr>
            </w:pPr>
          </w:p>
        </w:tc>
        <w:tc>
          <w:tcPr>
            <w:tcW w:w="1861" w:type="dxa"/>
            <w:gridSpan w:val="2"/>
            <w:tcBorders>
              <w:top w:val="nil"/>
              <w:left w:val="nil"/>
              <w:bottom w:val="nil"/>
              <w:right w:val="nil"/>
            </w:tcBorders>
            <w:shd w:val="clear" w:color="auto" w:fill="auto"/>
            <w:noWrap/>
            <w:vAlign w:val="bottom"/>
            <w:hideMark/>
          </w:tcPr>
          <w:p w14:paraId="302D84A9"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c>
          <w:tcPr>
            <w:tcW w:w="1534" w:type="dxa"/>
            <w:tcBorders>
              <w:top w:val="nil"/>
              <w:left w:val="nil"/>
              <w:bottom w:val="nil"/>
              <w:right w:val="nil"/>
            </w:tcBorders>
            <w:shd w:val="clear" w:color="auto" w:fill="auto"/>
            <w:noWrap/>
            <w:vAlign w:val="bottom"/>
            <w:hideMark/>
          </w:tcPr>
          <w:p w14:paraId="5D4701E9" w14:textId="77777777" w:rsidR="009F01D8" w:rsidRPr="006854DD" w:rsidRDefault="009F01D8" w:rsidP="009F01D8">
            <w:pPr>
              <w:spacing w:after="0" w:line="240" w:lineRule="auto"/>
              <w:jc w:val="both"/>
              <w:rPr>
                <w:rFonts w:asciiTheme="majorBidi" w:eastAsia="Times New Roman" w:hAnsiTheme="majorBidi" w:cstheme="majorBidi"/>
                <w:lang w:eastAsia="zh-CN"/>
              </w:rPr>
            </w:pPr>
          </w:p>
        </w:tc>
      </w:tr>
    </w:tbl>
    <w:p w14:paraId="7F020AAF" w14:textId="77777777" w:rsidR="009F01D8" w:rsidRDefault="009F01D8" w:rsidP="009F01D8">
      <w:pPr>
        <w:jc w:val="both"/>
        <w:rPr>
          <w:rFonts w:asciiTheme="majorBidi" w:hAnsiTheme="majorBidi" w:cstheme="majorBidi"/>
          <w:b/>
          <w:bCs/>
        </w:rPr>
      </w:pPr>
    </w:p>
    <w:p w14:paraId="4E43C0E6" w14:textId="77777777" w:rsidR="006854DD" w:rsidRDefault="006854DD" w:rsidP="009F01D8">
      <w:pPr>
        <w:pStyle w:val="Caption"/>
        <w:jc w:val="both"/>
        <w:rPr>
          <w:rFonts w:asciiTheme="majorBidi" w:hAnsiTheme="majorBidi" w:cstheme="majorBidi"/>
          <w:b/>
          <w:bCs/>
          <w:i w:val="0"/>
          <w:iCs w:val="0"/>
          <w:sz w:val="20"/>
          <w:szCs w:val="20"/>
        </w:rPr>
      </w:pPr>
    </w:p>
    <w:p w14:paraId="3AD96F21" w14:textId="77777777" w:rsidR="006854DD" w:rsidRDefault="006854DD" w:rsidP="009F01D8">
      <w:pPr>
        <w:pStyle w:val="Caption"/>
        <w:jc w:val="both"/>
        <w:rPr>
          <w:rFonts w:asciiTheme="majorBidi" w:hAnsiTheme="majorBidi" w:cstheme="majorBidi"/>
          <w:b/>
          <w:bCs/>
          <w:i w:val="0"/>
          <w:iCs w:val="0"/>
          <w:sz w:val="20"/>
          <w:szCs w:val="20"/>
        </w:rPr>
      </w:pPr>
    </w:p>
    <w:p w14:paraId="2087A72A" w14:textId="77777777" w:rsidR="006854DD" w:rsidRDefault="006854DD" w:rsidP="009F01D8">
      <w:pPr>
        <w:pStyle w:val="Caption"/>
        <w:jc w:val="both"/>
        <w:rPr>
          <w:rFonts w:asciiTheme="majorBidi" w:hAnsiTheme="majorBidi" w:cstheme="majorBidi"/>
          <w:b/>
          <w:bCs/>
          <w:i w:val="0"/>
          <w:iCs w:val="0"/>
          <w:sz w:val="20"/>
          <w:szCs w:val="20"/>
        </w:rPr>
      </w:pPr>
    </w:p>
    <w:p w14:paraId="10871552" w14:textId="77777777" w:rsidR="006854DD" w:rsidRDefault="006854DD" w:rsidP="009F01D8">
      <w:pPr>
        <w:pStyle w:val="Caption"/>
        <w:jc w:val="both"/>
        <w:rPr>
          <w:rFonts w:asciiTheme="majorBidi" w:hAnsiTheme="majorBidi" w:cstheme="majorBidi"/>
          <w:b/>
          <w:bCs/>
          <w:i w:val="0"/>
          <w:iCs w:val="0"/>
          <w:sz w:val="20"/>
          <w:szCs w:val="20"/>
        </w:rPr>
      </w:pPr>
    </w:p>
    <w:p w14:paraId="08AE03DA" w14:textId="77777777" w:rsidR="006854DD" w:rsidRDefault="006854DD" w:rsidP="009F01D8">
      <w:pPr>
        <w:pStyle w:val="Caption"/>
        <w:jc w:val="both"/>
        <w:rPr>
          <w:rFonts w:asciiTheme="majorBidi" w:hAnsiTheme="majorBidi" w:cstheme="majorBidi"/>
          <w:b/>
          <w:bCs/>
          <w:i w:val="0"/>
          <w:iCs w:val="0"/>
          <w:sz w:val="20"/>
          <w:szCs w:val="20"/>
        </w:rPr>
      </w:pPr>
    </w:p>
    <w:p w14:paraId="3DBD6A07" w14:textId="77777777" w:rsidR="006854DD" w:rsidRDefault="006854DD" w:rsidP="009F01D8">
      <w:pPr>
        <w:pStyle w:val="Caption"/>
        <w:jc w:val="both"/>
        <w:rPr>
          <w:rFonts w:asciiTheme="majorBidi" w:hAnsiTheme="majorBidi" w:cstheme="majorBidi"/>
          <w:b/>
          <w:bCs/>
          <w:i w:val="0"/>
          <w:iCs w:val="0"/>
          <w:sz w:val="20"/>
          <w:szCs w:val="20"/>
        </w:rPr>
      </w:pPr>
    </w:p>
    <w:p w14:paraId="62F08FAE" w14:textId="77777777" w:rsidR="006854DD" w:rsidRDefault="006854DD" w:rsidP="009F01D8">
      <w:pPr>
        <w:pStyle w:val="Caption"/>
        <w:jc w:val="both"/>
        <w:rPr>
          <w:rFonts w:asciiTheme="majorBidi" w:hAnsiTheme="majorBidi" w:cstheme="majorBidi"/>
          <w:b/>
          <w:bCs/>
          <w:i w:val="0"/>
          <w:iCs w:val="0"/>
          <w:sz w:val="20"/>
          <w:szCs w:val="20"/>
        </w:rPr>
      </w:pPr>
    </w:p>
    <w:p w14:paraId="3DF5C94B" w14:textId="77777777" w:rsidR="006854DD" w:rsidRDefault="006854DD" w:rsidP="009F01D8">
      <w:pPr>
        <w:pStyle w:val="Caption"/>
        <w:jc w:val="both"/>
        <w:rPr>
          <w:rFonts w:asciiTheme="majorBidi" w:hAnsiTheme="majorBidi" w:cstheme="majorBidi"/>
          <w:b/>
          <w:bCs/>
          <w:i w:val="0"/>
          <w:iCs w:val="0"/>
          <w:sz w:val="20"/>
          <w:szCs w:val="20"/>
        </w:rPr>
      </w:pPr>
    </w:p>
    <w:p w14:paraId="1801F085" w14:textId="77777777" w:rsidR="006854DD" w:rsidRDefault="006854DD" w:rsidP="009F01D8">
      <w:pPr>
        <w:pStyle w:val="Caption"/>
        <w:jc w:val="both"/>
        <w:rPr>
          <w:rFonts w:asciiTheme="majorBidi" w:hAnsiTheme="majorBidi" w:cstheme="majorBidi"/>
          <w:b/>
          <w:bCs/>
          <w:i w:val="0"/>
          <w:iCs w:val="0"/>
          <w:sz w:val="20"/>
          <w:szCs w:val="20"/>
        </w:rPr>
      </w:pPr>
    </w:p>
    <w:p w14:paraId="298C5D49" w14:textId="77777777" w:rsidR="006854DD" w:rsidRDefault="006854DD" w:rsidP="009F01D8">
      <w:pPr>
        <w:pStyle w:val="Caption"/>
        <w:jc w:val="both"/>
        <w:rPr>
          <w:rFonts w:asciiTheme="majorBidi" w:hAnsiTheme="majorBidi" w:cstheme="majorBidi"/>
          <w:b/>
          <w:bCs/>
          <w:i w:val="0"/>
          <w:iCs w:val="0"/>
          <w:sz w:val="20"/>
          <w:szCs w:val="20"/>
        </w:rPr>
      </w:pPr>
    </w:p>
    <w:p w14:paraId="1AB64355" w14:textId="77777777" w:rsidR="006854DD" w:rsidRDefault="006854DD" w:rsidP="009F01D8">
      <w:pPr>
        <w:pStyle w:val="Caption"/>
        <w:jc w:val="both"/>
        <w:rPr>
          <w:rFonts w:asciiTheme="majorBidi" w:hAnsiTheme="majorBidi" w:cstheme="majorBidi"/>
          <w:b/>
          <w:bCs/>
          <w:i w:val="0"/>
          <w:iCs w:val="0"/>
          <w:sz w:val="20"/>
          <w:szCs w:val="20"/>
        </w:rPr>
      </w:pPr>
    </w:p>
    <w:p w14:paraId="42F67849" w14:textId="77777777" w:rsidR="006854DD" w:rsidRDefault="006854DD" w:rsidP="009F01D8">
      <w:pPr>
        <w:pStyle w:val="Caption"/>
        <w:jc w:val="both"/>
        <w:rPr>
          <w:rFonts w:asciiTheme="majorBidi" w:hAnsiTheme="majorBidi" w:cstheme="majorBidi"/>
          <w:b/>
          <w:bCs/>
          <w:i w:val="0"/>
          <w:iCs w:val="0"/>
          <w:sz w:val="20"/>
          <w:szCs w:val="20"/>
        </w:rPr>
      </w:pPr>
    </w:p>
    <w:p w14:paraId="0E21C639" w14:textId="77777777" w:rsidR="006854DD" w:rsidRDefault="006854DD" w:rsidP="009F01D8">
      <w:pPr>
        <w:pStyle w:val="Caption"/>
        <w:jc w:val="both"/>
        <w:rPr>
          <w:rFonts w:asciiTheme="majorBidi" w:hAnsiTheme="majorBidi" w:cstheme="majorBidi"/>
          <w:b/>
          <w:bCs/>
          <w:i w:val="0"/>
          <w:iCs w:val="0"/>
          <w:sz w:val="20"/>
          <w:szCs w:val="20"/>
        </w:rPr>
      </w:pPr>
    </w:p>
    <w:p w14:paraId="5E580EB7" w14:textId="77777777" w:rsidR="006854DD" w:rsidRDefault="006854DD" w:rsidP="009F01D8">
      <w:pPr>
        <w:pStyle w:val="Caption"/>
        <w:jc w:val="both"/>
        <w:rPr>
          <w:rFonts w:asciiTheme="majorBidi" w:hAnsiTheme="majorBidi" w:cstheme="majorBidi"/>
          <w:b/>
          <w:bCs/>
          <w:i w:val="0"/>
          <w:iCs w:val="0"/>
          <w:sz w:val="20"/>
          <w:szCs w:val="20"/>
        </w:rPr>
      </w:pPr>
    </w:p>
    <w:p w14:paraId="7B07A26A" w14:textId="77777777" w:rsidR="006854DD" w:rsidRDefault="006854DD" w:rsidP="009F01D8">
      <w:pPr>
        <w:pStyle w:val="Caption"/>
        <w:jc w:val="both"/>
        <w:rPr>
          <w:rFonts w:asciiTheme="majorBidi" w:hAnsiTheme="majorBidi" w:cstheme="majorBidi"/>
          <w:b/>
          <w:bCs/>
          <w:i w:val="0"/>
          <w:iCs w:val="0"/>
          <w:sz w:val="20"/>
          <w:szCs w:val="20"/>
        </w:rPr>
      </w:pPr>
    </w:p>
    <w:p w14:paraId="56A5310E" w14:textId="77777777" w:rsidR="006854DD" w:rsidRDefault="006854DD" w:rsidP="009F01D8">
      <w:pPr>
        <w:pStyle w:val="Caption"/>
        <w:jc w:val="both"/>
        <w:rPr>
          <w:rFonts w:asciiTheme="majorBidi" w:hAnsiTheme="majorBidi" w:cstheme="majorBidi"/>
          <w:b/>
          <w:bCs/>
          <w:i w:val="0"/>
          <w:iCs w:val="0"/>
          <w:sz w:val="20"/>
          <w:szCs w:val="20"/>
        </w:rPr>
      </w:pPr>
    </w:p>
    <w:p w14:paraId="3428703C" w14:textId="77777777" w:rsidR="006854DD" w:rsidRDefault="006854DD" w:rsidP="009F01D8">
      <w:pPr>
        <w:pStyle w:val="Caption"/>
        <w:jc w:val="both"/>
        <w:rPr>
          <w:rFonts w:asciiTheme="majorBidi" w:hAnsiTheme="majorBidi" w:cstheme="majorBidi"/>
          <w:b/>
          <w:bCs/>
          <w:i w:val="0"/>
          <w:iCs w:val="0"/>
          <w:sz w:val="20"/>
          <w:szCs w:val="20"/>
        </w:rPr>
      </w:pPr>
    </w:p>
    <w:p w14:paraId="0DD8D09D" w14:textId="77777777" w:rsidR="006854DD" w:rsidRDefault="006854DD" w:rsidP="009F01D8">
      <w:pPr>
        <w:pStyle w:val="Caption"/>
        <w:jc w:val="both"/>
        <w:rPr>
          <w:rFonts w:asciiTheme="majorBidi" w:hAnsiTheme="majorBidi" w:cstheme="majorBidi"/>
          <w:b/>
          <w:bCs/>
          <w:i w:val="0"/>
          <w:iCs w:val="0"/>
          <w:sz w:val="20"/>
          <w:szCs w:val="20"/>
        </w:rPr>
      </w:pPr>
    </w:p>
    <w:p w14:paraId="7252EE6A" w14:textId="77777777" w:rsidR="00A1033E" w:rsidRDefault="00A1033E" w:rsidP="009F01D8">
      <w:pPr>
        <w:pStyle w:val="Caption"/>
        <w:jc w:val="both"/>
        <w:rPr>
          <w:rFonts w:asciiTheme="majorBidi" w:hAnsiTheme="majorBidi" w:cstheme="majorBidi"/>
          <w:b/>
          <w:bCs/>
          <w:i w:val="0"/>
          <w:iCs w:val="0"/>
          <w:sz w:val="20"/>
          <w:szCs w:val="20"/>
        </w:rPr>
      </w:pPr>
    </w:p>
    <w:p w14:paraId="0C60CD05" w14:textId="00963FDE" w:rsidR="009F01D8" w:rsidRPr="006854DD" w:rsidRDefault="009F01D8" w:rsidP="009F01D8">
      <w:pPr>
        <w:pStyle w:val="Caption"/>
        <w:jc w:val="both"/>
        <w:rPr>
          <w:rFonts w:asciiTheme="majorBidi" w:hAnsiTheme="majorBidi" w:cstheme="majorBidi"/>
          <w:b/>
          <w:bCs/>
          <w:i w:val="0"/>
          <w:iCs w:val="0"/>
          <w:sz w:val="20"/>
          <w:szCs w:val="20"/>
        </w:rPr>
      </w:pPr>
      <w:bookmarkStart w:id="699" w:name="_Toc86419077"/>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32</w:t>
      </w:r>
      <w:r w:rsidRPr="006854DD">
        <w:rPr>
          <w:rFonts w:asciiTheme="majorBidi" w:hAnsiTheme="majorBidi" w:cstheme="majorBidi"/>
          <w:b/>
          <w:bCs/>
          <w:i w:val="0"/>
          <w:iCs w:val="0"/>
          <w:sz w:val="20"/>
          <w:szCs w:val="20"/>
        </w:rPr>
        <w:t>: Forest plot of OR vs colistin for full dataset, meta-regression model for unusual inclusion criteria</w:t>
      </w:r>
      <w:bookmarkEnd w:id="699"/>
    </w:p>
    <w:p w14:paraId="78A5EC97" w14:textId="77777777" w:rsidR="009F01D8" w:rsidRDefault="009F01D8" w:rsidP="009F01D8">
      <w:pPr>
        <w:jc w:val="both"/>
      </w:pPr>
      <w:r>
        <w:rPr>
          <w:noProof/>
          <w:lang w:eastAsia="en-GB"/>
        </w:rPr>
        <w:drawing>
          <wp:inline distT="0" distB="0" distL="0" distR="0" wp14:anchorId="35598B60" wp14:editId="3605CB06">
            <wp:extent cx="5730240" cy="5730240"/>
            <wp:effectExtent l="0" t="0" r="3810" b="3810"/>
            <wp:docPr id="66" name="Picture 66" descr="Forest plot of OR vs colistin for full dataset, meta-regression model for unusual inclusion criteria. A summary of these results are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orest plot of OR vs colistin for full dataset, meta-regression model for unusual inclusion criteria. A summary of these results are described in the repo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0724A67"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lastRenderedPageBreak/>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0B9D1A7A" w14:textId="77777777" w:rsidR="009F01D8" w:rsidRDefault="009F01D8" w:rsidP="009F01D8">
      <w:pPr>
        <w:jc w:val="both"/>
      </w:pPr>
    </w:p>
    <w:p w14:paraId="2479D74F" w14:textId="77777777" w:rsidR="006854DD" w:rsidRDefault="006854DD" w:rsidP="009F01D8">
      <w:pPr>
        <w:pStyle w:val="Caption"/>
        <w:jc w:val="both"/>
        <w:rPr>
          <w:rFonts w:asciiTheme="majorBidi" w:hAnsiTheme="majorBidi" w:cstheme="majorBidi"/>
          <w:b/>
          <w:bCs/>
          <w:i w:val="0"/>
          <w:iCs w:val="0"/>
          <w:sz w:val="20"/>
          <w:szCs w:val="20"/>
        </w:rPr>
      </w:pPr>
    </w:p>
    <w:p w14:paraId="1B3FBA18" w14:textId="77777777" w:rsidR="006854DD" w:rsidRDefault="006854DD" w:rsidP="009F01D8">
      <w:pPr>
        <w:pStyle w:val="Caption"/>
        <w:jc w:val="both"/>
        <w:rPr>
          <w:rFonts w:asciiTheme="majorBidi" w:hAnsiTheme="majorBidi" w:cstheme="majorBidi"/>
          <w:b/>
          <w:bCs/>
          <w:i w:val="0"/>
          <w:iCs w:val="0"/>
          <w:sz w:val="20"/>
          <w:szCs w:val="20"/>
        </w:rPr>
      </w:pPr>
    </w:p>
    <w:p w14:paraId="4F8D866F" w14:textId="77777777" w:rsidR="006854DD" w:rsidRDefault="006854DD" w:rsidP="009F01D8">
      <w:pPr>
        <w:pStyle w:val="Caption"/>
        <w:jc w:val="both"/>
        <w:rPr>
          <w:rFonts w:asciiTheme="majorBidi" w:hAnsiTheme="majorBidi" w:cstheme="majorBidi"/>
          <w:b/>
          <w:bCs/>
          <w:i w:val="0"/>
          <w:iCs w:val="0"/>
          <w:sz w:val="20"/>
          <w:szCs w:val="20"/>
        </w:rPr>
      </w:pPr>
    </w:p>
    <w:p w14:paraId="250D719F" w14:textId="124F56B5" w:rsidR="009F01D8" w:rsidRPr="006854DD" w:rsidRDefault="009F01D8" w:rsidP="009F01D8">
      <w:pPr>
        <w:pStyle w:val="Caption"/>
        <w:jc w:val="both"/>
        <w:rPr>
          <w:rFonts w:asciiTheme="majorBidi" w:hAnsiTheme="majorBidi" w:cstheme="majorBidi"/>
          <w:b/>
          <w:bCs/>
          <w:i w:val="0"/>
          <w:iCs w:val="0"/>
          <w:sz w:val="20"/>
          <w:szCs w:val="20"/>
        </w:rPr>
      </w:pPr>
      <w:bookmarkStart w:id="700" w:name="_Toc86419078"/>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33</w:t>
      </w:r>
      <w:r w:rsidRPr="006854DD">
        <w:rPr>
          <w:rFonts w:asciiTheme="majorBidi" w:hAnsiTheme="majorBidi" w:cstheme="majorBidi"/>
          <w:b/>
          <w:bCs/>
          <w:i w:val="0"/>
          <w:iCs w:val="0"/>
          <w:sz w:val="20"/>
          <w:szCs w:val="20"/>
        </w:rPr>
        <w:t>: Forest plot of OR vs colistin for full dataset, subgroup analysis for unusual inclusion criteria</w:t>
      </w:r>
      <w:bookmarkEnd w:id="700"/>
    </w:p>
    <w:p w14:paraId="0FCC9630" w14:textId="77777777" w:rsidR="009F01D8" w:rsidRDefault="009F01D8" w:rsidP="009F01D8">
      <w:pPr>
        <w:jc w:val="both"/>
      </w:pPr>
      <w:r>
        <w:rPr>
          <w:noProof/>
          <w:lang w:eastAsia="en-GB"/>
        </w:rPr>
        <w:drawing>
          <wp:inline distT="0" distB="0" distL="0" distR="0" wp14:anchorId="332A09EC" wp14:editId="4AC137F0">
            <wp:extent cx="5730240" cy="5730240"/>
            <wp:effectExtent l="0" t="0" r="3810" b="3810"/>
            <wp:docPr id="67" name="Picture 67" descr="Forest plot of OR vs colistin for full dataset, subgroup analysis for unusual inclusion criteria. A summary of these results are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orest plot of OR vs colistin for full dataset, subgroup analysis for unusual inclusion criteria. A summary of these results are described in the repo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36AA7678"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448FBAED" w14:textId="77777777" w:rsidR="009F01D8" w:rsidRDefault="009F01D8" w:rsidP="009F01D8">
      <w:pPr>
        <w:jc w:val="both"/>
      </w:pPr>
    </w:p>
    <w:p w14:paraId="5A19C884" w14:textId="77777777" w:rsidR="006854DD" w:rsidRDefault="006854DD" w:rsidP="009F01D8">
      <w:pPr>
        <w:pStyle w:val="Caption"/>
        <w:jc w:val="both"/>
        <w:rPr>
          <w:rFonts w:asciiTheme="majorBidi" w:hAnsiTheme="majorBidi" w:cstheme="majorBidi"/>
          <w:b/>
          <w:bCs/>
          <w:i w:val="0"/>
          <w:iCs w:val="0"/>
          <w:sz w:val="20"/>
          <w:szCs w:val="20"/>
        </w:rPr>
      </w:pPr>
    </w:p>
    <w:p w14:paraId="4EE58A7E" w14:textId="77777777" w:rsidR="006854DD" w:rsidRDefault="006854DD" w:rsidP="009F01D8">
      <w:pPr>
        <w:pStyle w:val="Caption"/>
        <w:jc w:val="both"/>
        <w:rPr>
          <w:rFonts w:asciiTheme="majorBidi" w:hAnsiTheme="majorBidi" w:cstheme="majorBidi"/>
          <w:b/>
          <w:bCs/>
          <w:i w:val="0"/>
          <w:iCs w:val="0"/>
          <w:sz w:val="20"/>
          <w:szCs w:val="20"/>
        </w:rPr>
      </w:pPr>
    </w:p>
    <w:p w14:paraId="0B323A15" w14:textId="77777777" w:rsidR="006854DD" w:rsidRDefault="006854DD" w:rsidP="009F01D8">
      <w:pPr>
        <w:pStyle w:val="Caption"/>
        <w:jc w:val="both"/>
        <w:rPr>
          <w:rFonts w:asciiTheme="majorBidi" w:hAnsiTheme="majorBidi" w:cstheme="majorBidi"/>
          <w:b/>
          <w:bCs/>
          <w:i w:val="0"/>
          <w:iCs w:val="0"/>
          <w:sz w:val="20"/>
          <w:szCs w:val="20"/>
        </w:rPr>
      </w:pPr>
    </w:p>
    <w:p w14:paraId="5902EE10" w14:textId="3ACA873B" w:rsidR="009F01D8" w:rsidRPr="006854DD" w:rsidRDefault="009F01D8" w:rsidP="009F01D8">
      <w:pPr>
        <w:pStyle w:val="Caption"/>
        <w:jc w:val="both"/>
        <w:rPr>
          <w:rFonts w:asciiTheme="majorBidi" w:hAnsiTheme="majorBidi" w:cstheme="majorBidi"/>
          <w:b/>
          <w:bCs/>
          <w:i w:val="0"/>
          <w:iCs w:val="0"/>
          <w:sz w:val="20"/>
          <w:szCs w:val="20"/>
        </w:rPr>
      </w:pPr>
      <w:bookmarkStart w:id="701" w:name="_Toc86419079"/>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34</w:t>
      </w:r>
      <w:r w:rsidRPr="006854DD">
        <w:rPr>
          <w:rFonts w:asciiTheme="majorBidi" w:hAnsiTheme="majorBidi" w:cstheme="majorBidi"/>
          <w:b/>
          <w:bCs/>
          <w:i w:val="0"/>
          <w:iCs w:val="0"/>
          <w:sz w:val="20"/>
          <w:szCs w:val="20"/>
        </w:rPr>
        <w:t xml:space="preserve">: Forest plot of OR vs colistin for full dataset, NMA model for MBL </w:t>
      </w:r>
      <w:proofErr w:type="spellStart"/>
      <w:r w:rsidRPr="006854DD">
        <w:rPr>
          <w:rFonts w:asciiTheme="majorBidi" w:hAnsiTheme="majorBidi" w:cstheme="majorBidi"/>
          <w:b/>
          <w:bCs/>
          <w:i w:val="0"/>
          <w:iCs w:val="0"/>
          <w:sz w:val="20"/>
          <w:szCs w:val="20"/>
        </w:rPr>
        <w:t>cocarriage</w:t>
      </w:r>
      <w:proofErr w:type="spellEnd"/>
      <w:r w:rsidRPr="006854DD">
        <w:rPr>
          <w:rFonts w:asciiTheme="majorBidi" w:hAnsiTheme="majorBidi" w:cstheme="majorBidi"/>
          <w:b/>
          <w:bCs/>
          <w:i w:val="0"/>
          <w:iCs w:val="0"/>
          <w:sz w:val="20"/>
          <w:szCs w:val="20"/>
        </w:rPr>
        <w:t xml:space="preserve"> subgroup</w:t>
      </w:r>
      <w:bookmarkEnd w:id="701"/>
    </w:p>
    <w:p w14:paraId="6073BF17" w14:textId="77777777" w:rsidR="009F01D8" w:rsidRDefault="009F01D8" w:rsidP="009F01D8">
      <w:pPr>
        <w:jc w:val="both"/>
      </w:pPr>
      <w:r>
        <w:rPr>
          <w:noProof/>
          <w:lang w:eastAsia="en-GB"/>
        </w:rPr>
        <w:drawing>
          <wp:inline distT="0" distB="0" distL="0" distR="0" wp14:anchorId="0B74B33F" wp14:editId="2534BEC8">
            <wp:extent cx="5730240" cy="5730240"/>
            <wp:effectExtent l="0" t="0" r="3810" b="3810"/>
            <wp:docPr id="72" name="Picture 72" descr="Forest plot of OR vs colistin for full dataset, NMA model for MBL cocarriage subgroup. A summary of these results are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orest plot of OR vs colistin for full dataset, NMA model for MBL cocarriage subgroup. A summary of these results are described in the repo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5376C90B" w14:textId="77777777" w:rsidR="009F01D8" w:rsidRPr="003765AE" w:rsidRDefault="009F01D8" w:rsidP="009F01D8">
      <w:pPr>
        <w:spacing w:line="360" w:lineRule="auto"/>
        <w:jc w:val="both"/>
        <w:rPr>
          <w:rFonts w:asciiTheme="majorBidi" w:hAnsiTheme="majorBidi" w:cstheme="majorBidi"/>
          <w:bCs/>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r w:rsidRPr="003765AE">
        <w:rPr>
          <w:rFonts w:asciiTheme="majorBidi" w:hAnsiTheme="majorBidi" w:cstheme="majorBidi"/>
          <w:bCs/>
        </w:rPr>
        <w:t>.</w:t>
      </w:r>
    </w:p>
    <w:p w14:paraId="0F0B9639" w14:textId="77777777" w:rsidR="009F01D8" w:rsidRDefault="009F01D8" w:rsidP="009F01D8">
      <w:pPr>
        <w:jc w:val="both"/>
      </w:pPr>
    </w:p>
    <w:p w14:paraId="50AF74A5" w14:textId="77777777" w:rsidR="006854DD" w:rsidRDefault="006854DD" w:rsidP="009F01D8">
      <w:pPr>
        <w:pStyle w:val="Caption"/>
        <w:jc w:val="both"/>
        <w:rPr>
          <w:rFonts w:asciiTheme="majorBidi" w:hAnsiTheme="majorBidi" w:cstheme="majorBidi"/>
          <w:b/>
          <w:bCs/>
          <w:i w:val="0"/>
          <w:iCs w:val="0"/>
          <w:sz w:val="20"/>
          <w:szCs w:val="20"/>
        </w:rPr>
      </w:pPr>
    </w:p>
    <w:p w14:paraId="7A14C4CF" w14:textId="77777777" w:rsidR="006854DD" w:rsidRDefault="006854DD" w:rsidP="009F01D8">
      <w:pPr>
        <w:pStyle w:val="Caption"/>
        <w:jc w:val="both"/>
        <w:rPr>
          <w:rFonts w:asciiTheme="majorBidi" w:hAnsiTheme="majorBidi" w:cstheme="majorBidi"/>
          <w:b/>
          <w:bCs/>
          <w:i w:val="0"/>
          <w:iCs w:val="0"/>
          <w:sz w:val="20"/>
          <w:szCs w:val="20"/>
        </w:rPr>
      </w:pPr>
    </w:p>
    <w:p w14:paraId="6B561322" w14:textId="77777777" w:rsidR="006854DD" w:rsidRDefault="006854DD" w:rsidP="009F01D8">
      <w:pPr>
        <w:pStyle w:val="Caption"/>
        <w:jc w:val="both"/>
        <w:rPr>
          <w:rFonts w:asciiTheme="majorBidi" w:hAnsiTheme="majorBidi" w:cstheme="majorBidi"/>
          <w:b/>
          <w:bCs/>
          <w:i w:val="0"/>
          <w:iCs w:val="0"/>
          <w:sz w:val="20"/>
          <w:szCs w:val="20"/>
        </w:rPr>
      </w:pPr>
    </w:p>
    <w:p w14:paraId="1B770F3C" w14:textId="77777777" w:rsidR="006854DD" w:rsidRDefault="006854DD" w:rsidP="009F01D8">
      <w:pPr>
        <w:pStyle w:val="Caption"/>
        <w:jc w:val="both"/>
        <w:rPr>
          <w:rFonts w:asciiTheme="majorBidi" w:hAnsiTheme="majorBidi" w:cstheme="majorBidi"/>
          <w:b/>
          <w:bCs/>
          <w:i w:val="0"/>
          <w:iCs w:val="0"/>
          <w:sz w:val="20"/>
          <w:szCs w:val="20"/>
        </w:rPr>
      </w:pPr>
    </w:p>
    <w:p w14:paraId="5510DD77" w14:textId="77777777" w:rsidR="006854DD" w:rsidRDefault="006854DD" w:rsidP="009F01D8">
      <w:pPr>
        <w:pStyle w:val="Caption"/>
        <w:jc w:val="both"/>
        <w:rPr>
          <w:rFonts w:asciiTheme="majorBidi" w:hAnsiTheme="majorBidi" w:cstheme="majorBidi"/>
          <w:b/>
          <w:bCs/>
          <w:i w:val="0"/>
          <w:iCs w:val="0"/>
          <w:sz w:val="20"/>
          <w:szCs w:val="20"/>
        </w:rPr>
      </w:pPr>
    </w:p>
    <w:p w14:paraId="4A8EB969" w14:textId="0E691BD8" w:rsidR="009F01D8" w:rsidRPr="006854DD" w:rsidRDefault="009F01D8" w:rsidP="009F01D8">
      <w:pPr>
        <w:pStyle w:val="Caption"/>
        <w:jc w:val="both"/>
        <w:rPr>
          <w:rFonts w:asciiTheme="majorBidi" w:hAnsiTheme="majorBidi" w:cstheme="majorBidi"/>
          <w:b/>
          <w:bCs/>
          <w:i w:val="0"/>
          <w:iCs w:val="0"/>
          <w:sz w:val="20"/>
          <w:szCs w:val="20"/>
        </w:rPr>
      </w:pPr>
      <w:bookmarkStart w:id="702" w:name="_Toc86419080"/>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35</w:t>
      </w:r>
      <w:r w:rsidRPr="006854DD">
        <w:rPr>
          <w:rFonts w:asciiTheme="majorBidi" w:hAnsiTheme="majorBidi" w:cstheme="majorBidi"/>
          <w:b/>
          <w:bCs/>
          <w:i w:val="0"/>
          <w:iCs w:val="0"/>
          <w:sz w:val="20"/>
          <w:szCs w:val="20"/>
        </w:rPr>
        <w:t xml:space="preserve">: Forest plot of OR vs colistin for full dataset, meta-regression model for </w:t>
      </w:r>
      <w:proofErr w:type="spellStart"/>
      <w:r w:rsidRPr="006854DD">
        <w:rPr>
          <w:rFonts w:asciiTheme="majorBidi" w:hAnsiTheme="majorBidi" w:cstheme="majorBidi"/>
          <w:b/>
          <w:bCs/>
          <w:i w:val="0"/>
          <w:iCs w:val="0"/>
          <w:sz w:val="20"/>
          <w:szCs w:val="20"/>
        </w:rPr>
        <w:t>carbapenum</w:t>
      </w:r>
      <w:proofErr w:type="spellEnd"/>
      <w:r w:rsidRPr="006854DD">
        <w:rPr>
          <w:rFonts w:asciiTheme="majorBidi" w:hAnsiTheme="majorBidi" w:cstheme="majorBidi"/>
          <w:b/>
          <w:bCs/>
          <w:i w:val="0"/>
          <w:iCs w:val="0"/>
          <w:sz w:val="20"/>
          <w:szCs w:val="20"/>
        </w:rPr>
        <w:t xml:space="preserve"> susceptibility</w:t>
      </w:r>
      <w:bookmarkEnd w:id="702"/>
    </w:p>
    <w:p w14:paraId="606BCD88" w14:textId="77777777" w:rsidR="009F01D8" w:rsidRDefault="009F01D8" w:rsidP="009F01D8">
      <w:pPr>
        <w:jc w:val="both"/>
      </w:pPr>
      <w:r>
        <w:rPr>
          <w:noProof/>
          <w:lang w:eastAsia="en-GB"/>
        </w:rPr>
        <w:drawing>
          <wp:inline distT="0" distB="0" distL="0" distR="0" wp14:anchorId="713989F4" wp14:editId="4CAC7C9B">
            <wp:extent cx="5730240" cy="5730240"/>
            <wp:effectExtent l="0" t="0" r="3810" b="3810"/>
            <wp:docPr id="74" name="Picture 74" descr="Forest plot of OR vs colistin for full dataset, meta-regression model for carbapenum susceptibility. A summary of these results are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orest plot of OR vs colistin for full dataset, meta-regression model for carbapenum susceptibility. A summary of these results are described in the re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22B8B2D3" w14:textId="77777777" w:rsidR="009F01D8" w:rsidRPr="003765AE" w:rsidRDefault="009F01D8" w:rsidP="009F01D8">
      <w:pPr>
        <w:spacing w:line="360" w:lineRule="auto"/>
        <w:jc w:val="both"/>
        <w:rPr>
          <w:rFonts w:asciiTheme="majorBidi" w:hAnsiTheme="majorBidi" w:cstheme="majorBidi"/>
          <w:bCs/>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r w:rsidRPr="003765AE">
        <w:rPr>
          <w:rFonts w:asciiTheme="majorBidi" w:hAnsiTheme="majorBidi" w:cstheme="majorBidi"/>
          <w:bCs/>
        </w:rPr>
        <w:t>.</w:t>
      </w:r>
    </w:p>
    <w:p w14:paraId="22B10905" w14:textId="77777777" w:rsidR="009F01D8" w:rsidRDefault="009F01D8" w:rsidP="009F01D8">
      <w:pPr>
        <w:jc w:val="both"/>
      </w:pPr>
    </w:p>
    <w:p w14:paraId="4603334D" w14:textId="77777777" w:rsidR="006854DD" w:rsidRDefault="006854DD" w:rsidP="009F01D8">
      <w:pPr>
        <w:pStyle w:val="Caption"/>
        <w:jc w:val="both"/>
        <w:rPr>
          <w:rFonts w:asciiTheme="majorBidi" w:hAnsiTheme="majorBidi" w:cstheme="majorBidi"/>
          <w:b/>
          <w:bCs/>
          <w:i w:val="0"/>
          <w:iCs w:val="0"/>
          <w:sz w:val="20"/>
          <w:szCs w:val="20"/>
        </w:rPr>
      </w:pPr>
    </w:p>
    <w:p w14:paraId="7534501A" w14:textId="77777777" w:rsidR="006854DD" w:rsidRDefault="006854DD" w:rsidP="009F01D8">
      <w:pPr>
        <w:pStyle w:val="Caption"/>
        <w:jc w:val="both"/>
        <w:rPr>
          <w:rFonts w:asciiTheme="majorBidi" w:hAnsiTheme="majorBidi" w:cstheme="majorBidi"/>
          <w:b/>
          <w:bCs/>
          <w:i w:val="0"/>
          <w:iCs w:val="0"/>
          <w:sz w:val="20"/>
          <w:szCs w:val="20"/>
        </w:rPr>
      </w:pPr>
    </w:p>
    <w:p w14:paraId="4413F989" w14:textId="77777777" w:rsidR="006854DD" w:rsidRDefault="006854DD" w:rsidP="009F01D8">
      <w:pPr>
        <w:pStyle w:val="Caption"/>
        <w:jc w:val="both"/>
        <w:rPr>
          <w:rFonts w:asciiTheme="majorBidi" w:hAnsiTheme="majorBidi" w:cstheme="majorBidi"/>
          <w:b/>
          <w:bCs/>
          <w:i w:val="0"/>
          <w:iCs w:val="0"/>
          <w:sz w:val="20"/>
          <w:szCs w:val="20"/>
        </w:rPr>
      </w:pPr>
    </w:p>
    <w:p w14:paraId="65A95F45" w14:textId="77777777" w:rsidR="006854DD" w:rsidRDefault="006854DD" w:rsidP="009F01D8">
      <w:pPr>
        <w:pStyle w:val="Caption"/>
        <w:jc w:val="both"/>
        <w:rPr>
          <w:rFonts w:asciiTheme="majorBidi" w:hAnsiTheme="majorBidi" w:cstheme="majorBidi"/>
          <w:b/>
          <w:bCs/>
          <w:i w:val="0"/>
          <w:iCs w:val="0"/>
          <w:sz w:val="20"/>
          <w:szCs w:val="20"/>
        </w:rPr>
      </w:pPr>
    </w:p>
    <w:p w14:paraId="2680A76A" w14:textId="77777777" w:rsidR="006854DD" w:rsidRDefault="006854DD" w:rsidP="009F01D8">
      <w:pPr>
        <w:pStyle w:val="Caption"/>
        <w:jc w:val="both"/>
        <w:rPr>
          <w:rFonts w:asciiTheme="majorBidi" w:hAnsiTheme="majorBidi" w:cstheme="majorBidi"/>
          <w:b/>
          <w:bCs/>
          <w:i w:val="0"/>
          <w:iCs w:val="0"/>
          <w:sz w:val="20"/>
          <w:szCs w:val="20"/>
        </w:rPr>
      </w:pPr>
    </w:p>
    <w:p w14:paraId="04F7B315" w14:textId="77777777" w:rsidR="006854DD" w:rsidRDefault="006854DD" w:rsidP="009F01D8">
      <w:pPr>
        <w:pStyle w:val="Caption"/>
        <w:jc w:val="both"/>
        <w:rPr>
          <w:rFonts w:asciiTheme="majorBidi" w:hAnsiTheme="majorBidi" w:cstheme="majorBidi"/>
          <w:b/>
          <w:bCs/>
          <w:i w:val="0"/>
          <w:iCs w:val="0"/>
          <w:sz w:val="20"/>
          <w:szCs w:val="20"/>
        </w:rPr>
      </w:pPr>
    </w:p>
    <w:p w14:paraId="1A89160E" w14:textId="77777777" w:rsidR="006854DD" w:rsidRDefault="006854DD" w:rsidP="009F01D8">
      <w:pPr>
        <w:pStyle w:val="Caption"/>
        <w:jc w:val="both"/>
        <w:rPr>
          <w:rFonts w:asciiTheme="majorBidi" w:hAnsiTheme="majorBidi" w:cstheme="majorBidi"/>
          <w:b/>
          <w:bCs/>
          <w:i w:val="0"/>
          <w:iCs w:val="0"/>
          <w:sz w:val="20"/>
          <w:szCs w:val="20"/>
        </w:rPr>
      </w:pPr>
    </w:p>
    <w:p w14:paraId="7CB3B96A" w14:textId="6C6052AA" w:rsidR="009F01D8" w:rsidRPr="006854DD" w:rsidRDefault="009F01D8" w:rsidP="009F01D8">
      <w:pPr>
        <w:pStyle w:val="Caption"/>
        <w:jc w:val="both"/>
        <w:rPr>
          <w:rFonts w:asciiTheme="majorBidi" w:hAnsiTheme="majorBidi" w:cstheme="majorBidi"/>
          <w:b/>
          <w:bCs/>
          <w:i w:val="0"/>
          <w:iCs w:val="0"/>
          <w:sz w:val="20"/>
          <w:szCs w:val="20"/>
        </w:rPr>
      </w:pPr>
      <w:bookmarkStart w:id="703" w:name="_Toc86419081"/>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36</w:t>
      </w:r>
      <w:r w:rsidRPr="006854DD">
        <w:rPr>
          <w:rFonts w:asciiTheme="majorBidi" w:hAnsiTheme="majorBidi" w:cstheme="majorBidi"/>
          <w:b/>
          <w:bCs/>
          <w:i w:val="0"/>
          <w:iCs w:val="0"/>
          <w:sz w:val="20"/>
          <w:szCs w:val="20"/>
        </w:rPr>
        <w:t>: Forest plot of OR vs colistin for full dataset, meta-regression model for consecutive samples</w:t>
      </w:r>
      <w:bookmarkEnd w:id="703"/>
    </w:p>
    <w:p w14:paraId="15DD04FB" w14:textId="77777777" w:rsidR="009F01D8" w:rsidRDefault="009F01D8" w:rsidP="009F01D8">
      <w:pPr>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6AD53FC5" wp14:editId="52201F9A">
            <wp:extent cx="5730240" cy="5730240"/>
            <wp:effectExtent l="0" t="0" r="3810" b="3810"/>
            <wp:docPr id="77" name="Picture 77" descr="Forest plot of OR vs colistin for full dataset, meta-regression model for consecutive samples. A summary of these results are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orest plot of OR vs colistin for full dataset, meta-regression model for consecutive samples. A summary of these results are described in the repo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5B14D332" w14:textId="77777777" w:rsidR="009F01D8" w:rsidRPr="006854DD" w:rsidRDefault="009F01D8" w:rsidP="009F01D8">
      <w:pPr>
        <w:spacing w:line="360" w:lineRule="auto"/>
        <w:jc w:val="both"/>
        <w:rPr>
          <w:rFonts w:asciiTheme="majorBidi" w:hAnsiTheme="majorBidi" w:cstheme="majorBidi"/>
          <w:bCs/>
          <w:sz w:val="20"/>
          <w:szCs w:val="20"/>
        </w:rPr>
      </w:pPr>
      <w:r w:rsidRPr="006854DD">
        <w:rPr>
          <w:rFonts w:asciiTheme="majorBidi" w:hAnsiTheme="majorBidi" w:cstheme="majorBidi"/>
          <w:bCs/>
          <w:sz w:val="20"/>
          <w:szCs w:val="20"/>
        </w:rPr>
        <w:t xml:space="preserve">Abbreviations: </w:t>
      </w:r>
      <w:proofErr w:type="gramStart"/>
      <w:r w:rsidRPr="006854DD">
        <w:rPr>
          <w:rFonts w:asciiTheme="majorBidi" w:hAnsiTheme="majorBidi" w:cstheme="majorBidi"/>
          <w:bCs/>
          <w:sz w:val="20"/>
          <w:szCs w:val="20"/>
        </w:rPr>
        <w:t>OR,</w:t>
      </w:r>
      <w:proofErr w:type="gramEnd"/>
      <w:r w:rsidRPr="006854DD">
        <w:rPr>
          <w:rFonts w:asciiTheme="majorBidi" w:hAnsiTheme="majorBidi" w:cstheme="majorBidi"/>
          <w:bCs/>
          <w:sz w:val="20"/>
          <w:szCs w:val="20"/>
        </w:rPr>
        <w:t xml:space="preserve"> odds ratio; </w:t>
      </w:r>
      <w:proofErr w:type="spellStart"/>
      <w:r w:rsidRPr="006854DD">
        <w:rPr>
          <w:rFonts w:asciiTheme="majorBidi" w:hAnsiTheme="majorBidi" w:cstheme="majorBidi"/>
          <w:bCs/>
          <w:sz w:val="20"/>
          <w:szCs w:val="20"/>
        </w:rPr>
        <w:t>CrI</w:t>
      </w:r>
      <w:proofErr w:type="spellEnd"/>
      <w:r w:rsidRPr="006854DD">
        <w:rPr>
          <w:rFonts w:asciiTheme="majorBidi" w:hAnsiTheme="majorBidi" w:cstheme="majorBidi"/>
          <w:bCs/>
          <w:sz w:val="20"/>
          <w:szCs w:val="20"/>
        </w:rPr>
        <w:t xml:space="preserve">, credible interval, </w:t>
      </w:r>
      <w:proofErr w:type="spellStart"/>
      <w:r w:rsidRPr="006854DD">
        <w:rPr>
          <w:rFonts w:asciiTheme="majorBidi" w:hAnsiTheme="majorBidi" w:cstheme="majorBidi"/>
          <w:bCs/>
          <w:sz w:val="20"/>
          <w:szCs w:val="20"/>
        </w:rPr>
        <w:t>PrI</w:t>
      </w:r>
      <w:proofErr w:type="spellEnd"/>
      <w:r w:rsidRPr="006854DD">
        <w:rPr>
          <w:rFonts w:asciiTheme="majorBidi" w:hAnsiTheme="majorBidi" w:cstheme="majorBidi"/>
          <w:bCs/>
          <w:sz w:val="20"/>
          <w:szCs w:val="20"/>
        </w:rPr>
        <w:t>, prediction interval; PB, probability being the best treatment.</w:t>
      </w:r>
    </w:p>
    <w:p w14:paraId="48F6FFFA" w14:textId="77777777" w:rsidR="009F01D8" w:rsidRDefault="009F01D8" w:rsidP="009F01D8">
      <w:pPr>
        <w:jc w:val="both"/>
        <w:rPr>
          <w:rFonts w:asciiTheme="majorBidi" w:hAnsiTheme="majorBidi" w:cstheme="majorBidi"/>
          <w:b/>
          <w:bCs/>
        </w:rPr>
      </w:pPr>
    </w:p>
    <w:p w14:paraId="46C6F95B" w14:textId="77777777" w:rsidR="009F01D8" w:rsidRDefault="009F01D8" w:rsidP="009F01D8">
      <w:pPr>
        <w:jc w:val="both"/>
        <w:rPr>
          <w:rFonts w:asciiTheme="majorBidi" w:hAnsiTheme="majorBidi" w:cstheme="majorBidi"/>
          <w:b/>
          <w:bCs/>
        </w:rPr>
      </w:pPr>
    </w:p>
    <w:p w14:paraId="5A58E23C" w14:textId="77777777" w:rsidR="009F01D8" w:rsidRDefault="009F01D8" w:rsidP="009F01D8">
      <w:pPr>
        <w:jc w:val="both"/>
        <w:rPr>
          <w:rFonts w:asciiTheme="majorBidi" w:hAnsiTheme="majorBidi" w:cstheme="majorBidi"/>
          <w:b/>
          <w:bCs/>
        </w:rPr>
      </w:pPr>
    </w:p>
    <w:p w14:paraId="7A8C99C6" w14:textId="77777777" w:rsidR="006854DD" w:rsidRDefault="006854DD" w:rsidP="005452F3"/>
    <w:p w14:paraId="7AE98D4D" w14:textId="77777777" w:rsidR="006854DD" w:rsidRDefault="006854DD" w:rsidP="005452F3"/>
    <w:p w14:paraId="3AD5515E" w14:textId="77777777" w:rsidR="006854DD" w:rsidRDefault="006854DD" w:rsidP="005452F3"/>
    <w:p w14:paraId="1EEC1142" w14:textId="2B09F074" w:rsidR="009F01D8" w:rsidRPr="00A1033E" w:rsidRDefault="00E052E9" w:rsidP="009F01D8">
      <w:pPr>
        <w:pStyle w:val="Heading3"/>
        <w:ind w:left="360"/>
        <w:rPr>
          <w:rFonts w:asciiTheme="majorBidi" w:hAnsiTheme="majorBidi"/>
          <w:sz w:val="26"/>
          <w:szCs w:val="26"/>
        </w:rPr>
      </w:pPr>
      <w:r>
        <w:rPr>
          <w:rFonts w:asciiTheme="majorBidi" w:hAnsiTheme="majorBidi"/>
          <w:sz w:val="26"/>
          <w:szCs w:val="26"/>
        </w:rPr>
        <w:tab/>
      </w:r>
      <w:bookmarkStart w:id="704" w:name="_Toc87463097"/>
      <w:r w:rsidR="009F01D8" w:rsidRPr="00A1033E">
        <w:rPr>
          <w:rFonts w:asciiTheme="majorBidi" w:hAnsiTheme="majorBidi"/>
          <w:sz w:val="26"/>
          <w:szCs w:val="26"/>
        </w:rPr>
        <w:t xml:space="preserve">A7.3 </w:t>
      </w:r>
      <w:r w:rsidR="00A1033E" w:rsidRPr="00A1033E">
        <w:rPr>
          <w:rFonts w:asciiTheme="majorBidi" w:hAnsiTheme="majorBidi"/>
          <w:sz w:val="26"/>
          <w:szCs w:val="26"/>
        </w:rPr>
        <w:t>Inconsistency</w:t>
      </w:r>
      <w:r w:rsidR="009F01D8" w:rsidRPr="00A1033E">
        <w:rPr>
          <w:rFonts w:asciiTheme="majorBidi" w:hAnsiTheme="majorBidi"/>
          <w:sz w:val="26"/>
          <w:szCs w:val="26"/>
        </w:rPr>
        <w:t xml:space="preserve"> checks</w:t>
      </w:r>
      <w:bookmarkEnd w:id="704"/>
    </w:p>
    <w:p w14:paraId="615ED54F" w14:textId="1026AF15" w:rsidR="009F01D8" w:rsidRPr="006854DD" w:rsidRDefault="009F01D8" w:rsidP="009F01D8">
      <w:pPr>
        <w:pStyle w:val="Caption"/>
        <w:jc w:val="both"/>
        <w:rPr>
          <w:rFonts w:asciiTheme="majorBidi" w:hAnsiTheme="majorBidi" w:cstheme="majorBidi"/>
          <w:b/>
          <w:bCs/>
          <w:i w:val="0"/>
          <w:iCs w:val="0"/>
          <w:sz w:val="20"/>
          <w:szCs w:val="20"/>
        </w:rPr>
      </w:pPr>
      <w:bookmarkStart w:id="705" w:name="_Ref85649440"/>
      <w:bookmarkStart w:id="706" w:name="_Toc83300900"/>
      <w:bookmarkStart w:id="707" w:name="_Toc86419082"/>
      <w:r w:rsidRPr="006854DD">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37</w:t>
      </w:r>
      <w:bookmarkEnd w:id="705"/>
      <w:r w:rsidR="00E4115A">
        <w:rPr>
          <w:rFonts w:asciiTheme="majorBidi" w:hAnsiTheme="majorBidi" w:cstheme="majorBidi"/>
          <w:b/>
          <w:bCs/>
          <w:i w:val="0"/>
          <w:iCs w:val="0"/>
          <w:sz w:val="20"/>
          <w:szCs w:val="20"/>
        </w:rPr>
        <w:t>:</w:t>
      </w:r>
      <w:r w:rsidR="006112D2">
        <w:rPr>
          <w:rFonts w:asciiTheme="majorBidi" w:hAnsiTheme="majorBidi" w:cstheme="majorBidi"/>
          <w:b/>
          <w:bCs/>
          <w:i w:val="0"/>
          <w:iCs w:val="0"/>
          <w:sz w:val="20"/>
          <w:szCs w:val="20"/>
        </w:rPr>
        <w:t xml:space="preserve"> </w:t>
      </w:r>
      <w:r w:rsidRPr="006854DD">
        <w:rPr>
          <w:rFonts w:asciiTheme="majorBidi" w:hAnsiTheme="majorBidi" w:cstheme="majorBidi"/>
          <w:b/>
          <w:bCs/>
          <w:i w:val="0"/>
          <w:iCs w:val="0"/>
          <w:sz w:val="20"/>
          <w:szCs w:val="20"/>
        </w:rPr>
        <w:t>Deviance contribution plot for the full data analysis</w:t>
      </w:r>
      <w:bookmarkEnd w:id="706"/>
      <w:bookmarkEnd w:id="707"/>
    </w:p>
    <w:p w14:paraId="0E2A2AB8" w14:textId="77777777" w:rsidR="009F01D8" w:rsidRDefault="009F01D8" w:rsidP="009F01D8">
      <w:pPr>
        <w:spacing w:line="360" w:lineRule="auto"/>
        <w:jc w:val="both"/>
        <w:rPr>
          <w:rFonts w:asciiTheme="majorBidi" w:hAnsiTheme="majorBidi" w:cstheme="majorBidi"/>
          <w:b/>
          <w:bCs/>
        </w:rPr>
      </w:pPr>
      <w:r>
        <w:rPr>
          <w:rFonts w:asciiTheme="majorBidi" w:hAnsiTheme="majorBidi" w:cstheme="majorBidi"/>
          <w:b/>
          <w:bCs/>
          <w:noProof/>
          <w:lang w:eastAsia="en-GB"/>
        </w:rPr>
        <w:drawing>
          <wp:inline distT="0" distB="0" distL="0" distR="0" wp14:anchorId="1A6349DE" wp14:editId="09D88691">
            <wp:extent cx="3543300" cy="3543300"/>
            <wp:effectExtent l="0" t="0" r="0" b="0"/>
            <wp:docPr id="78" name="Picture 78" descr="Chart&#10;&#10;Deviance contribution plot for the full data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viance contribution plot for the full data analysis "/>
                    <pic:cNvPicPr/>
                  </pic:nvPicPr>
                  <pic:blipFill>
                    <a:blip r:embed="rId57">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14:paraId="6375E518" w14:textId="77777777" w:rsidR="006112D2" w:rsidRDefault="006112D2" w:rsidP="00A1033E">
      <w:pPr>
        <w:pStyle w:val="Caption"/>
        <w:rPr>
          <w:rFonts w:asciiTheme="majorBidi" w:hAnsiTheme="majorBidi" w:cstheme="majorBidi"/>
          <w:b/>
          <w:bCs/>
          <w:i w:val="0"/>
          <w:iCs w:val="0"/>
          <w:sz w:val="20"/>
          <w:szCs w:val="20"/>
        </w:rPr>
      </w:pPr>
      <w:bookmarkStart w:id="708" w:name="_Ref85649447"/>
      <w:bookmarkStart w:id="709" w:name="_Toc83300901"/>
      <w:bookmarkStart w:id="710" w:name="_Toc86419083"/>
    </w:p>
    <w:p w14:paraId="630A58AC" w14:textId="77777777" w:rsidR="006112D2" w:rsidRDefault="006112D2" w:rsidP="00A1033E">
      <w:pPr>
        <w:pStyle w:val="Caption"/>
        <w:rPr>
          <w:rFonts w:asciiTheme="majorBidi" w:hAnsiTheme="majorBidi" w:cstheme="majorBidi"/>
          <w:b/>
          <w:bCs/>
          <w:i w:val="0"/>
          <w:iCs w:val="0"/>
          <w:sz w:val="20"/>
          <w:szCs w:val="20"/>
        </w:rPr>
      </w:pPr>
    </w:p>
    <w:p w14:paraId="45093685" w14:textId="77777777" w:rsidR="006112D2" w:rsidRDefault="006112D2" w:rsidP="00A1033E">
      <w:pPr>
        <w:pStyle w:val="Caption"/>
        <w:rPr>
          <w:rFonts w:asciiTheme="majorBidi" w:hAnsiTheme="majorBidi" w:cstheme="majorBidi"/>
          <w:b/>
          <w:bCs/>
          <w:i w:val="0"/>
          <w:iCs w:val="0"/>
          <w:sz w:val="20"/>
          <w:szCs w:val="20"/>
        </w:rPr>
      </w:pPr>
    </w:p>
    <w:p w14:paraId="1CD39494" w14:textId="77777777" w:rsidR="006112D2" w:rsidRDefault="006112D2" w:rsidP="00A1033E">
      <w:pPr>
        <w:pStyle w:val="Caption"/>
        <w:rPr>
          <w:rFonts w:asciiTheme="majorBidi" w:hAnsiTheme="majorBidi" w:cstheme="majorBidi"/>
          <w:b/>
          <w:bCs/>
          <w:i w:val="0"/>
          <w:iCs w:val="0"/>
          <w:sz w:val="20"/>
          <w:szCs w:val="20"/>
        </w:rPr>
      </w:pPr>
    </w:p>
    <w:p w14:paraId="69D5474D" w14:textId="77777777" w:rsidR="006112D2" w:rsidRDefault="006112D2" w:rsidP="00A1033E">
      <w:pPr>
        <w:pStyle w:val="Caption"/>
        <w:rPr>
          <w:rFonts w:asciiTheme="majorBidi" w:hAnsiTheme="majorBidi" w:cstheme="majorBidi"/>
          <w:b/>
          <w:bCs/>
          <w:i w:val="0"/>
          <w:iCs w:val="0"/>
          <w:sz w:val="20"/>
          <w:szCs w:val="20"/>
        </w:rPr>
      </w:pPr>
    </w:p>
    <w:p w14:paraId="1B909118" w14:textId="77777777" w:rsidR="006112D2" w:rsidRDefault="006112D2" w:rsidP="00A1033E">
      <w:pPr>
        <w:pStyle w:val="Caption"/>
        <w:rPr>
          <w:rFonts w:asciiTheme="majorBidi" w:hAnsiTheme="majorBidi" w:cstheme="majorBidi"/>
          <w:b/>
          <w:bCs/>
          <w:i w:val="0"/>
          <w:iCs w:val="0"/>
          <w:sz w:val="20"/>
          <w:szCs w:val="20"/>
        </w:rPr>
      </w:pPr>
    </w:p>
    <w:p w14:paraId="6D745B31" w14:textId="77777777" w:rsidR="006112D2" w:rsidRDefault="006112D2" w:rsidP="00A1033E">
      <w:pPr>
        <w:pStyle w:val="Caption"/>
        <w:rPr>
          <w:rFonts w:asciiTheme="majorBidi" w:hAnsiTheme="majorBidi" w:cstheme="majorBidi"/>
          <w:b/>
          <w:bCs/>
          <w:i w:val="0"/>
          <w:iCs w:val="0"/>
          <w:sz w:val="20"/>
          <w:szCs w:val="20"/>
        </w:rPr>
      </w:pPr>
    </w:p>
    <w:p w14:paraId="2F960AF2" w14:textId="77777777" w:rsidR="006112D2" w:rsidRDefault="006112D2" w:rsidP="00A1033E">
      <w:pPr>
        <w:pStyle w:val="Caption"/>
        <w:rPr>
          <w:rFonts w:asciiTheme="majorBidi" w:hAnsiTheme="majorBidi" w:cstheme="majorBidi"/>
          <w:b/>
          <w:bCs/>
          <w:i w:val="0"/>
          <w:iCs w:val="0"/>
          <w:sz w:val="20"/>
          <w:szCs w:val="20"/>
        </w:rPr>
      </w:pPr>
    </w:p>
    <w:p w14:paraId="5A37F20F" w14:textId="77777777" w:rsidR="006112D2" w:rsidRDefault="006112D2" w:rsidP="00A1033E">
      <w:pPr>
        <w:pStyle w:val="Caption"/>
        <w:rPr>
          <w:rFonts w:asciiTheme="majorBidi" w:hAnsiTheme="majorBidi" w:cstheme="majorBidi"/>
          <w:b/>
          <w:bCs/>
          <w:i w:val="0"/>
          <w:iCs w:val="0"/>
          <w:sz w:val="20"/>
          <w:szCs w:val="20"/>
        </w:rPr>
      </w:pPr>
    </w:p>
    <w:p w14:paraId="5E65651D" w14:textId="77777777" w:rsidR="006112D2" w:rsidRDefault="006112D2" w:rsidP="00A1033E">
      <w:pPr>
        <w:pStyle w:val="Caption"/>
        <w:rPr>
          <w:rFonts w:asciiTheme="majorBidi" w:hAnsiTheme="majorBidi" w:cstheme="majorBidi"/>
          <w:b/>
          <w:bCs/>
          <w:i w:val="0"/>
          <w:iCs w:val="0"/>
          <w:sz w:val="20"/>
          <w:szCs w:val="20"/>
        </w:rPr>
      </w:pPr>
    </w:p>
    <w:p w14:paraId="5571A353" w14:textId="77777777" w:rsidR="006112D2" w:rsidRDefault="006112D2" w:rsidP="00A1033E">
      <w:pPr>
        <w:pStyle w:val="Caption"/>
        <w:rPr>
          <w:rFonts w:asciiTheme="majorBidi" w:hAnsiTheme="majorBidi" w:cstheme="majorBidi"/>
          <w:b/>
          <w:bCs/>
          <w:i w:val="0"/>
          <w:iCs w:val="0"/>
          <w:sz w:val="20"/>
          <w:szCs w:val="20"/>
        </w:rPr>
      </w:pPr>
    </w:p>
    <w:p w14:paraId="5020FB68" w14:textId="77777777" w:rsidR="006112D2" w:rsidRDefault="006112D2" w:rsidP="00A1033E">
      <w:pPr>
        <w:pStyle w:val="Caption"/>
        <w:rPr>
          <w:rFonts w:asciiTheme="majorBidi" w:hAnsiTheme="majorBidi" w:cstheme="majorBidi"/>
          <w:b/>
          <w:bCs/>
          <w:i w:val="0"/>
          <w:iCs w:val="0"/>
          <w:sz w:val="20"/>
          <w:szCs w:val="20"/>
        </w:rPr>
      </w:pPr>
    </w:p>
    <w:p w14:paraId="35048CFD" w14:textId="77777777" w:rsidR="006112D2" w:rsidRDefault="006112D2" w:rsidP="00A1033E">
      <w:pPr>
        <w:pStyle w:val="Caption"/>
        <w:rPr>
          <w:rFonts w:asciiTheme="majorBidi" w:hAnsiTheme="majorBidi" w:cstheme="majorBidi"/>
          <w:b/>
          <w:bCs/>
          <w:i w:val="0"/>
          <w:iCs w:val="0"/>
          <w:sz w:val="20"/>
          <w:szCs w:val="20"/>
        </w:rPr>
      </w:pPr>
    </w:p>
    <w:p w14:paraId="7152CA45" w14:textId="77777777" w:rsidR="006112D2" w:rsidRDefault="006112D2" w:rsidP="00A1033E">
      <w:pPr>
        <w:pStyle w:val="Caption"/>
        <w:rPr>
          <w:rFonts w:asciiTheme="majorBidi" w:hAnsiTheme="majorBidi" w:cstheme="majorBidi"/>
          <w:b/>
          <w:bCs/>
          <w:i w:val="0"/>
          <w:iCs w:val="0"/>
          <w:sz w:val="20"/>
          <w:szCs w:val="20"/>
        </w:rPr>
      </w:pPr>
    </w:p>
    <w:p w14:paraId="57AC46A2" w14:textId="0B9FACFB" w:rsidR="00E4115A" w:rsidRDefault="009F01D8" w:rsidP="00A1033E">
      <w:pPr>
        <w:pStyle w:val="Caption"/>
        <w:rPr>
          <w:rFonts w:asciiTheme="majorBidi" w:hAnsiTheme="majorBidi" w:cstheme="majorBidi"/>
          <w:b/>
          <w:bCs/>
          <w:i w:val="0"/>
          <w:iCs w:val="0"/>
          <w:sz w:val="20"/>
          <w:szCs w:val="20"/>
        </w:rPr>
      </w:pPr>
      <w:r w:rsidRPr="00A1033E">
        <w:rPr>
          <w:rFonts w:asciiTheme="majorBidi" w:hAnsiTheme="majorBidi" w:cstheme="majorBidi"/>
          <w:b/>
          <w:bCs/>
          <w:i w:val="0"/>
          <w:iCs w:val="0"/>
          <w:sz w:val="20"/>
          <w:szCs w:val="20"/>
        </w:rPr>
        <w:lastRenderedPageBreak/>
        <w:t xml:space="preserve">Figure </w:t>
      </w:r>
      <w:r w:rsidR="0021430F">
        <w:rPr>
          <w:rFonts w:asciiTheme="majorBidi" w:hAnsiTheme="majorBidi" w:cstheme="majorBidi"/>
          <w:b/>
          <w:bCs/>
          <w:i w:val="0"/>
          <w:iCs w:val="0"/>
          <w:noProof/>
          <w:sz w:val="20"/>
          <w:szCs w:val="20"/>
        </w:rPr>
        <w:t>38</w:t>
      </w:r>
      <w:bookmarkEnd w:id="708"/>
      <w:r w:rsidR="00E4115A">
        <w:rPr>
          <w:rFonts w:asciiTheme="majorBidi" w:hAnsiTheme="majorBidi" w:cstheme="majorBidi"/>
          <w:b/>
          <w:bCs/>
          <w:i w:val="0"/>
          <w:iCs w:val="0"/>
          <w:sz w:val="20"/>
          <w:szCs w:val="20"/>
        </w:rPr>
        <w:t>:</w:t>
      </w:r>
      <w:r w:rsidR="00B42C1F">
        <w:rPr>
          <w:rFonts w:asciiTheme="majorBidi" w:hAnsiTheme="majorBidi" w:cstheme="majorBidi"/>
          <w:b/>
          <w:bCs/>
          <w:i w:val="0"/>
          <w:iCs w:val="0"/>
          <w:sz w:val="20"/>
          <w:szCs w:val="20"/>
        </w:rPr>
        <w:t xml:space="preserve"> </w:t>
      </w:r>
      <w:r w:rsidRPr="00A1033E">
        <w:rPr>
          <w:rFonts w:asciiTheme="majorBidi" w:hAnsiTheme="majorBidi" w:cstheme="majorBidi"/>
          <w:b/>
          <w:bCs/>
          <w:i w:val="0"/>
          <w:iCs w:val="0"/>
          <w:sz w:val="20"/>
          <w:szCs w:val="20"/>
        </w:rPr>
        <w:t>Deviance contribution plot for the reduced data analysis</w:t>
      </w:r>
      <w:bookmarkEnd w:id="709"/>
      <w:bookmarkEnd w:id="710"/>
    </w:p>
    <w:p w14:paraId="2B1981C4" w14:textId="77777777" w:rsidR="00E4115A" w:rsidRDefault="00E4115A" w:rsidP="00A1033E">
      <w:pPr>
        <w:pStyle w:val="Caption"/>
        <w:rPr>
          <w:rFonts w:asciiTheme="majorBidi" w:hAnsiTheme="majorBidi" w:cstheme="majorBidi"/>
          <w:b/>
          <w:bCs/>
          <w:i w:val="0"/>
          <w:iCs w:val="0"/>
          <w:sz w:val="20"/>
          <w:szCs w:val="20"/>
        </w:rPr>
      </w:pPr>
    </w:p>
    <w:p w14:paraId="3B9AA76E" w14:textId="03388A2D" w:rsidR="009F01D8" w:rsidRDefault="009F01D8" w:rsidP="00A1033E">
      <w:pPr>
        <w:pStyle w:val="Caption"/>
      </w:pPr>
      <w:r>
        <w:rPr>
          <w:noProof/>
          <w:lang w:eastAsia="en-GB"/>
        </w:rPr>
        <w:drawing>
          <wp:inline distT="0" distB="0" distL="0" distR="0" wp14:anchorId="49BBA2CE" wp14:editId="0CABA441">
            <wp:extent cx="3676650" cy="3676650"/>
            <wp:effectExtent l="0" t="0" r="0" b="0"/>
            <wp:docPr id="81" name="Picture 81" descr="Chart&#10;&#10;Deviance contribution plot for the reduced 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viance contribution plot for the reduced data analysis"/>
                    <pic:cNvPicPr/>
                  </pic:nvPicPr>
                  <pic:blipFill>
                    <a:blip r:embed="rId58">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3715E957" w14:textId="77777777" w:rsidR="009F01D8" w:rsidRPr="005977F7" w:rsidRDefault="009F01D8" w:rsidP="009F01D8">
      <w:pPr>
        <w:jc w:val="both"/>
        <w:sectPr w:rsidR="009F01D8" w:rsidRPr="005977F7" w:rsidSect="009F01D8">
          <w:pgSz w:w="11906" w:h="16838"/>
          <w:pgMar w:top="1440" w:right="1440" w:bottom="1440" w:left="1440" w:header="709" w:footer="709" w:gutter="0"/>
          <w:cols w:space="708"/>
          <w:docGrid w:linePitch="360"/>
        </w:sectPr>
      </w:pPr>
    </w:p>
    <w:p w14:paraId="5EA5769C" w14:textId="77777777" w:rsidR="009F01D8" w:rsidRPr="00A1033E" w:rsidRDefault="009F01D8" w:rsidP="009F01D8">
      <w:pPr>
        <w:pStyle w:val="Heading2"/>
        <w:ind w:left="720" w:hanging="720"/>
        <w:jc w:val="both"/>
        <w:rPr>
          <w:sz w:val="32"/>
          <w:szCs w:val="32"/>
        </w:rPr>
      </w:pPr>
      <w:bookmarkStart w:id="711" w:name="_Toc87463098"/>
      <w:r w:rsidRPr="00A1033E">
        <w:rPr>
          <w:sz w:val="32"/>
          <w:szCs w:val="32"/>
        </w:rPr>
        <w:lastRenderedPageBreak/>
        <w:t>Appendix 8: Additional content for review 4</w:t>
      </w:r>
      <w:bookmarkEnd w:id="711"/>
    </w:p>
    <w:p w14:paraId="0CC42DDE" w14:textId="6A3689F7" w:rsidR="009F01D8" w:rsidRPr="00A1033E" w:rsidRDefault="00A1033E" w:rsidP="00E052E9">
      <w:pPr>
        <w:pStyle w:val="Heading3"/>
        <w:tabs>
          <w:tab w:val="left" w:pos="709"/>
          <w:tab w:val="left" w:pos="851"/>
        </w:tabs>
        <w:ind w:left="360"/>
        <w:rPr>
          <w:rFonts w:asciiTheme="majorBidi" w:hAnsiTheme="majorBidi"/>
          <w:sz w:val="26"/>
          <w:szCs w:val="26"/>
        </w:rPr>
      </w:pPr>
      <w:bookmarkStart w:id="712" w:name="_Hlk78204221"/>
      <w:bookmarkStart w:id="713" w:name="_Hlk78204271"/>
      <w:r>
        <w:rPr>
          <w:rFonts w:asciiTheme="majorBidi" w:hAnsiTheme="majorBidi"/>
          <w:sz w:val="26"/>
          <w:szCs w:val="26"/>
        </w:rPr>
        <w:tab/>
      </w:r>
      <w:bookmarkStart w:id="714" w:name="_Toc87463099"/>
      <w:r w:rsidR="009F01D8" w:rsidRPr="00A1033E">
        <w:rPr>
          <w:rFonts w:asciiTheme="majorBidi" w:hAnsiTheme="majorBidi"/>
          <w:sz w:val="26"/>
          <w:szCs w:val="26"/>
        </w:rPr>
        <w:t xml:space="preserve">A8.1 Quality assessment of </w:t>
      </w:r>
      <w:proofErr w:type="spellStart"/>
      <w:r w:rsidR="009F01D8" w:rsidRPr="00A1033E">
        <w:rPr>
          <w:rFonts w:asciiTheme="majorBidi" w:hAnsiTheme="majorBidi"/>
          <w:sz w:val="26"/>
          <w:szCs w:val="26"/>
        </w:rPr>
        <w:t>Bassetti</w:t>
      </w:r>
      <w:proofErr w:type="spellEnd"/>
      <w:r w:rsidR="009F01D8" w:rsidRPr="00A1033E">
        <w:rPr>
          <w:rFonts w:asciiTheme="majorBidi" w:hAnsiTheme="majorBidi"/>
          <w:sz w:val="26"/>
          <w:szCs w:val="26"/>
        </w:rPr>
        <w:t xml:space="preserve"> et al. 2020.</w:t>
      </w:r>
      <w:bookmarkEnd w:id="714"/>
    </w:p>
    <w:bookmarkEnd w:id="712"/>
    <w:p w14:paraId="5D206667" w14:textId="44EA53D2" w:rsidR="009F01D8" w:rsidRPr="005C18B7" w:rsidRDefault="009F01D8" w:rsidP="00A83123">
      <w:pPr>
        <w:spacing w:line="360" w:lineRule="auto"/>
        <w:jc w:val="both"/>
        <w:rPr>
          <w:rFonts w:asciiTheme="majorBidi" w:hAnsiTheme="majorBidi" w:cstheme="majorBidi"/>
        </w:rPr>
      </w:pPr>
      <w:r w:rsidRPr="005C18B7">
        <w:rPr>
          <w:rFonts w:asciiTheme="majorBidi" w:hAnsiTheme="majorBidi" w:cstheme="majorBidi"/>
        </w:rPr>
        <w:t xml:space="preserve">Quality assessment of the </w:t>
      </w:r>
      <w:proofErr w:type="spellStart"/>
      <w:r w:rsidRPr="005C18B7">
        <w:rPr>
          <w:rFonts w:asciiTheme="majorBidi" w:hAnsiTheme="majorBidi" w:cstheme="majorBidi"/>
        </w:rPr>
        <w:t>Bassetti</w:t>
      </w:r>
      <w:proofErr w:type="spellEnd"/>
      <w:r w:rsidRPr="005C18B7">
        <w:rPr>
          <w:rFonts w:asciiTheme="majorBidi" w:hAnsiTheme="majorBidi" w:cstheme="majorBidi"/>
        </w:rPr>
        <w:t xml:space="preserve"> et al. (2020)</w:t>
      </w:r>
      <w:r w:rsidR="00A83123" w:rsidRPr="00A83123">
        <w:rPr>
          <w:rFonts w:asciiTheme="majorBidi" w:hAnsiTheme="majorBidi" w:cstheme="majorBidi"/>
          <w:noProof/>
          <w:vertAlign w:val="superscript"/>
        </w:rPr>
        <w:t>83</w:t>
      </w:r>
      <w:r w:rsidRPr="005C18B7">
        <w:rPr>
          <w:rFonts w:asciiTheme="majorBidi" w:hAnsiTheme="majorBidi" w:cstheme="majorBidi"/>
        </w:rPr>
        <w:t xml:space="preserve"> systematic review was undertaken using the AMSTAR-2 (A </w:t>
      </w:r>
      <w:proofErr w:type="spellStart"/>
      <w:r w:rsidRPr="005C18B7">
        <w:rPr>
          <w:rFonts w:asciiTheme="majorBidi" w:hAnsiTheme="majorBidi" w:cstheme="majorBidi"/>
        </w:rPr>
        <w:t>MeaSurement</w:t>
      </w:r>
      <w:proofErr w:type="spellEnd"/>
      <w:r w:rsidRPr="005C18B7">
        <w:rPr>
          <w:rFonts w:asciiTheme="majorBidi" w:hAnsiTheme="majorBidi" w:cstheme="majorBidi"/>
        </w:rPr>
        <w:t xml:space="preserve"> Tool to Assess systematic Reviews) critical appraisal tool for systematic reviews that include randomised or nonrandomised studies.</w:t>
      </w:r>
      <w:proofErr w:type="gramStart"/>
      <w:r w:rsidR="004B4D1C" w:rsidRPr="004B4D1C">
        <w:rPr>
          <w:rFonts w:asciiTheme="majorBidi" w:hAnsiTheme="majorBidi" w:cstheme="majorBidi"/>
          <w:noProof/>
          <w:vertAlign w:val="superscript"/>
        </w:rPr>
        <w:t>197</w:t>
      </w:r>
      <w:r w:rsidRPr="005C18B7">
        <w:rPr>
          <w:rFonts w:asciiTheme="majorBidi" w:hAnsiTheme="majorBidi" w:cstheme="majorBidi"/>
        </w:rPr>
        <w:t xml:space="preserve">  The</w:t>
      </w:r>
      <w:proofErr w:type="gramEnd"/>
      <w:r w:rsidRPr="005C18B7">
        <w:rPr>
          <w:rFonts w:asciiTheme="majorBidi" w:hAnsiTheme="majorBidi" w:cstheme="majorBidi"/>
        </w:rPr>
        <w:t xml:space="preserve"> tool comprises 16 questions that can elicit a yes, partial yes, no, or not undertaken response. The results from the AMSTAR-2 assessment, including the rationale for question responses, are presented in </w:t>
      </w:r>
      <w:r w:rsidR="005158B3" w:rsidRPr="005158B3">
        <w:rPr>
          <w:rFonts w:asciiTheme="majorBidi" w:hAnsiTheme="majorBidi" w:cstheme="majorBidi"/>
        </w:rPr>
        <w:t xml:space="preserve">Table </w:t>
      </w:r>
      <w:r w:rsidR="005158B3" w:rsidRPr="005158B3">
        <w:rPr>
          <w:rFonts w:asciiTheme="majorBidi" w:hAnsiTheme="majorBidi" w:cstheme="majorBidi"/>
          <w:noProof/>
        </w:rPr>
        <w:t>49</w:t>
      </w:r>
      <w:r w:rsidRPr="005C18B7">
        <w:rPr>
          <w:rFonts w:asciiTheme="majorBidi" w:hAnsiTheme="majorBidi" w:cstheme="majorBidi"/>
        </w:rPr>
        <w:t>.</w:t>
      </w:r>
    </w:p>
    <w:p w14:paraId="3F056592" w14:textId="77777777" w:rsidR="009F01D8" w:rsidRPr="005C18B7" w:rsidRDefault="009F01D8" w:rsidP="006854DD">
      <w:pPr>
        <w:spacing w:line="360" w:lineRule="auto"/>
        <w:jc w:val="both"/>
        <w:rPr>
          <w:rFonts w:asciiTheme="majorBidi" w:eastAsia="Calibri" w:hAnsiTheme="majorBidi" w:cstheme="majorBidi"/>
        </w:rPr>
      </w:pPr>
      <w:r w:rsidRPr="005C18B7">
        <w:rPr>
          <w:rFonts w:asciiTheme="majorBidi" w:eastAsia="Calibri" w:hAnsiTheme="majorBidi" w:cstheme="majorBidi"/>
        </w:rPr>
        <w:t xml:space="preserve">There were some issues with the quality of the review including a lack of detail about the included studies; poor reporting of the meta-analysis methodology; no assessment of the impact of risk of bias of the studies on the review findings; a lack of exploration of sources of heterogeneity and some limitations to the search strategy. </w:t>
      </w:r>
      <w:r>
        <w:rPr>
          <w:rFonts w:asciiTheme="majorBidi" w:eastAsia="Calibri" w:hAnsiTheme="majorBidi" w:cstheme="majorBidi"/>
        </w:rPr>
        <w:t>Since t</w:t>
      </w:r>
      <w:r w:rsidRPr="005C18B7">
        <w:rPr>
          <w:rFonts w:asciiTheme="majorBidi" w:eastAsia="Calibri" w:hAnsiTheme="majorBidi" w:cstheme="majorBidi"/>
        </w:rPr>
        <w:t xml:space="preserve">he review did not report a meta-analysis of studies in the sites of interest in UK or European </w:t>
      </w:r>
      <w:proofErr w:type="gramStart"/>
      <w:r w:rsidRPr="005C18B7">
        <w:rPr>
          <w:rFonts w:asciiTheme="majorBidi" w:eastAsia="Calibri" w:hAnsiTheme="majorBidi" w:cstheme="majorBidi"/>
        </w:rPr>
        <w:t xml:space="preserve">studies, </w:t>
      </w:r>
      <w:r>
        <w:rPr>
          <w:rFonts w:asciiTheme="majorBidi" w:eastAsia="Calibri" w:hAnsiTheme="majorBidi" w:cstheme="majorBidi"/>
        </w:rPr>
        <w:t>and</w:t>
      </w:r>
      <w:proofErr w:type="gramEnd"/>
      <w:r>
        <w:rPr>
          <w:rFonts w:asciiTheme="majorBidi" w:eastAsia="Calibri" w:hAnsiTheme="majorBidi" w:cstheme="majorBidi"/>
        </w:rPr>
        <w:t xml:space="preserve"> was therefore of primary use</w:t>
      </w:r>
      <w:r w:rsidRPr="005C18B7">
        <w:rPr>
          <w:rFonts w:asciiTheme="majorBidi" w:eastAsia="Calibri" w:hAnsiTheme="majorBidi" w:cstheme="majorBidi"/>
        </w:rPr>
        <w:t xml:space="preserve"> as a source of potentially relevant studies</w:t>
      </w:r>
      <w:r>
        <w:rPr>
          <w:rFonts w:asciiTheme="majorBidi" w:eastAsia="Calibri" w:hAnsiTheme="majorBidi" w:cstheme="majorBidi"/>
        </w:rPr>
        <w:t>, most of the issues identified with quality were not of concern</w:t>
      </w:r>
      <w:r w:rsidRPr="005C18B7">
        <w:rPr>
          <w:rFonts w:asciiTheme="majorBidi" w:eastAsia="Calibri" w:hAnsiTheme="majorBidi" w:cstheme="majorBidi"/>
        </w:rPr>
        <w:t xml:space="preserve">. </w:t>
      </w:r>
    </w:p>
    <w:p w14:paraId="4D1657F2" w14:textId="203BDED0" w:rsidR="009F01D8" w:rsidRPr="005C18B7" w:rsidRDefault="009F01D8" w:rsidP="006854DD">
      <w:pPr>
        <w:spacing w:line="360" w:lineRule="auto"/>
        <w:jc w:val="both"/>
        <w:rPr>
          <w:rFonts w:asciiTheme="majorBidi" w:hAnsiTheme="majorBidi" w:cstheme="majorBidi"/>
        </w:rPr>
        <w:sectPr w:rsidR="009F01D8" w:rsidRPr="005C18B7">
          <w:pgSz w:w="11906" w:h="16838"/>
          <w:pgMar w:top="1440" w:right="1440" w:bottom="1440" w:left="1440" w:header="708" w:footer="708" w:gutter="0"/>
          <w:cols w:space="708"/>
          <w:docGrid w:linePitch="360"/>
        </w:sectPr>
      </w:pPr>
      <w:r w:rsidRPr="005C18B7">
        <w:rPr>
          <w:rFonts w:asciiTheme="majorBidi" w:eastAsia="Calibri" w:hAnsiTheme="majorBidi" w:cstheme="majorBidi"/>
        </w:rPr>
        <w:t xml:space="preserve">Some issues were identified with the robustness of the search </w:t>
      </w:r>
      <w:r w:rsidRPr="000574E4">
        <w:rPr>
          <w:rFonts w:asciiTheme="majorBidi" w:eastAsia="Calibri" w:hAnsiTheme="majorBidi" w:cstheme="majorBidi"/>
        </w:rPr>
        <w:t xml:space="preserve">strategy (see </w:t>
      </w:r>
      <w:r w:rsidR="005158B3" w:rsidRPr="000574E4">
        <w:rPr>
          <w:rFonts w:asciiTheme="majorBidi" w:hAnsiTheme="majorBidi" w:cstheme="majorBidi"/>
          <w:bCs/>
          <w:iCs/>
        </w:rPr>
        <w:t xml:space="preserve">Table </w:t>
      </w:r>
      <w:r w:rsidR="005158B3" w:rsidRPr="000574E4">
        <w:rPr>
          <w:rFonts w:asciiTheme="majorBidi" w:hAnsiTheme="majorBidi" w:cstheme="majorBidi"/>
          <w:bCs/>
          <w:iCs/>
          <w:noProof/>
        </w:rPr>
        <w:t>49</w:t>
      </w:r>
      <w:r w:rsidRPr="000574E4">
        <w:rPr>
          <w:rFonts w:asciiTheme="majorBidi" w:eastAsia="Calibri" w:hAnsiTheme="majorBidi" w:cstheme="majorBidi"/>
        </w:rPr>
        <w:t>) in that</w:t>
      </w:r>
      <w:r w:rsidRPr="005C18B7">
        <w:rPr>
          <w:rFonts w:asciiTheme="majorBidi" w:eastAsia="Calibri" w:hAnsiTheme="majorBidi" w:cstheme="majorBidi"/>
        </w:rPr>
        <w:t xml:space="preserve"> it did not search reference lists of included studies, trail registers or grey literature, and did not contact experts. The period 2007 to present day was searched using an improved search strategy to capture any studies that may have been missed, but no additional search strategies were employed in our updated search due to time constraints.</w:t>
      </w:r>
    </w:p>
    <w:p w14:paraId="6D38CACF" w14:textId="77777777" w:rsidR="009F01D8" w:rsidRPr="005C18B7" w:rsidRDefault="009F01D8" w:rsidP="009F01D8">
      <w:pPr>
        <w:jc w:val="both"/>
        <w:rPr>
          <w:rFonts w:asciiTheme="majorBidi" w:hAnsiTheme="majorBidi" w:cstheme="majorBidi"/>
        </w:rPr>
      </w:pPr>
    </w:p>
    <w:p w14:paraId="36C9569E" w14:textId="5D6A4037" w:rsidR="009F01D8" w:rsidRPr="006854DD" w:rsidRDefault="009F01D8" w:rsidP="009F01D8">
      <w:pPr>
        <w:pStyle w:val="Caption"/>
        <w:jc w:val="both"/>
        <w:rPr>
          <w:rFonts w:asciiTheme="majorBidi" w:hAnsiTheme="majorBidi" w:cstheme="majorBidi"/>
          <w:b/>
          <w:i w:val="0"/>
          <w:sz w:val="20"/>
          <w:szCs w:val="20"/>
        </w:rPr>
      </w:pPr>
      <w:bookmarkStart w:id="715" w:name="_Ref79138692"/>
      <w:bookmarkStart w:id="716" w:name="_Toc83300874"/>
      <w:bookmarkStart w:id="717" w:name="_Toc86419033"/>
      <w:r w:rsidRPr="006854DD">
        <w:rPr>
          <w:rFonts w:asciiTheme="majorBidi" w:hAnsiTheme="majorBidi" w:cstheme="majorBidi"/>
          <w:b/>
          <w:i w:val="0"/>
          <w:sz w:val="20"/>
          <w:szCs w:val="20"/>
        </w:rPr>
        <w:t xml:space="preserve">Table </w:t>
      </w:r>
      <w:r w:rsidR="00F10F0A">
        <w:rPr>
          <w:rFonts w:asciiTheme="majorBidi" w:hAnsiTheme="majorBidi" w:cstheme="majorBidi"/>
          <w:b/>
          <w:i w:val="0"/>
          <w:noProof/>
          <w:sz w:val="20"/>
          <w:szCs w:val="20"/>
        </w:rPr>
        <w:t>56</w:t>
      </w:r>
      <w:bookmarkEnd w:id="715"/>
      <w:r w:rsidRPr="006854DD">
        <w:rPr>
          <w:rFonts w:asciiTheme="majorBidi" w:hAnsiTheme="majorBidi" w:cstheme="majorBidi"/>
          <w:b/>
          <w:i w:val="0"/>
          <w:sz w:val="20"/>
          <w:szCs w:val="20"/>
        </w:rPr>
        <w:t xml:space="preserve">. AMSTAR-2 quality assessment of the </w:t>
      </w:r>
      <w:proofErr w:type="spellStart"/>
      <w:r w:rsidRPr="006854DD">
        <w:rPr>
          <w:rFonts w:asciiTheme="majorBidi" w:hAnsiTheme="majorBidi" w:cstheme="majorBidi"/>
          <w:b/>
          <w:i w:val="0"/>
          <w:sz w:val="20"/>
          <w:szCs w:val="20"/>
        </w:rPr>
        <w:t>Bassetti</w:t>
      </w:r>
      <w:proofErr w:type="spellEnd"/>
      <w:r w:rsidRPr="006854DD">
        <w:rPr>
          <w:rFonts w:asciiTheme="majorBidi" w:hAnsiTheme="majorBidi" w:cstheme="majorBidi"/>
          <w:b/>
          <w:i w:val="0"/>
          <w:sz w:val="20"/>
          <w:szCs w:val="20"/>
        </w:rPr>
        <w:t xml:space="preserve"> et al. (2020) systematic review</w:t>
      </w:r>
      <w:bookmarkEnd w:id="716"/>
      <w:bookmarkEnd w:id="717"/>
    </w:p>
    <w:tbl>
      <w:tblPr>
        <w:tblStyle w:val="TableGrid"/>
        <w:tblW w:w="0" w:type="auto"/>
        <w:tblLook w:val="04A0" w:firstRow="1" w:lastRow="0" w:firstColumn="1" w:lastColumn="0" w:noHBand="0" w:noVBand="1"/>
      </w:tblPr>
      <w:tblGrid>
        <w:gridCol w:w="2487"/>
        <w:gridCol w:w="1215"/>
        <w:gridCol w:w="5314"/>
      </w:tblGrid>
      <w:tr w:rsidR="009F01D8" w:rsidRPr="005C18B7" w14:paraId="624C0855" w14:textId="77777777" w:rsidTr="009F01D8">
        <w:trPr>
          <w:tblHeader/>
        </w:trPr>
        <w:tc>
          <w:tcPr>
            <w:tcW w:w="2972" w:type="dxa"/>
          </w:tcPr>
          <w:p w14:paraId="650CC922" w14:textId="77777777" w:rsidR="009F01D8" w:rsidRPr="006854DD" w:rsidRDefault="009F01D8" w:rsidP="009F01D8">
            <w:pPr>
              <w:jc w:val="both"/>
              <w:rPr>
                <w:rFonts w:asciiTheme="majorBidi" w:hAnsiTheme="majorBidi" w:cstheme="majorBidi"/>
                <w:b/>
                <w:bCs/>
              </w:rPr>
            </w:pPr>
            <w:r w:rsidRPr="006854DD">
              <w:rPr>
                <w:rFonts w:asciiTheme="majorBidi" w:hAnsiTheme="majorBidi" w:cstheme="majorBidi"/>
                <w:b/>
                <w:bCs/>
              </w:rPr>
              <w:t>AMSTAR-2 question</w:t>
            </w:r>
          </w:p>
        </w:tc>
        <w:tc>
          <w:tcPr>
            <w:tcW w:w="1276" w:type="dxa"/>
          </w:tcPr>
          <w:p w14:paraId="368D001C" w14:textId="77777777" w:rsidR="009F01D8" w:rsidRPr="006854DD" w:rsidRDefault="009F01D8" w:rsidP="009F01D8">
            <w:pPr>
              <w:jc w:val="both"/>
              <w:rPr>
                <w:rFonts w:asciiTheme="majorBidi" w:hAnsiTheme="majorBidi" w:cstheme="majorBidi"/>
                <w:b/>
                <w:bCs/>
              </w:rPr>
            </w:pPr>
            <w:r w:rsidRPr="006854DD">
              <w:rPr>
                <w:rFonts w:asciiTheme="majorBidi" w:hAnsiTheme="majorBidi" w:cstheme="majorBidi"/>
                <w:b/>
                <w:bCs/>
              </w:rPr>
              <w:t>Response</w:t>
            </w:r>
          </w:p>
        </w:tc>
        <w:tc>
          <w:tcPr>
            <w:tcW w:w="6985" w:type="dxa"/>
          </w:tcPr>
          <w:p w14:paraId="5A49F515" w14:textId="77777777" w:rsidR="009F01D8" w:rsidRPr="006854DD" w:rsidRDefault="009F01D8" w:rsidP="009F01D8">
            <w:pPr>
              <w:jc w:val="both"/>
              <w:rPr>
                <w:rFonts w:asciiTheme="majorBidi" w:hAnsiTheme="majorBidi" w:cstheme="majorBidi"/>
                <w:b/>
                <w:bCs/>
              </w:rPr>
            </w:pPr>
            <w:r w:rsidRPr="006854DD">
              <w:rPr>
                <w:rFonts w:asciiTheme="majorBidi" w:hAnsiTheme="majorBidi" w:cstheme="majorBidi"/>
                <w:b/>
                <w:bCs/>
              </w:rPr>
              <w:t>Rationale</w:t>
            </w:r>
          </w:p>
        </w:tc>
      </w:tr>
      <w:tr w:rsidR="009F01D8" w:rsidRPr="005C18B7" w14:paraId="37894E69" w14:textId="77777777" w:rsidTr="009F01D8">
        <w:tc>
          <w:tcPr>
            <w:tcW w:w="2972" w:type="dxa"/>
          </w:tcPr>
          <w:p w14:paraId="19E89FB0"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1. Did the research questions and inclusion criteria for the review include the components of PICO?</w:t>
            </w:r>
          </w:p>
        </w:tc>
        <w:tc>
          <w:tcPr>
            <w:tcW w:w="1276" w:type="dxa"/>
            <w:shd w:val="clear" w:color="auto" w:fill="00B050"/>
          </w:tcPr>
          <w:p w14:paraId="0C42F19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7F3BE33B"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Studies were eligible for inclusion that reported the impact of delayed appropriate antibiotic therapy for hospitalised adult patients with severe bacterial infections, including but not limited to urinary tract infections (UTIs), nosocomial pneumonia, bacteraemia, intra-abdominal infections, central nervous system infections, skin and soft-tissue infections and endocarditis. Studies were required to report the appropriateness of antibiotic therapy, an identifiable delay to initiation of appropriate therapy, and at least one of the following outcomes: mortality, treatment success, infection progression, clinical cure, microbiological eradication, duration of antibiotic treatment, </w:t>
            </w:r>
            <w:proofErr w:type="gramStart"/>
            <w:r w:rsidRPr="006854DD">
              <w:rPr>
                <w:rFonts w:asciiTheme="majorBidi" w:hAnsiTheme="majorBidi" w:cstheme="majorBidi"/>
              </w:rPr>
              <w:t>hospital</w:t>
            </w:r>
            <w:proofErr w:type="gramEnd"/>
            <w:r w:rsidRPr="006854DD">
              <w:rPr>
                <w:rFonts w:asciiTheme="majorBidi" w:hAnsiTheme="majorBidi" w:cstheme="majorBidi"/>
              </w:rPr>
              <w:t xml:space="preserve"> or intensive care unit (ICU) LOS or healthcare costs</w:t>
            </w:r>
          </w:p>
        </w:tc>
      </w:tr>
      <w:tr w:rsidR="009F01D8" w:rsidRPr="005C18B7" w14:paraId="100E90AB" w14:textId="77777777" w:rsidTr="009F01D8">
        <w:tc>
          <w:tcPr>
            <w:tcW w:w="2972" w:type="dxa"/>
          </w:tcPr>
          <w:p w14:paraId="2991F54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2. Did the report of the review contain an explicit statement that the review methods were established prior to the conduct of the review and did the report justify any significant deviations from the protocol?</w:t>
            </w:r>
          </w:p>
        </w:tc>
        <w:tc>
          <w:tcPr>
            <w:tcW w:w="1276" w:type="dxa"/>
            <w:shd w:val="clear" w:color="auto" w:fill="00B050"/>
          </w:tcPr>
          <w:p w14:paraId="5F7B642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1BBF2C2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The protocol detailing the review question, search strategy, inclusion and exclusion criteria, risk of bias assessment methods, and meta-analysis plane, was published on the PROSPERO database (CRD42018104669). Due to heterogeneity between studies, random-effects models were used for meta- analyses. There were no deviations from the published protocol evident in the peer-reviewed publication.</w:t>
            </w:r>
          </w:p>
        </w:tc>
      </w:tr>
      <w:tr w:rsidR="009F01D8" w:rsidRPr="005C18B7" w14:paraId="00530F9F" w14:textId="77777777" w:rsidTr="009F01D8">
        <w:tc>
          <w:tcPr>
            <w:tcW w:w="2972" w:type="dxa"/>
          </w:tcPr>
          <w:p w14:paraId="19D0AD31"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3. Did the review authors explain their selection of the study designs for inclusion in the review?</w:t>
            </w:r>
          </w:p>
        </w:tc>
        <w:tc>
          <w:tcPr>
            <w:tcW w:w="1276" w:type="dxa"/>
            <w:shd w:val="clear" w:color="auto" w:fill="FF0000"/>
          </w:tcPr>
          <w:p w14:paraId="7590E5B2"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52C8E702" w14:textId="300FEF49" w:rsidR="009F01D8" w:rsidRPr="006854DD" w:rsidRDefault="002961EA" w:rsidP="009F01D8">
            <w:pPr>
              <w:jc w:val="both"/>
              <w:rPr>
                <w:rFonts w:asciiTheme="majorBidi" w:hAnsiTheme="majorBidi" w:cstheme="majorBidi"/>
              </w:rPr>
            </w:pPr>
            <w:r>
              <w:rPr>
                <w:rFonts w:asciiTheme="majorBidi" w:hAnsiTheme="majorBidi" w:cstheme="majorBidi"/>
              </w:rPr>
              <w:t>RCTs</w:t>
            </w:r>
            <w:r w:rsidR="009F01D8" w:rsidRPr="006854DD">
              <w:rPr>
                <w:rFonts w:asciiTheme="majorBidi" w:hAnsiTheme="majorBidi" w:cstheme="majorBidi"/>
              </w:rPr>
              <w:t>, non-randomised comparative studies and observational studies were eligible, but no rationale for inclusion of these study designs was reported.</w:t>
            </w:r>
          </w:p>
        </w:tc>
      </w:tr>
      <w:tr w:rsidR="009F01D8" w:rsidRPr="005C18B7" w14:paraId="38A84CB4" w14:textId="77777777" w:rsidTr="009F01D8">
        <w:tc>
          <w:tcPr>
            <w:tcW w:w="2972" w:type="dxa"/>
          </w:tcPr>
          <w:p w14:paraId="0D8AFCB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4. Did the review authors use a comprehensive literature search strategy?</w:t>
            </w:r>
          </w:p>
        </w:tc>
        <w:tc>
          <w:tcPr>
            <w:tcW w:w="1276" w:type="dxa"/>
            <w:shd w:val="clear" w:color="auto" w:fill="FF0000"/>
          </w:tcPr>
          <w:p w14:paraId="280DA391"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2E48C48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Although both MEDLINE and EMBASE were searched along with searching the reference lists of relevant systematic reviews and a citation search, there were no additional searches of the reference lists of included studies, trials registers or grey literature. There was also no consultation with topic experts to identify additional studies.</w:t>
            </w:r>
          </w:p>
        </w:tc>
      </w:tr>
      <w:tr w:rsidR="009F01D8" w:rsidRPr="005C18B7" w14:paraId="2655A507" w14:textId="77777777" w:rsidTr="009F01D8">
        <w:tc>
          <w:tcPr>
            <w:tcW w:w="2972" w:type="dxa"/>
          </w:tcPr>
          <w:p w14:paraId="2B93712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5. Did the review authors perform study selection in duplicate?</w:t>
            </w:r>
          </w:p>
        </w:tc>
        <w:tc>
          <w:tcPr>
            <w:tcW w:w="1276" w:type="dxa"/>
            <w:shd w:val="clear" w:color="auto" w:fill="00B050"/>
          </w:tcPr>
          <w:p w14:paraId="5269B8B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3CE1325B"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Two reviewers independently screened the titles and abstracts for inclusion and assessed potentially relevant full-texts against the eligibility cri- </w:t>
            </w:r>
            <w:proofErr w:type="spellStart"/>
            <w:r w:rsidRPr="006854DD">
              <w:rPr>
                <w:rFonts w:asciiTheme="majorBidi" w:hAnsiTheme="majorBidi" w:cstheme="majorBidi"/>
              </w:rPr>
              <w:t>teria</w:t>
            </w:r>
            <w:proofErr w:type="spellEnd"/>
            <w:r w:rsidRPr="006854DD">
              <w:rPr>
                <w:rFonts w:asciiTheme="majorBidi" w:hAnsiTheme="majorBidi" w:cstheme="majorBidi"/>
              </w:rPr>
              <w:t>.</w:t>
            </w:r>
          </w:p>
        </w:tc>
      </w:tr>
      <w:tr w:rsidR="009F01D8" w:rsidRPr="005C18B7" w14:paraId="1C731240" w14:textId="77777777" w:rsidTr="009F01D8">
        <w:tc>
          <w:tcPr>
            <w:tcW w:w="2972" w:type="dxa"/>
          </w:tcPr>
          <w:p w14:paraId="3EA8BA76"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6. Did the review authors perform data extraction in duplicate?</w:t>
            </w:r>
          </w:p>
        </w:tc>
        <w:tc>
          <w:tcPr>
            <w:tcW w:w="1276" w:type="dxa"/>
            <w:shd w:val="clear" w:color="auto" w:fill="00B050"/>
          </w:tcPr>
          <w:p w14:paraId="6A060E31"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055B590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One reviewer extracted data from eligible studies using a piloted data extraction form, and a second reviewer verified every data point.</w:t>
            </w:r>
          </w:p>
        </w:tc>
      </w:tr>
      <w:tr w:rsidR="009F01D8" w:rsidRPr="005C18B7" w14:paraId="4D9E5A34" w14:textId="77777777" w:rsidTr="009F01D8">
        <w:tc>
          <w:tcPr>
            <w:tcW w:w="2972" w:type="dxa"/>
          </w:tcPr>
          <w:p w14:paraId="058FD74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7. Did the review authors provide a list of excluded studies and justify the exclusions?</w:t>
            </w:r>
          </w:p>
        </w:tc>
        <w:tc>
          <w:tcPr>
            <w:tcW w:w="1276" w:type="dxa"/>
            <w:shd w:val="clear" w:color="auto" w:fill="FF0000"/>
          </w:tcPr>
          <w:p w14:paraId="7A4270D8"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61EFF532"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The review flow diagram reports that 366 articles were excluded at the full-text stage along with the number for each reason for exclusion. However, there is no table of these studies, providing the author and a citation for each of the 366 articles.</w:t>
            </w:r>
          </w:p>
        </w:tc>
      </w:tr>
      <w:tr w:rsidR="009F01D8" w:rsidRPr="005C18B7" w14:paraId="5717D56B" w14:textId="77777777" w:rsidTr="009F01D8">
        <w:tc>
          <w:tcPr>
            <w:tcW w:w="2972" w:type="dxa"/>
          </w:tcPr>
          <w:p w14:paraId="4EF74AF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8. Did the review authors describe the included studies in adequate detail?</w:t>
            </w:r>
          </w:p>
        </w:tc>
        <w:tc>
          <w:tcPr>
            <w:tcW w:w="1276" w:type="dxa"/>
            <w:shd w:val="clear" w:color="auto" w:fill="FF0000"/>
          </w:tcPr>
          <w:p w14:paraId="0003C9EA"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2C65C3D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Whilst there was a narrative summary and tabulation of the interventions, outcomes, settings, and study designs, there was limited detail on the populations in the included studies.</w:t>
            </w:r>
          </w:p>
        </w:tc>
      </w:tr>
      <w:tr w:rsidR="009F01D8" w:rsidRPr="005C18B7" w14:paraId="4783F52D" w14:textId="77777777" w:rsidTr="009F01D8">
        <w:tc>
          <w:tcPr>
            <w:tcW w:w="2972" w:type="dxa"/>
          </w:tcPr>
          <w:p w14:paraId="48635342"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lastRenderedPageBreak/>
              <w:t>9. Did the review authors use a satisfactory technique for assessing the risk of bias (</w:t>
            </w:r>
            <w:proofErr w:type="spellStart"/>
            <w:r w:rsidRPr="006854DD">
              <w:rPr>
                <w:rFonts w:asciiTheme="majorBidi" w:hAnsiTheme="majorBidi" w:cstheme="majorBidi"/>
              </w:rPr>
              <w:t>RoB</w:t>
            </w:r>
            <w:proofErr w:type="spellEnd"/>
            <w:r w:rsidRPr="006854DD">
              <w:rPr>
                <w:rFonts w:asciiTheme="majorBidi" w:hAnsiTheme="majorBidi" w:cstheme="majorBidi"/>
              </w:rPr>
              <w:t>) in individual studies that were included in the review?</w:t>
            </w:r>
          </w:p>
        </w:tc>
        <w:tc>
          <w:tcPr>
            <w:tcW w:w="1276" w:type="dxa"/>
            <w:shd w:val="clear" w:color="auto" w:fill="00B050"/>
          </w:tcPr>
          <w:p w14:paraId="257DE3FE"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69A05905"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Risk of bias was assessed using a relevant tool (Newcastle–Ottawa scale, CRD Cohort study checklist or Cochrane risk-of-bias tool)</w:t>
            </w:r>
          </w:p>
        </w:tc>
      </w:tr>
      <w:tr w:rsidR="009F01D8" w:rsidRPr="005C18B7" w14:paraId="41B8EEF5" w14:textId="77777777" w:rsidTr="009F01D8">
        <w:tc>
          <w:tcPr>
            <w:tcW w:w="2972" w:type="dxa"/>
          </w:tcPr>
          <w:p w14:paraId="2C618974"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10. Did the review authors report on the sources of funding for the studies included in the review?</w:t>
            </w:r>
          </w:p>
        </w:tc>
        <w:tc>
          <w:tcPr>
            <w:tcW w:w="1276" w:type="dxa"/>
            <w:shd w:val="clear" w:color="auto" w:fill="FF0000"/>
          </w:tcPr>
          <w:p w14:paraId="34E2F345"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019B668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The sources of funding of the included studies were not reported.</w:t>
            </w:r>
          </w:p>
        </w:tc>
      </w:tr>
      <w:tr w:rsidR="009F01D8" w:rsidRPr="005C18B7" w14:paraId="3973DDA2" w14:textId="77777777" w:rsidTr="009F01D8">
        <w:tc>
          <w:tcPr>
            <w:tcW w:w="2972" w:type="dxa"/>
          </w:tcPr>
          <w:p w14:paraId="6EB40365"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11. If meta-analysis was performed did the review authors use appropriate methods for statistical combination of results?</w:t>
            </w:r>
          </w:p>
        </w:tc>
        <w:tc>
          <w:tcPr>
            <w:tcW w:w="1276" w:type="dxa"/>
            <w:shd w:val="clear" w:color="auto" w:fill="FF0000"/>
          </w:tcPr>
          <w:p w14:paraId="0AF32F8F"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2E7429C9"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Although it was reported that odds ratios were combined in a meta-analysis applying random effects, the weighting method was not reported, and subgroup or sensitivity analyses to investigate potential sources of heterogeneity were not undertaken. There was also no justification for pooling data in a meta-analysis.</w:t>
            </w:r>
          </w:p>
        </w:tc>
      </w:tr>
      <w:tr w:rsidR="009F01D8" w:rsidRPr="005C18B7" w14:paraId="5BCD6D33" w14:textId="77777777" w:rsidTr="009F01D8">
        <w:tc>
          <w:tcPr>
            <w:tcW w:w="2972" w:type="dxa"/>
          </w:tcPr>
          <w:p w14:paraId="2D0A72FC"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12. If meta-analysis was performed, did the review authors assess the potential impact of </w:t>
            </w:r>
            <w:proofErr w:type="spellStart"/>
            <w:r w:rsidRPr="006854DD">
              <w:rPr>
                <w:rFonts w:asciiTheme="majorBidi" w:hAnsiTheme="majorBidi" w:cstheme="majorBidi"/>
              </w:rPr>
              <w:t>RoB</w:t>
            </w:r>
            <w:proofErr w:type="spellEnd"/>
            <w:r w:rsidRPr="006854DD">
              <w:rPr>
                <w:rFonts w:asciiTheme="majorBidi" w:hAnsiTheme="majorBidi" w:cstheme="majorBidi"/>
              </w:rPr>
              <w:t xml:space="preserve"> in individual studies on the results of the meta-analysis or other evidence synthesis?</w:t>
            </w:r>
          </w:p>
        </w:tc>
        <w:tc>
          <w:tcPr>
            <w:tcW w:w="1276" w:type="dxa"/>
            <w:shd w:val="clear" w:color="auto" w:fill="FF0000"/>
          </w:tcPr>
          <w:p w14:paraId="04E9ECF1"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1D33804B"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The authors did not </w:t>
            </w:r>
            <w:proofErr w:type="gramStart"/>
            <w:r w:rsidRPr="006854DD">
              <w:rPr>
                <w:rFonts w:asciiTheme="majorBidi" w:hAnsiTheme="majorBidi" w:cstheme="majorBidi"/>
              </w:rPr>
              <w:t>performed</w:t>
            </w:r>
            <w:proofErr w:type="gramEnd"/>
            <w:r w:rsidRPr="006854DD">
              <w:rPr>
                <w:rFonts w:asciiTheme="majorBidi" w:hAnsiTheme="majorBidi" w:cstheme="majorBidi"/>
              </w:rPr>
              <w:t xml:space="preserve"> any analyses to investigate possible impact of risk of bias on summary estimates of effect.</w:t>
            </w:r>
          </w:p>
        </w:tc>
      </w:tr>
      <w:tr w:rsidR="009F01D8" w:rsidRPr="005C18B7" w14:paraId="4F85FA22" w14:textId="77777777" w:rsidTr="009F01D8">
        <w:tc>
          <w:tcPr>
            <w:tcW w:w="2972" w:type="dxa"/>
          </w:tcPr>
          <w:p w14:paraId="72E320F4"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13. Did the review authors account for </w:t>
            </w:r>
            <w:proofErr w:type="spellStart"/>
            <w:r w:rsidRPr="006854DD">
              <w:rPr>
                <w:rFonts w:asciiTheme="majorBidi" w:hAnsiTheme="majorBidi" w:cstheme="majorBidi"/>
              </w:rPr>
              <w:t>RoB</w:t>
            </w:r>
            <w:proofErr w:type="spellEnd"/>
            <w:r w:rsidRPr="006854DD">
              <w:rPr>
                <w:rFonts w:asciiTheme="majorBidi" w:hAnsiTheme="majorBidi" w:cstheme="majorBidi"/>
              </w:rPr>
              <w:t xml:space="preserve"> in individual studies when interpreting/ discussing the results of the review?</w:t>
            </w:r>
          </w:p>
        </w:tc>
        <w:tc>
          <w:tcPr>
            <w:tcW w:w="1276" w:type="dxa"/>
            <w:shd w:val="clear" w:color="auto" w:fill="FF0000"/>
          </w:tcPr>
          <w:p w14:paraId="0E743245"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1AB93DD6"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There was no interpretation or discussion of </w:t>
            </w:r>
            <w:proofErr w:type="spellStart"/>
            <w:r w:rsidRPr="006854DD">
              <w:rPr>
                <w:rFonts w:asciiTheme="majorBidi" w:hAnsiTheme="majorBidi" w:cstheme="majorBidi"/>
              </w:rPr>
              <w:t>RoB</w:t>
            </w:r>
            <w:proofErr w:type="spellEnd"/>
          </w:p>
        </w:tc>
      </w:tr>
      <w:tr w:rsidR="009F01D8" w:rsidRPr="005C18B7" w14:paraId="306A162A" w14:textId="77777777" w:rsidTr="009F01D8">
        <w:tc>
          <w:tcPr>
            <w:tcW w:w="2972" w:type="dxa"/>
          </w:tcPr>
          <w:p w14:paraId="61D9B773"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14. Did the review authors provide a satisfactory explanation for, and discussion of, any heterogeneity observed in the results of the review?</w:t>
            </w:r>
          </w:p>
        </w:tc>
        <w:tc>
          <w:tcPr>
            <w:tcW w:w="1276" w:type="dxa"/>
            <w:shd w:val="clear" w:color="auto" w:fill="FF0000"/>
          </w:tcPr>
          <w:p w14:paraId="785FB374"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No</w:t>
            </w:r>
          </w:p>
        </w:tc>
        <w:tc>
          <w:tcPr>
            <w:tcW w:w="6985" w:type="dxa"/>
          </w:tcPr>
          <w:p w14:paraId="0A7472F0"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Heterogeneity was noted in some analyses, but there was no exploration or discussion of the sources of heterogeneity.</w:t>
            </w:r>
          </w:p>
        </w:tc>
      </w:tr>
      <w:tr w:rsidR="009F01D8" w:rsidRPr="005C18B7" w14:paraId="341346BD" w14:textId="77777777" w:rsidTr="009F01D8">
        <w:tc>
          <w:tcPr>
            <w:tcW w:w="2972" w:type="dxa"/>
          </w:tcPr>
          <w:p w14:paraId="70E10CD7"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15. If they performed quantitative synthesis did the review authors carry out an adequate investigation of publication bias (small study bias) and discuss its likely impact on the results of the review?</w:t>
            </w:r>
          </w:p>
        </w:tc>
        <w:tc>
          <w:tcPr>
            <w:tcW w:w="1276" w:type="dxa"/>
            <w:shd w:val="clear" w:color="auto" w:fill="00B050"/>
          </w:tcPr>
          <w:p w14:paraId="04B68E2B"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Yes</w:t>
            </w:r>
          </w:p>
        </w:tc>
        <w:tc>
          <w:tcPr>
            <w:tcW w:w="6985" w:type="dxa"/>
          </w:tcPr>
          <w:p w14:paraId="6A78B70C"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A funnel plot was generated to assess publication bias among studies reporting data for the impact of appropriate versus inappropriate therapy on mortality which was deemed to be symmetrical. The authors commented that interpretation of publication bias in this way should be performed with caution, which is an acceptable summary.</w:t>
            </w:r>
          </w:p>
        </w:tc>
      </w:tr>
      <w:tr w:rsidR="009F01D8" w:rsidRPr="005C18B7" w14:paraId="56F36A46" w14:textId="77777777" w:rsidTr="009F01D8">
        <w:tc>
          <w:tcPr>
            <w:tcW w:w="2972" w:type="dxa"/>
          </w:tcPr>
          <w:p w14:paraId="628D9268"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 xml:space="preserve">16. Did the review authors report any potential sources of conflict of interest, including any funding </w:t>
            </w:r>
            <w:r w:rsidRPr="006854DD">
              <w:rPr>
                <w:rFonts w:asciiTheme="majorBidi" w:hAnsiTheme="majorBidi" w:cstheme="majorBidi"/>
              </w:rPr>
              <w:lastRenderedPageBreak/>
              <w:t>they received for conducting the review?</w:t>
            </w:r>
          </w:p>
        </w:tc>
        <w:tc>
          <w:tcPr>
            <w:tcW w:w="1276" w:type="dxa"/>
            <w:shd w:val="clear" w:color="auto" w:fill="00B050"/>
          </w:tcPr>
          <w:p w14:paraId="6C368023"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lastRenderedPageBreak/>
              <w:t>Yes</w:t>
            </w:r>
          </w:p>
        </w:tc>
        <w:tc>
          <w:tcPr>
            <w:tcW w:w="6985" w:type="dxa"/>
          </w:tcPr>
          <w:p w14:paraId="01DEAF30" w14:textId="77777777" w:rsidR="009F01D8" w:rsidRPr="006854DD" w:rsidRDefault="009F01D8" w:rsidP="009F01D8">
            <w:pPr>
              <w:jc w:val="both"/>
              <w:rPr>
                <w:rFonts w:asciiTheme="majorBidi" w:hAnsiTheme="majorBidi" w:cstheme="majorBidi"/>
              </w:rPr>
            </w:pPr>
            <w:r w:rsidRPr="006854DD">
              <w:rPr>
                <w:rFonts w:asciiTheme="majorBidi" w:hAnsiTheme="majorBidi" w:cstheme="majorBidi"/>
              </w:rPr>
              <w:t>The study was reported as being funded by Shionogi BV. Competing interests were reported.</w:t>
            </w:r>
          </w:p>
        </w:tc>
      </w:tr>
    </w:tbl>
    <w:p w14:paraId="2E58E674" w14:textId="77777777" w:rsidR="006854DD" w:rsidRDefault="006854DD" w:rsidP="005452F3"/>
    <w:p w14:paraId="0DFB3CDB" w14:textId="77777777" w:rsidR="006854DD" w:rsidRDefault="006854DD" w:rsidP="005452F3"/>
    <w:bookmarkEnd w:id="713"/>
    <w:p w14:paraId="75B04892" w14:textId="5E63826E" w:rsidR="009F01D8" w:rsidRPr="00A1033E" w:rsidRDefault="00E052E9" w:rsidP="006854DD">
      <w:pPr>
        <w:pStyle w:val="Heading3"/>
        <w:rPr>
          <w:rFonts w:asciiTheme="majorBidi" w:hAnsiTheme="majorBidi"/>
          <w:sz w:val="26"/>
          <w:szCs w:val="26"/>
        </w:rPr>
      </w:pPr>
      <w:r>
        <w:rPr>
          <w:rFonts w:asciiTheme="majorBidi" w:hAnsiTheme="majorBidi"/>
          <w:sz w:val="26"/>
          <w:szCs w:val="26"/>
        </w:rPr>
        <w:tab/>
      </w:r>
      <w:bookmarkStart w:id="718" w:name="_Toc87463100"/>
      <w:r w:rsidR="009F01D8" w:rsidRPr="00A1033E">
        <w:rPr>
          <w:rFonts w:asciiTheme="majorBidi" w:hAnsiTheme="majorBidi"/>
          <w:sz w:val="26"/>
          <w:szCs w:val="26"/>
        </w:rPr>
        <w:t>A8.</w:t>
      </w:r>
      <w:r w:rsidR="000574E4" w:rsidRPr="00A1033E">
        <w:rPr>
          <w:rFonts w:asciiTheme="majorBidi" w:hAnsiTheme="majorBidi"/>
          <w:sz w:val="26"/>
          <w:szCs w:val="26"/>
        </w:rPr>
        <w:t>2</w:t>
      </w:r>
      <w:r w:rsidR="009F01D8" w:rsidRPr="00A1033E">
        <w:rPr>
          <w:rFonts w:asciiTheme="majorBidi" w:hAnsiTheme="majorBidi"/>
          <w:sz w:val="26"/>
          <w:szCs w:val="26"/>
        </w:rPr>
        <w:t xml:space="preserve"> Other searches conducted</w:t>
      </w:r>
      <w:bookmarkEnd w:id="718"/>
    </w:p>
    <w:p w14:paraId="06DCFC95" w14:textId="77777777" w:rsidR="009F01D8" w:rsidRPr="00F32A25" w:rsidRDefault="009F01D8" w:rsidP="009F01D8">
      <w:pPr>
        <w:spacing w:before="240" w:line="360" w:lineRule="auto"/>
        <w:jc w:val="both"/>
        <w:rPr>
          <w:rFonts w:asciiTheme="majorBidi" w:eastAsiaTheme="majorEastAsia" w:hAnsiTheme="majorBidi" w:cstheme="majorBidi"/>
        </w:rPr>
      </w:pPr>
      <w:r w:rsidRPr="00F32A25">
        <w:rPr>
          <w:rFonts w:asciiTheme="majorBidi" w:eastAsiaTheme="majorEastAsia" w:hAnsiTheme="majorBidi" w:cstheme="majorBidi"/>
        </w:rPr>
        <w:t>The pragmatic searches were conducted using six distinct strategies:</w:t>
      </w:r>
    </w:p>
    <w:p w14:paraId="66D29733" w14:textId="305CE47F" w:rsidR="009F01D8" w:rsidRPr="00F32A25" w:rsidRDefault="009F01D8" w:rsidP="005A3BE6">
      <w:pPr>
        <w:numPr>
          <w:ilvl w:val="0"/>
          <w:numId w:val="62"/>
        </w:numPr>
        <w:spacing w:before="240" w:line="360" w:lineRule="auto"/>
        <w:ind w:left="714" w:hanging="357"/>
        <w:jc w:val="both"/>
        <w:rPr>
          <w:rFonts w:asciiTheme="majorBidi" w:eastAsiaTheme="majorEastAsia" w:hAnsiTheme="majorBidi" w:cstheme="majorBidi"/>
        </w:rPr>
      </w:pPr>
      <w:r>
        <w:rPr>
          <w:rFonts w:asciiTheme="majorBidi" w:eastAsiaTheme="majorEastAsia" w:hAnsiTheme="majorBidi" w:cstheme="majorBidi"/>
          <w:b/>
        </w:rPr>
        <w:t>Interrogation</w:t>
      </w:r>
      <w:r w:rsidRPr="00F32A25">
        <w:rPr>
          <w:rFonts w:asciiTheme="majorBidi" w:eastAsiaTheme="majorEastAsia" w:hAnsiTheme="majorBidi" w:cstheme="majorBidi"/>
          <w:b/>
        </w:rPr>
        <w:t xml:space="preserve"> of the Mechanisms of Resistance database (3172 references)</w:t>
      </w:r>
      <w:r w:rsidRPr="00F32A25">
        <w:rPr>
          <w:rFonts w:asciiTheme="majorBidi" w:eastAsiaTheme="majorEastAsia" w:hAnsiTheme="majorBidi" w:cstheme="majorBidi"/>
        </w:rPr>
        <w:t xml:space="preserve">. The search terms for the database comprised of terms for Mechanisms [OXA-48, NDM, VIM, IMP] AND Germ [enterobacteria, E. coli, K. pneumonia, P. aeruginosa] AND Study design [Reviews, RCTs, observational studies] </w:t>
      </w:r>
      <w:r w:rsidR="000574E4">
        <w:rPr>
          <w:rFonts w:asciiTheme="majorBidi" w:eastAsiaTheme="majorEastAsia" w:hAnsiTheme="majorBidi" w:cstheme="majorBidi"/>
        </w:rPr>
        <w:t xml:space="preserve">(see Appendix 1.3.2). </w:t>
      </w:r>
      <w:r w:rsidRPr="00F32A25">
        <w:rPr>
          <w:rFonts w:asciiTheme="majorBidi" w:eastAsiaTheme="majorEastAsia" w:hAnsiTheme="majorBidi" w:cstheme="majorBidi"/>
        </w:rPr>
        <w:t>Dredging of the database was conducted in two steps. First, the library was screened by searching for outcomes and infection sites of interest in the abstracts, using search terms (death or mortality or hospital) AND (</w:t>
      </w:r>
      <w:proofErr w:type="spellStart"/>
      <w:r w:rsidRPr="00F32A25">
        <w:rPr>
          <w:rFonts w:asciiTheme="majorBidi" w:eastAsiaTheme="majorEastAsia" w:hAnsiTheme="majorBidi" w:cstheme="majorBidi"/>
        </w:rPr>
        <w:t>cUTI</w:t>
      </w:r>
      <w:proofErr w:type="spellEnd"/>
      <w:r w:rsidRPr="00F32A25">
        <w:rPr>
          <w:rFonts w:asciiTheme="majorBidi" w:eastAsiaTheme="majorEastAsia" w:hAnsiTheme="majorBidi" w:cstheme="majorBidi"/>
        </w:rPr>
        <w:t xml:space="preserve"> or HAP or VAP). Then, the searches were repeated by searching for outcome only, following a low number of hits in the first step. The outcomes in the second step were adjusted to (death or mortality or fatal outcome or clinical outcome) to increase the specificity of the searches, as the term ‘hospital’ in the first step picked up many irrelevant studies. The hits were then screened in two stages – by abstract and by full text.</w:t>
      </w:r>
    </w:p>
    <w:p w14:paraId="37FF6CC6" w14:textId="77777777" w:rsidR="009F01D8" w:rsidRPr="00F32A25" w:rsidRDefault="009F01D8" w:rsidP="005A3BE6">
      <w:pPr>
        <w:numPr>
          <w:ilvl w:val="0"/>
          <w:numId w:val="62"/>
        </w:numPr>
        <w:spacing w:before="240" w:line="360" w:lineRule="auto"/>
        <w:jc w:val="both"/>
        <w:rPr>
          <w:rFonts w:asciiTheme="majorBidi" w:eastAsiaTheme="majorEastAsia" w:hAnsiTheme="majorBidi" w:cstheme="majorBidi"/>
        </w:rPr>
      </w:pPr>
      <w:r>
        <w:rPr>
          <w:rFonts w:asciiTheme="majorBidi" w:eastAsiaTheme="majorEastAsia" w:hAnsiTheme="majorBidi" w:cstheme="majorBidi"/>
          <w:b/>
        </w:rPr>
        <w:t xml:space="preserve">Interrogation </w:t>
      </w:r>
      <w:r w:rsidRPr="00F32A25">
        <w:rPr>
          <w:rFonts w:asciiTheme="majorBidi" w:eastAsiaTheme="majorEastAsia" w:hAnsiTheme="majorBidi" w:cstheme="majorBidi"/>
          <w:b/>
        </w:rPr>
        <w:t>of the Cost-effectiveness Models database (66 references)</w:t>
      </w:r>
      <w:r w:rsidRPr="00F32A25">
        <w:rPr>
          <w:rFonts w:asciiTheme="majorBidi" w:eastAsiaTheme="majorEastAsia" w:hAnsiTheme="majorBidi" w:cstheme="majorBidi"/>
        </w:rPr>
        <w:t xml:space="preserve"> created by EEPRU. The database was screened by abstract and by full text to identify studies previously used to model long-term outcomes of interest. Further two rounds of backward citation searches were performed on all included studies.</w:t>
      </w:r>
    </w:p>
    <w:p w14:paraId="5CFCBB53" w14:textId="77777777" w:rsidR="009F01D8" w:rsidRPr="00F32A25" w:rsidRDefault="009F01D8" w:rsidP="005A3BE6">
      <w:pPr>
        <w:numPr>
          <w:ilvl w:val="0"/>
          <w:numId w:val="62"/>
        </w:numPr>
        <w:spacing w:before="240" w:line="360" w:lineRule="auto"/>
        <w:jc w:val="both"/>
        <w:rPr>
          <w:rFonts w:asciiTheme="majorBidi" w:eastAsiaTheme="majorEastAsia" w:hAnsiTheme="majorBidi" w:cstheme="majorBidi"/>
        </w:rPr>
      </w:pPr>
      <w:r>
        <w:rPr>
          <w:rFonts w:asciiTheme="majorBidi" w:eastAsiaTheme="majorEastAsia" w:hAnsiTheme="majorBidi" w:cstheme="majorBidi"/>
          <w:b/>
        </w:rPr>
        <w:t>Interrogation</w:t>
      </w:r>
      <w:r w:rsidRPr="00F32A25">
        <w:rPr>
          <w:rFonts w:asciiTheme="majorBidi" w:eastAsiaTheme="majorEastAsia" w:hAnsiTheme="majorBidi" w:cstheme="majorBidi"/>
          <w:b/>
        </w:rPr>
        <w:t xml:space="preserve"> of the Endnote library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w:t>
      </w:r>
      <w:r w:rsidRPr="00F32A25">
        <w:rPr>
          <w:rFonts w:asciiTheme="majorBidi" w:eastAsiaTheme="majorEastAsia" w:hAnsiTheme="majorBidi" w:cstheme="majorBidi"/>
          <w:b/>
          <w:bCs/>
        </w:rPr>
        <w:t>1261 references)</w:t>
      </w:r>
      <w:r w:rsidRPr="00F32A25">
        <w:rPr>
          <w:rFonts w:asciiTheme="majorBidi" w:eastAsiaTheme="majorEastAsia" w:hAnsiTheme="majorBidi" w:cstheme="majorBidi"/>
        </w:rPr>
        <w:t>. The library was screened by searching for the following terms in the abstracts: (death or mortality or fatal outcome) AND (HAP or VAP or UTI or acute pyelonephritis). The hits were then screened in two stages – by abstract and by full text.</w:t>
      </w:r>
    </w:p>
    <w:p w14:paraId="66AB3F5C" w14:textId="77777777" w:rsidR="009F01D8" w:rsidRPr="00F32A25" w:rsidRDefault="009F01D8" w:rsidP="005A3BE6">
      <w:pPr>
        <w:numPr>
          <w:ilvl w:val="0"/>
          <w:numId w:val="62"/>
        </w:numPr>
        <w:spacing w:before="240" w:line="360" w:lineRule="auto"/>
        <w:jc w:val="both"/>
        <w:rPr>
          <w:rFonts w:asciiTheme="majorBidi" w:eastAsiaTheme="majorEastAsia" w:hAnsiTheme="majorBidi" w:cstheme="majorBidi"/>
        </w:rPr>
      </w:pPr>
      <w:r w:rsidRPr="00F32A25">
        <w:rPr>
          <w:rFonts w:asciiTheme="majorBidi" w:eastAsiaTheme="majorEastAsia" w:hAnsiTheme="majorBidi" w:cstheme="majorBidi"/>
          <w:b/>
        </w:rPr>
        <w:t xml:space="preserve">Screening the list of key references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for NICE (45 references)</w:t>
      </w:r>
      <w:r w:rsidRPr="00F32A25">
        <w:rPr>
          <w:rFonts w:asciiTheme="majorBidi" w:eastAsiaTheme="majorEastAsia" w:hAnsiTheme="majorBidi" w:cstheme="majorBidi"/>
        </w:rPr>
        <w:t>. The references were screened in three steps: by title, abstract, and full text.</w:t>
      </w:r>
    </w:p>
    <w:p w14:paraId="52AA8EF4" w14:textId="77777777" w:rsidR="009F01D8" w:rsidRPr="00F32A25" w:rsidRDefault="009F01D8" w:rsidP="005A3BE6">
      <w:pPr>
        <w:numPr>
          <w:ilvl w:val="0"/>
          <w:numId w:val="62"/>
        </w:numPr>
        <w:spacing w:before="240" w:line="360" w:lineRule="auto"/>
        <w:jc w:val="both"/>
        <w:rPr>
          <w:rFonts w:asciiTheme="majorBidi" w:eastAsiaTheme="majorEastAsia" w:hAnsiTheme="majorBidi" w:cstheme="majorBidi"/>
        </w:rPr>
      </w:pPr>
      <w:r>
        <w:rPr>
          <w:rFonts w:asciiTheme="majorBidi" w:eastAsiaTheme="majorEastAsia" w:hAnsiTheme="majorBidi" w:cstheme="majorBidi"/>
          <w:b/>
        </w:rPr>
        <w:t>Interrogation of</w:t>
      </w:r>
      <w:r w:rsidRPr="00F32A25">
        <w:rPr>
          <w:rFonts w:asciiTheme="majorBidi" w:eastAsiaTheme="majorEastAsia" w:hAnsiTheme="majorBidi" w:cstheme="majorBidi"/>
          <w:b/>
        </w:rPr>
        <w:t xml:space="preserve"> the Pfizer Endnote library (81 references) and Pfizer Excel file of key papers (240 references) combined into a single Endnote library (299 references)</w:t>
      </w:r>
      <w:r w:rsidRPr="00F32A25">
        <w:rPr>
          <w:rFonts w:asciiTheme="majorBidi" w:eastAsiaTheme="majorEastAsia" w:hAnsiTheme="majorBidi" w:cstheme="majorBidi"/>
        </w:rPr>
        <w:t xml:space="preserve">. The library was screened by searching for the following terms in the abstracts: (death or mortality or fatal outcome) AND (HAP or VAP or UTI or acute pyelonephritis). The hits were then </w:t>
      </w:r>
      <w:r w:rsidRPr="00F32A25">
        <w:rPr>
          <w:rFonts w:asciiTheme="majorBidi" w:eastAsiaTheme="majorEastAsia" w:hAnsiTheme="majorBidi" w:cstheme="majorBidi"/>
        </w:rPr>
        <w:lastRenderedPageBreak/>
        <w:t>screened in two stages – by abstract and by full text. Of the 299 references, 193 did not have an abstract; these were screened by title and full text.</w:t>
      </w:r>
    </w:p>
    <w:p w14:paraId="743AFB02" w14:textId="77777777" w:rsidR="009F01D8" w:rsidRPr="00EB66C7" w:rsidRDefault="009F01D8" w:rsidP="005A3BE6">
      <w:pPr>
        <w:numPr>
          <w:ilvl w:val="0"/>
          <w:numId w:val="62"/>
        </w:numPr>
        <w:spacing w:before="240" w:line="360" w:lineRule="auto"/>
        <w:jc w:val="both"/>
        <w:rPr>
          <w:rFonts w:asciiTheme="majorBidi" w:eastAsiaTheme="majorEastAsia" w:hAnsiTheme="majorBidi" w:cstheme="majorBidi"/>
        </w:rPr>
      </w:pPr>
      <w:r w:rsidRPr="00F32A25">
        <w:rPr>
          <w:rFonts w:asciiTheme="majorBidi" w:eastAsiaTheme="majorEastAsia" w:hAnsiTheme="majorBidi" w:cstheme="majorBidi"/>
          <w:b/>
        </w:rPr>
        <w:t xml:space="preserve">Screening the studies included in two systematic review articles provided by </w:t>
      </w:r>
      <w:proofErr w:type="spellStart"/>
      <w:r w:rsidRPr="00F32A25">
        <w:rPr>
          <w:rFonts w:asciiTheme="majorBidi" w:eastAsiaTheme="majorEastAsia" w:hAnsiTheme="majorBidi" w:cstheme="majorBidi"/>
          <w:b/>
        </w:rPr>
        <w:t>Shinogi</w:t>
      </w:r>
      <w:proofErr w:type="spellEnd"/>
      <w:r w:rsidRPr="00F32A25">
        <w:rPr>
          <w:rFonts w:asciiTheme="majorBidi" w:eastAsiaTheme="majorEastAsia" w:hAnsiTheme="majorBidi" w:cstheme="majorBidi"/>
          <w:b/>
        </w:rPr>
        <w:t xml:space="preserve"> (</w:t>
      </w:r>
      <w:proofErr w:type="spellStart"/>
      <w:r w:rsidRPr="00F32A25">
        <w:rPr>
          <w:rFonts w:asciiTheme="majorBidi" w:eastAsiaTheme="majorEastAsia" w:hAnsiTheme="majorBidi" w:cstheme="majorBidi"/>
          <w:b/>
        </w:rPr>
        <w:t>Zasowski</w:t>
      </w:r>
      <w:proofErr w:type="spellEnd"/>
      <w:r w:rsidRPr="00F32A25">
        <w:rPr>
          <w:rFonts w:asciiTheme="majorBidi" w:eastAsiaTheme="majorEastAsia" w:hAnsiTheme="majorBidi" w:cstheme="majorBidi"/>
          <w:b/>
        </w:rPr>
        <w:t xml:space="preserve"> et al., 2020; </w:t>
      </w:r>
      <w:proofErr w:type="spellStart"/>
      <w:r w:rsidRPr="00F32A25">
        <w:rPr>
          <w:rFonts w:asciiTheme="majorBidi" w:eastAsiaTheme="majorEastAsia" w:hAnsiTheme="majorBidi" w:cstheme="majorBidi"/>
          <w:b/>
        </w:rPr>
        <w:t>Bassetti</w:t>
      </w:r>
      <w:proofErr w:type="spellEnd"/>
      <w:r w:rsidRPr="00F32A25">
        <w:rPr>
          <w:rFonts w:asciiTheme="majorBidi" w:eastAsiaTheme="majorEastAsia" w:hAnsiTheme="majorBidi" w:cstheme="majorBidi"/>
          <w:b/>
        </w:rPr>
        <w:t xml:space="preserve"> et al., 2020)</w:t>
      </w:r>
      <w:r w:rsidRPr="00F32A25">
        <w:rPr>
          <w:rFonts w:asciiTheme="majorBidi" w:eastAsiaTheme="majorEastAsia" w:hAnsiTheme="majorBidi" w:cstheme="majorBidi"/>
        </w:rPr>
        <w:t>. The reviews reported the effect of inappropriate antibiotic treatment (</w:t>
      </w:r>
      <w:proofErr w:type="spellStart"/>
      <w:r w:rsidRPr="00F32A25">
        <w:rPr>
          <w:rFonts w:asciiTheme="majorBidi" w:eastAsiaTheme="majorEastAsia" w:hAnsiTheme="majorBidi" w:cstheme="majorBidi"/>
        </w:rPr>
        <w:t>Zasowski</w:t>
      </w:r>
      <w:proofErr w:type="spellEnd"/>
      <w:r w:rsidRPr="00F32A25">
        <w:rPr>
          <w:rFonts w:asciiTheme="majorBidi" w:eastAsiaTheme="majorEastAsia" w:hAnsiTheme="majorBidi" w:cstheme="majorBidi"/>
        </w:rPr>
        <w:t xml:space="preserve"> 2020) and delayed antibiotic treatment (</w:t>
      </w:r>
      <w:proofErr w:type="spellStart"/>
      <w:r w:rsidRPr="00F32A25">
        <w:rPr>
          <w:rFonts w:asciiTheme="majorBidi" w:eastAsiaTheme="majorEastAsia" w:hAnsiTheme="majorBidi" w:cstheme="majorBidi"/>
        </w:rPr>
        <w:t>Bassetti</w:t>
      </w:r>
      <w:proofErr w:type="spellEnd"/>
      <w:r w:rsidRPr="00F32A25">
        <w:rPr>
          <w:rFonts w:asciiTheme="majorBidi" w:eastAsiaTheme="majorEastAsia" w:hAnsiTheme="majorBidi" w:cstheme="majorBidi"/>
        </w:rPr>
        <w:t xml:space="preserve"> 2020) on outcomes. The papers included in the review were screened by site, where only those that reported outcomes in HAP/VAP and </w:t>
      </w:r>
      <w:proofErr w:type="spellStart"/>
      <w:r w:rsidRPr="00F32A25">
        <w:rPr>
          <w:rFonts w:asciiTheme="majorBidi" w:eastAsiaTheme="majorEastAsia" w:hAnsiTheme="majorBidi" w:cstheme="majorBidi"/>
        </w:rPr>
        <w:t>cUTI</w:t>
      </w:r>
      <w:proofErr w:type="spellEnd"/>
      <w:r w:rsidRPr="00F32A25">
        <w:rPr>
          <w:rFonts w:asciiTheme="majorBidi" w:eastAsiaTheme="majorEastAsia" w:hAnsiTheme="majorBidi" w:cstheme="majorBidi"/>
        </w:rPr>
        <w:t xml:space="preserve"> were included.</w:t>
      </w:r>
    </w:p>
    <w:p w14:paraId="15BC69CD" w14:textId="77777777" w:rsidR="009F01D8" w:rsidRDefault="009F01D8" w:rsidP="009F01D8">
      <w:pPr>
        <w:spacing w:before="240" w:line="360" w:lineRule="auto"/>
        <w:jc w:val="both"/>
        <w:rPr>
          <w:rFonts w:asciiTheme="majorBidi" w:eastAsiaTheme="majorEastAsia" w:hAnsiTheme="majorBidi" w:cstheme="majorBidi"/>
        </w:rPr>
      </w:pPr>
      <w:r w:rsidRPr="00F32A25">
        <w:rPr>
          <w:rFonts w:asciiTheme="majorBidi" w:eastAsiaTheme="majorEastAsia" w:hAnsiTheme="majorBidi" w:cstheme="majorBidi"/>
        </w:rPr>
        <w:t>The search strategies were divided between two reviewers (LS strategies 1 and 2, DJ strategies 3 - 6). Inclusion of any ‘grey area’ studies was determined through discussion with the wider team (BW, CR, BK).</w:t>
      </w:r>
    </w:p>
    <w:p w14:paraId="7AA50B7D" w14:textId="77777777" w:rsidR="00E052E9" w:rsidRDefault="00E052E9">
      <w:pPr>
        <w:rPr>
          <w:rFonts w:asciiTheme="majorBidi" w:eastAsiaTheme="majorEastAsia" w:hAnsiTheme="majorBidi" w:cstheme="majorBidi"/>
          <w:b/>
          <w:bCs/>
          <w:sz w:val="32"/>
          <w:szCs w:val="32"/>
        </w:rPr>
      </w:pPr>
      <w:r>
        <w:rPr>
          <w:sz w:val="32"/>
          <w:szCs w:val="32"/>
        </w:rPr>
        <w:br w:type="page"/>
      </w:r>
    </w:p>
    <w:p w14:paraId="7786A81D" w14:textId="2C8B64C1" w:rsidR="001D1471" w:rsidRPr="00A1033E" w:rsidRDefault="001D1471" w:rsidP="008E6F0E">
      <w:pPr>
        <w:pStyle w:val="Heading2"/>
        <w:ind w:left="720" w:hanging="720"/>
        <w:jc w:val="both"/>
        <w:rPr>
          <w:b w:val="0"/>
          <w:sz w:val="32"/>
          <w:szCs w:val="32"/>
        </w:rPr>
      </w:pPr>
      <w:bookmarkStart w:id="719" w:name="_Toc87463101"/>
      <w:r w:rsidRPr="00A1033E">
        <w:rPr>
          <w:sz w:val="32"/>
          <w:szCs w:val="32"/>
        </w:rPr>
        <w:lastRenderedPageBreak/>
        <w:t>Appendix 9</w:t>
      </w:r>
      <w:r w:rsidR="006F4DEE" w:rsidRPr="00A1033E">
        <w:rPr>
          <w:sz w:val="32"/>
          <w:szCs w:val="32"/>
        </w:rPr>
        <w:t>: Structured expert elicitation</w:t>
      </w:r>
      <w:bookmarkEnd w:id="719"/>
    </w:p>
    <w:p w14:paraId="1CE6743E" w14:textId="3990D51F" w:rsidR="001D1471" w:rsidRDefault="006A53B1" w:rsidP="006A53B1">
      <w:pPr>
        <w:pStyle w:val="EEPRUnumberedLevel2Headingnew"/>
        <w:numPr>
          <w:ilvl w:val="0"/>
          <w:numId w:val="0"/>
        </w:numPr>
        <w:ind w:left="792"/>
      </w:pPr>
      <w:bookmarkStart w:id="720" w:name="_Toc87463102"/>
      <w:r>
        <w:t xml:space="preserve">A9.1 </w:t>
      </w:r>
      <w:r w:rsidR="001D1471">
        <w:t>Description of elicited parameters</w:t>
      </w:r>
      <w:bookmarkEnd w:id="720"/>
    </w:p>
    <w:p w14:paraId="500629B7" w14:textId="2E79E60B" w:rsidR="001D1471" w:rsidRPr="006854DD" w:rsidRDefault="001D1471" w:rsidP="000574E4">
      <w:pPr>
        <w:spacing w:after="0" w:line="360" w:lineRule="auto"/>
        <w:jc w:val="both"/>
        <w:rPr>
          <w:rFonts w:asciiTheme="majorBidi" w:hAnsiTheme="majorBidi" w:cstheme="majorBidi"/>
        </w:rPr>
      </w:pPr>
      <w:r w:rsidRPr="006854DD">
        <w:rPr>
          <w:rFonts w:asciiTheme="majorBidi" w:hAnsiTheme="majorBidi" w:cstheme="majorBidi"/>
          <w:color w:val="000000"/>
        </w:rPr>
        <w:t>We required outcomes for patients with Hospital Acquired Pneumonia (HAP), Ventilator Associated Pneumonia (VAP), and complicated urinary tract infections (</w:t>
      </w:r>
      <w:proofErr w:type="spellStart"/>
      <w:r w:rsidRPr="006854DD">
        <w:rPr>
          <w:rFonts w:asciiTheme="majorBidi" w:hAnsiTheme="majorBidi" w:cstheme="majorBidi"/>
          <w:color w:val="000000"/>
        </w:rPr>
        <w:t>cUTIs</w:t>
      </w:r>
      <w:proofErr w:type="spellEnd"/>
      <w:r w:rsidRPr="006854DD">
        <w:rPr>
          <w:rFonts w:asciiTheme="majorBidi" w:hAnsiTheme="majorBidi" w:cstheme="majorBidi"/>
          <w:color w:val="000000"/>
        </w:rPr>
        <w:t xml:space="preserve">) caused by carbapenem-resistant </w:t>
      </w:r>
      <w:proofErr w:type="gramStart"/>
      <w:r w:rsidRPr="006854DD">
        <w:rPr>
          <w:rFonts w:asciiTheme="majorBidi" w:hAnsiTheme="majorBidi" w:cstheme="majorBidi"/>
          <w:color w:val="000000"/>
        </w:rPr>
        <w:t>gram negative</w:t>
      </w:r>
      <w:proofErr w:type="gramEnd"/>
      <w:r w:rsidRPr="006854DD">
        <w:rPr>
          <w:rFonts w:asciiTheme="majorBidi" w:hAnsiTheme="majorBidi" w:cstheme="majorBidi"/>
          <w:color w:val="000000"/>
        </w:rPr>
        <w:t xml:space="preserve"> bacteria. We were only interested in outcomes following microbiology-directed treatment for patients with an infection caused by </w:t>
      </w:r>
      <w:proofErr w:type="spellStart"/>
      <w:r w:rsidR="000574E4" w:rsidRPr="000574E4">
        <w:rPr>
          <w:rFonts w:asciiTheme="majorBidi" w:hAnsiTheme="majorBidi" w:cstheme="majorBidi"/>
          <w:i/>
          <w:iCs/>
          <w:color w:val="000000"/>
        </w:rPr>
        <w:t>Enterobacterales</w:t>
      </w:r>
      <w:proofErr w:type="spellEnd"/>
      <w:r w:rsidRPr="006854DD">
        <w:rPr>
          <w:rFonts w:asciiTheme="majorBidi" w:hAnsiTheme="majorBidi" w:cstheme="majorBidi"/>
          <w:color w:val="000000"/>
        </w:rPr>
        <w:t xml:space="preserve"> with an OXA-48 or MBL resistance mechanism, or </w:t>
      </w:r>
      <w:r w:rsidRPr="006854DD">
        <w:rPr>
          <w:rFonts w:asciiTheme="majorBidi" w:hAnsiTheme="majorBidi" w:cstheme="majorBidi"/>
          <w:i/>
          <w:color w:val="000000"/>
        </w:rPr>
        <w:t>Pseudomonas</w:t>
      </w:r>
      <w:r w:rsidRPr="006854DD">
        <w:rPr>
          <w:rFonts w:asciiTheme="majorBidi" w:hAnsiTheme="majorBidi" w:cstheme="majorBidi"/>
          <w:color w:val="000000"/>
        </w:rPr>
        <w:t xml:space="preserve"> with a MBL resistance mechanism.</w:t>
      </w:r>
    </w:p>
    <w:p w14:paraId="177B3E5B" w14:textId="77777777"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b/>
          <w:color w:val="000000"/>
        </w:rPr>
      </w:pPr>
    </w:p>
    <w:p w14:paraId="6E13D99C" w14:textId="6E5B94AA"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color w:val="000000"/>
        </w:rPr>
      </w:pPr>
      <w:r w:rsidRPr="006854DD">
        <w:rPr>
          <w:rFonts w:asciiTheme="majorBidi" w:eastAsia="Calibri" w:hAnsiTheme="majorBidi" w:cstheme="majorBidi"/>
          <w:color w:val="000000"/>
        </w:rPr>
        <w:t>Outcomes were elicited depending on whether the infectious pathogen is susceptible to treatment. Therefore</w:t>
      </w:r>
      <w:r w:rsidR="000574E4">
        <w:rPr>
          <w:rFonts w:asciiTheme="majorBidi" w:eastAsia="Calibri" w:hAnsiTheme="majorBidi" w:cstheme="majorBidi"/>
          <w:color w:val="000000"/>
        </w:rPr>
        <w:t>,</w:t>
      </w:r>
      <w:r w:rsidRPr="006854DD">
        <w:rPr>
          <w:rFonts w:asciiTheme="majorBidi" w:eastAsia="Calibri" w:hAnsiTheme="majorBidi" w:cstheme="majorBidi"/>
          <w:color w:val="000000"/>
        </w:rPr>
        <w:t xml:space="preserve"> outcomes only depend on whether a patient is susceptible to treatment or not, and not to the specific treatment given. The outcomes we were interested in were 30-day mortality, </w:t>
      </w:r>
      <w:r w:rsidR="005B4EB8">
        <w:rPr>
          <w:rFonts w:asciiTheme="majorBidi" w:eastAsia="Calibri" w:hAnsiTheme="majorBidi" w:cstheme="majorBidi"/>
          <w:color w:val="000000"/>
        </w:rPr>
        <w:t>LOS</w:t>
      </w:r>
      <w:r w:rsidRPr="006854DD">
        <w:rPr>
          <w:rFonts w:asciiTheme="majorBidi" w:eastAsia="Calibri" w:hAnsiTheme="majorBidi" w:cstheme="majorBidi"/>
          <w:color w:val="000000"/>
        </w:rPr>
        <w:t xml:space="preserve"> in hospital, and the type of ward these patients would stay on in hospital.</w:t>
      </w:r>
    </w:p>
    <w:p w14:paraId="0A902A7D" w14:textId="77777777"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b/>
          <w:color w:val="000000"/>
        </w:rPr>
      </w:pPr>
    </w:p>
    <w:p w14:paraId="57BAB7C7" w14:textId="77777777"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color w:val="000000"/>
        </w:rPr>
      </w:pPr>
      <w:r w:rsidRPr="006854DD">
        <w:rPr>
          <w:rFonts w:asciiTheme="majorBidi" w:eastAsia="Calibri" w:hAnsiTheme="majorBidi" w:cstheme="majorBidi"/>
          <w:color w:val="000000"/>
        </w:rPr>
        <w:t>As background information we provided experts with several related studies.  In these studies, infecting pathogens were not confirmed to be susceptible to the antibiotics administered (</w:t>
      </w:r>
      <w:proofErr w:type="spellStart"/>
      <w:r w:rsidRPr="006854DD">
        <w:rPr>
          <w:rFonts w:asciiTheme="majorBidi" w:eastAsia="Calibri" w:hAnsiTheme="majorBidi" w:cstheme="majorBidi"/>
          <w:color w:val="000000"/>
        </w:rPr>
        <w:t>cefiderocol</w:t>
      </w:r>
      <w:proofErr w:type="spellEnd"/>
      <w:r w:rsidRPr="006854DD">
        <w:rPr>
          <w:rFonts w:asciiTheme="majorBidi" w:eastAsia="Calibri" w:hAnsiTheme="majorBidi" w:cstheme="majorBidi"/>
          <w:color w:val="000000"/>
        </w:rPr>
        <w:t xml:space="preserve"> or CAZ-AVI); however, in our assessment, they are likely to have been susceptible.</w:t>
      </w:r>
    </w:p>
    <w:p w14:paraId="31293A3D" w14:textId="77777777" w:rsidR="001D1471" w:rsidRPr="006854DD" w:rsidRDefault="001D1471" w:rsidP="000574E4">
      <w:pPr>
        <w:jc w:val="both"/>
      </w:pPr>
    </w:p>
    <w:p w14:paraId="0589DAB1" w14:textId="57B2DA10" w:rsidR="001D1471" w:rsidRDefault="006A53B1" w:rsidP="000574E4">
      <w:pPr>
        <w:spacing w:after="0" w:line="360" w:lineRule="auto"/>
        <w:jc w:val="both"/>
        <w:rPr>
          <w:rFonts w:asciiTheme="majorBidi" w:hAnsiTheme="majorBidi" w:cstheme="majorBidi"/>
        </w:rPr>
      </w:pPr>
      <w:r w:rsidRPr="006A53B1">
        <w:rPr>
          <w:rFonts w:asciiTheme="majorBidi" w:hAnsiTheme="majorBidi" w:cstheme="majorBidi"/>
        </w:rPr>
        <w:t xml:space="preserve">For HAP, VAP and </w:t>
      </w:r>
      <w:proofErr w:type="spellStart"/>
      <w:r w:rsidRPr="006A53B1">
        <w:rPr>
          <w:rFonts w:asciiTheme="majorBidi" w:hAnsiTheme="majorBidi" w:cstheme="majorBidi"/>
        </w:rPr>
        <w:t>cUTI</w:t>
      </w:r>
      <w:proofErr w:type="spellEnd"/>
      <w:r w:rsidRPr="006A53B1">
        <w:rPr>
          <w:rFonts w:asciiTheme="majorBidi" w:hAnsiTheme="majorBidi" w:cstheme="majorBidi"/>
        </w:rPr>
        <w:t>, both for susceptible and not-</w:t>
      </w:r>
      <w:proofErr w:type="spellStart"/>
      <w:r w:rsidRPr="006A53B1">
        <w:rPr>
          <w:rFonts w:asciiTheme="majorBidi" w:hAnsiTheme="majorBidi" w:cstheme="majorBidi"/>
        </w:rPr>
        <w:t>susceptable</w:t>
      </w:r>
      <w:proofErr w:type="spellEnd"/>
      <w:r w:rsidRPr="006A53B1">
        <w:rPr>
          <w:rFonts w:asciiTheme="majorBidi" w:hAnsiTheme="majorBidi" w:cstheme="majorBidi"/>
        </w:rPr>
        <w:t xml:space="preserve"> patients, the following questions were asked of experts:</w:t>
      </w:r>
    </w:p>
    <w:p w14:paraId="03648789" w14:textId="77777777" w:rsidR="006A53B1" w:rsidRPr="006854DD" w:rsidRDefault="006A53B1" w:rsidP="000574E4">
      <w:pPr>
        <w:spacing w:after="0" w:line="360" w:lineRule="auto"/>
        <w:jc w:val="both"/>
        <w:rPr>
          <w:rFonts w:asciiTheme="majorBidi" w:hAnsiTheme="majorBidi" w:cstheme="majorBidi"/>
        </w:rPr>
      </w:pPr>
    </w:p>
    <w:p w14:paraId="149772F9" w14:textId="77777777"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color w:val="000000"/>
        </w:rPr>
      </w:pPr>
      <w:r w:rsidRPr="006854DD">
        <w:rPr>
          <w:rFonts w:asciiTheme="majorBidi" w:eastAsia="Calibri" w:hAnsiTheme="majorBidi" w:cstheme="majorBidi"/>
          <w:color w:val="000000"/>
        </w:rPr>
        <w:t>Question 1. In this patient population, what proportion of patients will still be alive 30 days after starting microbiology directed treatment?</w:t>
      </w:r>
    </w:p>
    <w:p w14:paraId="1122768D" w14:textId="77777777" w:rsidR="001D1471" w:rsidRPr="006854DD" w:rsidRDefault="001D1471" w:rsidP="000574E4">
      <w:pPr>
        <w:spacing w:after="0" w:line="360" w:lineRule="auto"/>
        <w:jc w:val="both"/>
        <w:rPr>
          <w:rFonts w:asciiTheme="majorBidi" w:hAnsiTheme="majorBidi" w:cstheme="majorBidi"/>
        </w:rPr>
      </w:pPr>
    </w:p>
    <w:p w14:paraId="722ACC9F" w14:textId="77777777" w:rsidR="001D1471" w:rsidRPr="006854DD" w:rsidRDefault="001D1471" w:rsidP="000574E4">
      <w:pPr>
        <w:pBdr>
          <w:top w:val="nil"/>
          <w:left w:val="nil"/>
          <w:bottom w:val="nil"/>
          <w:right w:val="nil"/>
          <w:between w:val="nil"/>
        </w:pBdr>
        <w:spacing w:after="0" w:line="360" w:lineRule="auto"/>
        <w:jc w:val="both"/>
        <w:rPr>
          <w:rFonts w:asciiTheme="majorBidi" w:hAnsiTheme="majorBidi" w:cstheme="majorBidi"/>
          <w:color w:val="000000"/>
        </w:rPr>
      </w:pPr>
      <w:r w:rsidRPr="006854DD">
        <w:rPr>
          <w:rFonts w:asciiTheme="majorBidi" w:eastAsia="Calibri" w:hAnsiTheme="majorBidi" w:cstheme="majorBidi"/>
          <w:color w:val="000000"/>
        </w:rPr>
        <w:t>Question 2. In the patient population described at the top of the page, what will be the average length of stay?</w:t>
      </w:r>
    </w:p>
    <w:p w14:paraId="6EF8E1F3" w14:textId="77777777" w:rsidR="001D1471" w:rsidRPr="006854DD" w:rsidRDefault="001D1471" w:rsidP="000574E4">
      <w:pPr>
        <w:spacing w:after="0" w:line="360" w:lineRule="auto"/>
        <w:jc w:val="both"/>
        <w:rPr>
          <w:rFonts w:asciiTheme="majorBidi" w:hAnsiTheme="majorBidi" w:cstheme="majorBidi"/>
        </w:rPr>
      </w:pPr>
    </w:p>
    <w:p w14:paraId="5D012096" w14:textId="77777777" w:rsidR="001D1471" w:rsidRPr="006854DD" w:rsidRDefault="001D1471" w:rsidP="001D1471">
      <w:pPr>
        <w:pBdr>
          <w:top w:val="nil"/>
          <w:left w:val="nil"/>
          <w:bottom w:val="nil"/>
          <w:right w:val="nil"/>
          <w:between w:val="nil"/>
        </w:pBdr>
        <w:spacing w:after="0" w:line="360" w:lineRule="auto"/>
        <w:rPr>
          <w:rFonts w:asciiTheme="majorBidi" w:hAnsiTheme="majorBidi" w:cstheme="majorBidi"/>
          <w:color w:val="000000"/>
        </w:rPr>
      </w:pPr>
      <w:r w:rsidRPr="006854DD">
        <w:rPr>
          <w:rFonts w:asciiTheme="majorBidi" w:eastAsia="Calibri" w:hAnsiTheme="majorBidi" w:cstheme="majorBidi"/>
          <w:color w:val="000000"/>
        </w:rPr>
        <w:t>Question 3. In the patient population described at the top of the page, what proportion of hospital stay would be spent on each of the following wards? This number should represent the average for all such patients, regardless of their outcome.</w:t>
      </w:r>
    </w:p>
    <w:p w14:paraId="705C2D60" w14:textId="77777777" w:rsidR="001D1471" w:rsidRDefault="001D1471" w:rsidP="001D1471">
      <w:pPr>
        <w:spacing w:after="0" w:line="360" w:lineRule="auto"/>
        <w:jc w:val="both"/>
      </w:pPr>
    </w:p>
    <w:p w14:paraId="1B45B03E" w14:textId="0C927C2B" w:rsidR="001D1471" w:rsidRDefault="006A53B1" w:rsidP="006A53B1">
      <w:pPr>
        <w:pStyle w:val="EEPRUnumberedLevel2Headingnew"/>
        <w:numPr>
          <w:ilvl w:val="0"/>
          <w:numId w:val="0"/>
        </w:numPr>
        <w:ind w:left="792"/>
      </w:pPr>
      <w:bookmarkStart w:id="721" w:name="_heading=h.30j0zll" w:colFirst="0" w:colLast="0"/>
      <w:bookmarkStart w:id="722" w:name="_Toc87463103"/>
      <w:bookmarkEnd w:id="721"/>
      <w:r>
        <w:t xml:space="preserve">A9.2 </w:t>
      </w:r>
      <w:r w:rsidR="001D1471">
        <w:t>Protocol for elicitation</w:t>
      </w:r>
      <w:bookmarkEnd w:id="722"/>
    </w:p>
    <w:p w14:paraId="5B86F172"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The following sections describe the details of the elicitation exercise, according to the elements as described in the MRC elicitation guidance. </w:t>
      </w:r>
    </w:p>
    <w:p w14:paraId="62E981B9" w14:textId="77777777" w:rsidR="001D1471" w:rsidRPr="006854DD" w:rsidRDefault="001D1471" w:rsidP="001D1471">
      <w:pPr>
        <w:spacing w:after="0" w:line="360" w:lineRule="auto"/>
        <w:rPr>
          <w:rFonts w:asciiTheme="majorBidi" w:hAnsiTheme="majorBidi" w:cstheme="majorBidi"/>
        </w:rPr>
      </w:pPr>
    </w:p>
    <w:p w14:paraId="332271D8" w14:textId="65D34320" w:rsidR="001D1471" w:rsidRPr="00A1033E" w:rsidRDefault="00A1033E" w:rsidP="006E4E83">
      <w:pPr>
        <w:pStyle w:val="EEPRUnumberedLevel3Headingnew"/>
      </w:pPr>
      <w:bookmarkStart w:id="723" w:name="_heading=h.1fob9te" w:colFirst="0" w:colLast="0"/>
      <w:bookmarkEnd w:id="723"/>
      <w:r>
        <w:lastRenderedPageBreak/>
        <w:tab/>
      </w:r>
      <w:r>
        <w:tab/>
      </w:r>
      <w:r>
        <w:tab/>
      </w:r>
      <w:bookmarkStart w:id="724" w:name="_Toc87463104"/>
      <w:r w:rsidR="006A53B1" w:rsidRPr="00A1033E">
        <w:t>A9.2.</w:t>
      </w:r>
      <w:r>
        <w:t>1</w:t>
      </w:r>
      <w:r w:rsidR="001D1471" w:rsidRPr="00A1033E">
        <w:t>Selecting the quantities (preparation and design stage)</w:t>
      </w:r>
      <w:bookmarkEnd w:id="724"/>
    </w:p>
    <w:p w14:paraId="4B764AED"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The choice of quantity considered the following three objectives:</w:t>
      </w:r>
      <w:r w:rsidRPr="006854DD">
        <w:rPr>
          <w:rFonts w:asciiTheme="majorBidi" w:hAnsiTheme="majorBidi" w:cstheme="majorBidi"/>
          <w:vertAlign w:val="superscript"/>
        </w:rPr>
        <w:t>52</w:t>
      </w:r>
      <w:r w:rsidRPr="006854DD">
        <w:rPr>
          <w:rFonts w:asciiTheme="majorBidi" w:hAnsiTheme="majorBidi" w:cstheme="majorBidi"/>
        </w:rPr>
        <w:t xml:space="preserve"> fitness for purpose; directly observable and homogeneity in the quantities elicited. Eliciting the same summaries throughout will reduce the burden of training.</w:t>
      </w:r>
      <w:r w:rsidRPr="006854DD">
        <w:rPr>
          <w:rFonts w:asciiTheme="majorBidi" w:hAnsiTheme="majorBidi" w:cstheme="majorBidi"/>
          <w:vertAlign w:val="superscript"/>
        </w:rPr>
        <w:t>201</w:t>
      </w:r>
    </w:p>
    <w:p w14:paraId="14254FAD" w14:textId="77777777" w:rsidR="001D1471" w:rsidRPr="006854DD" w:rsidRDefault="001D1471" w:rsidP="001D1471">
      <w:pPr>
        <w:spacing w:after="0" w:line="360" w:lineRule="auto"/>
        <w:rPr>
          <w:rFonts w:asciiTheme="majorBidi" w:hAnsiTheme="majorBidi" w:cstheme="majorBidi"/>
        </w:rPr>
      </w:pPr>
    </w:p>
    <w:p w14:paraId="766E50B3"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For question 1 the quantities elicited relate to the </w:t>
      </w:r>
      <w:r w:rsidRPr="006854DD">
        <w:rPr>
          <w:rFonts w:asciiTheme="majorBidi" w:hAnsiTheme="majorBidi" w:cstheme="majorBidi"/>
          <w:i/>
        </w:rPr>
        <w:t xml:space="preserve">proportion of patients with an event at a certain time. </w:t>
      </w:r>
      <w:r w:rsidRPr="006854DD">
        <w:rPr>
          <w:rFonts w:asciiTheme="majorBidi" w:hAnsiTheme="majorBidi" w:cstheme="majorBidi"/>
        </w:rPr>
        <w:t xml:space="preserve"> Question 2 relates to a continuous outcome, length of stay (LOS), which, in principle, can take values up to ∞. Question 3 relates to the proportionate split of LOS between the three types of </w:t>
      </w:r>
      <w:proofErr w:type="gramStart"/>
      <w:r w:rsidRPr="006854DD">
        <w:rPr>
          <w:rFonts w:asciiTheme="majorBidi" w:hAnsiTheme="majorBidi" w:cstheme="majorBidi"/>
        </w:rPr>
        <w:t>ward</w:t>
      </w:r>
      <w:proofErr w:type="gramEnd"/>
      <w:r w:rsidRPr="006854DD">
        <w:rPr>
          <w:rFonts w:asciiTheme="majorBidi" w:hAnsiTheme="majorBidi" w:cstheme="majorBidi"/>
        </w:rPr>
        <w:t xml:space="preserve"> – general ward, HDU and ICU. As the total proportion must sum to 100, these quantities were not elicited with uncertainty, and instead a mean proportion elicited. </w:t>
      </w:r>
    </w:p>
    <w:p w14:paraId="011ACD5B" w14:textId="77777777" w:rsidR="001D1471" w:rsidRPr="006854DD" w:rsidRDefault="001D1471" w:rsidP="001D1471">
      <w:pPr>
        <w:spacing w:after="0" w:line="360" w:lineRule="auto"/>
        <w:rPr>
          <w:rFonts w:asciiTheme="majorBidi" w:hAnsiTheme="majorBidi" w:cstheme="majorBidi"/>
          <w:highlight w:val="yellow"/>
        </w:rPr>
      </w:pPr>
    </w:p>
    <w:p w14:paraId="7C44C5F1" w14:textId="70996F76" w:rsidR="001D1471" w:rsidRPr="00A1033E" w:rsidRDefault="00A1033E" w:rsidP="006E4E83">
      <w:pPr>
        <w:pStyle w:val="EEPRUnumberedLevel3Headingnew"/>
      </w:pPr>
      <w:bookmarkStart w:id="725" w:name="_heading=h.3znysh7" w:colFirst="0" w:colLast="0"/>
      <w:bookmarkEnd w:id="725"/>
      <w:r>
        <w:tab/>
      </w:r>
      <w:r>
        <w:tab/>
      </w:r>
      <w:r>
        <w:tab/>
      </w:r>
      <w:bookmarkStart w:id="726" w:name="_Toc87463105"/>
      <w:r w:rsidR="006A53B1" w:rsidRPr="00A1033E">
        <w:t xml:space="preserve">A9.2.2 </w:t>
      </w:r>
      <w:r w:rsidR="001D1471" w:rsidRPr="00A1033E">
        <w:t>Methods to encode judgements (preparation and design stage)</w:t>
      </w:r>
      <w:bookmarkEnd w:id="726"/>
    </w:p>
    <w:p w14:paraId="756A9CFE"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Either the Chips and Bins method or a Bisection method have been shown to work equally well in health care elicitation. The Chips and Bins approach however, is viewed as less complex and easier to complete by health care professionals, and so this method is used here. </w:t>
      </w:r>
    </w:p>
    <w:p w14:paraId="1615BDFA" w14:textId="77777777" w:rsidR="001D1471" w:rsidRPr="006854DD" w:rsidRDefault="001D1471" w:rsidP="001D1471">
      <w:pPr>
        <w:spacing w:after="0" w:line="360" w:lineRule="auto"/>
        <w:rPr>
          <w:rFonts w:asciiTheme="majorBidi" w:hAnsiTheme="majorBidi" w:cstheme="majorBidi"/>
        </w:rPr>
      </w:pPr>
    </w:p>
    <w:p w14:paraId="5B25E37B" w14:textId="7915EFEA" w:rsidR="001D1471" w:rsidRPr="006854DD" w:rsidRDefault="001D1471" w:rsidP="001D1471">
      <w:pPr>
        <w:spacing w:after="0" w:line="360" w:lineRule="auto"/>
        <w:rPr>
          <w:rFonts w:asciiTheme="majorBidi" w:hAnsiTheme="majorBidi" w:cstheme="majorBidi"/>
          <w:color w:val="000000"/>
        </w:rPr>
      </w:pPr>
      <w:r w:rsidRPr="006854DD">
        <w:rPr>
          <w:rFonts w:asciiTheme="majorBidi" w:hAnsiTheme="majorBidi" w:cstheme="majorBidi"/>
        </w:rPr>
        <w:t xml:space="preserve">Experts were first asked to express the range for their beliefs, the minimum, which is the value such that the experts believes that there is a 1% probability that the proportion is less than that </w:t>
      </w:r>
      <w:r w:rsidR="006A53B1" w:rsidRPr="006854DD">
        <w:rPr>
          <w:rFonts w:asciiTheme="majorBidi" w:hAnsiTheme="majorBidi" w:cstheme="majorBidi"/>
        </w:rPr>
        <w:t>value, and</w:t>
      </w:r>
      <w:r w:rsidRPr="006854DD">
        <w:rPr>
          <w:rFonts w:asciiTheme="majorBidi" w:hAnsiTheme="majorBidi" w:cstheme="majorBidi"/>
        </w:rPr>
        <w:t xml:space="preserve"> the maximum, a value, such that the experts believe that there is a 1% probability that the proportion is more than that value. Grids were then generated based on this range and experts were asked to place ‘chips’ on this grid to represent their beliefs. </w:t>
      </w:r>
    </w:p>
    <w:p w14:paraId="00A3E7EF" w14:textId="77777777" w:rsidR="001D1471" w:rsidRDefault="001D1471" w:rsidP="001D1471">
      <w:pPr>
        <w:spacing w:after="0" w:line="360" w:lineRule="auto"/>
      </w:pPr>
    </w:p>
    <w:p w14:paraId="2B0567E2" w14:textId="58FE78D3" w:rsidR="001D1471" w:rsidRPr="00A1033E" w:rsidRDefault="00A1033E" w:rsidP="006E4E83">
      <w:pPr>
        <w:pStyle w:val="EEPRUnumberedLevel3Headingnew"/>
      </w:pPr>
      <w:bookmarkStart w:id="727" w:name="_heading=h.2et92p0" w:colFirst="0" w:colLast="0"/>
      <w:bookmarkEnd w:id="727"/>
      <w:r>
        <w:tab/>
      </w:r>
      <w:r>
        <w:tab/>
      </w:r>
      <w:r>
        <w:tab/>
      </w:r>
      <w:bookmarkStart w:id="728" w:name="_Toc87463106"/>
      <w:r w:rsidR="006A53B1" w:rsidRPr="00A1033E">
        <w:t>A9.2.</w:t>
      </w:r>
      <w:r>
        <w:t xml:space="preserve">3 </w:t>
      </w:r>
      <w:r w:rsidR="001D1471" w:rsidRPr="00A1033E">
        <w:t>Validation (preparation and design stage)</w:t>
      </w:r>
      <w:bookmarkEnd w:id="728"/>
    </w:p>
    <w:p w14:paraId="096F1B74"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At the end of each task, experts were given a qualitative summary of their responses. If experts felt that these did not represent their </w:t>
      </w:r>
      <w:proofErr w:type="gramStart"/>
      <w:r w:rsidRPr="006854DD">
        <w:rPr>
          <w:rFonts w:asciiTheme="majorBidi" w:hAnsiTheme="majorBidi" w:cstheme="majorBidi"/>
        </w:rPr>
        <w:t>views</w:t>
      </w:r>
      <w:proofErr w:type="gramEnd"/>
      <w:r w:rsidRPr="006854DD">
        <w:rPr>
          <w:rFonts w:asciiTheme="majorBidi" w:hAnsiTheme="majorBidi" w:cstheme="majorBidi"/>
        </w:rPr>
        <w:t xml:space="preserve"> they were encouraged to revise their responses. Experts also had an opportunity to revise their responses following the feedback round (see below).</w:t>
      </w:r>
    </w:p>
    <w:p w14:paraId="067CE1A9" w14:textId="77777777" w:rsidR="001D1471" w:rsidRPr="006854DD" w:rsidRDefault="001D1471" w:rsidP="001D1471">
      <w:pPr>
        <w:spacing w:after="0" w:line="360" w:lineRule="auto"/>
        <w:rPr>
          <w:rFonts w:asciiTheme="majorBidi" w:hAnsiTheme="majorBidi" w:cstheme="majorBidi"/>
          <w:highlight w:val="yellow"/>
        </w:rPr>
      </w:pPr>
    </w:p>
    <w:p w14:paraId="7FE9C82D" w14:textId="5860E66D" w:rsidR="001D1471" w:rsidRPr="00A1033E" w:rsidRDefault="00A1033E" w:rsidP="006E4E83">
      <w:pPr>
        <w:pStyle w:val="EEPRUnumberedLevel3Headingnew"/>
      </w:pPr>
      <w:bookmarkStart w:id="729" w:name="_heading=h.tyjcwt" w:colFirst="0" w:colLast="0"/>
      <w:bookmarkEnd w:id="729"/>
      <w:r>
        <w:tab/>
      </w:r>
      <w:r>
        <w:tab/>
      </w:r>
      <w:r>
        <w:tab/>
      </w:r>
      <w:bookmarkStart w:id="730" w:name="_Toc87463107"/>
      <w:r w:rsidR="006A53B1" w:rsidRPr="00A1033E">
        <w:t xml:space="preserve">A9.2.4 </w:t>
      </w:r>
      <w:r w:rsidR="001D1471" w:rsidRPr="00A1033E">
        <w:t>Selecting experts (preparation and design stage)</w:t>
      </w:r>
      <w:bookmarkEnd w:id="730"/>
    </w:p>
    <w:p w14:paraId="46B15C3F" w14:textId="77777777" w:rsidR="001D1471" w:rsidRPr="006854DD" w:rsidRDefault="001D1471" w:rsidP="001D1471">
      <w:pPr>
        <w:spacing w:after="0" w:line="360" w:lineRule="auto"/>
        <w:rPr>
          <w:rFonts w:asciiTheme="majorBidi" w:hAnsiTheme="majorBidi" w:cstheme="majorBidi"/>
          <w:highlight w:val="yellow"/>
        </w:rPr>
      </w:pPr>
      <w:r w:rsidRPr="006854DD">
        <w:rPr>
          <w:rFonts w:asciiTheme="majorBidi" w:hAnsiTheme="majorBidi" w:cstheme="majorBidi"/>
        </w:rPr>
        <w:t xml:space="preserve">The models developed for this project span across HAP, VAP and </w:t>
      </w:r>
      <w:proofErr w:type="spellStart"/>
      <w:r w:rsidRPr="006854DD">
        <w:rPr>
          <w:rFonts w:asciiTheme="majorBidi" w:hAnsiTheme="majorBidi" w:cstheme="majorBidi"/>
        </w:rPr>
        <w:t>cUTI</w:t>
      </w:r>
      <w:proofErr w:type="spellEnd"/>
      <w:r w:rsidRPr="006854DD">
        <w:rPr>
          <w:rFonts w:asciiTheme="majorBidi" w:hAnsiTheme="majorBidi" w:cstheme="majorBidi"/>
        </w:rPr>
        <w:t xml:space="preserve"> </w:t>
      </w:r>
      <w:proofErr w:type="gramStart"/>
      <w:r w:rsidRPr="006854DD">
        <w:rPr>
          <w:rFonts w:asciiTheme="majorBidi" w:hAnsiTheme="majorBidi" w:cstheme="majorBidi"/>
        </w:rPr>
        <w:t>and also</w:t>
      </w:r>
      <w:proofErr w:type="gramEnd"/>
      <w:r w:rsidRPr="006854DD">
        <w:rPr>
          <w:rFonts w:asciiTheme="majorBidi" w:hAnsiTheme="majorBidi" w:cstheme="majorBidi"/>
        </w:rPr>
        <w:t xml:space="preserve"> relate to likely outcomes depending on susceptibility to treatment. </w:t>
      </w:r>
      <w:proofErr w:type="gramStart"/>
      <w:r w:rsidRPr="006854DD">
        <w:rPr>
          <w:rFonts w:asciiTheme="majorBidi" w:hAnsiTheme="majorBidi" w:cstheme="majorBidi"/>
        </w:rPr>
        <w:t>Therefore</w:t>
      </w:r>
      <w:proofErr w:type="gramEnd"/>
      <w:r w:rsidRPr="006854DD">
        <w:rPr>
          <w:rFonts w:asciiTheme="majorBidi" w:hAnsiTheme="majorBidi" w:cstheme="majorBidi"/>
        </w:rPr>
        <w:t xml:space="preserve"> there are multiple types of experts relevant for this task. Here we have included hospital consultants, </w:t>
      </w:r>
      <w:proofErr w:type="gramStart"/>
      <w:r w:rsidRPr="006854DD">
        <w:rPr>
          <w:rFonts w:asciiTheme="majorBidi" w:hAnsiTheme="majorBidi" w:cstheme="majorBidi"/>
        </w:rPr>
        <w:t>microbiologists</w:t>
      </w:r>
      <w:proofErr w:type="gramEnd"/>
      <w:r w:rsidRPr="006854DD">
        <w:rPr>
          <w:rFonts w:asciiTheme="majorBidi" w:hAnsiTheme="majorBidi" w:cstheme="majorBidi"/>
        </w:rPr>
        <w:t xml:space="preserve"> and pharmacists as experts. As part of the task, experts were asked to identify which of these disciplines they worked in. Experts were not expected to have any normative skills. Experts were recruited using recommendation from peers. </w:t>
      </w:r>
    </w:p>
    <w:p w14:paraId="1D2CC2B7" w14:textId="77777777" w:rsidR="001D1471" w:rsidRDefault="001D1471" w:rsidP="001D1471">
      <w:pPr>
        <w:spacing w:after="0" w:line="360" w:lineRule="auto"/>
        <w:rPr>
          <w:highlight w:val="yellow"/>
        </w:rPr>
      </w:pPr>
    </w:p>
    <w:p w14:paraId="5936BA8C" w14:textId="672EA266" w:rsidR="001D1471" w:rsidRPr="006854DD" w:rsidRDefault="006A53B1" w:rsidP="006A53B1">
      <w:pPr>
        <w:pStyle w:val="EEPRUnumberedLevel2Headingnew"/>
        <w:numPr>
          <w:ilvl w:val="0"/>
          <w:numId w:val="0"/>
        </w:numPr>
        <w:ind w:left="792"/>
      </w:pPr>
      <w:bookmarkStart w:id="731" w:name="_heading=h.3dy6vkm" w:colFirst="0" w:colLast="0"/>
      <w:bookmarkStart w:id="732" w:name="_Toc87463108"/>
      <w:bookmarkEnd w:id="731"/>
      <w:r>
        <w:t xml:space="preserve">A9.3 </w:t>
      </w:r>
      <w:r w:rsidR="001D1471" w:rsidRPr="006854DD">
        <w:t>Pilot exercise (preparation and design stage)</w:t>
      </w:r>
      <w:bookmarkEnd w:id="732"/>
    </w:p>
    <w:p w14:paraId="239F856C"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The wording of the questions was piloted for clarity and adequacy. The draft exercise was sent to a lead clinician and feedback sought. Following </w:t>
      </w:r>
      <w:proofErr w:type="gramStart"/>
      <w:r w:rsidRPr="006854DD">
        <w:rPr>
          <w:rFonts w:asciiTheme="majorBidi" w:hAnsiTheme="majorBidi" w:cstheme="majorBidi"/>
        </w:rPr>
        <w:t>feedback</w:t>
      </w:r>
      <w:proofErr w:type="gramEnd"/>
      <w:r w:rsidRPr="006854DD">
        <w:rPr>
          <w:rFonts w:asciiTheme="majorBidi" w:hAnsiTheme="majorBidi" w:cstheme="majorBidi"/>
        </w:rPr>
        <w:t xml:space="preserve"> the questions were modified, specifically the wording of the questions. </w:t>
      </w:r>
    </w:p>
    <w:p w14:paraId="39CE3DAD" w14:textId="77777777" w:rsidR="001D1471" w:rsidRPr="006854DD" w:rsidRDefault="001D1471" w:rsidP="001D1471">
      <w:pPr>
        <w:spacing w:after="0" w:line="360" w:lineRule="auto"/>
        <w:rPr>
          <w:rFonts w:asciiTheme="majorBidi" w:hAnsiTheme="majorBidi" w:cstheme="majorBidi"/>
        </w:rPr>
      </w:pPr>
    </w:p>
    <w:p w14:paraId="3820ED97" w14:textId="21BA6F14" w:rsidR="001D1471" w:rsidRPr="00A1033E" w:rsidRDefault="00A1033E" w:rsidP="006E4E83">
      <w:pPr>
        <w:pStyle w:val="EEPRUnumberedLevel3Headingnew"/>
      </w:pPr>
      <w:bookmarkStart w:id="733" w:name="_heading=h.1t3h5sf" w:colFirst="0" w:colLast="0"/>
      <w:bookmarkEnd w:id="733"/>
      <w:r>
        <w:tab/>
      </w:r>
      <w:r>
        <w:tab/>
      </w:r>
      <w:r>
        <w:tab/>
      </w:r>
      <w:bookmarkStart w:id="734" w:name="_Toc87463109"/>
      <w:r w:rsidR="006A53B1" w:rsidRPr="00A1033E">
        <w:t xml:space="preserve">A9.3.2 </w:t>
      </w:r>
      <w:r w:rsidR="001D1471" w:rsidRPr="00A1033E">
        <w:t xml:space="preserve">Training and preparation for experts (preparation and design </w:t>
      </w:r>
      <w:r>
        <w:tab/>
      </w:r>
      <w:r>
        <w:tab/>
      </w:r>
      <w:r w:rsidR="001D1471" w:rsidRPr="00A1033E">
        <w:t>stage)</w:t>
      </w:r>
      <w:bookmarkEnd w:id="734"/>
    </w:p>
    <w:p w14:paraId="6247883B" w14:textId="417B769C"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A narrated power-point training session was delivered to experts prior to the task</w:t>
      </w:r>
      <w:r w:rsidR="00DF2022">
        <w:rPr>
          <w:rFonts w:asciiTheme="majorBidi" w:hAnsiTheme="majorBidi" w:cstheme="majorBidi"/>
        </w:rPr>
        <w:t xml:space="preserve"> (see Appendix 10)</w:t>
      </w:r>
      <w:r w:rsidRPr="006854DD">
        <w:rPr>
          <w:rFonts w:asciiTheme="majorBidi" w:hAnsiTheme="majorBidi" w:cstheme="majorBidi"/>
        </w:rPr>
        <w:t xml:space="preserve">. The training session described the objectives of the elicitation exercise, clarified concepts such as uncertainty, familiarised the experts with the quantities elicited, </w:t>
      </w:r>
      <w:proofErr w:type="gramStart"/>
      <w:r w:rsidRPr="006854DD">
        <w:rPr>
          <w:rFonts w:asciiTheme="majorBidi" w:hAnsiTheme="majorBidi" w:cstheme="majorBidi"/>
        </w:rPr>
        <w:t>described</w:t>
      </w:r>
      <w:proofErr w:type="gramEnd"/>
      <w:r w:rsidRPr="006854DD">
        <w:rPr>
          <w:rFonts w:asciiTheme="majorBidi" w:hAnsiTheme="majorBidi" w:cstheme="majorBidi"/>
        </w:rPr>
        <w:t xml:space="preserve"> and explained the impact of bias and heuristics, and trained experts on the methods of elicitation used. A recorded version of the training slides was also sent to the experts following the session </w:t>
      </w:r>
      <w:proofErr w:type="gramStart"/>
      <w:r w:rsidRPr="006854DD">
        <w:rPr>
          <w:rFonts w:asciiTheme="majorBidi" w:hAnsiTheme="majorBidi" w:cstheme="majorBidi"/>
        </w:rPr>
        <w:t>and also</w:t>
      </w:r>
      <w:proofErr w:type="gramEnd"/>
      <w:r w:rsidRPr="006854DD">
        <w:rPr>
          <w:rFonts w:asciiTheme="majorBidi" w:hAnsiTheme="majorBidi" w:cstheme="majorBidi"/>
        </w:rPr>
        <w:t xml:space="preserve"> key details from this repeated in the task itself.  </w:t>
      </w:r>
    </w:p>
    <w:p w14:paraId="6D42191F" w14:textId="77777777" w:rsidR="001D1471" w:rsidRPr="006854DD" w:rsidRDefault="001D1471" w:rsidP="001D1471">
      <w:pPr>
        <w:spacing w:after="0" w:line="360" w:lineRule="auto"/>
        <w:rPr>
          <w:rFonts w:asciiTheme="majorBidi" w:hAnsiTheme="majorBidi" w:cstheme="majorBidi"/>
        </w:rPr>
      </w:pPr>
    </w:p>
    <w:p w14:paraId="1BCAA45D" w14:textId="01BBB10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Experts were also reminded throughout the SEE that they were to elicit uncertainty on their estimate rather than thinking about variability across this heterogeneous group of patients</w:t>
      </w:r>
      <w:r w:rsidR="00DF2022">
        <w:rPr>
          <w:rFonts w:asciiTheme="majorBidi" w:hAnsiTheme="majorBidi" w:cstheme="majorBidi"/>
        </w:rPr>
        <w:t>.</w:t>
      </w:r>
    </w:p>
    <w:p w14:paraId="48103F0E" w14:textId="77777777" w:rsidR="001D1471" w:rsidRPr="006854DD" w:rsidRDefault="001D1471" w:rsidP="001D1471">
      <w:pPr>
        <w:spacing w:after="0" w:line="360" w:lineRule="auto"/>
        <w:rPr>
          <w:rFonts w:asciiTheme="majorBidi" w:hAnsiTheme="majorBidi" w:cstheme="majorBidi"/>
        </w:rPr>
      </w:pPr>
    </w:p>
    <w:p w14:paraId="324FC990" w14:textId="460EB35D" w:rsidR="001D1471" w:rsidRPr="00A1033E" w:rsidRDefault="00A1033E" w:rsidP="006E4E83">
      <w:pPr>
        <w:pStyle w:val="EEPRUnumberedLevel3Headingnew"/>
      </w:pPr>
      <w:bookmarkStart w:id="735" w:name="_heading=h.4d34og8" w:colFirst="0" w:colLast="0"/>
      <w:bookmarkEnd w:id="735"/>
      <w:r>
        <w:tab/>
      </w:r>
      <w:r>
        <w:tab/>
      </w:r>
      <w:r>
        <w:tab/>
      </w:r>
      <w:bookmarkStart w:id="736" w:name="_Toc87463110"/>
      <w:r w:rsidR="006A53B1" w:rsidRPr="00A1033E">
        <w:t xml:space="preserve">A9.3.2 </w:t>
      </w:r>
      <w:r w:rsidR="001D1471" w:rsidRPr="00A1033E">
        <w:t>Level of elicitation (elicitation stage)</w:t>
      </w:r>
      <w:bookmarkEnd w:id="736"/>
    </w:p>
    <w:p w14:paraId="39F46C1C"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Each expert elicited their judgements individually without interaction with other experts. Eliciting judgements individually reduced the risk of estimates being biased by a subset of experts. In the SEE elicitation literature, there are concerns that experts may not feel confident in eliciting judgements individually, however, the experts in this SEE process elicited their beliefs on a condition that they encounter regularly in general practice. Concerns regarding individual level elicitation and lower confidence amongst experts generally arises when dealing with problems/technologies or conditions that are new or unknown to the experts.   </w:t>
      </w:r>
    </w:p>
    <w:p w14:paraId="70E43CFE" w14:textId="77777777" w:rsidR="001D1471" w:rsidRPr="006854DD" w:rsidRDefault="001D1471" w:rsidP="001D1471">
      <w:pPr>
        <w:spacing w:after="0" w:line="360" w:lineRule="auto"/>
        <w:rPr>
          <w:rFonts w:asciiTheme="majorBidi" w:hAnsiTheme="majorBidi" w:cstheme="majorBidi"/>
        </w:rPr>
      </w:pPr>
    </w:p>
    <w:p w14:paraId="7F04DFC5" w14:textId="41423175" w:rsidR="001D1471" w:rsidRPr="00A1033E" w:rsidRDefault="00A1033E" w:rsidP="006E4E83">
      <w:pPr>
        <w:pStyle w:val="EEPRUnumberedLevel3Headingnew"/>
      </w:pPr>
      <w:bookmarkStart w:id="737" w:name="_heading=h.2s8eyo1" w:colFirst="0" w:colLast="0"/>
      <w:bookmarkEnd w:id="737"/>
      <w:r>
        <w:tab/>
      </w:r>
      <w:r>
        <w:tab/>
      </w:r>
      <w:r>
        <w:tab/>
      </w:r>
      <w:bookmarkStart w:id="738" w:name="_Toc87463111"/>
      <w:r w:rsidR="006A53B1" w:rsidRPr="00A1033E">
        <w:t xml:space="preserve">A9.3.3 </w:t>
      </w:r>
      <w:r w:rsidR="001D1471" w:rsidRPr="00A1033E">
        <w:t>Mode of administration (elicitation stage)</w:t>
      </w:r>
      <w:bookmarkEnd w:id="738"/>
      <w:r w:rsidR="001D1471" w:rsidRPr="00A1033E">
        <w:tab/>
      </w:r>
    </w:p>
    <w:p w14:paraId="79098060"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The elicitation exercise was administered via an application in SHINY. The task was delivered remotely, due to current restrictions on </w:t>
      </w:r>
      <w:proofErr w:type="gramStart"/>
      <w:r w:rsidRPr="006854DD">
        <w:rPr>
          <w:rFonts w:asciiTheme="majorBidi" w:hAnsiTheme="majorBidi" w:cstheme="majorBidi"/>
        </w:rPr>
        <w:t>face to face</w:t>
      </w:r>
      <w:proofErr w:type="gramEnd"/>
      <w:r w:rsidRPr="006854DD">
        <w:rPr>
          <w:rFonts w:asciiTheme="majorBidi" w:hAnsiTheme="majorBidi" w:cstheme="majorBidi"/>
        </w:rPr>
        <w:t xml:space="preserve"> meetings. Experts were offered the opportunity to complete the exercise remotely alongside one of the team. Email contacts were given to provide any support needed. </w:t>
      </w:r>
    </w:p>
    <w:p w14:paraId="7C8ECDCB" w14:textId="77777777" w:rsidR="001D1471" w:rsidRPr="006854DD" w:rsidRDefault="001D1471" w:rsidP="001D1471">
      <w:pPr>
        <w:spacing w:after="0" w:line="360" w:lineRule="auto"/>
        <w:rPr>
          <w:rFonts w:asciiTheme="majorBidi" w:hAnsiTheme="majorBidi" w:cstheme="majorBidi"/>
        </w:rPr>
      </w:pPr>
    </w:p>
    <w:p w14:paraId="0D79ECBF" w14:textId="28F9DBE5" w:rsidR="001D1471" w:rsidRPr="00A1033E" w:rsidRDefault="00A1033E" w:rsidP="006E4E83">
      <w:pPr>
        <w:pStyle w:val="EEPRUnumberedLevel3Headingnew"/>
      </w:pPr>
      <w:bookmarkStart w:id="739" w:name="_heading=h.17dp8vu" w:colFirst="0" w:colLast="0"/>
      <w:bookmarkEnd w:id="739"/>
      <w:r>
        <w:lastRenderedPageBreak/>
        <w:tab/>
      </w:r>
      <w:r>
        <w:tab/>
      </w:r>
      <w:r>
        <w:tab/>
      </w:r>
      <w:bookmarkStart w:id="740" w:name="_Toc87463112"/>
      <w:r w:rsidR="006A53B1" w:rsidRPr="00A1033E">
        <w:t xml:space="preserve">A9.3.4 </w:t>
      </w:r>
      <w:r w:rsidR="001D1471" w:rsidRPr="00A1033E">
        <w:t>Feedback to experts and revision (elicitation stage)</w:t>
      </w:r>
      <w:bookmarkEnd w:id="740"/>
    </w:p>
    <w:p w14:paraId="197C0294"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Once experts expressed their beliefs and completed each question, they were presented with graphical feedback of what their estimates looked like. Experts were able to see how the grid looked once they have placed </w:t>
      </w:r>
      <w:proofErr w:type="gramStart"/>
      <w:r w:rsidRPr="006854DD">
        <w:rPr>
          <w:rFonts w:asciiTheme="majorBidi" w:hAnsiTheme="majorBidi" w:cstheme="majorBidi"/>
        </w:rPr>
        <w:t>all of</w:t>
      </w:r>
      <w:proofErr w:type="gramEnd"/>
      <w:r w:rsidRPr="006854DD">
        <w:rPr>
          <w:rFonts w:asciiTheme="majorBidi" w:hAnsiTheme="majorBidi" w:cstheme="majorBidi"/>
        </w:rPr>
        <w:t xml:space="preserve"> their chips on it. In addition, once experts had completed the grid, a summary of their answers was relayed to them. This provided the following information:</w:t>
      </w:r>
    </w:p>
    <w:p w14:paraId="457B9B2B" w14:textId="77777777" w:rsidR="001D1471" w:rsidRPr="006854DD" w:rsidRDefault="001D1471" w:rsidP="001D1471">
      <w:pPr>
        <w:pBdr>
          <w:top w:val="nil"/>
          <w:left w:val="nil"/>
          <w:bottom w:val="nil"/>
          <w:right w:val="nil"/>
          <w:between w:val="nil"/>
        </w:pBdr>
        <w:spacing w:after="0" w:line="360" w:lineRule="auto"/>
        <w:rPr>
          <w:rFonts w:asciiTheme="majorBidi" w:hAnsiTheme="majorBidi" w:cstheme="majorBidi"/>
          <w:color w:val="000000"/>
        </w:rPr>
      </w:pPr>
      <w:r w:rsidRPr="006854DD">
        <w:rPr>
          <w:rFonts w:asciiTheme="majorBidi" w:eastAsia="Calibri" w:hAnsiTheme="majorBidi" w:cstheme="majorBidi"/>
          <w:color w:val="000000"/>
        </w:rPr>
        <w:t>Your answers imply that (example quantities given)</w:t>
      </w:r>
    </w:p>
    <w:p w14:paraId="31FC8B53" w14:textId="77777777" w:rsidR="001D1471" w:rsidRPr="006854DD" w:rsidRDefault="001D1471" w:rsidP="005A3BE6">
      <w:pPr>
        <w:numPr>
          <w:ilvl w:val="0"/>
          <w:numId w:val="81"/>
        </w:numPr>
        <w:pBdr>
          <w:top w:val="nil"/>
          <w:left w:val="nil"/>
          <w:bottom w:val="nil"/>
          <w:right w:val="nil"/>
          <w:between w:val="nil"/>
        </w:pBdr>
        <w:spacing w:after="0" w:line="360" w:lineRule="auto"/>
        <w:rPr>
          <w:rFonts w:asciiTheme="majorBidi" w:hAnsiTheme="majorBidi" w:cstheme="majorBidi"/>
          <w:color w:val="000000"/>
        </w:rPr>
      </w:pPr>
      <w:r w:rsidRPr="006854DD">
        <w:rPr>
          <w:rFonts w:asciiTheme="majorBidi" w:eastAsia="Calibri" w:hAnsiTheme="majorBidi" w:cstheme="majorBidi"/>
          <w:color w:val="000000"/>
        </w:rPr>
        <w:t>There is a 17% probability that the proportion of patients is between 19 and 20%</w:t>
      </w:r>
    </w:p>
    <w:p w14:paraId="4079CCAA" w14:textId="77777777" w:rsidR="001D1471" w:rsidRPr="006854DD" w:rsidRDefault="001D1471" w:rsidP="005A3BE6">
      <w:pPr>
        <w:numPr>
          <w:ilvl w:val="0"/>
          <w:numId w:val="81"/>
        </w:numPr>
        <w:pBdr>
          <w:top w:val="nil"/>
          <w:left w:val="nil"/>
          <w:bottom w:val="nil"/>
          <w:right w:val="nil"/>
          <w:between w:val="nil"/>
        </w:pBdr>
        <w:spacing w:after="0" w:line="360" w:lineRule="auto"/>
        <w:rPr>
          <w:rFonts w:asciiTheme="majorBidi" w:hAnsiTheme="majorBidi" w:cstheme="majorBidi"/>
          <w:color w:val="000000"/>
        </w:rPr>
      </w:pPr>
      <w:r w:rsidRPr="006854DD">
        <w:rPr>
          <w:rFonts w:asciiTheme="majorBidi" w:eastAsia="Calibri" w:hAnsiTheme="majorBidi" w:cstheme="majorBidi"/>
          <w:color w:val="000000"/>
        </w:rPr>
        <w:t>There is a 50% probability that the proportion of patients is between 20 and 21%</w:t>
      </w:r>
    </w:p>
    <w:p w14:paraId="1BAD639C" w14:textId="77777777" w:rsidR="001D1471" w:rsidRPr="006854DD" w:rsidRDefault="001D1471" w:rsidP="005A3BE6">
      <w:pPr>
        <w:numPr>
          <w:ilvl w:val="0"/>
          <w:numId w:val="81"/>
        </w:numPr>
        <w:pBdr>
          <w:top w:val="nil"/>
          <w:left w:val="nil"/>
          <w:bottom w:val="nil"/>
          <w:right w:val="nil"/>
          <w:between w:val="nil"/>
        </w:pBdr>
        <w:spacing w:after="0" w:line="360" w:lineRule="auto"/>
        <w:rPr>
          <w:rFonts w:asciiTheme="majorBidi" w:hAnsiTheme="majorBidi" w:cstheme="majorBidi"/>
          <w:color w:val="000000"/>
        </w:rPr>
      </w:pPr>
      <w:r w:rsidRPr="006854DD">
        <w:rPr>
          <w:rFonts w:asciiTheme="majorBidi" w:eastAsia="Calibri" w:hAnsiTheme="majorBidi" w:cstheme="majorBidi"/>
          <w:color w:val="000000"/>
        </w:rPr>
        <w:t>There is a 33% probability that the proportion of patients is between 21 and 22%</w:t>
      </w:r>
    </w:p>
    <w:p w14:paraId="65D326F2" w14:textId="77777777" w:rsidR="001D1471" w:rsidRPr="006854DD" w:rsidRDefault="001D1471" w:rsidP="001D1471">
      <w:pPr>
        <w:spacing w:after="0" w:line="360" w:lineRule="auto"/>
        <w:rPr>
          <w:rFonts w:asciiTheme="majorBidi" w:hAnsiTheme="majorBidi" w:cstheme="majorBidi"/>
        </w:rPr>
      </w:pPr>
    </w:p>
    <w:p w14:paraId="7089F27E"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Following the individual elicitation beliefs were then aggregated using linear opinion pooling. This overall distribution was then relayed back to </w:t>
      </w:r>
      <w:proofErr w:type="gramStart"/>
      <w:r w:rsidRPr="006854DD">
        <w:rPr>
          <w:rFonts w:asciiTheme="majorBidi" w:hAnsiTheme="majorBidi" w:cstheme="majorBidi"/>
        </w:rPr>
        <w:t>experts</w:t>
      </w:r>
      <w:proofErr w:type="gramEnd"/>
      <w:r w:rsidRPr="006854DD">
        <w:rPr>
          <w:rFonts w:asciiTheme="majorBidi" w:hAnsiTheme="majorBidi" w:cstheme="majorBidi"/>
        </w:rPr>
        <w:t xml:space="preserve"> and they were given the opportunity to revise their own beliefs on the histograms they previously completed. This approach has been </w:t>
      </w:r>
      <w:proofErr w:type="gramStart"/>
      <w:r w:rsidRPr="006854DD">
        <w:rPr>
          <w:rFonts w:asciiTheme="majorBidi" w:hAnsiTheme="majorBidi" w:cstheme="majorBidi"/>
        </w:rPr>
        <w:t>show</w:t>
      </w:r>
      <w:proofErr w:type="gramEnd"/>
      <w:r w:rsidRPr="006854DD">
        <w:rPr>
          <w:rFonts w:asciiTheme="majorBidi" w:hAnsiTheme="majorBidi" w:cstheme="majorBidi"/>
        </w:rPr>
        <w:t xml:space="preserve"> to generated less biased parameters when the quantities elicited are unknown to the experts. Following this revision, expert’s beliefs were aggregated using the same approach, linear opinion pooling, and the final parameter values determined.</w:t>
      </w:r>
    </w:p>
    <w:p w14:paraId="7728D125" w14:textId="77777777" w:rsidR="001D1471" w:rsidRPr="006854DD" w:rsidRDefault="001D1471" w:rsidP="001D1471">
      <w:pPr>
        <w:spacing w:after="0" w:line="360" w:lineRule="auto"/>
        <w:rPr>
          <w:rFonts w:asciiTheme="majorBidi" w:hAnsiTheme="majorBidi" w:cstheme="majorBidi"/>
          <w:highlight w:val="yellow"/>
        </w:rPr>
      </w:pPr>
    </w:p>
    <w:p w14:paraId="73EC5E91" w14:textId="20D91E58" w:rsidR="001D1471" w:rsidRPr="00A1033E" w:rsidRDefault="00A1033E" w:rsidP="001D1471">
      <w:pPr>
        <w:rPr>
          <w:rFonts w:asciiTheme="majorBidi" w:hAnsiTheme="majorBidi" w:cstheme="majorBidi"/>
          <w:sz w:val="26"/>
          <w:szCs w:val="26"/>
          <w:u w:val="single"/>
        </w:rPr>
      </w:pPr>
      <w:r>
        <w:rPr>
          <w:rFonts w:ascii="Times New Roman" w:eastAsiaTheme="majorEastAsia" w:hAnsi="Times New Roman"/>
          <w:b/>
          <w:bCs/>
          <w:sz w:val="26"/>
          <w:szCs w:val="26"/>
        </w:rPr>
        <w:tab/>
      </w:r>
      <w:r>
        <w:rPr>
          <w:rFonts w:ascii="Times New Roman" w:eastAsiaTheme="majorEastAsia" w:hAnsi="Times New Roman"/>
          <w:b/>
          <w:bCs/>
          <w:sz w:val="26"/>
          <w:szCs w:val="26"/>
        </w:rPr>
        <w:tab/>
      </w:r>
      <w:r w:rsidR="00DF2022" w:rsidRPr="00A1033E">
        <w:rPr>
          <w:rFonts w:ascii="Times New Roman" w:eastAsiaTheme="majorEastAsia" w:hAnsi="Times New Roman"/>
          <w:b/>
          <w:bCs/>
          <w:sz w:val="26"/>
          <w:szCs w:val="26"/>
        </w:rPr>
        <w:t xml:space="preserve">A9.3.5 </w:t>
      </w:r>
      <w:r w:rsidR="001D1471" w:rsidRPr="00A1033E">
        <w:rPr>
          <w:rFonts w:ascii="Times New Roman" w:eastAsiaTheme="majorEastAsia" w:hAnsi="Times New Roman"/>
          <w:b/>
          <w:bCs/>
          <w:sz w:val="26"/>
          <w:szCs w:val="26"/>
        </w:rPr>
        <w:t>Opportunity for interaction (elicitation stage</w:t>
      </w:r>
      <w:r w:rsidR="001D1471" w:rsidRPr="00A1033E">
        <w:rPr>
          <w:rFonts w:asciiTheme="majorBidi" w:hAnsiTheme="majorBidi" w:cstheme="majorBidi"/>
          <w:sz w:val="26"/>
          <w:szCs w:val="26"/>
          <w:u w:val="single"/>
        </w:rPr>
        <w:t>)</w:t>
      </w:r>
    </w:p>
    <w:p w14:paraId="4DF4D0B1"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Given the individual level of elicitation that was chosen, there was no opportunity for interaction between the experts. The revision stage was done remotely so experts did not interact with each other.</w:t>
      </w:r>
    </w:p>
    <w:p w14:paraId="43F7056B" w14:textId="77777777" w:rsidR="001D1471" w:rsidRPr="006854DD" w:rsidRDefault="001D1471" w:rsidP="001D1471">
      <w:pPr>
        <w:spacing w:after="0" w:line="360" w:lineRule="auto"/>
        <w:rPr>
          <w:rFonts w:asciiTheme="majorBidi" w:hAnsiTheme="majorBidi" w:cstheme="majorBidi"/>
          <w:b/>
        </w:rPr>
      </w:pPr>
    </w:p>
    <w:p w14:paraId="7697C205" w14:textId="056C8808" w:rsidR="001D1471" w:rsidRPr="00A1033E" w:rsidRDefault="00A1033E" w:rsidP="001D1471">
      <w:pPr>
        <w:rPr>
          <w:rFonts w:ascii="Times New Roman" w:eastAsiaTheme="majorEastAsia" w:hAnsi="Times New Roman"/>
          <w:b/>
          <w:bCs/>
          <w:sz w:val="26"/>
          <w:szCs w:val="26"/>
        </w:rPr>
      </w:pPr>
      <w:bookmarkStart w:id="741" w:name="_heading=h.26in1rg" w:colFirst="0" w:colLast="0"/>
      <w:bookmarkEnd w:id="741"/>
      <w:r>
        <w:rPr>
          <w:rFonts w:ascii="Times New Roman" w:eastAsiaTheme="majorEastAsia" w:hAnsi="Times New Roman"/>
          <w:b/>
          <w:bCs/>
          <w:sz w:val="26"/>
          <w:szCs w:val="26"/>
        </w:rPr>
        <w:tab/>
      </w:r>
      <w:r>
        <w:rPr>
          <w:rFonts w:ascii="Times New Roman" w:eastAsiaTheme="majorEastAsia" w:hAnsi="Times New Roman"/>
          <w:b/>
          <w:bCs/>
          <w:sz w:val="26"/>
          <w:szCs w:val="26"/>
        </w:rPr>
        <w:tab/>
      </w:r>
      <w:r w:rsidR="00DF2022" w:rsidRPr="00A1033E">
        <w:rPr>
          <w:rFonts w:ascii="Times New Roman" w:eastAsiaTheme="majorEastAsia" w:hAnsi="Times New Roman"/>
          <w:b/>
          <w:bCs/>
          <w:sz w:val="26"/>
          <w:szCs w:val="26"/>
        </w:rPr>
        <w:t xml:space="preserve">A9.3.6 </w:t>
      </w:r>
      <w:r w:rsidR="001D1471" w:rsidRPr="00A1033E">
        <w:rPr>
          <w:rFonts w:ascii="Times New Roman" w:eastAsiaTheme="majorEastAsia" w:hAnsi="Times New Roman"/>
          <w:b/>
          <w:bCs/>
          <w:sz w:val="26"/>
          <w:szCs w:val="26"/>
        </w:rPr>
        <w:t>Feedback from experts on process (elicitation stage)</w:t>
      </w:r>
    </w:p>
    <w:p w14:paraId="36FB2617"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Qualitative feedback on the elicitation process was collected from the experts, including rationales for their responses. This was collected during the task using free text boxes. This form of validation helps to highlight if experts understood the task and responded as </w:t>
      </w:r>
      <w:proofErr w:type="gramStart"/>
      <w:r w:rsidRPr="006854DD">
        <w:rPr>
          <w:rFonts w:asciiTheme="majorBidi" w:hAnsiTheme="majorBidi" w:cstheme="majorBidi"/>
        </w:rPr>
        <w:t>best</w:t>
      </w:r>
      <w:proofErr w:type="gramEnd"/>
      <w:r w:rsidRPr="006854DD">
        <w:rPr>
          <w:rFonts w:asciiTheme="majorBidi" w:hAnsiTheme="majorBidi" w:cstheme="majorBidi"/>
        </w:rPr>
        <w:t xml:space="preserve"> they could. </w:t>
      </w:r>
    </w:p>
    <w:p w14:paraId="5BF105F6" w14:textId="77777777" w:rsidR="001D1471" w:rsidRPr="006854DD" w:rsidRDefault="001D1471" w:rsidP="001D1471">
      <w:pPr>
        <w:spacing w:after="0" w:line="360" w:lineRule="auto"/>
        <w:ind w:firstLine="360"/>
        <w:rPr>
          <w:rFonts w:asciiTheme="majorBidi" w:hAnsiTheme="majorBidi" w:cstheme="majorBidi"/>
        </w:rPr>
      </w:pPr>
    </w:p>
    <w:p w14:paraId="487EA4C1" w14:textId="4294CE91" w:rsidR="001D1471" w:rsidRPr="0041437E" w:rsidRDefault="0041437E" w:rsidP="001D1471">
      <w:pPr>
        <w:rPr>
          <w:rFonts w:ascii="Times New Roman" w:eastAsiaTheme="majorEastAsia" w:hAnsi="Times New Roman"/>
          <w:b/>
          <w:bCs/>
          <w:sz w:val="26"/>
          <w:szCs w:val="26"/>
        </w:rPr>
      </w:pPr>
      <w:bookmarkStart w:id="742" w:name="_heading=h.lnxbz9" w:colFirst="0" w:colLast="0"/>
      <w:bookmarkEnd w:id="742"/>
      <w:r>
        <w:rPr>
          <w:rFonts w:ascii="Times New Roman" w:eastAsiaTheme="majorEastAsia" w:hAnsi="Times New Roman"/>
          <w:b/>
          <w:bCs/>
          <w:sz w:val="26"/>
          <w:szCs w:val="26"/>
        </w:rPr>
        <w:tab/>
      </w:r>
      <w:r>
        <w:rPr>
          <w:rFonts w:ascii="Times New Roman" w:eastAsiaTheme="majorEastAsia" w:hAnsi="Times New Roman"/>
          <w:b/>
          <w:bCs/>
          <w:sz w:val="26"/>
          <w:szCs w:val="26"/>
        </w:rPr>
        <w:tab/>
      </w:r>
      <w:r w:rsidR="00DF2022" w:rsidRPr="0041437E">
        <w:rPr>
          <w:rFonts w:ascii="Times New Roman" w:eastAsiaTheme="majorEastAsia" w:hAnsi="Times New Roman"/>
          <w:b/>
          <w:bCs/>
          <w:sz w:val="26"/>
          <w:szCs w:val="26"/>
        </w:rPr>
        <w:t xml:space="preserve">A9.3.7 </w:t>
      </w:r>
      <w:r w:rsidR="001D1471" w:rsidRPr="0041437E">
        <w:rPr>
          <w:rFonts w:ascii="Times New Roman" w:eastAsiaTheme="majorEastAsia" w:hAnsi="Times New Roman"/>
          <w:b/>
          <w:bCs/>
          <w:sz w:val="26"/>
          <w:szCs w:val="26"/>
        </w:rPr>
        <w:t xml:space="preserve">If/how to aggregate (aggregation, </w:t>
      </w:r>
      <w:proofErr w:type="gramStart"/>
      <w:r w:rsidR="001D1471" w:rsidRPr="0041437E">
        <w:rPr>
          <w:rFonts w:ascii="Times New Roman" w:eastAsiaTheme="majorEastAsia" w:hAnsi="Times New Roman"/>
          <w:b/>
          <w:bCs/>
          <w:sz w:val="26"/>
          <w:szCs w:val="26"/>
        </w:rPr>
        <w:t>analysis</w:t>
      </w:r>
      <w:proofErr w:type="gramEnd"/>
      <w:r w:rsidR="001D1471" w:rsidRPr="0041437E">
        <w:rPr>
          <w:rFonts w:ascii="Times New Roman" w:eastAsiaTheme="majorEastAsia" w:hAnsi="Times New Roman"/>
          <w:b/>
          <w:bCs/>
          <w:sz w:val="26"/>
          <w:szCs w:val="26"/>
        </w:rPr>
        <w:t xml:space="preserve"> and post-</w:t>
      </w:r>
      <w:r>
        <w:rPr>
          <w:rFonts w:ascii="Times New Roman" w:eastAsiaTheme="majorEastAsia" w:hAnsi="Times New Roman"/>
          <w:b/>
          <w:bCs/>
          <w:sz w:val="26"/>
          <w:szCs w:val="26"/>
        </w:rPr>
        <w:tab/>
      </w:r>
      <w:r>
        <w:rPr>
          <w:rFonts w:ascii="Times New Roman" w:eastAsiaTheme="majorEastAsia" w:hAnsi="Times New Roman"/>
          <w:b/>
          <w:bCs/>
          <w:sz w:val="26"/>
          <w:szCs w:val="26"/>
        </w:rPr>
        <w:tab/>
      </w:r>
      <w:r>
        <w:rPr>
          <w:rFonts w:ascii="Times New Roman" w:eastAsiaTheme="majorEastAsia" w:hAnsi="Times New Roman"/>
          <w:b/>
          <w:bCs/>
          <w:sz w:val="26"/>
          <w:szCs w:val="26"/>
        </w:rPr>
        <w:tab/>
      </w:r>
      <w:r w:rsidR="001D1471" w:rsidRPr="0041437E">
        <w:rPr>
          <w:rFonts w:ascii="Times New Roman" w:eastAsiaTheme="majorEastAsia" w:hAnsi="Times New Roman"/>
          <w:b/>
          <w:bCs/>
          <w:sz w:val="26"/>
          <w:szCs w:val="26"/>
        </w:rPr>
        <w:t>elicitation)</w:t>
      </w:r>
    </w:p>
    <w:p w14:paraId="3D8359A7"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As an individual level of elicitation was chosen, mathematical aggregation was applied to generate the distributions, specifically linear opinion pooling using equal weighting of experts. First a </w:t>
      </w:r>
      <w:r w:rsidRPr="006854DD">
        <w:rPr>
          <w:rFonts w:asciiTheme="majorBidi" w:hAnsiTheme="majorBidi" w:cstheme="majorBidi"/>
          <w:highlight w:val="white"/>
        </w:rPr>
        <w:t>probability distrib</w:t>
      </w:r>
      <w:r w:rsidRPr="006854DD">
        <w:rPr>
          <w:rFonts w:asciiTheme="majorBidi" w:hAnsiTheme="majorBidi" w:cstheme="majorBidi"/>
        </w:rPr>
        <w:t xml:space="preserve">ution was fitted to each expert’s beliefs from the histogram and then these were pooled, </w:t>
      </w:r>
      <w:proofErr w:type="gramStart"/>
      <w:r w:rsidRPr="006854DD">
        <w:rPr>
          <w:rFonts w:asciiTheme="majorBidi" w:hAnsiTheme="majorBidi" w:cstheme="majorBidi"/>
        </w:rPr>
        <w:t>assuming that</w:t>
      </w:r>
      <w:proofErr w:type="gramEnd"/>
      <w:r w:rsidRPr="006854DD">
        <w:rPr>
          <w:rFonts w:asciiTheme="majorBidi" w:hAnsiTheme="majorBidi" w:cstheme="majorBidi"/>
        </w:rPr>
        <w:t xml:space="preserve"> each expert contributed equally to the group overall distribution.</w:t>
      </w:r>
    </w:p>
    <w:p w14:paraId="731337D4"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This overall distribution was then relayed back to </w:t>
      </w:r>
      <w:proofErr w:type="gramStart"/>
      <w:r w:rsidRPr="006854DD">
        <w:rPr>
          <w:rFonts w:asciiTheme="majorBidi" w:hAnsiTheme="majorBidi" w:cstheme="majorBidi"/>
        </w:rPr>
        <w:t>experts</w:t>
      </w:r>
      <w:proofErr w:type="gramEnd"/>
      <w:r w:rsidRPr="006854DD">
        <w:rPr>
          <w:rFonts w:asciiTheme="majorBidi" w:hAnsiTheme="majorBidi" w:cstheme="majorBidi"/>
        </w:rPr>
        <w:t xml:space="preserve"> and they were given the opportunity to revise their own beliefs. Following this revision, expert’s beliefs were aggregated using the same approach, linear opinion pooling, and the final parameter values determined.</w:t>
      </w:r>
    </w:p>
    <w:p w14:paraId="4351A9E4" w14:textId="77777777" w:rsidR="001D1471" w:rsidRPr="006854DD" w:rsidRDefault="001D1471" w:rsidP="001D1471">
      <w:pPr>
        <w:spacing w:after="0" w:line="360" w:lineRule="auto"/>
        <w:rPr>
          <w:rFonts w:asciiTheme="majorBidi" w:hAnsiTheme="majorBidi" w:cstheme="majorBidi"/>
        </w:rPr>
      </w:pPr>
    </w:p>
    <w:p w14:paraId="2EEF5CA2" w14:textId="77777777" w:rsidR="001D1471" w:rsidRPr="006854DD" w:rsidRDefault="001D1471" w:rsidP="001D1471">
      <w:pPr>
        <w:spacing w:after="0" w:line="360" w:lineRule="auto"/>
        <w:rPr>
          <w:rFonts w:asciiTheme="majorBidi" w:hAnsiTheme="majorBidi" w:cstheme="majorBidi"/>
        </w:rPr>
      </w:pPr>
    </w:p>
    <w:p w14:paraId="2FC16D4C" w14:textId="68A1B359" w:rsidR="001D1471" w:rsidRPr="0041437E" w:rsidRDefault="0041437E" w:rsidP="001D1471">
      <w:pPr>
        <w:rPr>
          <w:rFonts w:ascii="Times New Roman" w:eastAsiaTheme="majorEastAsia" w:hAnsi="Times New Roman"/>
          <w:b/>
          <w:bCs/>
          <w:sz w:val="26"/>
          <w:szCs w:val="26"/>
        </w:rPr>
      </w:pPr>
      <w:bookmarkStart w:id="743" w:name="_heading=h.35nkun2" w:colFirst="0" w:colLast="0"/>
      <w:bookmarkEnd w:id="743"/>
      <w:r>
        <w:rPr>
          <w:rFonts w:ascii="Times New Roman" w:eastAsiaTheme="majorEastAsia" w:hAnsi="Times New Roman"/>
          <w:b/>
          <w:bCs/>
          <w:sz w:val="26"/>
          <w:szCs w:val="26"/>
        </w:rPr>
        <w:tab/>
      </w:r>
      <w:r>
        <w:rPr>
          <w:rFonts w:ascii="Times New Roman" w:eastAsiaTheme="majorEastAsia" w:hAnsi="Times New Roman"/>
          <w:b/>
          <w:bCs/>
          <w:sz w:val="26"/>
          <w:szCs w:val="26"/>
        </w:rPr>
        <w:tab/>
      </w:r>
      <w:r w:rsidR="00DF2022" w:rsidRPr="0041437E">
        <w:rPr>
          <w:rFonts w:ascii="Times New Roman" w:eastAsiaTheme="majorEastAsia" w:hAnsi="Times New Roman"/>
          <w:b/>
          <w:bCs/>
          <w:sz w:val="26"/>
          <w:szCs w:val="26"/>
        </w:rPr>
        <w:t xml:space="preserve">A9.3.8 </w:t>
      </w:r>
      <w:r w:rsidR="001D1471" w:rsidRPr="0041437E">
        <w:rPr>
          <w:rFonts w:ascii="Times New Roman" w:eastAsiaTheme="majorEastAsia" w:hAnsi="Times New Roman"/>
          <w:b/>
          <w:bCs/>
          <w:sz w:val="26"/>
          <w:szCs w:val="26"/>
        </w:rPr>
        <w:t xml:space="preserve">Fit to distribution (aggregation, </w:t>
      </w:r>
      <w:proofErr w:type="gramStart"/>
      <w:r w:rsidR="001D1471" w:rsidRPr="0041437E">
        <w:rPr>
          <w:rFonts w:ascii="Times New Roman" w:eastAsiaTheme="majorEastAsia" w:hAnsi="Times New Roman"/>
          <w:b/>
          <w:bCs/>
          <w:sz w:val="26"/>
          <w:szCs w:val="26"/>
        </w:rPr>
        <w:t>analysis</w:t>
      </w:r>
      <w:proofErr w:type="gramEnd"/>
      <w:r w:rsidR="001D1471" w:rsidRPr="0041437E">
        <w:rPr>
          <w:rFonts w:ascii="Times New Roman" w:eastAsiaTheme="majorEastAsia" w:hAnsi="Times New Roman"/>
          <w:b/>
          <w:bCs/>
          <w:sz w:val="26"/>
          <w:szCs w:val="26"/>
        </w:rPr>
        <w:t xml:space="preserve"> and post-elicitation)</w:t>
      </w:r>
    </w:p>
    <w:p w14:paraId="2A8ACA29" w14:textId="77777777" w:rsidR="001D1471" w:rsidRPr="006854DD" w:rsidRDefault="001D1471" w:rsidP="001D1471">
      <w:pPr>
        <w:spacing w:after="0" w:line="360" w:lineRule="auto"/>
        <w:rPr>
          <w:rFonts w:asciiTheme="majorBidi" w:hAnsiTheme="majorBidi" w:cstheme="majorBidi"/>
          <w:highlight w:val="white"/>
        </w:rPr>
      </w:pPr>
      <w:bookmarkStart w:id="744" w:name="_heading=h.1ksv4uv" w:colFirst="0" w:colLast="0"/>
      <w:bookmarkEnd w:id="744"/>
      <w:r w:rsidRPr="006854DD">
        <w:rPr>
          <w:rFonts w:asciiTheme="majorBidi" w:hAnsiTheme="majorBidi" w:cstheme="majorBidi"/>
          <w:highlight w:val="white"/>
        </w:rPr>
        <w:t>A Beta distribution was fitted to expert’s distributions for question 1 as these relate to proportions. For question 2 a lognormal distribution was fitted. Question 3 only asked for point estimates so not fitting was required.</w:t>
      </w:r>
    </w:p>
    <w:p w14:paraId="297A60A9" w14:textId="77777777" w:rsidR="001D1471" w:rsidRPr="006854DD" w:rsidRDefault="001D1471" w:rsidP="001D1471">
      <w:pPr>
        <w:spacing w:after="0" w:line="360" w:lineRule="auto"/>
        <w:rPr>
          <w:rFonts w:asciiTheme="majorBidi" w:hAnsiTheme="majorBidi" w:cstheme="majorBidi"/>
        </w:rPr>
      </w:pPr>
    </w:p>
    <w:p w14:paraId="56DAFE19" w14:textId="3B1AA05F" w:rsidR="001D1471" w:rsidRPr="0041437E" w:rsidRDefault="0041437E" w:rsidP="001D1471">
      <w:pPr>
        <w:rPr>
          <w:rFonts w:ascii="Times New Roman" w:eastAsiaTheme="majorEastAsia" w:hAnsi="Times New Roman"/>
          <w:b/>
          <w:bCs/>
          <w:sz w:val="26"/>
          <w:szCs w:val="26"/>
        </w:rPr>
      </w:pPr>
      <w:bookmarkStart w:id="745" w:name="_heading=h.44sinio" w:colFirst="0" w:colLast="0"/>
      <w:bookmarkEnd w:id="745"/>
      <w:r>
        <w:rPr>
          <w:rFonts w:ascii="Times New Roman" w:eastAsiaTheme="majorEastAsia" w:hAnsi="Times New Roman"/>
          <w:b/>
          <w:bCs/>
          <w:sz w:val="26"/>
          <w:szCs w:val="26"/>
        </w:rPr>
        <w:tab/>
      </w:r>
      <w:r>
        <w:rPr>
          <w:rFonts w:ascii="Times New Roman" w:eastAsiaTheme="majorEastAsia" w:hAnsi="Times New Roman"/>
          <w:b/>
          <w:bCs/>
          <w:sz w:val="26"/>
          <w:szCs w:val="26"/>
        </w:rPr>
        <w:tab/>
      </w:r>
      <w:r w:rsidR="00DF2022" w:rsidRPr="0041437E">
        <w:rPr>
          <w:rFonts w:ascii="Times New Roman" w:eastAsiaTheme="majorEastAsia" w:hAnsi="Times New Roman"/>
          <w:b/>
          <w:bCs/>
          <w:sz w:val="26"/>
          <w:szCs w:val="26"/>
        </w:rPr>
        <w:t xml:space="preserve">A9.3.9 </w:t>
      </w:r>
      <w:r w:rsidR="001D1471" w:rsidRPr="0041437E">
        <w:rPr>
          <w:rFonts w:ascii="Times New Roman" w:eastAsiaTheme="majorEastAsia" w:hAnsi="Times New Roman"/>
          <w:b/>
          <w:bCs/>
          <w:sz w:val="26"/>
          <w:szCs w:val="26"/>
        </w:rPr>
        <w:t xml:space="preserve">Data Protection and Anonymity (aggregation, </w:t>
      </w:r>
      <w:proofErr w:type="gramStart"/>
      <w:r w:rsidR="001D1471" w:rsidRPr="0041437E">
        <w:rPr>
          <w:rFonts w:ascii="Times New Roman" w:eastAsiaTheme="majorEastAsia" w:hAnsi="Times New Roman"/>
          <w:b/>
          <w:bCs/>
          <w:sz w:val="26"/>
          <w:szCs w:val="26"/>
        </w:rPr>
        <w:t>analysis</w:t>
      </w:r>
      <w:proofErr w:type="gramEnd"/>
      <w:r w:rsidR="001D1471" w:rsidRPr="0041437E">
        <w:rPr>
          <w:rFonts w:ascii="Times New Roman" w:eastAsiaTheme="majorEastAsia" w:hAnsi="Times New Roman"/>
          <w:b/>
          <w:bCs/>
          <w:sz w:val="26"/>
          <w:szCs w:val="26"/>
        </w:rPr>
        <w:t xml:space="preserve"> and </w:t>
      </w:r>
      <w:r>
        <w:rPr>
          <w:rFonts w:ascii="Times New Roman" w:eastAsiaTheme="majorEastAsia" w:hAnsi="Times New Roman"/>
          <w:b/>
          <w:bCs/>
          <w:sz w:val="26"/>
          <w:szCs w:val="26"/>
        </w:rPr>
        <w:tab/>
      </w:r>
      <w:r>
        <w:rPr>
          <w:rFonts w:ascii="Times New Roman" w:eastAsiaTheme="majorEastAsia" w:hAnsi="Times New Roman"/>
          <w:b/>
          <w:bCs/>
          <w:sz w:val="26"/>
          <w:szCs w:val="26"/>
        </w:rPr>
        <w:tab/>
      </w:r>
      <w:r w:rsidR="001D1471" w:rsidRPr="0041437E">
        <w:rPr>
          <w:rFonts w:ascii="Times New Roman" w:eastAsiaTheme="majorEastAsia" w:hAnsi="Times New Roman"/>
          <w:b/>
          <w:bCs/>
          <w:sz w:val="26"/>
          <w:szCs w:val="26"/>
        </w:rPr>
        <w:t>post-elicitation)</w:t>
      </w:r>
    </w:p>
    <w:p w14:paraId="2A52E298" w14:textId="77777777" w:rsidR="001D1471" w:rsidRPr="006854DD" w:rsidRDefault="001D1471" w:rsidP="001D1471">
      <w:pPr>
        <w:spacing w:after="0" w:line="360" w:lineRule="auto"/>
        <w:rPr>
          <w:rFonts w:asciiTheme="majorBidi" w:hAnsiTheme="majorBidi" w:cstheme="majorBidi"/>
        </w:rPr>
      </w:pPr>
      <w:r w:rsidRPr="006854DD">
        <w:rPr>
          <w:rFonts w:asciiTheme="majorBidi" w:hAnsiTheme="majorBidi" w:cstheme="majorBidi"/>
        </w:rPr>
        <w:t xml:space="preserve">Experts were asked to give their opinions individually (not in groups). The information provided, including personal details, is kept anonymous and confidential, stored securely and only accessed by those carrying out the study. </w:t>
      </w:r>
    </w:p>
    <w:p w14:paraId="48CBAF12" w14:textId="77777777" w:rsidR="001D1471" w:rsidRDefault="001D1471" w:rsidP="001D1471">
      <w:pPr>
        <w:spacing w:after="0" w:line="360" w:lineRule="auto"/>
      </w:pPr>
    </w:p>
    <w:p w14:paraId="490814D0" w14:textId="322CB5E1" w:rsidR="001D1471" w:rsidRDefault="00DF2022" w:rsidP="00DF2022">
      <w:pPr>
        <w:pStyle w:val="EEPRUnumberedLevel2Headingnew"/>
        <w:numPr>
          <w:ilvl w:val="0"/>
          <w:numId w:val="0"/>
        </w:numPr>
        <w:ind w:left="792"/>
      </w:pPr>
      <w:bookmarkStart w:id="746" w:name="_heading=h.2jxsxqh" w:colFirst="0" w:colLast="0"/>
      <w:bookmarkStart w:id="747" w:name="_Toc87463113"/>
      <w:bookmarkEnd w:id="746"/>
      <w:r>
        <w:t xml:space="preserve">A9.4 </w:t>
      </w:r>
      <w:r w:rsidR="001D1471">
        <w:t>Results</w:t>
      </w:r>
      <w:bookmarkEnd w:id="747"/>
      <w:r w:rsidR="001D1471">
        <w:t xml:space="preserve"> </w:t>
      </w:r>
    </w:p>
    <w:p w14:paraId="56135025" w14:textId="77777777" w:rsidR="001D1471" w:rsidRPr="006854DD" w:rsidRDefault="001D1471" w:rsidP="001D1471">
      <w:pPr>
        <w:spacing w:line="360" w:lineRule="auto"/>
        <w:rPr>
          <w:rFonts w:asciiTheme="majorBidi" w:hAnsiTheme="majorBidi" w:cstheme="majorBidi"/>
        </w:rPr>
      </w:pPr>
      <w:proofErr w:type="gramStart"/>
      <w:r w:rsidRPr="006854DD">
        <w:rPr>
          <w:rFonts w:asciiTheme="majorBidi" w:hAnsiTheme="majorBidi" w:cstheme="majorBidi"/>
        </w:rPr>
        <w:t>Eleven  experts</w:t>
      </w:r>
      <w:proofErr w:type="gramEnd"/>
      <w:r w:rsidRPr="006854DD">
        <w:rPr>
          <w:rFonts w:asciiTheme="majorBidi" w:hAnsiTheme="majorBidi" w:cstheme="majorBidi"/>
        </w:rPr>
        <w:t xml:space="preserve"> agreed to take part in the elicitation task and took part in the training. Of these </w:t>
      </w:r>
      <w:proofErr w:type="gramStart"/>
      <w:r w:rsidRPr="006854DD">
        <w:rPr>
          <w:rFonts w:asciiTheme="majorBidi" w:hAnsiTheme="majorBidi" w:cstheme="majorBidi"/>
        </w:rPr>
        <w:t>eleven,  9</w:t>
      </w:r>
      <w:proofErr w:type="gramEnd"/>
      <w:r w:rsidRPr="006854DD">
        <w:rPr>
          <w:rFonts w:asciiTheme="majorBidi" w:hAnsiTheme="majorBidi" w:cstheme="majorBidi"/>
        </w:rPr>
        <w:t xml:space="preserve"> experts attempted the task. The experts included medical consultants (n=2), microbiologists (n=5), ICU consultants (n=1) and pulmonary consultants (n=1). Seven experts completed the task, while two terminated it before answering all questions. Responses from the two experts who terminated the task before answering all questions, were included in the analysis for all outcomes where they provided an estimate for both susceptible and not susceptible populations. Following the elicitation task, experts were sent group summaries and asked if they would like to revise their responses. Only two experts stated that they reviewed the group summaries, and one adjusted their initial responses </w:t>
      </w:r>
      <w:proofErr w:type="gramStart"/>
      <w:r w:rsidRPr="006854DD">
        <w:rPr>
          <w:rFonts w:asciiTheme="majorBidi" w:hAnsiTheme="majorBidi" w:cstheme="majorBidi"/>
        </w:rPr>
        <w:t>in light of</w:t>
      </w:r>
      <w:proofErr w:type="gramEnd"/>
      <w:r w:rsidRPr="006854DD">
        <w:rPr>
          <w:rFonts w:asciiTheme="majorBidi" w:hAnsiTheme="majorBidi" w:cstheme="majorBidi"/>
        </w:rPr>
        <w:t xml:space="preserve"> group summaries.</w:t>
      </w:r>
    </w:p>
    <w:p w14:paraId="3DF67A73" w14:textId="77777777" w:rsidR="001D1471" w:rsidRPr="006854DD" w:rsidRDefault="001D1471" w:rsidP="001D1471">
      <w:pPr>
        <w:spacing w:line="360" w:lineRule="auto"/>
        <w:rPr>
          <w:rFonts w:asciiTheme="majorBidi" w:hAnsiTheme="majorBidi" w:cstheme="majorBidi"/>
        </w:rPr>
      </w:pPr>
      <w:r w:rsidRPr="006854DD">
        <w:rPr>
          <w:rFonts w:asciiTheme="majorBidi" w:hAnsiTheme="majorBidi" w:cstheme="majorBidi"/>
        </w:rPr>
        <w:t xml:space="preserve">Two experts indicated that the probability of survival was lower in patients who were susceptible to treatment than those who were not susceptible, for two sites of infection. This was judged to be implausible, and so the two experts were removed from the sample in the base case. </w:t>
      </w:r>
    </w:p>
    <w:p w14:paraId="33C473E8" w14:textId="53105FF4" w:rsidR="001D1471" w:rsidRPr="0041437E" w:rsidRDefault="0041437E" w:rsidP="006E4E83">
      <w:pPr>
        <w:pStyle w:val="EEPRUnumberedLevel3Headingnew"/>
      </w:pPr>
      <w:bookmarkStart w:id="748" w:name="_heading=h.y54vcolfytq1" w:colFirst="0" w:colLast="0"/>
      <w:bookmarkEnd w:id="748"/>
      <w:r>
        <w:tab/>
      </w:r>
      <w:r>
        <w:tab/>
      </w:r>
      <w:r>
        <w:tab/>
      </w:r>
      <w:bookmarkStart w:id="749" w:name="_Toc87463114"/>
      <w:r w:rsidR="00DF2022" w:rsidRPr="0041437E">
        <w:t>A9.4.1</w:t>
      </w:r>
      <w:r>
        <w:t xml:space="preserve"> </w:t>
      </w:r>
      <w:r w:rsidR="001D1471" w:rsidRPr="0041437E">
        <w:t>Group summaries - base case</w:t>
      </w:r>
      <w:bookmarkEnd w:id="749"/>
    </w:p>
    <w:p w14:paraId="129F54DD" w14:textId="152C969F" w:rsidR="001D1471" w:rsidRPr="006854DD" w:rsidRDefault="001D1471" w:rsidP="000E449C">
      <w:pPr>
        <w:spacing w:line="360" w:lineRule="auto"/>
        <w:rPr>
          <w:rFonts w:asciiTheme="majorBidi" w:hAnsiTheme="majorBidi" w:cstheme="majorBidi"/>
        </w:rPr>
      </w:pPr>
      <w:r w:rsidRPr="006854DD">
        <w:rPr>
          <w:rFonts w:asciiTheme="majorBidi" w:hAnsiTheme="majorBidi" w:cstheme="majorBidi"/>
        </w:rPr>
        <w:t>The group summaries</w:t>
      </w:r>
      <w:r w:rsidR="000E449C">
        <w:rPr>
          <w:rFonts w:asciiTheme="majorBidi" w:hAnsiTheme="majorBidi" w:cstheme="majorBidi"/>
        </w:rPr>
        <w:t xml:space="preserve"> on 30-day mortality (Figure 40</w:t>
      </w:r>
      <w:r w:rsidRPr="006854DD">
        <w:rPr>
          <w:rFonts w:asciiTheme="majorBidi" w:hAnsiTheme="majorBidi" w:cstheme="majorBidi"/>
        </w:rPr>
        <w:t xml:space="preserve">) indicate that survival is the lowest for VAP patients and highest for </w:t>
      </w:r>
      <w:proofErr w:type="spellStart"/>
      <w:r w:rsidRPr="006854DD">
        <w:rPr>
          <w:rFonts w:asciiTheme="majorBidi" w:hAnsiTheme="majorBidi" w:cstheme="majorBidi"/>
        </w:rPr>
        <w:t>cUTI</w:t>
      </w:r>
      <w:proofErr w:type="spellEnd"/>
      <w:r w:rsidRPr="006854DD">
        <w:rPr>
          <w:rFonts w:asciiTheme="majorBidi" w:hAnsiTheme="majorBidi" w:cstheme="majorBidi"/>
        </w:rPr>
        <w:t xml:space="preserve"> patients, and that susceptibility to treatment increases the probability of survival, for all three sites of infection. The group summaries on LOS (Figure </w:t>
      </w:r>
      <w:r w:rsidR="000E449C">
        <w:rPr>
          <w:rFonts w:asciiTheme="majorBidi" w:hAnsiTheme="majorBidi" w:cstheme="majorBidi"/>
        </w:rPr>
        <w:t>41</w:t>
      </w:r>
      <w:r w:rsidRPr="006854DD">
        <w:rPr>
          <w:rFonts w:asciiTheme="majorBidi" w:hAnsiTheme="majorBidi" w:cstheme="majorBidi"/>
        </w:rPr>
        <w:t xml:space="preserve">) indicate that the </w:t>
      </w:r>
      <w:r w:rsidR="005B4EB8">
        <w:rPr>
          <w:rFonts w:asciiTheme="majorBidi" w:hAnsiTheme="majorBidi" w:cstheme="majorBidi"/>
        </w:rPr>
        <w:t>LOS</w:t>
      </w:r>
      <w:r w:rsidRPr="006854DD">
        <w:rPr>
          <w:rFonts w:asciiTheme="majorBidi" w:hAnsiTheme="majorBidi" w:cstheme="majorBidi"/>
        </w:rPr>
        <w:t xml:space="preserve"> is the shortest in patients with </w:t>
      </w:r>
      <w:proofErr w:type="spellStart"/>
      <w:r w:rsidRPr="006854DD">
        <w:rPr>
          <w:rFonts w:asciiTheme="majorBidi" w:hAnsiTheme="majorBidi" w:cstheme="majorBidi"/>
        </w:rPr>
        <w:t>cUTIs</w:t>
      </w:r>
      <w:proofErr w:type="spellEnd"/>
      <w:r w:rsidRPr="006854DD">
        <w:rPr>
          <w:rFonts w:asciiTheme="majorBidi" w:hAnsiTheme="majorBidi" w:cstheme="majorBidi"/>
        </w:rPr>
        <w:t xml:space="preserve"> and the longest for patients with VAP. For all three sites of infection, susceptibility to treatment decreased the </w:t>
      </w:r>
      <w:r w:rsidR="005B4EB8">
        <w:rPr>
          <w:rFonts w:asciiTheme="majorBidi" w:hAnsiTheme="majorBidi" w:cstheme="majorBidi"/>
        </w:rPr>
        <w:t>LOS</w:t>
      </w:r>
      <w:r w:rsidRPr="006854DD">
        <w:rPr>
          <w:rFonts w:asciiTheme="majorBidi" w:hAnsiTheme="majorBidi" w:cstheme="majorBidi"/>
        </w:rPr>
        <w:t>.</w:t>
      </w:r>
    </w:p>
    <w:p w14:paraId="05876400" w14:textId="4DEAA1F5" w:rsidR="001D1471" w:rsidRPr="006854DD" w:rsidRDefault="001D1471" w:rsidP="001D1471">
      <w:pPr>
        <w:spacing w:line="360" w:lineRule="auto"/>
        <w:rPr>
          <w:rFonts w:asciiTheme="majorBidi" w:hAnsiTheme="majorBidi" w:cstheme="majorBidi"/>
        </w:rPr>
      </w:pPr>
      <w:bookmarkStart w:id="750" w:name="_heading=h.gjdgxs" w:colFirst="0" w:colLast="0"/>
      <w:bookmarkEnd w:id="750"/>
      <w:r w:rsidRPr="006854DD">
        <w:rPr>
          <w:rFonts w:asciiTheme="majorBidi" w:hAnsiTheme="majorBidi" w:cstheme="majorBidi"/>
        </w:rPr>
        <w:lastRenderedPageBreak/>
        <w:t xml:space="preserve">The group summaries about the proportion of time spent on different types of wards is shown in </w:t>
      </w:r>
      <w:r w:rsidR="005158B3" w:rsidRPr="005158B3">
        <w:rPr>
          <w:rFonts w:asciiTheme="majorBidi" w:hAnsiTheme="majorBidi" w:cstheme="majorBidi"/>
        </w:rPr>
        <w:t>Table 50</w:t>
      </w:r>
      <w:r w:rsidR="005158B3">
        <w:rPr>
          <w:rFonts w:asciiTheme="majorBidi" w:hAnsiTheme="majorBidi" w:cstheme="majorBidi"/>
        </w:rPr>
        <w:t xml:space="preserve">. </w:t>
      </w:r>
      <w:r w:rsidRPr="006854DD">
        <w:rPr>
          <w:rFonts w:asciiTheme="majorBidi" w:hAnsiTheme="majorBidi" w:cstheme="majorBidi"/>
        </w:rPr>
        <w:t xml:space="preserve">The summaries indicate that patients with VAP spend the most time in ICU and the least time on general medical wards, followed by HAP, then </w:t>
      </w:r>
      <w:proofErr w:type="spellStart"/>
      <w:r w:rsidRPr="006854DD">
        <w:rPr>
          <w:rFonts w:asciiTheme="majorBidi" w:hAnsiTheme="majorBidi" w:cstheme="majorBidi"/>
        </w:rPr>
        <w:t>cUTIs</w:t>
      </w:r>
      <w:proofErr w:type="spellEnd"/>
      <w:r w:rsidRPr="006854DD">
        <w:rPr>
          <w:rFonts w:asciiTheme="majorBidi" w:hAnsiTheme="majorBidi" w:cstheme="majorBidi"/>
        </w:rPr>
        <w:t>. Furthermore, patients who are susceptible to treatment are expected to spend more time on the general medical ward and less on ICU and HDU, for all three sites of infection.</w:t>
      </w:r>
    </w:p>
    <w:p w14:paraId="406702DB" w14:textId="4CBAC0F9" w:rsidR="000E449C" w:rsidRDefault="000E449C" w:rsidP="000E449C">
      <w:pPr>
        <w:pStyle w:val="Caption"/>
        <w:rPr>
          <w:rFonts w:asciiTheme="majorBidi" w:hAnsiTheme="majorBidi" w:cstheme="majorBidi"/>
          <w:b/>
          <w:bCs/>
          <w:i w:val="0"/>
          <w:iCs w:val="0"/>
          <w:sz w:val="20"/>
          <w:szCs w:val="20"/>
        </w:rPr>
      </w:pPr>
      <w:bookmarkStart w:id="751" w:name="_Toc86419084"/>
      <w:r w:rsidRPr="000E449C">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39</w:t>
      </w:r>
      <w:r w:rsidRPr="000E449C">
        <w:rPr>
          <w:rFonts w:asciiTheme="majorBidi" w:hAnsiTheme="majorBidi" w:cstheme="majorBidi"/>
          <w:b/>
          <w:bCs/>
          <w:i w:val="0"/>
          <w:iCs w:val="0"/>
          <w:sz w:val="20"/>
          <w:szCs w:val="20"/>
        </w:rPr>
        <w:t>. 30-day survival</w:t>
      </w:r>
      <w:bookmarkEnd w:id="751"/>
    </w:p>
    <w:p w14:paraId="3B277135" w14:textId="7233BF77" w:rsidR="001D1471" w:rsidRDefault="006F4DEE" w:rsidP="001D1471">
      <w:pPr>
        <w:spacing w:line="360" w:lineRule="auto"/>
      </w:pPr>
      <w:r>
        <w:rPr>
          <w:noProof/>
          <w:lang w:eastAsia="en-GB"/>
        </w:rPr>
        <w:drawing>
          <wp:inline distT="0" distB="0" distL="0" distR="0" wp14:anchorId="249E5313" wp14:editId="5CE0EAB1">
            <wp:extent cx="5715000" cy="2857500"/>
            <wp:effectExtent l="0" t="0" r="0" b="0"/>
            <wp:docPr id="17" name="Picture 17" descr="Line chart that shows 30 day survival for the following 6 variables&#10;HAP, susceptible (P = 0.642)&#10;VAP, susceptible (P = 0.553)&#10;cUTI, susceptible (P = 0.854)&#10;HAP, not susceptible (P = 0.436)&#10;VAP, not susceptible (P = 0.352)&#10;cUTi, not susceptible (P =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ne chart that shows 30 day survival for the following 6 variables&#10;HAP, susceptible (P = 0.642)&#10;VAP, susceptible (P = 0.553)&#10;cUTI, susceptible (P = 0.854)&#10;HAP, not susceptible (P = 0.436)&#10;VAP, not susceptible (P = 0.352)&#10;cUTi, not susceptible (P = 0.61)"/>
                    <pic:cNvPicPr/>
                  </pic:nvPicPr>
                  <pic:blipFill>
                    <a:blip r:embed="rId59">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24C69346" w14:textId="77777777" w:rsidR="000E3737" w:rsidRPr="00F7321E" w:rsidRDefault="000E3737" w:rsidP="000E3737">
      <w:pPr>
        <w:pStyle w:val="EEPRUtextundertables"/>
      </w:pPr>
      <w:proofErr w:type="spellStart"/>
      <w:r w:rsidRPr="00F7321E">
        <w:t>cUTI</w:t>
      </w:r>
      <w:proofErr w:type="spellEnd"/>
      <w:r w:rsidRPr="00F7321E">
        <w:t>, complicated urinary tract infection; HAP, hospital-acquired pneumonia; VAP, ventilator-associated pneumonia; P, proportion</w:t>
      </w:r>
    </w:p>
    <w:p w14:paraId="74955A64" w14:textId="77777777" w:rsidR="000E449C" w:rsidRDefault="000E449C" w:rsidP="000E449C">
      <w:pPr>
        <w:pStyle w:val="Caption"/>
        <w:rPr>
          <w:rFonts w:asciiTheme="majorBidi" w:hAnsiTheme="majorBidi" w:cstheme="majorBidi"/>
          <w:b/>
          <w:bCs/>
          <w:i w:val="0"/>
          <w:iCs w:val="0"/>
          <w:sz w:val="20"/>
          <w:szCs w:val="20"/>
        </w:rPr>
      </w:pPr>
    </w:p>
    <w:p w14:paraId="070FEB3C" w14:textId="77777777" w:rsidR="000E449C" w:rsidRDefault="000E449C" w:rsidP="000E449C">
      <w:pPr>
        <w:pStyle w:val="Caption"/>
        <w:rPr>
          <w:rFonts w:asciiTheme="majorBidi" w:hAnsiTheme="majorBidi" w:cstheme="majorBidi"/>
          <w:b/>
          <w:bCs/>
          <w:i w:val="0"/>
          <w:iCs w:val="0"/>
          <w:sz w:val="20"/>
          <w:szCs w:val="20"/>
        </w:rPr>
      </w:pPr>
    </w:p>
    <w:p w14:paraId="7A82EC0A" w14:textId="77777777" w:rsidR="000E449C" w:rsidRDefault="000E449C" w:rsidP="000E449C">
      <w:pPr>
        <w:pStyle w:val="Caption"/>
        <w:rPr>
          <w:rFonts w:asciiTheme="majorBidi" w:hAnsiTheme="majorBidi" w:cstheme="majorBidi"/>
          <w:b/>
          <w:bCs/>
          <w:i w:val="0"/>
          <w:iCs w:val="0"/>
          <w:sz w:val="20"/>
          <w:szCs w:val="20"/>
        </w:rPr>
      </w:pPr>
    </w:p>
    <w:p w14:paraId="17671EB8" w14:textId="77777777" w:rsidR="000E449C" w:rsidRDefault="000E449C" w:rsidP="000E449C">
      <w:pPr>
        <w:pStyle w:val="Caption"/>
        <w:rPr>
          <w:rFonts w:asciiTheme="majorBidi" w:hAnsiTheme="majorBidi" w:cstheme="majorBidi"/>
          <w:b/>
          <w:bCs/>
          <w:i w:val="0"/>
          <w:iCs w:val="0"/>
          <w:sz w:val="20"/>
          <w:szCs w:val="20"/>
        </w:rPr>
      </w:pPr>
    </w:p>
    <w:p w14:paraId="0C79A134" w14:textId="77777777" w:rsidR="000E449C" w:rsidRDefault="000E449C" w:rsidP="000E449C">
      <w:pPr>
        <w:pStyle w:val="Caption"/>
        <w:rPr>
          <w:rFonts w:asciiTheme="majorBidi" w:hAnsiTheme="majorBidi" w:cstheme="majorBidi"/>
          <w:b/>
          <w:bCs/>
          <w:i w:val="0"/>
          <w:iCs w:val="0"/>
          <w:sz w:val="20"/>
          <w:szCs w:val="20"/>
        </w:rPr>
      </w:pPr>
    </w:p>
    <w:p w14:paraId="238CBE83" w14:textId="77777777" w:rsidR="000E449C" w:rsidRDefault="000E449C" w:rsidP="000E449C">
      <w:pPr>
        <w:pStyle w:val="Caption"/>
        <w:rPr>
          <w:rFonts w:asciiTheme="majorBidi" w:hAnsiTheme="majorBidi" w:cstheme="majorBidi"/>
          <w:b/>
          <w:bCs/>
          <w:i w:val="0"/>
          <w:iCs w:val="0"/>
          <w:sz w:val="20"/>
          <w:szCs w:val="20"/>
        </w:rPr>
      </w:pPr>
    </w:p>
    <w:p w14:paraId="3EC1A851" w14:textId="77777777" w:rsidR="000E449C" w:rsidRDefault="000E449C" w:rsidP="000E449C">
      <w:pPr>
        <w:pStyle w:val="Caption"/>
        <w:rPr>
          <w:rFonts w:asciiTheme="majorBidi" w:hAnsiTheme="majorBidi" w:cstheme="majorBidi"/>
          <w:b/>
          <w:bCs/>
          <w:i w:val="0"/>
          <w:iCs w:val="0"/>
          <w:sz w:val="20"/>
          <w:szCs w:val="20"/>
        </w:rPr>
      </w:pPr>
    </w:p>
    <w:p w14:paraId="7FF61BEF" w14:textId="77777777" w:rsidR="000E449C" w:rsidRDefault="000E449C" w:rsidP="000E449C">
      <w:pPr>
        <w:pStyle w:val="Caption"/>
        <w:rPr>
          <w:rFonts w:asciiTheme="majorBidi" w:hAnsiTheme="majorBidi" w:cstheme="majorBidi"/>
          <w:b/>
          <w:bCs/>
          <w:i w:val="0"/>
          <w:iCs w:val="0"/>
          <w:sz w:val="20"/>
          <w:szCs w:val="20"/>
        </w:rPr>
      </w:pPr>
    </w:p>
    <w:p w14:paraId="2BC97F51" w14:textId="77777777" w:rsidR="000E449C" w:rsidRDefault="000E449C" w:rsidP="000E449C">
      <w:pPr>
        <w:pStyle w:val="Caption"/>
        <w:rPr>
          <w:rFonts w:asciiTheme="majorBidi" w:hAnsiTheme="majorBidi" w:cstheme="majorBidi"/>
          <w:b/>
          <w:bCs/>
          <w:i w:val="0"/>
          <w:iCs w:val="0"/>
          <w:sz w:val="20"/>
          <w:szCs w:val="20"/>
        </w:rPr>
      </w:pPr>
    </w:p>
    <w:p w14:paraId="601F158D" w14:textId="77777777" w:rsidR="000E449C" w:rsidRDefault="000E449C" w:rsidP="000E449C">
      <w:pPr>
        <w:pStyle w:val="Caption"/>
        <w:rPr>
          <w:rFonts w:asciiTheme="majorBidi" w:hAnsiTheme="majorBidi" w:cstheme="majorBidi"/>
          <w:b/>
          <w:bCs/>
          <w:i w:val="0"/>
          <w:iCs w:val="0"/>
          <w:sz w:val="20"/>
          <w:szCs w:val="20"/>
        </w:rPr>
      </w:pPr>
    </w:p>
    <w:p w14:paraId="35AEB02D" w14:textId="77777777" w:rsidR="000E449C" w:rsidRDefault="000E449C" w:rsidP="000E449C">
      <w:pPr>
        <w:pStyle w:val="Caption"/>
        <w:rPr>
          <w:rFonts w:asciiTheme="majorBidi" w:hAnsiTheme="majorBidi" w:cstheme="majorBidi"/>
          <w:b/>
          <w:bCs/>
          <w:i w:val="0"/>
          <w:iCs w:val="0"/>
          <w:sz w:val="20"/>
          <w:szCs w:val="20"/>
        </w:rPr>
      </w:pPr>
    </w:p>
    <w:p w14:paraId="080523E2" w14:textId="77777777" w:rsidR="00D146EF" w:rsidRDefault="00D146EF" w:rsidP="000E449C">
      <w:pPr>
        <w:pStyle w:val="Caption"/>
        <w:rPr>
          <w:rFonts w:asciiTheme="majorBidi" w:hAnsiTheme="majorBidi" w:cstheme="majorBidi"/>
          <w:b/>
          <w:bCs/>
          <w:i w:val="0"/>
          <w:iCs w:val="0"/>
          <w:sz w:val="20"/>
          <w:szCs w:val="20"/>
        </w:rPr>
      </w:pPr>
      <w:bookmarkStart w:id="752" w:name="_Toc86419085"/>
    </w:p>
    <w:p w14:paraId="184249A4" w14:textId="77777777" w:rsidR="00D146EF" w:rsidRDefault="00D146EF" w:rsidP="000E449C">
      <w:pPr>
        <w:pStyle w:val="Caption"/>
        <w:rPr>
          <w:rFonts w:asciiTheme="majorBidi" w:hAnsiTheme="majorBidi" w:cstheme="majorBidi"/>
          <w:b/>
          <w:bCs/>
          <w:i w:val="0"/>
          <w:iCs w:val="0"/>
          <w:sz w:val="20"/>
          <w:szCs w:val="20"/>
        </w:rPr>
      </w:pPr>
    </w:p>
    <w:p w14:paraId="7202F30A" w14:textId="77777777" w:rsidR="00D146EF" w:rsidRDefault="00D146EF" w:rsidP="000E449C">
      <w:pPr>
        <w:pStyle w:val="Caption"/>
        <w:rPr>
          <w:rFonts w:asciiTheme="majorBidi" w:hAnsiTheme="majorBidi" w:cstheme="majorBidi"/>
          <w:b/>
          <w:bCs/>
          <w:i w:val="0"/>
          <w:iCs w:val="0"/>
          <w:sz w:val="20"/>
          <w:szCs w:val="20"/>
        </w:rPr>
      </w:pPr>
    </w:p>
    <w:p w14:paraId="1BB1CCB2" w14:textId="420FC4F0" w:rsidR="000E449C" w:rsidRPr="000E449C" w:rsidRDefault="000E449C" w:rsidP="000E449C">
      <w:pPr>
        <w:pStyle w:val="Caption"/>
        <w:rPr>
          <w:rFonts w:asciiTheme="majorBidi" w:hAnsiTheme="majorBidi" w:cstheme="majorBidi"/>
          <w:b/>
          <w:bCs/>
          <w:i w:val="0"/>
          <w:iCs w:val="0"/>
          <w:sz w:val="20"/>
          <w:szCs w:val="20"/>
        </w:rPr>
      </w:pPr>
      <w:r w:rsidRPr="000E449C">
        <w:rPr>
          <w:rFonts w:asciiTheme="majorBidi" w:hAnsiTheme="majorBidi" w:cstheme="majorBidi"/>
          <w:b/>
          <w:bCs/>
          <w:i w:val="0"/>
          <w:iCs w:val="0"/>
          <w:sz w:val="20"/>
          <w:szCs w:val="20"/>
        </w:rPr>
        <w:lastRenderedPageBreak/>
        <w:t xml:space="preserve">Figure </w:t>
      </w:r>
      <w:r w:rsidR="0021430F">
        <w:rPr>
          <w:rFonts w:asciiTheme="majorBidi" w:hAnsiTheme="majorBidi" w:cstheme="majorBidi"/>
          <w:b/>
          <w:bCs/>
          <w:i w:val="0"/>
          <w:iCs w:val="0"/>
          <w:noProof/>
          <w:sz w:val="20"/>
          <w:szCs w:val="20"/>
        </w:rPr>
        <w:t>40</w:t>
      </w:r>
      <w:r w:rsidRPr="000E449C">
        <w:rPr>
          <w:rFonts w:asciiTheme="majorBidi" w:hAnsiTheme="majorBidi" w:cstheme="majorBidi"/>
          <w:b/>
          <w:bCs/>
          <w:i w:val="0"/>
          <w:iCs w:val="0"/>
          <w:sz w:val="20"/>
          <w:szCs w:val="20"/>
        </w:rPr>
        <w:t xml:space="preserve"> Expected LOS</w:t>
      </w:r>
      <w:bookmarkEnd w:id="752"/>
    </w:p>
    <w:p w14:paraId="732EC6EE" w14:textId="7B04F874" w:rsidR="001D1471" w:rsidRDefault="001D1471" w:rsidP="001D1471">
      <w:pPr>
        <w:keepNext/>
        <w:spacing w:before="120" w:after="320" w:line="360" w:lineRule="auto"/>
        <w:rPr>
          <w:b/>
        </w:rPr>
      </w:pPr>
      <w:r>
        <w:rPr>
          <w:b/>
          <w:noProof/>
          <w:lang w:eastAsia="en-GB"/>
        </w:rPr>
        <w:drawing>
          <wp:inline distT="114300" distB="114300" distL="114300" distR="114300" wp14:anchorId="6BEA3845" wp14:editId="07AB0E59">
            <wp:extent cx="5715000" cy="2857500"/>
            <wp:effectExtent l="0" t="0" r="0" b="0"/>
            <wp:docPr id="87" name="image2.jpg" descr="Line chart that shows the expected length of stay for the following 6 variables&#10;HAP, susceptible (mean = 19.5)&#10;VAP, susceptible (mean = 23.5)&#10;cUTI, susceptible (mean = 12.9)&#10;HAP, not susceptible (mean = 20.9)&#10;VAP, not susceptible (mean = 25.8)&#10;cUTi, not susceptible (mean = 17.7)"/>
            <wp:cNvGraphicFramePr/>
            <a:graphic xmlns:a="http://schemas.openxmlformats.org/drawingml/2006/main">
              <a:graphicData uri="http://schemas.openxmlformats.org/drawingml/2006/picture">
                <pic:pic xmlns:pic="http://schemas.openxmlformats.org/drawingml/2006/picture">
                  <pic:nvPicPr>
                    <pic:cNvPr id="87" name="image2.jpg" descr="Line chart that shows the expected length of stay for the following 6 variables&#10;HAP, susceptible (mean = 19.5)&#10;VAP, susceptible (mean = 23.5)&#10;cUTI, susceptible (mean = 12.9)&#10;HAP, not susceptible (mean = 20.9)&#10;VAP, not susceptible (mean = 25.8)&#10;cUTi, not susceptible (mean = 17.7)"/>
                    <pic:cNvPicPr preferRelativeResize="0"/>
                  </pic:nvPicPr>
                  <pic:blipFill>
                    <a:blip r:embed="rId60"/>
                    <a:srcRect/>
                    <a:stretch>
                      <a:fillRect/>
                    </a:stretch>
                  </pic:blipFill>
                  <pic:spPr>
                    <a:xfrm>
                      <a:off x="0" y="0"/>
                      <a:ext cx="5715000" cy="2857500"/>
                    </a:xfrm>
                    <a:prstGeom prst="rect">
                      <a:avLst/>
                    </a:prstGeom>
                    <a:ln/>
                  </pic:spPr>
                </pic:pic>
              </a:graphicData>
            </a:graphic>
          </wp:inline>
        </w:drawing>
      </w:r>
    </w:p>
    <w:p w14:paraId="08BC739A" w14:textId="3C977CFE" w:rsidR="000E3737" w:rsidRDefault="000E3737" w:rsidP="000E3737">
      <w:pPr>
        <w:pStyle w:val="EEPRUtextundertables"/>
      </w:pPr>
      <w:proofErr w:type="spellStart"/>
      <w:r w:rsidRPr="00F7321E">
        <w:t>cUTI</w:t>
      </w:r>
      <w:proofErr w:type="spellEnd"/>
      <w:r w:rsidRPr="00F7321E">
        <w:t>, complicated urinary tract infection; HAP, hospital-acquired pneumonia; VAP, ventilator-associated pneumonia</w:t>
      </w:r>
    </w:p>
    <w:p w14:paraId="1AA2EE53" w14:textId="77777777" w:rsidR="000E3737" w:rsidRDefault="000E3737" w:rsidP="000E3737">
      <w:pPr>
        <w:pStyle w:val="EEPRUtextundertables"/>
        <w:rPr>
          <w:b/>
        </w:rPr>
      </w:pPr>
    </w:p>
    <w:p w14:paraId="6492A001" w14:textId="42DB7E48" w:rsidR="001D1471" w:rsidRPr="005158B3" w:rsidRDefault="005158B3" w:rsidP="005158B3">
      <w:pPr>
        <w:spacing w:after="120" w:line="360" w:lineRule="auto"/>
        <w:contextualSpacing/>
        <w:jc w:val="both"/>
        <w:rPr>
          <w:rFonts w:ascii="Times New Roman" w:hAnsi="Times New Roman" w:cs="Times New Roman"/>
          <w:b/>
          <w:bCs/>
        </w:rPr>
      </w:pPr>
      <w:bookmarkStart w:id="753" w:name="_Ref85645241"/>
      <w:bookmarkStart w:id="754" w:name="_Toc86419034"/>
      <w:r w:rsidRPr="005158B3">
        <w:rPr>
          <w:rFonts w:ascii="Times New Roman" w:hAnsi="Times New Roman" w:cs="Times New Roman"/>
          <w:b/>
          <w:bCs/>
        </w:rPr>
        <w:t xml:space="preserve">Table </w:t>
      </w:r>
      <w:r w:rsidR="00F10F0A">
        <w:rPr>
          <w:rFonts w:ascii="Times New Roman" w:hAnsi="Times New Roman" w:cs="Times New Roman"/>
          <w:b/>
          <w:bCs/>
          <w:noProof/>
        </w:rPr>
        <w:t>57</w:t>
      </w:r>
      <w:bookmarkEnd w:id="753"/>
      <w:r w:rsidR="001D1471" w:rsidRPr="005158B3">
        <w:rPr>
          <w:rFonts w:ascii="Times New Roman" w:hAnsi="Times New Roman" w:cs="Times New Roman"/>
          <w:b/>
          <w:bCs/>
        </w:rPr>
        <w:t>. Proportion (%) of hospital stay spent on ICU, HDU and general medical ward.</w:t>
      </w:r>
      <w:bookmarkEnd w:id="754"/>
    </w:p>
    <w:tbl>
      <w:tblPr>
        <w:tblStyle w:val="GridTable1Light"/>
        <w:tblW w:w="9016" w:type="dxa"/>
        <w:tblLayout w:type="fixed"/>
        <w:tblLook w:val="0420" w:firstRow="1" w:lastRow="0" w:firstColumn="0" w:lastColumn="0" w:noHBand="0" w:noVBand="1"/>
      </w:tblPr>
      <w:tblGrid>
        <w:gridCol w:w="2254"/>
        <w:gridCol w:w="2254"/>
        <w:gridCol w:w="2254"/>
        <w:gridCol w:w="2254"/>
      </w:tblGrid>
      <w:tr w:rsidR="001D1471" w:rsidRPr="006854DD" w14:paraId="4C857675" w14:textId="77777777" w:rsidTr="0070201C">
        <w:trPr>
          <w:cnfStyle w:val="100000000000" w:firstRow="1" w:lastRow="0" w:firstColumn="0" w:lastColumn="0" w:oddVBand="0" w:evenVBand="0" w:oddHBand="0" w:evenHBand="0" w:firstRowFirstColumn="0" w:firstRowLastColumn="0" w:lastRowFirstColumn="0" w:lastRowLastColumn="0"/>
        </w:trPr>
        <w:tc>
          <w:tcPr>
            <w:tcW w:w="2254" w:type="dxa"/>
          </w:tcPr>
          <w:p w14:paraId="681136D4" w14:textId="77777777" w:rsidR="001D1471" w:rsidRPr="006854DD" w:rsidRDefault="001D1471" w:rsidP="001D1471">
            <w:pPr>
              <w:rPr>
                <w:rFonts w:asciiTheme="majorBidi" w:hAnsiTheme="majorBidi" w:cstheme="majorBidi"/>
              </w:rPr>
            </w:pPr>
          </w:p>
        </w:tc>
        <w:tc>
          <w:tcPr>
            <w:tcW w:w="2254" w:type="dxa"/>
          </w:tcPr>
          <w:p w14:paraId="77715581" w14:textId="77777777" w:rsidR="001D1471" w:rsidRPr="006854DD" w:rsidRDefault="001D1471" w:rsidP="001D1471">
            <w:pPr>
              <w:rPr>
                <w:rFonts w:asciiTheme="majorBidi" w:hAnsiTheme="majorBidi" w:cstheme="majorBidi"/>
              </w:rPr>
            </w:pPr>
            <w:r w:rsidRPr="006854DD">
              <w:rPr>
                <w:rFonts w:asciiTheme="majorBidi" w:hAnsiTheme="majorBidi" w:cstheme="majorBidi"/>
              </w:rPr>
              <w:t>ICU</w:t>
            </w:r>
          </w:p>
        </w:tc>
        <w:tc>
          <w:tcPr>
            <w:tcW w:w="2254" w:type="dxa"/>
          </w:tcPr>
          <w:p w14:paraId="51EA24AE" w14:textId="77777777" w:rsidR="001D1471" w:rsidRPr="006854DD" w:rsidRDefault="001D1471" w:rsidP="001D1471">
            <w:pPr>
              <w:rPr>
                <w:rFonts w:asciiTheme="majorBidi" w:hAnsiTheme="majorBidi" w:cstheme="majorBidi"/>
              </w:rPr>
            </w:pPr>
            <w:r w:rsidRPr="006854DD">
              <w:rPr>
                <w:rFonts w:asciiTheme="majorBidi" w:hAnsiTheme="majorBidi" w:cstheme="majorBidi"/>
              </w:rPr>
              <w:t>HDU</w:t>
            </w:r>
          </w:p>
        </w:tc>
        <w:tc>
          <w:tcPr>
            <w:tcW w:w="2254" w:type="dxa"/>
          </w:tcPr>
          <w:p w14:paraId="1E8E19EE" w14:textId="77777777" w:rsidR="001D1471" w:rsidRPr="006854DD" w:rsidRDefault="001D1471" w:rsidP="001D1471">
            <w:pPr>
              <w:rPr>
                <w:rFonts w:asciiTheme="majorBidi" w:hAnsiTheme="majorBidi" w:cstheme="majorBidi"/>
              </w:rPr>
            </w:pPr>
            <w:r w:rsidRPr="006854DD">
              <w:rPr>
                <w:rFonts w:asciiTheme="majorBidi" w:hAnsiTheme="majorBidi" w:cstheme="majorBidi"/>
              </w:rPr>
              <w:t>General medical ward</w:t>
            </w:r>
          </w:p>
        </w:tc>
      </w:tr>
      <w:tr w:rsidR="001D1471" w:rsidRPr="006854DD" w14:paraId="0F35E5CC" w14:textId="77777777" w:rsidTr="0070201C">
        <w:tc>
          <w:tcPr>
            <w:tcW w:w="2254" w:type="dxa"/>
          </w:tcPr>
          <w:p w14:paraId="371E4CC8" w14:textId="77777777" w:rsidR="001D1471" w:rsidRPr="006854DD" w:rsidRDefault="001D1471" w:rsidP="001D1471">
            <w:pPr>
              <w:rPr>
                <w:rFonts w:asciiTheme="majorBidi" w:hAnsiTheme="majorBidi" w:cstheme="majorBidi"/>
              </w:rPr>
            </w:pPr>
            <w:r w:rsidRPr="006854DD">
              <w:rPr>
                <w:rFonts w:asciiTheme="majorBidi" w:hAnsiTheme="majorBidi" w:cstheme="majorBidi"/>
              </w:rPr>
              <w:t>HAP, susceptible</w:t>
            </w:r>
          </w:p>
        </w:tc>
        <w:tc>
          <w:tcPr>
            <w:tcW w:w="2254" w:type="dxa"/>
          </w:tcPr>
          <w:p w14:paraId="20746C2D" w14:textId="77777777" w:rsidR="001D1471" w:rsidRPr="006854DD" w:rsidRDefault="001D1471" w:rsidP="001D1471">
            <w:pPr>
              <w:rPr>
                <w:rFonts w:asciiTheme="majorBidi" w:hAnsiTheme="majorBidi" w:cstheme="majorBidi"/>
              </w:rPr>
            </w:pPr>
            <w:r w:rsidRPr="006854DD">
              <w:rPr>
                <w:rFonts w:asciiTheme="majorBidi" w:hAnsiTheme="majorBidi" w:cstheme="majorBidi"/>
              </w:rPr>
              <w:t>24.3</w:t>
            </w:r>
          </w:p>
        </w:tc>
        <w:tc>
          <w:tcPr>
            <w:tcW w:w="2254" w:type="dxa"/>
          </w:tcPr>
          <w:p w14:paraId="2D66B3D2" w14:textId="77777777" w:rsidR="001D1471" w:rsidRPr="006854DD" w:rsidRDefault="001D1471" w:rsidP="001D1471">
            <w:pPr>
              <w:rPr>
                <w:rFonts w:asciiTheme="majorBidi" w:hAnsiTheme="majorBidi" w:cstheme="majorBidi"/>
              </w:rPr>
            </w:pPr>
            <w:r w:rsidRPr="006854DD">
              <w:rPr>
                <w:rFonts w:asciiTheme="majorBidi" w:hAnsiTheme="majorBidi" w:cstheme="majorBidi"/>
              </w:rPr>
              <w:t>19.0</w:t>
            </w:r>
          </w:p>
        </w:tc>
        <w:tc>
          <w:tcPr>
            <w:tcW w:w="2254" w:type="dxa"/>
          </w:tcPr>
          <w:p w14:paraId="580D3EFA" w14:textId="77777777" w:rsidR="001D1471" w:rsidRPr="006854DD" w:rsidRDefault="001D1471" w:rsidP="001D1471">
            <w:pPr>
              <w:rPr>
                <w:rFonts w:asciiTheme="majorBidi" w:hAnsiTheme="majorBidi" w:cstheme="majorBidi"/>
              </w:rPr>
            </w:pPr>
            <w:r w:rsidRPr="006854DD">
              <w:rPr>
                <w:rFonts w:asciiTheme="majorBidi" w:hAnsiTheme="majorBidi" w:cstheme="majorBidi"/>
              </w:rPr>
              <w:t>56.7</w:t>
            </w:r>
          </w:p>
        </w:tc>
      </w:tr>
      <w:tr w:rsidR="001D1471" w:rsidRPr="006854DD" w14:paraId="6C6C564D" w14:textId="77777777" w:rsidTr="0070201C">
        <w:trPr>
          <w:trHeight w:val="283"/>
        </w:trPr>
        <w:tc>
          <w:tcPr>
            <w:tcW w:w="2254" w:type="dxa"/>
          </w:tcPr>
          <w:p w14:paraId="21BD88F2" w14:textId="77777777" w:rsidR="001D1471" w:rsidRPr="006854DD" w:rsidRDefault="001D1471" w:rsidP="001D1471">
            <w:pPr>
              <w:rPr>
                <w:rFonts w:asciiTheme="majorBidi" w:hAnsiTheme="majorBidi" w:cstheme="majorBidi"/>
              </w:rPr>
            </w:pPr>
            <w:r w:rsidRPr="006854DD">
              <w:rPr>
                <w:rFonts w:asciiTheme="majorBidi" w:hAnsiTheme="majorBidi" w:cstheme="majorBidi"/>
              </w:rPr>
              <w:t>VAP, susceptible</w:t>
            </w:r>
          </w:p>
        </w:tc>
        <w:tc>
          <w:tcPr>
            <w:tcW w:w="2254" w:type="dxa"/>
          </w:tcPr>
          <w:p w14:paraId="7F3B6A7A" w14:textId="77777777" w:rsidR="001D1471" w:rsidRPr="006854DD" w:rsidRDefault="001D1471" w:rsidP="001D1471">
            <w:pPr>
              <w:rPr>
                <w:rFonts w:asciiTheme="majorBidi" w:hAnsiTheme="majorBidi" w:cstheme="majorBidi"/>
              </w:rPr>
            </w:pPr>
            <w:r w:rsidRPr="006854DD">
              <w:rPr>
                <w:rFonts w:asciiTheme="majorBidi" w:hAnsiTheme="majorBidi" w:cstheme="majorBidi"/>
              </w:rPr>
              <w:t>60.0</w:t>
            </w:r>
          </w:p>
        </w:tc>
        <w:tc>
          <w:tcPr>
            <w:tcW w:w="2254" w:type="dxa"/>
          </w:tcPr>
          <w:p w14:paraId="2570BDDD" w14:textId="77777777" w:rsidR="001D1471" w:rsidRPr="006854DD" w:rsidRDefault="001D1471" w:rsidP="001D1471">
            <w:pPr>
              <w:rPr>
                <w:rFonts w:asciiTheme="majorBidi" w:hAnsiTheme="majorBidi" w:cstheme="majorBidi"/>
              </w:rPr>
            </w:pPr>
            <w:r w:rsidRPr="006854DD">
              <w:rPr>
                <w:rFonts w:asciiTheme="majorBidi" w:hAnsiTheme="majorBidi" w:cstheme="majorBidi"/>
              </w:rPr>
              <w:t>13.3</w:t>
            </w:r>
          </w:p>
        </w:tc>
        <w:tc>
          <w:tcPr>
            <w:tcW w:w="2254" w:type="dxa"/>
          </w:tcPr>
          <w:p w14:paraId="71307E5B" w14:textId="77777777" w:rsidR="001D1471" w:rsidRPr="006854DD" w:rsidRDefault="001D1471" w:rsidP="001D1471">
            <w:pPr>
              <w:rPr>
                <w:rFonts w:asciiTheme="majorBidi" w:hAnsiTheme="majorBidi" w:cstheme="majorBidi"/>
              </w:rPr>
            </w:pPr>
            <w:r w:rsidRPr="006854DD">
              <w:rPr>
                <w:rFonts w:asciiTheme="majorBidi" w:hAnsiTheme="majorBidi" w:cstheme="majorBidi"/>
              </w:rPr>
              <w:t>26.7</w:t>
            </w:r>
          </w:p>
        </w:tc>
      </w:tr>
      <w:tr w:rsidR="001D1471" w:rsidRPr="006854DD" w14:paraId="6D0E7BA4" w14:textId="77777777" w:rsidTr="0070201C">
        <w:tc>
          <w:tcPr>
            <w:tcW w:w="2254" w:type="dxa"/>
          </w:tcPr>
          <w:p w14:paraId="1337C1E2"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t>cUTI</w:t>
            </w:r>
            <w:proofErr w:type="spellEnd"/>
            <w:r w:rsidRPr="006854DD">
              <w:rPr>
                <w:rFonts w:asciiTheme="majorBidi" w:hAnsiTheme="majorBidi" w:cstheme="majorBidi"/>
              </w:rPr>
              <w:t>, susceptible</w:t>
            </w:r>
          </w:p>
        </w:tc>
        <w:tc>
          <w:tcPr>
            <w:tcW w:w="2254" w:type="dxa"/>
          </w:tcPr>
          <w:p w14:paraId="5D15C2F5" w14:textId="77777777" w:rsidR="001D1471" w:rsidRPr="006854DD" w:rsidRDefault="001D1471" w:rsidP="001D1471">
            <w:pPr>
              <w:rPr>
                <w:rFonts w:asciiTheme="majorBidi" w:hAnsiTheme="majorBidi" w:cstheme="majorBidi"/>
              </w:rPr>
            </w:pPr>
            <w:r w:rsidRPr="006854DD">
              <w:rPr>
                <w:rFonts w:asciiTheme="majorBidi" w:hAnsiTheme="majorBidi" w:cstheme="majorBidi"/>
              </w:rPr>
              <w:t>15.0</w:t>
            </w:r>
          </w:p>
        </w:tc>
        <w:tc>
          <w:tcPr>
            <w:tcW w:w="2254" w:type="dxa"/>
          </w:tcPr>
          <w:p w14:paraId="26E51243" w14:textId="77777777" w:rsidR="001D1471" w:rsidRPr="006854DD" w:rsidRDefault="001D1471" w:rsidP="001D1471">
            <w:pPr>
              <w:rPr>
                <w:rFonts w:asciiTheme="majorBidi" w:hAnsiTheme="majorBidi" w:cstheme="majorBidi"/>
              </w:rPr>
            </w:pPr>
            <w:r w:rsidRPr="006854DD">
              <w:rPr>
                <w:rFonts w:asciiTheme="majorBidi" w:hAnsiTheme="majorBidi" w:cstheme="majorBidi"/>
              </w:rPr>
              <w:t>17.0</w:t>
            </w:r>
          </w:p>
        </w:tc>
        <w:tc>
          <w:tcPr>
            <w:tcW w:w="2254" w:type="dxa"/>
          </w:tcPr>
          <w:p w14:paraId="3CFA6556" w14:textId="77777777" w:rsidR="001D1471" w:rsidRPr="006854DD" w:rsidRDefault="001D1471" w:rsidP="001D1471">
            <w:pPr>
              <w:rPr>
                <w:rFonts w:asciiTheme="majorBidi" w:hAnsiTheme="majorBidi" w:cstheme="majorBidi"/>
              </w:rPr>
            </w:pPr>
            <w:r w:rsidRPr="006854DD">
              <w:rPr>
                <w:rFonts w:asciiTheme="majorBidi" w:hAnsiTheme="majorBidi" w:cstheme="majorBidi"/>
              </w:rPr>
              <w:t>68.0</w:t>
            </w:r>
          </w:p>
        </w:tc>
      </w:tr>
      <w:tr w:rsidR="001D1471" w:rsidRPr="006854DD" w14:paraId="476EE8B7" w14:textId="77777777" w:rsidTr="0070201C">
        <w:tc>
          <w:tcPr>
            <w:tcW w:w="2254" w:type="dxa"/>
          </w:tcPr>
          <w:p w14:paraId="5FAA35E4" w14:textId="77777777" w:rsidR="001D1471" w:rsidRPr="006854DD" w:rsidRDefault="001D1471" w:rsidP="001D1471">
            <w:pPr>
              <w:rPr>
                <w:rFonts w:asciiTheme="majorBidi" w:hAnsiTheme="majorBidi" w:cstheme="majorBidi"/>
              </w:rPr>
            </w:pPr>
            <w:r w:rsidRPr="006854DD">
              <w:rPr>
                <w:rFonts w:asciiTheme="majorBidi" w:hAnsiTheme="majorBidi" w:cstheme="majorBidi"/>
              </w:rPr>
              <w:t>HAP, not susceptible</w:t>
            </w:r>
          </w:p>
        </w:tc>
        <w:tc>
          <w:tcPr>
            <w:tcW w:w="2254" w:type="dxa"/>
          </w:tcPr>
          <w:p w14:paraId="1FE25AA6" w14:textId="77777777" w:rsidR="001D1471" w:rsidRPr="006854DD" w:rsidRDefault="001D1471" w:rsidP="001D1471">
            <w:pPr>
              <w:rPr>
                <w:rFonts w:asciiTheme="majorBidi" w:hAnsiTheme="majorBidi" w:cstheme="majorBidi"/>
              </w:rPr>
            </w:pPr>
            <w:r w:rsidRPr="006854DD">
              <w:rPr>
                <w:rFonts w:asciiTheme="majorBidi" w:hAnsiTheme="majorBidi" w:cstheme="majorBidi"/>
              </w:rPr>
              <w:t>39.3</w:t>
            </w:r>
          </w:p>
        </w:tc>
        <w:tc>
          <w:tcPr>
            <w:tcW w:w="2254" w:type="dxa"/>
          </w:tcPr>
          <w:p w14:paraId="49BC5E95" w14:textId="77777777" w:rsidR="001D1471" w:rsidRPr="006854DD" w:rsidRDefault="001D1471" w:rsidP="001D1471">
            <w:pPr>
              <w:rPr>
                <w:rFonts w:asciiTheme="majorBidi" w:hAnsiTheme="majorBidi" w:cstheme="majorBidi"/>
              </w:rPr>
            </w:pPr>
            <w:r w:rsidRPr="006854DD">
              <w:rPr>
                <w:rFonts w:asciiTheme="majorBidi" w:hAnsiTheme="majorBidi" w:cstheme="majorBidi"/>
              </w:rPr>
              <w:t>20.7</w:t>
            </w:r>
          </w:p>
        </w:tc>
        <w:tc>
          <w:tcPr>
            <w:tcW w:w="2254" w:type="dxa"/>
          </w:tcPr>
          <w:p w14:paraId="5A855085" w14:textId="77777777" w:rsidR="001D1471" w:rsidRPr="006854DD" w:rsidRDefault="001D1471" w:rsidP="001D1471">
            <w:pPr>
              <w:rPr>
                <w:rFonts w:asciiTheme="majorBidi" w:hAnsiTheme="majorBidi" w:cstheme="majorBidi"/>
              </w:rPr>
            </w:pPr>
            <w:r w:rsidRPr="006854DD">
              <w:rPr>
                <w:rFonts w:asciiTheme="majorBidi" w:hAnsiTheme="majorBidi" w:cstheme="majorBidi"/>
              </w:rPr>
              <w:t>40.0</w:t>
            </w:r>
          </w:p>
        </w:tc>
      </w:tr>
      <w:tr w:rsidR="001D1471" w:rsidRPr="006854DD" w14:paraId="792F4B5C" w14:textId="77777777" w:rsidTr="0070201C">
        <w:tc>
          <w:tcPr>
            <w:tcW w:w="2254" w:type="dxa"/>
          </w:tcPr>
          <w:p w14:paraId="04E28BA0" w14:textId="77777777" w:rsidR="001D1471" w:rsidRPr="006854DD" w:rsidRDefault="001D1471" w:rsidP="001D1471">
            <w:pPr>
              <w:rPr>
                <w:rFonts w:asciiTheme="majorBidi" w:hAnsiTheme="majorBidi" w:cstheme="majorBidi"/>
              </w:rPr>
            </w:pPr>
            <w:r w:rsidRPr="006854DD">
              <w:rPr>
                <w:rFonts w:asciiTheme="majorBidi" w:hAnsiTheme="majorBidi" w:cstheme="majorBidi"/>
              </w:rPr>
              <w:t>VAP, not susceptible</w:t>
            </w:r>
          </w:p>
        </w:tc>
        <w:tc>
          <w:tcPr>
            <w:tcW w:w="2254" w:type="dxa"/>
          </w:tcPr>
          <w:p w14:paraId="0213361F" w14:textId="77777777" w:rsidR="001D1471" w:rsidRPr="006854DD" w:rsidRDefault="001D1471" w:rsidP="001D1471">
            <w:pPr>
              <w:rPr>
                <w:rFonts w:asciiTheme="majorBidi" w:hAnsiTheme="majorBidi" w:cstheme="majorBidi"/>
              </w:rPr>
            </w:pPr>
            <w:r w:rsidRPr="006854DD">
              <w:rPr>
                <w:rFonts w:asciiTheme="majorBidi" w:hAnsiTheme="majorBidi" w:cstheme="majorBidi"/>
              </w:rPr>
              <w:t>66.7</w:t>
            </w:r>
          </w:p>
        </w:tc>
        <w:tc>
          <w:tcPr>
            <w:tcW w:w="2254" w:type="dxa"/>
          </w:tcPr>
          <w:p w14:paraId="360FF132" w14:textId="77777777" w:rsidR="001D1471" w:rsidRPr="006854DD" w:rsidRDefault="001D1471" w:rsidP="001D1471">
            <w:pPr>
              <w:rPr>
                <w:rFonts w:asciiTheme="majorBidi" w:hAnsiTheme="majorBidi" w:cstheme="majorBidi"/>
              </w:rPr>
            </w:pPr>
            <w:r w:rsidRPr="006854DD">
              <w:rPr>
                <w:rFonts w:asciiTheme="majorBidi" w:hAnsiTheme="majorBidi" w:cstheme="majorBidi"/>
              </w:rPr>
              <w:t>15.8</w:t>
            </w:r>
          </w:p>
        </w:tc>
        <w:tc>
          <w:tcPr>
            <w:tcW w:w="2254" w:type="dxa"/>
          </w:tcPr>
          <w:p w14:paraId="1CA4CBE8" w14:textId="77777777" w:rsidR="001D1471" w:rsidRPr="006854DD" w:rsidRDefault="001D1471" w:rsidP="001D1471">
            <w:pPr>
              <w:rPr>
                <w:rFonts w:asciiTheme="majorBidi" w:hAnsiTheme="majorBidi" w:cstheme="majorBidi"/>
              </w:rPr>
            </w:pPr>
            <w:r w:rsidRPr="006854DD">
              <w:rPr>
                <w:rFonts w:asciiTheme="majorBidi" w:hAnsiTheme="majorBidi" w:cstheme="majorBidi"/>
              </w:rPr>
              <w:t>17.5</w:t>
            </w:r>
          </w:p>
        </w:tc>
      </w:tr>
      <w:tr w:rsidR="001D1471" w:rsidRPr="006854DD" w14:paraId="7D4A4E14" w14:textId="77777777" w:rsidTr="0070201C">
        <w:tc>
          <w:tcPr>
            <w:tcW w:w="2254" w:type="dxa"/>
          </w:tcPr>
          <w:p w14:paraId="266AFE96"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t>cUTI</w:t>
            </w:r>
            <w:proofErr w:type="spellEnd"/>
            <w:r w:rsidRPr="006854DD">
              <w:rPr>
                <w:rFonts w:asciiTheme="majorBidi" w:hAnsiTheme="majorBidi" w:cstheme="majorBidi"/>
              </w:rPr>
              <w:t>, not susceptible</w:t>
            </w:r>
          </w:p>
        </w:tc>
        <w:tc>
          <w:tcPr>
            <w:tcW w:w="2254" w:type="dxa"/>
          </w:tcPr>
          <w:p w14:paraId="71B58533" w14:textId="77777777" w:rsidR="001D1471" w:rsidRPr="006854DD" w:rsidRDefault="001D1471" w:rsidP="001D1471">
            <w:pPr>
              <w:rPr>
                <w:rFonts w:asciiTheme="majorBidi" w:hAnsiTheme="majorBidi" w:cstheme="majorBidi"/>
              </w:rPr>
            </w:pPr>
            <w:r w:rsidRPr="006854DD">
              <w:rPr>
                <w:rFonts w:asciiTheme="majorBidi" w:hAnsiTheme="majorBidi" w:cstheme="majorBidi"/>
              </w:rPr>
              <w:t>23.3</w:t>
            </w:r>
          </w:p>
        </w:tc>
        <w:tc>
          <w:tcPr>
            <w:tcW w:w="2254" w:type="dxa"/>
          </w:tcPr>
          <w:p w14:paraId="5BC3E505" w14:textId="77777777" w:rsidR="001D1471" w:rsidRPr="006854DD" w:rsidRDefault="001D1471" w:rsidP="001D1471">
            <w:pPr>
              <w:rPr>
                <w:rFonts w:asciiTheme="majorBidi" w:hAnsiTheme="majorBidi" w:cstheme="majorBidi"/>
              </w:rPr>
            </w:pPr>
            <w:r w:rsidRPr="006854DD">
              <w:rPr>
                <w:rFonts w:asciiTheme="majorBidi" w:hAnsiTheme="majorBidi" w:cstheme="majorBidi"/>
              </w:rPr>
              <w:t>18.3</w:t>
            </w:r>
          </w:p>
        </w:tc>
        <w:tc>
          <w:tcPr>
            <w:tcW w:w="2254" w:type="dxa"/>
          </w:tcPr>
          <w:p w14:paraId="0535D573" w14:textId="77777777" w:rsidR="001D1471" w:rsidRPr="006854DD" w:rsidRDefault="001D1471" w:rsidP="001D1471">
            <w:pPr>
              <w:rPr>
                <w:rFonts w:asciiTheme="majorBidi" w:hAnsiTheme="majorBidi" w:cstheme="majorBidi"/>
              </w:rPr>
            </w:pPr>
            <w:r w:rsidRPr="006854DD">
              <w:rPr>
                <w:rFonts w:asciiTheme="majorBidi" w:hAnsiTheme="majorBidi" w:cstheme="majorBidi"/>
              </w:rPr>
              <w:t>58.3</w:t>
            </w:r>
          </w:p>
        </w:tc>
      </w:tr>
    </w:tbl>
    <w:p w14:paraId="26A2430A" w14:textId="4DDD9208" w:rsidR="001D1471" w:rsidRDefault="000E3737" w:rsidP="000E3737">
      <w:pPr>
        <w:pStyle w:val="EEPRUtextundertables"/>
      </w:pPr>
      <w:proofErr w:type="spellStart"/>
      <w:r>
        <w:t>cUTI</w:t>
      </w:r>
      <w:proofErr w:type="spellEnd"/>
      <w:r>
        <w:t>, complicated urinary tract infection; HAP, hospital-acquired pneumonia; HDU, high dependency unit;</w:t>
      </w:r>
      <w:r w:rsidRPr="00D95E30">
        <w:t xml:space="preserve"> </w:t>
      </w:r>
      <w:r>
        <w:t xml:space="preserve">ICU, intensive care unit; VAP, ventilator-associated pneumonia </w:t>
      </w:r>
    </w:p>
    <w:p w14:paraId="483821FC" w14:textId="77777777" w:rsidR="000E3737" w:rsidRDefault="000E3737" w:rsidP="000E3737">
      <w:pPr>
        <w:pStyle w:val="EEPRUtextundertables"/>
      </w:pPr>
    </w:p>
    <w:p w14:paraId="39F28E28" w14:textId="77777777" w:rsidR="001D1471" w:rsidRPr="006854DD" w:rsidRDefault="001D1471" w:rsidP="001D1471">
      <w:pPr>
        <w:spacing w:line="360" w:lineRule="auto"/>
        <w:rPr>
          <w:rFonts w:asciiTheme="majorBidi" w:hAnsiTheme="majorBidi" w:cstheme="majorBidi"/>
        </w:rPr>
      </w:pPr>
      <w:r w:rsidRPr="006854DD">
        <w:rPr>
          <w:rFonts w:asciiTheme="majorBidi" w:hAnsiTheme="majorBidi" w:cstheme="majorBidi"/>
        </w:rPr>
        <w:t xml:space="preserve">In the model, outcomes of HAP and VAP were modelled together, and so experts’ priors on outcomes were pooled. When pooling the priors, outcomes for HAP and VAP were weighted by their relative occurrence in </w:t>
      </w:r>
      <w:proofErr w:type="spellStart"/>
      <w:r w:rsidRPr="006854DD">
        <w:rPr>
          <w:rFonts w:asciiTheme="majorBidi" w:hAnsiTheme="majorBidi" w:cstheme="majorBidi"/>
        </w:rPr>
        <w:t>Tumbarello</w:t>
      </w:r>
      <w:proofErr w:type="spellEnd"/>
      <w:r w:rsidRPr="006854DD">
        <w:rPr>
          <w:rFonts w:asciiTheme="majorBidi" w:hAnsiTheme="majorBidi" w:cstheme="majorBidi"/>
        </w:rPr>
        <w:t xml:space="preserve"> et al. (2013) - 0.283 (28/99) for HAP and 0.617 (71/99) for VAP. </w:t>
      </w:r>
      <w:proofErr w:type="spellStart"/>
      <w:r w:rsidRPr="006854DD">
        <w:rPr>
          <w:rFonts w:asciiTheme="majorBidi" w:hAnsiTheme="majorBidi" w:cstheme="majorBidi"/>
        </w:rPr>
        <w:t>Tumbarello</w:t>
      </w:r>
      <w:proofErr w:type="spellEnd"/>
      <w:r w:rsidRPr="006854DD">
        <w:rPr>
          <w:rFonts w:asciiTheme="majorBidi" w:hAnsiTheme="majorBidi" w:cstheme="majorBidi"/>
        </w:rPr>
        <w:t xml:space="preserve"> was chosen as the study where participants were the most representative of patients in our HVCS, that reported the proportion of patients with hospital acquired pneumonia that was ventilator-associated.</w:t>
      </w:r>
    </w:p>
    <w:p w14:paraId="6845E649" w14:textId="74037D72" w:rsidR="000E449C" w:rsidRDefault="001D1471" w:rsidP="000E449C">
      <w:pPr>
        <w:spacing w:line="360" w:lineRule="auto"/>
      </w:pPr>
      <w:r w:rsidRPr="006854DD">
        <w:rPr>
          <w:rFonts w:asciiTheme="majorBidi" w:hAnsiTheme="majorBidi" w:cstheme="majorBidi"/>
        </w:rPr>
        <w:t>The pool</w:t>
      </w:r>
      <w:r w:rsidR="000E449C">
        <w:rPr>
          <w:rFonts w:asciiTheme="majorBidi" w:hAnsiTheme="majorBidi" w:cstheme="majorBidi"/>
        </w:rPr>
        <w:t>ed priors are shown in Figures 42</w:t>
      </w:r>
      <w:r w:rsidRPr="006854DD">
        <w:rPr>
          <w:rFonts w:asciiTheme="majorBidi" w:hAnsiTheme="majorBidi" w:cstheme="majorBidi"/>
        </w:rPr>
        <w:t xml:space="preserve"> and 4</w:t>
      </w:r>
      <w:r w:rsidR="000E449C">
        <w:rPr>
          <w:rFonts w:asciiTheme="majorBidi" w:hAnsiTheme="majorBidi" w:cstheme="majorBidi"/>
        </w:rPr>
        <w:t>3</w:t>
      </w:r>
      <w:r w:rsidRPr="006854DD">
        <w:rPr>
          <w:rFonts w:asciiTheme="majorBidi" w:hAnsiTheme="majorBidi" w:cstheme="majorBidi"/>
        </w:rPr>
        <w:t xml:space="preserve"> and</w:t>
      </w:r>
      <w:r w:rsidR="00E32B55">
        <w:rPr>
          <w:rFonts w:asciiTheme="majorBidi" w:hAnsiTheme="majorBidi" w:cstheme="majorBidi"/>
        </w:rPr>
        <w:t xml:space="preserve"> </w:t>
      </w:r>
    </w:p>
    <w:p w14:paraId="3EF7FEF4" w14:textId="7063D118" w:rsidR="001D1471" w:rsidRPr="000E449C" w:rsidRDefault="000E449C" w:rsidP="000E449C">
      <w:pPr>
        <w:pStyle w:val="Caption"/>
        <w:rPr>
          <w:rFonts w:asciiTheme="majorBidi" w:hAnsiTheme="majorBidi" w:cstheme="majorBidi"/>
          <w:b/>
          <w:bCs/>
          <w:i w:val="0"/>
          <w:iCs w:val="0"/>
          <w:sz w:val="20"/>
          <w:szCs w:val="20"/>
        </w:rPr>
      </w:pPr>
      <w:bookmarkStart w:id="755" w:name="_Toc86419086"/>
      <w:r w:rsidRPr="000E449C">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41</w:t>
      </w:r>
      <w:r w:rsidRPr="000E449C">
        <w:rPr>
          <w:rFonts w:asciiTheme="majorBidi" w:hAnsiTheme="majorBidi" w:cstheme="majorBidi"/>
          <w:b/>
          <w:bCs/>
          <w:i w:val="0"/>
          <w:iCs w:val="0"/>
          <w:sz w:val="20"/>
          <w:szCs w:val="20"/>
        </w:rPr>
        <w:t xml:space="preserve"> 30-day survival with HAP/VAP combined.</w:t>
      </w:r>
      <w:bookmarkEnd w:id="755"/>
    </w:p>
    <w:p w14:paraId="4AFCB919" w14:textId="3AFE9C7A" w:rsidR="001D1471" w:rsidRDefault="001D1471" w:rsidP="001D1471">
      <w:pPr>
        <w:spacing w:line="360" w:lineRule="auto"/>
      </w:pPr>
      <w:r>
        <w:rPr>
          <w:noProof/>
          <w:lang w:eastAsia="en-GB"/>
        </w:rPr>
        <w:lastRenderedPageBreak/>
        <w:drawing>
          <wp:inline distT="114300" distB="114300" distL="114300" distR="114300" wp14:anchorId="57F0596E" wp14:editId="794A52EB">
            <wp:extent cx="5715000" cy="2857500"/>
            <wp:effectExtent l="0" t="0" r="0" b="0"/>
            <wp:docPr id="88" name="image1.jpg" descr="Line chart that shows 30 day survival with HAP/VAP combined. &#10;HAP/VAP, susceptible (P=0.578).&#10;cUTI, susceptible (P=0.854)&#10;HAP/VAP, not susceptible (P=0.376)&#10;cUTI, not susceptible (P=0.61)"/>
            <wp:cNvGraphicFramePr/>
            <a:graphic xmlns:a="http://schemas.openxmlformats.org/drawingml/2006/main">
              <a:graphicData uri="http://schemas.openxmlformats.org/drawingml/2006/picture">
                <pic:pic xmlns:pic="http://schemas.openxmlformats.org/drawingml/2006/picture">
                  <pic:nvPicPr>
                    <pic:cNvPr id="88" name="image1.jpg" descr="Line chart that shows 30 day survival with HAP/VAP combined. &#10;HAP/VAP, susceptible (P=0.578).&#10;cUTI, susceptible (P=0.854)&#10;HAP/VAP, not susceptible (P=0.376)&#10;cUTI, not susceptible (P=0.61)"/>
                    <pic:cNvPicPr preferRelativeResize="0"/>
                  </pic:nvPicPr>
                  <pic:blipFill>
                    <a:blip r:embed="rId61"/>
                    <a:srcRect/>
                    <a:stretch>
                      <a:fillRect/>
                    </a:stretch>
                  </pic:blipFill>
                  <pic:spPr>
                    <a:xfrm>
                      <a:off x="0" y="0"/>
                      <a:ext cx="5715000" cy="2857500"/>
                    </a:xfrm>
                    <a:prstGeom prst="rect">
                      <a:avLst/>
                    </a:prstGeom>
                    <a:ln/>
                  </pic:spPr>
                </pic:pic>
              </a:graphicData>
            </a:graphic>
          </wp:inline>
        </w:drawing>
      </w:r>
    </w:p>
    <w:p w14:paraId="54C5DA86" w14:textId="4F0CF82E" w:rsidR="000E3737" w:rsidRDefault="000E3737" w:rsidP="000E3737">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 P, proportion</w:t>
      </w:r>
    </w:p>
    <w:p w14:paraId="5C55C17B" w14:textId="77777777" w:rsidR="001D1471" w:rsidRDefault="001D1471" w:rsidP="001D1471">
      <w:pPr>
        <w:spacing w:line="360" w:lineRule="auto"/>
      </w:pPr>
    </w:p>
    <w:p w14:paraId="326B946E" w14:textId="7CADDAE7" w:rsidR="0021430F" w:rsidRDefault="001D1471" w:rsidP="0021430F">
      <w:pPr>
        <w:pStyle w:val="Caption"/>
        <w:rPr>
          <w:rFonts w:asciiTheme="majorBidi" w:hAnsiTheme="majorBidi" w:cstheme="majorBidi"/>
          <w:noProof/>
          <w:sz w:val="20"/>
          <w:szCs w:val="20"/>
          <w:lang w:eastAsia="zh-CN"/>
        </w:rPr>
      </w:pPr>
      <w:r w:rsidRPr="0041437E">
        <w:rPr>
          <w:rFonts w:asciiTheme="majorBidi" w:hAnsiTheme="majorBidi" w:cstheme="majorBidi"/>
          <w:b/>
          <w:sz w:val="20"/>
          <w:szCs w:val="20"/>
        </w:rPr>
        <w:t xml:space="preserve"> </w:t>
      </w:r>
      <w:bookmarkStart w:id="756" w:name="_Toc86419087"/>
      <w:r w:rsidR="0021430F" w:rsidRPr="0021430F">
        <w:rPr>
          <w:rFonts w:asciiTheme="majorBidi" w:hAnsiTheme="majorBidi" w:cstheme="majorBidi"/>
          <w:b/>
          <w:bCs/>
          <w:i w:val="0"/>
          <w:iCs w:val="0"/>
          <w:sz w:val="20"/>
          <w:szCs w:val="20"/>
        </w:rPr>
        <w:t xml:space="preserve">Figure </w:t>
      </w:r>
      <w:r w:rsidR="0021430F">
        <w:rPr>
          <w:rFonts w:asciiTheme="majorBidi" w:hAnsiTheme="majorBidi" w:cstheme="majorBidi"/>
          <w:b/>
          <w:bCs/>
          <w:i w:val="0"/>
          <w:iCs w:val="0"/>
          <w:noProof/>
          <w:sz w:val="20"/>
          <w:szCs w:val="20"/>
        </w:rPr>
        <w:t>42</w:t>
      </w:r>
      <w:r w:rsidR="0021430F" w:rsidRPr="0021430F">
        <w:rPr>
          <w:rFonts w:asciiTheme="majorBidi" w:hAnsiTheme="majorBidi" w:cstheme="majorBidi"/>
          <w:b/>
          <w:bCs/>
          <w:i w:val="0"/>
          <w:iCs w:val="0"/>
          <w:sz w:val="20"/>
          <w:szCs w:val="20"/>
        </w:rPr>
        <w:t xml:space="preserve"> Expected LOS with HAP/VAP combined.</w:t>
      </w:r>
      <w:bookmarkEnd w:id="756"/>
    </w:p>
    <w:p w14:paraId="6BA5CD51" w14:textId="5DDFD5DA" w:rsidR="001D1471" w:rsidRDefault="001D1471" w:rsidP="0021430F">
      <w:pPr>
        <w:pStyle w:val="Caption"/>
        <w:rPr>
          <w:rFonts w:asciiTheme="majorBidi" w:hAnsiTheme="majorBidi" w:cstheme="majorBidi"/>
          <w:sz w:val="20"/>
          <w:szCs w:val="20"/>
        </w:rPr>
      </w:pPr>
      <w:r w:rsidRPr="0041437E">
        <w:rPr>
          <w:rFonts w:asciiTheme="majorBidi" w:hAnsiTheme="majorBidi" w:cstheme="majorBidi"/>
          <w:noProof/>
          <w:sz w:val="20"/>
          <w:szCs w:val="20"/>
          <w:lang w:eastAsia="en-GB"/>
        </w:rPr>
        <w:drawing>
          <wp:inline distT="114300" distB="114300" distL="114300" distR="114300" wp14:anchorId="35A55795" wp14:editId="51978376">
            <wp:extent cx="5715000" cy="2857500"/>
            <wp:effectExtent l="0" t="0" r="0" b="0"/>
            <wp:docPr id="89" name="image4.jpg" descr="Line chart that shows the expected length of stay with HAP/VAP combined &#10;HAP/VAP, susceptible (mean = 20.4)&#10;cUTI, susceptible (mean = 12.9)&#10;HAP/VAP, not susceptible (mean = 24.3)&#10;cUTi, not susceptible (mean = 17.7)"/>
            <wp:cNvGraphicFramePr/>
            <a:graphic xmlns:a="http://schemas.openxmlformats.org/drawingml/2006/main">
              <a:graphicData uri="http://schemas.openxmlformats.org/drawingml/2006/picture">
                <pic:pic xmlns:pic="http://schemas.openxmlformats.org/drawingml/2006/picture">
                  <pic:nvPicPr>
                    <pic:cNvPr id="89" name="image4.jpg" descr="Line chart that shows the expected length of stay with HAP/VAP combined &#10;HAP/VAP, susceptible (mean = 20.4)&#10;cUTI, susceptible (mean = 12.9)&#10;HAP/VAP, not susceptible (mean = 24.3)&#10;cUTi, not susceptible (mean = 17.7)"/>
                    <pic:cNvPicPr preferRelativeResize="0"/>
                  </pic:nvPicPr>
                  <pic:blipFill>
                    <a:blip r:embed="rId62"/>
                    <a:srcRect/>
                    <a:stretch>
                      <a:fillRect/>
                    </a:stretch>
                  </pic:blipFill>
                  <pic:spPr>
                    <a:xfrm>
                      <a:off x="0" y="0"/>
                      <a:ext cx="5715000" cy="2857500"/>
                    </a:xfrm>
                    <a:prstGeom prst="rect">
                      <a:avLst/>
                    </a:prstGeom>
                    <a:ln/>
                  </pic:spPr>
                </pic:pic>
              </a:graphicData>
            </a:graphic>
          </wp:inline>
        </w:drawing>
      </w:r>
    </w:p>
    <w:p w14:paraId="00DCE4DE" w14:textId="77777777" w:rsidR="000E3737" w:rsidRPr="004A12CB" w:rsidRDefault="000E3737" w:rsidP="000E3737">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w:t>
      </w:r>
    </w:p>
    <w:p w14:paraId="0F6FB945" w14:textId="2B66CE58" w:rsidR="001D1471" w:rsidRPr="0041437E" w:rsidRDefault="005158B3" w:rsidP="005158B3">
      <w:pPr>
        <w:spacing w:after="120" w:line="360" w:lineRule="auto"/>
        <w:contextualSpacing/>
        <w:jc w:val="both"/>
        <w:rPr>
          <w:rFonts w:ascii="Times New Roman" w:hAnsi="Times New Roman" w:cs="Times New Roman"/>
          <w:b/>
          <w:bCs/>
          <w:sz w:val="20"/>
          <w:szCs w:val="20"/>
        </w:rPr>
      </w:pPr>
      <w:bookmarkStart w:id="757" w:name="_Ref85646047"/>
      <w:bookmarkStart w:id="758" w:name="_Toc86419035"/>
      <w:r w:rsidRPr="0041437E">
        <w:rPr>
          <w:rFonts w:ascii="Times New Roman" w:hAnsi="Times New Roman" w:cs="Times New Roman"/>
          <w:b/>
          <w:bCs/>
          <w:sz w:val="20"/>
          <w:szCs w:val="20"/>
        </w:rPr>
        <w:t xml:space="preserve">Table </w:t>
      </w:r>
      <w:r w:rsidR="00F10F0A" w:rsidRPr="0041437E">
        <w:rPr>
          <w:rFonts w:ascii="Times New Roman" w:hAnsi="Times New Roman" w:cs="Times New Roman"/>
          <w:b/>
          <w:bCs/>
          <w:noProof/>
          <w:sz w:val="20"/>
          <w:szCs w:val="20"/>
        </w:rPr>
        <w:t>58</w:t>
      </w:r>
      <w:bookmarkEnd w:id="757"/>
      <w:r w:rsidRPr="0041437E">
        <w:rPr>
          <w:rFonts w:ascii="Times New Roman" w:hAnsi="Times New Roman" w:cs="Times New Roman"/>
          <w:b/>
          <w:bCs/>
          <w:sz w:val="20"/>
          <w:szCs w:val="20"/>
        </w:rPr>
        <w:t xml:space="preserve"> </w:t>
      </w:r>
      <w:r w:rsidR="001D1471" w:rsidRPr="0041437E">
        <w:rPr>
          <w:rFonts w:ascii="Times New Roman" w:hAnsi="Times New Roman" w:cs="Times New Roman"/>
          <w:b/>
          <w:bCs/>
          <w:sz w:val="20"/>
          <w:szCs w:val="20"/>
        </w:rPr>
        <w:t>Proportion (%) of hospital stay spent on ICU, HDU and general medical ward.</w:t>
      </w:r>
      <w:bookmarkEnd w:id="758"/>
    </w:p>
    <w:tbl>
      <w:tblPr>
        <w:tblStyle w:val="GridTable1Light"/>
        <w:tblW w:w="9004" w:type="dxa"/>
        <w:tblLayout w:type="fixed"/>
        <w:tblLook w:val="0420" w:firstRow="1" w:lastRow="0" w:firstColumn="0" w:lastColumn="0" w:noHBand="0" w:noVBand="1"/>
      </w:tblPr>
      <w:tblGrid>
        <w:gridCol w:w="2475"/>
        <w:gridCol w:w="2160"/>
        <w:gridCol w:w="2115"/>
        <w:gridCol w:w="2254"/>
      </w:tblGrid>
      <w:tr w:rsidR="001D1471" w:rsidRPr="006854DD" w14:paraId="5CB1FE2D" w14:textId="77777777" w:rsidTr="0070201C">
        <w:trPr>
          <w:cnfStyle w:val="100000000000" w:firstRow="1" w:lastRow="0" w:firstColumn="0" w:lastColumn="0" w:oddVBand="0" w:evenVBand="0" w:oddHBand="0" w:evenHBand="0" w:firstRowFirstColumn="0" w:firstRowLastColumn="0" w:lastRowFirstColumn="0" w:lastRowLastColumn="0"/>
        </w:trPr>
        <w:tc>
          <w:tcPr>
            <w:tcW w:w="2475" w:type="dxa"/>
          </w:tcPr>
          <w:p w14:paraId="4C2345C3" w14:textId="77777777" w:rsidR="001D1471" w:rsidRPr="006854DD" w:rsidRDefault="001D1471" w:rsidP="001D1471">
            <w:pPr>
              <w:rPr>
                <w:rFonts w:asciiTheme="majorBidi" w:hAnsiTheme="majorBidi" w:cstheme="majorBidi"/>
              </w:rPr>
            </w:pPr>
          </w:p>
        </w:tc>
        <w:tc>
          <w:tcPr>
            <w:tcW w:w="2160" w:type="dxa"/>
          </w:tcPr>
          <w:p w14:paraId="00381E70" w14:textId="77777777" w:rsidR="001D1471" w:rsidRPr="006854DD" w:rsidRDefault="001D1471" w:rsidP="001D1471">
            <w:pPr>
              <w:rPr>
                <w:rFonts w:asciiTheme="majorBidi" w:hAnsiTheme="majorBidi" w:cstheme="majorBidi"/>
              </w:rPr>
            </w:pPr>
            <w:r w:rsidRPr="006854DD">
              <w:rPr>
                <w:rFonts w:asciiTheme="majorBidi" w:hAnsiTheme="majorBidi" w:cstheme="majorBidi"/>
              </w:rPr>
              <w:t>ICU</w:t>
            </w:r>
          </w:p>
        </w:tc>
        <w:tc>
          <w:tcPr>
            <w:tcW w:w="2115" w:type="dxa"/>
          </w:tcPr>
          <w:p w14:paraId="03F464F1" w14:textId="77777777" w:rsidR="001D1471" w:rsidRPr="006854DD" w:rsidRDefault="001D1471" w:rsidP="001D1471">
            <w:pPr>
              <w:rPr>
                <w:rFonts w:asciiTheme="majorBidi" w:hAnsiTheme="majorBidi" w:cstheme="majorBidi"/>
              </w:rPr>
            </w:pPr>
            <w:r w:rsidRPr="006854DD">
              <w:rPr>
                <w:rFonts w:asciiTheme="majorBidi" w:hAnsiTheme="majorBidi" w:cstheme="majorBidi"/>
              </w:rPr>
              <w:t>HDU</w:t>
            </w:r>
          </w:p>
        </w:tc>
        <w:tc>
          <w:tcPr>
            <w:tcW w:w="2254" w:type="dxa"/>
          </w:tcPr>
          <w:p w14:paraId="51D11225" w14:textId="77777777" w:rsidR="001D1471" w:rsidRPr="006854DD" w:rsidRDefault="001D1471" w:rsidP="001D1471">
            <w:pPr>
              <w:rPr>
                <w:rFonts w:asciiTheme="majorBidi" w:hAnsiTheme="majorBidi" w:cstheme="majorBidi"/>
              </w:rPr>
            </w:pPr>
            <w:r w:rsidRPr="006854DD">
              <w:rPr>
                <w:rFonts w:asciiTheme="majorBidi" w:hAnsiTheme="majorBidi" w:cstheme="majorBidi"/>
              </w:rPr>
              <w:t>General medical ward</w:t>
            </w:r>
          </w:p>
        </w:tc>
      </w:tr>
      <w:tr w:rsidR="001D1471" w:rsidRPr="006854DD" w14:paraId="61908EB8" w14:textId="77777777" w:rsidTr="0070201C">
        <w:tc>
          <w:tcPr>
            <w:tcW w:w="2475" w:type="dxa"/>
          </w:tcPr>
          <w:p w14:paraId="3370EB26" w14:textId="77777777" w:rsidR="001D1471" w:rsidRPr="006854DD" w:rsidRDefault="001D1471" w:rsidP="001D1471">
            <w:pPr>
              <w:rPr>
                <w:rFonts w:asciiTheme="majorBidi" w:hAnsiTheme="majorBidi" w:cstheme="majorBidi"/>
              </w:rPr>
            </w:pPr>
            <w:r w:rsidRPr="006854DD">
              <w:rPr>
                <w:rFonts w:asciiTheme="majorBidi" w:hAnsiTheme="majorBidi" w:cstheme="majorBidi"/>
              </w:rPr>
              <w:t>HAP/VAP, susceptible</w:t>
            </w:r>
          </w:p>
        </w:tc>
        <w:tc>
          <w:tcPr>
            <w:tcW w:w="2160" w:type="dxa"/>
          </w:tcPr>
          <w:p w14:paraId="0DF9F2BD" w14:textId="77777777" w:rsidR="001D1471" w:rsidRPr="006854DD" w:rsidRDefault="001D1471" w:rsidP="001D1471">
            <w:pPr>
              <w:rPr>
                <w:rFonts w:asciiTheme="majorBidi" w:hAnsiTheme="majorBidi" w:cstheme="majorBidi"/>
              </w:rPr>
            </w:pPr>
            <w:r w:rsidRPr="006854DD">
              <w:rPr>
                <w:rFonts w:asciiTheme="majorBidi" w:hAnsiTheme="majorBidi" w:cstheme="majorBidi"/>
              </w:rPr>
              <w:t>49.90</w:t>
            </w:r>
          </w:p>
        </w:tc>
        <w:tc>
          <w:tcPr>
            <w:tcW w:w="2115" w:type="dxa"/>
          </w:tcPr>
          <w:p w14:paraId="48E1FFA5" w14:textId="77777777" w:rsidR="001D1471" w:rsidRPr="006854DD" w:rsidRDefault="001D1471" w:rsidP="001D1471">
            <w:pPr>
              <w:rPr>
                <w:rFonts w:asciiTheme="majorBidi" w:hAnsiTheme="majorBidi" w:cstheme="majorBidi"/>
              </w:rPr>
            </w:pPr>
            <w:r w:rsidRPr="006854DD">
              <w:rPr>
                <w:rFonts w:asciiTheme="majorBidi" w:hAnsiTheme="majorBidi" w:cstheme="majorBidi"/>
              </w:rPr>
              <w:t>14.94</w:t>
            </w:r>
          </w:p>
        </w:tc>
        <w:tc>
          <w:tcPr>
            <w:tcW w:w="2254" w:type="dxa"/>
          </w:tcPr>
          <w:p w14:paraId="2119459E" w14:textId="77777777" w:rsidR="001D1471" w:rsidRPr="006854DD" w:rsidRDefault="001D1471" w:rsidP="001D1471">
            <w:pPr>
              <w:rPr>
                <w:rFonts w:asciiTheme="majorBidi" w:hAnsiTheme="majorBidi" w:cstheme="majorBidi"/>
              </w:rPr>
            </w:pPr>
            <w:r w:rsidRPr="006854DD">
              <w:rPr>
                <w:rFonts w:asciiTheme="majorBidi" w:hAnsiTheme="majorBidi" w:cstheme="majorBidi"/>
              </w:rPr>
              <w:t>35.16</w:t>
            </w:r>
          </w:p>
        </w:tc>
      </w:tr>
      <w:tr w:rsidR="001D1471" w:rsidRPr="006854DD" w14:paraId="6F32F8A7" w14:textId="77777777" w:rsidTr="0070201C">
        <w:trPr>
          <w:trHeight w:val="283"/>
        </w:trPr>
        <w:tc>
          <w:tcPr>
            <w:tcW w:w="2475" w:type="dxa"/>
          </w:tcPr>
          <w:p w14:paraId="01C01E43"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t>cUTI</w:t>
            </w:r>
            <w:proofErr w:type="spellEnd"/>
            <w:r w:rsidRPr="006854DD">
              <w:rPr>
                <w:rFonts w:asciiTheme="majorBidi" w:hAnsiTheme="majorBidi" w:cstheme="majorBidi"/>
              </w:rPr>
              <w:t>, susceptible</w:t>
            </w:r>
          </w:p>
        </w:tc>
        <w:tc>
          <w:tcPr>
            <w:tcW w:w="2160" w:type="dxa"/>
          </w:tcPr>
          <w:p w14:paraId="425595A8" w14:textId="77777777" w:rsidR="001D1471" w:rsidRPr="006854DD" w:rsidRDefault="001D1471" w:rsidP="001D1471">
            <w:pPr>
              <w:rPr>
                <w:rFonts w:asciiTheme="majorBidi" w:hAnsiTheme="majorBidi" w:cstheme="majorBidi"/>
              </w:rPr>
            </w:pPr>
            <w:r w:rsidRPr="006854DD">
              <w:rPr>
                <w:rFonts w:asciiTheme="majorBidi" w:hAnsiTheme="majorBidi" w:cstheme="majorBidi"/>
              </w:rPr>
              <w:t>15.00</w:t>
            </w:r>
          </w:p>
        </w:tc>
        <w:tc>
          <w:tcPr>
            <w:tcW w:w="2115" w:type="dxa"/>
          </w:tcPr>
          <w:p w14:paraId="685B130A" w14:textId="77777777" w:rsidR="001D1471" w:rsidRPr="006854DD" w:rsidRDefault="001D1471" w:rsidP="001D1471">
            <w:pPr>
              <w:rPr>
                <w:rFonts w:asciiTheme="majorBidi" w:hAnsiTheme="majorBidi" w:cstheme="majorBidi"/>
              </w:rPr>
            </w:pPr>
            <w:r w:rsidRPr="006854DD">
              <w:rPr>
                <w:rFonts w:asciiTheme="majorBidi" w:hAnsiTheme="majorBidi" w:cstheme="majorBidi"/>
              </w:rPr>
              <w:t>17.00</w:t>
            </w:r>
          </w:p>
        </w:tc>
        <w:tc>
          <w:tcPr>
            <w:tcW w:w="2254" w:type="dxa"/>
          </w:tcPr>
          <w:p w14:paraId="08F662A5" w14:textId="77777777" w:rsidR="001D1471" w:rsidRPr="006854DD" w:rsidRDefault="001D1471" w:rsidP="001D1471">
            <w:pPr>
              <w:rPr>
                <w:rFonts w:asciiTheme="majorBidi" w:hAnsiTheme="majorBidi" w:cstheme="majorBidi"/>
              </w:rPr>
            </w:pPr>
            <w:r w:rsidRPr="006854DD">
              <w:rPr>
                <w:rFonts w:asciiTheme="majorBidi" w:hAnsiTheme="majorBidi" w:cstheme="majorBidi"/>
              </w:rPr>
              <w:t>68.00</w:t>
            </w:r>
          </w:p>
        </w:tc>
      </w:tr>
      <w:tr w:rsidR="001D1471" w:rsidRPr="006854DD" w14:paraId="4B613AC6" w14:textId="77777777" w:rsidTr="0070201C">
        <w:tc>
          <w:tcPr>
            <w:tcW w:w="2475" w:type="dxa"/>
          </w:tcPr>
          <w:p w14:paraId="117A1F06" w14:textId="77777777" w:rsidR="001D1471" w:rsidRPr="006854DD" w:rsidRDefault="001D1471" w:rsidP="001D1471">
            <w:pPr>
              <w:rPr>
                <w:rFonts w:asciiTheme="majorBidi" w:hAnsiTheme="majorBidi" w:cstheme="majorBidi"/>
              </w:rPr>
            </w:pPr>
            <w:r w:rsidRPr="006854DD">
              <w:rPr>
                <w:rFonts w:asciiTheme="majorBidi" w:hAnsiTheme="majorBidi" w:cstheme="majorBidi"/>
              </w:rPr>
              <w:t>HAP/VAP, not susceptible</w:t>
            </w:r>
          </w:p>
        </w:tc>
        <w:tc>
          <w:tcPr>
            <w:tcW w:w="2160" w:type="dxa"/>
          </w:tcPr>
          <w:p w14:paraId="1504E281" w14:textId="77777777" w:rsidR="001D1471" w:rsidRPr="006854DD" w:rsidRDefault="001D1471" w:rsidP="001D1471">
            <w:pPr>
              <w:rPr>
                <w:rFonts w:asciiTheme="majorBidi" w:hAnsiTheme="majorBidi" w:cstheme="majorBidi"/>
              </w:rPr>
            </w:pPr>
            <w:r w:rsidRPr="006854DD">
              <w:rPr>
                <w:rFonts w:asciiTheme="majorBidi" w:hAnsiTheme="majorBidi" w:cstheme="majorBidi"/>
              </w:rPr>
              <w:t>58.92</w:t>
            </w:r>
          </w:p>
        </w:tc>
        <w:tc>
          <w:tcPr>
            <w:tcW w:w="2115" w:type="dxa"/>
          </w:tcPr>
          <w:p w14:paraId="7772209D" w14:textId="77777777" w:rsidR="001D1471" w:rsidRPr="006854DD" w:rsidRDefault="001D1471" w:rsidP="001D1471">
            <w:pPr>
              <w:rPr>
                <w:rFonts w:asciiTheme="majorBidi" w:hAnsiTheme="majorBidi" w:cstheme="majorBidi"/>
              </w:rPr>
            </w:pPr>
            <w:r w:rsidRPr="006854DD">
              <w:rPr>
                <w:rFonts w:asciiTheme="majorBidi" w:hAnsiTheme="majorBidi" w:cstheme="majorBidi"/>
              </w:rPr>
              <w:t>17.21</w:t>
            </w:r>
          </w:p>
        </w:tc>
        <w:tc>
          <w:tcPr>
            <w:tcW w:w="2254" w:type="dxa"/>
          </w:tcPr>
          <w:p w14:paraId="705A1840" w14:textId="77777777" w:rsidR="001D1471" w:rsidRPr="006854DD" w:rsidRDefault="001D1471" w:rsidP="001D1471">
            <w:pPr>
              <w:rPr>
                <w:rFonts w:asciiTheme="majorBidi" w:hAnsiTheme="majorBidi" w:cstheme="majorBidi"/>
              </w:rPr>
            </w:pPr>
            <w:r w:rsidRPr="006854DD">
              <w:rPr>
                <w:rFonts w:asciiTheme="majorBidi" w:hAnsiTheme="majorBidi" w:cstheme="majorBidi"/>
              </w:rPr>
              <w:t>23.86</w:t>
            </w:r>
          </w:p>
        </w:tc>
      </w:tr>
      <w:tr w:rsidR="001D1471" w:rsidRPr="006854DD" w14:paraId="66913C5E" w14:textId="77777777" w:rsidTr="0070201C">
        <w:tc>
          <w:tcPr>
            <w:tcW w:w="2475" w:type="dxa"/>
          </w:tcPr>
          <w:p w14:paraId="6C188A94"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lastRenderedPageBreak/>
              <w:t>cUTI</w:t>
            </w:r>
            <w:proofErr w:type="spellEnd"/>
            <w:r w:rsidRPr="006854DD">
              <w:rPr>
                <w:rFonts w:asciiTheme="majorBidi" w:hAnsiTheme="majorBidi" w:cstheme="majorBidi"/>
              </w:rPr>
              <w:t>, not susceptible</w:t>
            </w:r>
          </w:p>
        </w:tc>
        <w:tc>
          <w:tcPr>
            <w:tcW w:w="2160" w:type="dxa"/>
          </w:tcPr>
          <w:p w14:paraId="04894901" w14:textId="77777777" w:rsidR="001D1471" w:rsidRPr="006854DD" w:rsidRDefault="001D1471" w:rsidP="001D1471">
            <w:pPr>
              <w:rPr>
                <w:rFonts w:asciiTheme="majorBidi" w:hAnsiTheme="majorBidi" w:cstheme="majorBidi"/>
              </w:rPr>
            </w:pPr>
            <w:r w:rsidRPr="006854DD">
              <w:rPr>
                <w:rFonts w:asciiTheme="majorBidi" w:hAnsiTheme="majorBidi" w:cstheme="majorBidi"/>
              </w:rPr>
              <w:t>23.33</w:t>
            </w:r>
          </w:p>
        </w:tc>
        <w:tc>
          <w:tcPr>
            <w:tcW w:w="2115" w:type="dxa"/>
          </w:tcPr>
          <w:p w14:paraId="21C25AF2" w14:textId="77777777" w:rsidR="001D1471" w:rsidRPr="006854DD" w:rsidRDefault="001D1471" w:rsidP="001D1471">
            <w:pPr>
              <w:rPr>
                <w:rFonts w:asciiTheme="majorBidi" w:hAnsiTheme="majorBidi" w:cstheme="majorBidi"/>
              </w:rPr>
            </w:pPr>
            <w:r w:rsidRPr="006854DD">
              <w:rPr>
                <w:rFonts w:asciiTheme="majorBidi" w:hAnsiTheme="majorBidi" w:cstheme="majorBidi"/>
              </w:rPr>
              <w:t>18.33</w:t>
            </w:r>
          </w:p>
        </w:tc>
        <w:tc>
          <w:tcPr>
            <w:tcW w:w="2254" w:type="dxa"/>
          </w:tcPr>
          <w:p w14:paraId="3827B681" w14:textId="77777777" w:rsidR="001D1471" w:rsidRPr="006854DD" w:rsidRDefault="001D1471" w:rsidP="001D1471">
            <w:pPr>
              <w:rPr>
                <w:rFonts w:asciiTheme="majorBidi" w:hAnsiTheme="majorBidi" w:cstheme="majorBidi"/>
              </w:rPr>
            </w:pPr>
            <w:r w:rsidRPr="006854DD">
              <w:rPr>
                <w:rFonts w:asciiTheme="majorBidi" w:hAnsiTheme="majorBidi" w:cstheme="majorBidi"/>
              </w:rPr>
              <w:t>58.33</w:t>
            </w:r>
          </w:p>
        </w:tc>
      </w:tr>
    </w:tbl>
    <w:p w14:paraId="561CCBE3" w14:textId="77777777" w:rsidR="000E3737" w:rsidRDefault="000E3737" w:rsidP="000E3737">
      <w:pPr>
        <w:pStyle w:val="EEPRUtextundertables"/>
      </w:pPr>
      <w:proofErr w:type="spellStart"/>
      <w:r>
        <w:t>cUTI</w:t>
      </w:r>
      <w:proofErr w:type="spellEnd"/>
      <w:r>
        <w:t>, complicated urinary tract infection; HAP, hospital-acquired pneumonia; HDU, high dependency unit;</w:t>
      </w:r>
      <w:r w:rsidRPr="00D95E30">
        <w:t xml:space="preserve"> </w:t>
      </w:r>
      <w:r>
        <w:t xml:space="preserve">ICU, intensive care unit; VAP, ventilator-associated pneumonia </w:t>
      </w:r>
    </w:p>
    <w:p w14:paraId="6CC5C341" w14:textId="77777777" w:rsidR="001D1471" w:rsidRDefault="001D1471" w:rsidP="001D1471">
      <w:pPr>
        <w:spacing w:line="360" w:lineRule="auto"/>
      </w:pPr>
    </w:p>
    <w:p w14:paraId="79E07E09" w14:textId="5D1F2587" w:rsidR="001D1471" w:rsidRPr="0041437E" w:rsidRDefault="0041437E" w:rsidP="006E4E83">
      <w:pPr>
        <w:pStyle w:val="EEPRUnumberedLevel3Headingnew"/>
        <w:rPr>
          <w:i/>
        </w:rPr>
      </w:pPr>
      <w:bookmarkStart w:id="759" w:name="_heading=h.8br4mi5k58wm" w:colFirst="0" w:colLast="0"/>
      <w:bookmarkEnd w:id="759"/>
      <w:r>
        <w:tab/>
      </w:r>
      <w:bookmarkStart w:id="760" w:name="_Toc87463115"/>
      <w:r w:rsidR="00DF2022" w:rsidRPr="0041437E">
        <w:t xml:space="preserve">A9.4.2 </w:t>
      </w:r>
      <w:r w:rsidR="001D1471" w:rsidRPr="0041437E">
        <w:t>Group summaries - all experts included</w:t>
      </w:r>
      <w:bookmarkEnd w:id="760"/>
    </w:p>
    <w:p w14:paraId="34500EFD" w14:textId="35D5CC9D" w:rsidR="001D1471" w:rsidRPr="006854DD" w:rsidRDefault="001D1471" w:rsidP="001D1471">
      <w:pPr>
        <w:spacing w:line="360" w:lineRule="auto"/>
        <w:rPr>
          <w:rFonts w:asciiTheme="majorBidi" w:hAnsiTheme="majorBidi" w:cstheme="majorBidi"/>
        </w:rPr>
      </w:pPr>
      <w:r w:rsidRPr="006854DD">
        <w:rPr>
          <w:rFonts w:asciiTheme="majorBidi" w:hAnsiTheme="majorBidi" w:cstheme="majorBidi"/>
        </w:rPr>
        <w:t xml:space="preserve">Results with all priors, including those that indicated that survival would be lower in susceptible patients, are shown in Figures </w:t>
      </w:r>
      <w:r w:rsidR="000E449C">
        <w:rPr>
          <w:rFonts w:asciiTheme="majorBidi" w:hAnsiTheme="majorBidi" w:cstheme="majorBidi"/>
        </w:rPr>
        <w:t>44</w:t>
      </w:r>
      <w:r w:rsidRPr="006854DD">
        <w:rPr>
          <w:rFonts w:asciiTheme="majorBidi" w:hAnsiTheme="majorBidi" w:cstheme="majorBidi"/>
        </w:rPr>
        <w:t xml:space="preserve"> and</w:t>
      </w:r>
      <w:r w:rsidR="000E449C">
        <w:rPr>
          <w:rFonts w:asciiTheme="majorBidi" w:hAnsiTheme="majorBidi" w:cstheme="majorBidi"/>
        </w:rPr>
        <w:t xml:space="preserve"> 45</w:t>
      </w:r>
      <w:r w:rsidRPr="00E32B55">
        <w:rPr>
          <w:rFonts w:asciiTheme="majorBidi" w:hAnsiTheme="majorBidi" w:cstheme="majorBidi"/>
        </w:rPr>
        <w:t>, and</w:t>
      </w:r>
      <w:r w:rsidR="00E32B55" w:rsidRPr="00E32B55">
        <w:rPr>
          <w:rFonts w:asciiTheme="majorBidi" w:hAnsiTheme="majorBidi" w:cstheme="majorBidi"/>
        </w:rPr>
        <w:t xml:space="preserve"> Table </w:t>
      </w:r>
      <w:r w:rsidR="00E32B55" w:rsidRPr="00E32B55">
        <w:rPr>
          <w:rFonts w:asciiTheme="majorBidi" w:hAnsiTheme="majorBidi" w:cstheme="majorBidi"/>
          <w:noProof/>
        </w:rPr>
        <w:t>52</w:t>
      </w:r>
      <w:r w:rsidRPr="00E32B55">
        <w:rPr>
          <w:rFonts w:asciiTheme="majorBidi" w:hAnsiTheme="majorBidi" w:cstheme="majorBidi"/>
        </w:rPr>
        <w:t>. Overall</w:t>
      </w:r>
      <w:r w:rsidRPr="006854DD">
        <w:rPr>
          <w:rFonts w:asciiTheme="majorBidi" w:hAnsiTheme="majorBidi" w:cstheme="majorBidi"/>
        </w:rPr>
        <w:t>, the priors indicate the same relative differences between outcomes and sites of infection.</w:t>
      </w:r>
    </w:p>
    <w:p w14:paraId="2CD503C8" w14:textId="21B64927" w:rsidR="0021430F" w:rsidRPr="0021430F" w:rsidRDefault="0021430F" w:rsidP="0021430F">
      <w:pPr>
        <w:pStyle w:val="Caption"/>
        <w:rPr>
          <w:rFonts w:asciiTheme="majorBidi" w:hAnsiTheme="majorBidi" w:cstheme="majorBidi"/>
          <w:b/>
          <w:bCs/>
          <w:i w:val="0"/>
          <w:iCs w:val="0"/>
          <w:sz w:val="20"/>
          <w:szCs w:val="20"/>
        </w:rPr>
      </w:pPr>
      <w:bookmarkStart w:id="761" w:name="_Toc86419088"/>
      <w:r w:rsidRPr="0021430F">
        <w:rPr>
          <w:rFonts w:asciiTheme="majorBidi" w:hAnsiTheme="majorBidi" w:cstheme="majorBidi"/>
          <w:b/>
          <w:bCs/>
          <w:i w:val="0"/>
          <w:iCs w:val="0"/>
          <w:sz w:val="20"/>
          <w:szCs w:val="20"/>
        </w:rPr>
        <w:t xml:space="preserve">Figure </w:t>
      </w:r>
      <w:r>
        <w:rPr>
          <w:rFonts w:asciiTheme="majorBidi" w:hAnsiTheme="majorBidi" w:cstheme="majorBidi"/>
          <w:b/>
          <w:bCs/>
          <w:i w:val="0"/>
          <w:iCs w:val="0"/>
          <w:noProof/>
          <w:sz w:val="20"/>
          <w:szCs w:val="20"/>
        </w:rPr>
        <w:t>43</w:t>
      </w:r>
      <w:r w:rsidRPr="0021430F">
        <w:rPr>
          <w:rFonts w:asciiTheme="majorBidi" w:hAnsiTheme="majorBidi" w:cstheme="majorBidi"/>
          <w:b/>
          <w:bCs/>
          <w:i w:val="0"/>
          <w:iCs w:val="0"/>
          <w:sz w:val="20"/>
          <w:szCs w:val="20"/>
        </w:rPr>
        <w:t xml:space="preserve"> 30-day mortality - all experts.</w:t>
      </w:r>
      <w:bookmarkEnd w:id="761"/>
    </w:p>
    <w:p w14:paraId="23C077CE" w14:textId="57B43062" w:rsidR="001D1471" w:rsidRDefault="001D1471" w:rsidP="001D1471">
      <w:pPr>
        <w:spacing w:line="360" w:lineRule="auto"/>
        <w:rPr>
          <w:rFonts w:asciiTheme="majorBidi" w:hAnsiTheme="majorBidi" w:cstheme="majorBidi"/>
          <w:sz w:val="20"/>
          <w:szCs w:val="20"/>
        </w:rPr>
      </w:pPr>
      <w:r w:rsidRPr="0041437E">
        <w:rPr>
          <w:rFonts w:asciiTheme="majorBidi" w:hAnsiTheme="majorBidi" w:cstheme="majorBidi"/>
          <w:noProof/>
          <w:sz w:val="20"/>
          <w:szCs w:val="20"/>
          <w:lang w:eastAsia="en-GB"/>
        </w:rPr>
        <w:drawing>
          <wp:inline distT="114300" distB="114300" distL="114300" distR="114300" wp14:anchorId="482C89D8" wp14:editId="09D82229">
            <wp:extent cx="5715000" cy="2857500"/>
            <wp:effectExtent l="0" t="0" r="0" b="0"/>
            <wp:docPr id="90" name="image3.jpg" descr="Line chart that shows the 30 day mortality of the following 6 groups, all experts included.&#10;HAP, susceptible (P=0.589)&#10;VAP, susceptible (P=0.553)&#10;cUTI, susceptible (P=0.747)&#10;HAP, not susceptible (P=0.497)&#10;VAP, not susceptible (P=0.415)&#10;cUTi, not susceptible (P=0.548)"/>
            <wp:cNvGraphicFramePr/>
            <a:graphic xmlns:a="http://schemas.openxmlformats.org/drawingml/2006/main">
              <a:graphicData uri="http://schemas.openxmlformats.org/drawingml/2006/picture">
                <pic:pic xmlns:pic="http://schemas.openxmlformats.org/drawingml/2006/picture">
                  <pic:nvPicPr>
                    <pic:cNvPr id="90" name="image3.jpg" descr="Line chart that shows the 30 day mortality of the following 6 groups, all experts included.&#10;HAP, susceptible (P=0.589)&#10;VAP, susceptible (P=0.553)&#10;cUTI, susceptible (P=0.747)&#10;HAP, not susceptible (P=0.497)&#10;VAP, not susceptible (P=0.415)&#10;cUTi, not susceptible (P=0.548)"/>
                    <pic:cNvPicPr preferRelativeResize="0"/>
                  </pic:nvPicPr>
                  <pic:blipFill>
                    <a:blip r:embed="rId63"/>
                    <a:srcRect/>
                    <a:stretch>
                      <a:fillRect/>
                    </a:stretch>
                  </pic:blipFill>
                  <pic:spPr>
                    <a:xfrm>
                      <a:off x="0" y="0"/>
                      <a:ext cx="5715000" cy="2857500"/>
                    </a:xfrm>
                    <a:prstGeom prst="rect">
                      <a:avLst/>
                    </a:prstGeom>
                    <a:ln/>
                  </pic:spPr>
                </pic:pic>
              </a:graphicData>
            </a:graphic>
          </wp:inline>
        </w:drawing>
      </w:r>
    </w:p>
    <w:p w14:paraId="21F45A70" w14:textId="77777777" w:rsidR="000E3737" w:rsidRPr="004A12CB" w:rsidRDefault="000E3737" w:rsidP="000E3737">
      <w:pPr>
        <w:pStyle w:val="EEPRUtextundertables"/>
        <w:rPr>
          <w:lang w:eastAsia="en-GB"/>
        </w:rPr>
      </w:pPr>
      <w:proofErr w:type="spellStart"/>
      <w:r>
        <w:rPr>
          <w:lang w:eastAsia="en-GB"/>
        </w:rPr>
        <w:t>cUTI</w:t>
      </w:r>
      <w:proofErr w:type="spellEnd"/>
      <w:r>
        <w:rPr>
          <w:lang w:eastAsia="en-GB"/>
        </w:rPr>
        <w:t>, complicated urinary tract infection; HAP, hospital-acquired pneumonia; VAP, ventilator-associated pneumonia; P, proportion</w:t>
      </w:r>
    </w:p>
    <w:p w14:paraId="6239EC16" w14:textId="77777777" w:rsidR="0041437E" w:rsidRDefault="0041437E" w:rsidP="001D1471">
      <w:pPr>
        <w:spacing w:line="360" w:lineRule="auto"/>
        <w:rPr>
          <w:rFonts w:asciiTheme="majorBidi" w:hAnsiTheme="majorBidi" w:cstheme="majorBidi"/>
          <w:b/>
          <w:sz w:val="20"/>
          <w:szCs w:val="20"/>
        </w:rPr>
      </w:pPr>
    </w:p>
    <w:p w14:paraId="73CDBCC0" w14:textId="77777777" w:rsidR="00E052E9" w:rsidRDefault="00E052E9" w:rsidP="001D1471">
      <w:pPr>
        <w:spacing w:line="360" w:lineRule="auto"/>
        <w:rPr>
          <w:rFonts w:asciiTheme="majorBidi" w:hAnsiTheme="majorBidi" w:cstheme="majorBidi"/>
          <w:b/>
          <w:sz w:val="20"/>
          <w:szCs w:val="20"/>
        </w:rPr>
      </w:pPr>
    </w:p>
    <w:p w14:paraId="5B00ACE1" w14:textId="77777777" w:rsidR="00E052E9" w:rsidRDefault="00E052E9" w:rsidP="001D1471">
      <w:pPr>
        <w:spacing w:line="360" w:lineRule="auto"/>
        <w:rPr>
          <w:rFonts w:asciiTheme="majorBidi" w:hAnsiTheme="majorBidi" w:cstheme="majorBidi"/>
          <w:b/>
          <w:sz w:val="20"/>
          <w:szCs w:val="20"/>
        </w:rPr>
      </w:pPr>
    </w:p>
    <w:p w14:paraId="1E6C4976" w14:textId="51C14540" w:rsidR="0021430F" w:rsidRPr="0021430F" w:rsidRDefault="0021430F" w:rsidP="0021430F">
      <w:pPr>
        <w:pStyle w:val="Caption"/>
        <w:rPr>
          <w:rFonts w:asciiTheme="majorBidi" w:hAnsiTheme="majorBidi" w:cstheme="majorBidi"/>
          <w:b/>
          <w:bCs/>
          <w:i w:val="0"/>
          <w:iCs w:val="0"/>
          <w:sz w:val="20"/>
          <w:szCs w:val="20"/>
        </w:rPr>
      </w:pPr>
      <w:bookmarkStart w:id="762" w:name="_Toc86419089"/>
      <w:r w:rsidRPr="0021430F">
        <w:rPr>
          <w:rFonts w:asciiTheme="majorBidi" w:hAnsiTheme="majorBidi" w:cstheme="majorBidi"/>
          <w:b/>
          <w:bCs/>
          <w:i w:val="0"/>
          <w:iCs w:val="0"/>
          <w:sz w:val="20"/>
          <w:szCs w:val="20"/>
        </w:rPr>
        <w:t xml:space="preserve">Figure </w:t>
      </w:r>
      <w:r>
        <w:rPr>
          <w:rFonts w:asciiTheme="majorBidi" w:hAnsiTheme="majorBidi" w:cstheme="majorBidi"/>
          <w:b/>
          <w:bCs/>
          <w:i w:val="0"/>
          <w:iCs w:val="0"/>
          <w:noProof/>
          <w:sz w:val="20"/>
          <w:szCs w:val="20"/>
        </w:rPr>
        <w:t>44</w:t>
      </w:r>
      <w:r w:rsidRPr="0021430F">
        <w:rPr>
          <w:rFonts w:asciiTheme="majorBidi" w:hAnsiTheme="majorBidi" w:cstheme="majorBidi"/>
          <w:b/>
          <w:bCs/>
          <w:i w:val="0"/>
          <w:iCs w:val="0"/>
          <w:sz w:val="20"/>
          <w:szCs w:val="20"/>
        </w:rPr>
        <w:t xml:space="preserve"> Expected LOS - all experts</w:t>
      </w:r>
      <w:bookmarkEnd w:id="762"/>
    </w:p>
    <w:p w14:paraId="6720AA3F" w14:textId="0EEE24C4" w:rsidR="001D1471" w:rsidRDefault="001D1471" w:rsidP="001D1471">
      <w:pPr>
        <w:spacing w:line="360" w:lineRule="auto"/>
      </w:pPr>
      <w:r>
        <w:rPr>
          <w:noProof/>
          <w:lang w:eastAsia="en-GB"/>
        </w:rPr>
        <w:lastRenderedPageBreak/>
        <w:drawing>
          <wp:inline distT="114300" distB="114300" distL="114300" distR="114300" wp14:anchorId="74292EE9" wp14:editId="52BD1DAD">
            <wp:extent cx="5715000" cy="2857500"/>
            <wp:effectExtent l="0" t="0" r="0" b="0"/>
            <wp:docPr id="91" name="image6.jpg" descr="Line chart that shows the expected length of stay of the following 6 groups, all experts included.&#10;HAP, susceptible (mean = 19.5)&#10;VAP, susceptible (mean = 22.7)&#10;cUTI, susceptible (mean = 13)&#10;HAP, not susceptible (mean = 21.2)&#10;VAP, not susceptible (mean = 23.4)&#10;cUTi, not susceptible (mean = 18.2)"/>
            <wp:cNvGraphicFramePr/>
            <a:graphic xmlns:a="http://schemas.openxmlformats.org/drawingml/2006/main">
              <a:graphicData uri="http://schemas.openxmlformats.org/drawingml/2006/picture">
                <pic:pic xmlns:pic="http://schemas.openxmlformats.org/drawingml/2006/picture">
                  <pic:nvPicPr>
                    <pic:cNvPr id="91" name="image6.jpg" descr="Line chart that shows the expected length of stay of the following 6 groups, all experts included.&#10;HAP, susceptible (mean = 19.5)&#10;VAP, susceptible (mean = 22.7)&#10;cUTI, susceptible (mean = 13)&#10;HAP, not susceptible (mean = 21.2)&#10;VAP, not susceptible (mean = 23.4)&#10;cUTi, not susceptible (mean = 18.2)"/>
                    <pic:cNvPicPr preferRelativeResize="0"/>
                  </pic:nvPicPr>
                  <pic:blipFill>
                    <a:blip r:embed="rId64"/>
                    <a:srcRect/>
                    <a:stretch>
                      <a:fillRect/>
                    </a:stretch>
                  </pic:blipFill>
                  <pic:spPr>
                    <a:xfrm>
                      <a:off x="0" y="0"/>
                      <a:ext cx="5715000" cy="2857500"/>
                    </a:xfrm>
                    <a:prstGeom prst="rect">
                      <a:avLst/>
                    </a:prstGeom>
                    <a:ln/>
                  </pic:spPr>
                </pic:pic>
              </a:graphicData>
            </a:graphic>
          </wp:inline>
        </w:drawing>
      </w:r>
    </w:p>
    <w:p w14:paraId="1897E164" w14:textId="77777777" w:rsidR="000E3737" w:rsidRPr="004A12CB" w:rsidRDefault="000E3737" w:rsidP="000E3737">
      <w:pPr>
        <w:pStyle w:val="EEPRUtextundertables"/>
        <w:rPr>
          <w:lang w:eastAsia="en-GB"/>
        </w:rPr>
      </w:pPr>
      <w:proofErr w:type="spellStart"/>
      <w:r>
        <w:rPr>
          <w:lang w:eastAsia="en-GB"/>
        </w:rPr>
        <w:t>cUTI</w:t>
      </w:r>
      <w:proofErr w:type="spellEnd"/>
      <w:r>
        <w:rPr>
          <w:lang w:eastAsia="en-GB"/>
        </w:rPr>
        <w:t>, complicated urinary tract infection; HAP, hospital-acquired pneumonia; VAP, ventilator-associated pneumonia</w:t>
      </w:r>
    </w:p>
    <w:p w14:paraId="6420E5DC" w14:textId="77777777" w:rsidR="0041437E" w:rsidRDefault="0041437E" w:rsidP="00E32B55">
      <w:pPr>
        <w:pStyle w:val="Caption"/>
        <w:keepNext/>
        <w:rPr>
          <w:rFonts w:asciiTheme="majorBidi" w:hAnsiTheme="majorBidi" w:cstheme="majorBidi"/>
          <w:b/>
          <w:bCs/>
          <w:i w:val="0"/>
          <w:iCs w:val="0"/>
          <w:sz w:val="20"/>
          <w:szCs w:val="20"/>
        </w:rPr>
      </w:pPr>
      <w:bookmarkStart w:id="763" w:name="_Ref85646105"/>
    </w:p>
    <w:p w14:paraId="6B301FC1" w14:textId="3970C63E" w:rsidR="001D1471" w:rsidRPr="0041437E" w:rsidRDefault="00E32B55" w:rsidP="00E32B55">
      <w:pPr>
        <w:pStyle w:val="Caption"/>
        <w:keepNext/>
        <w:rPr>
          <w:rFonts w:asciiTheme="majorBidi" w:hAnsiTheme="majorBidi" w:cstheme="majorBidi"/>
          <w:b/>
          <w:bCs/>
          <w:i w:val="0"/>
          <w:iCs w:val="0"/>
          <w:sz w:val="20"/>
          <w:szCs w:val="20"/>
        </w:rPr>
      </w:pPr>
      <w:bookmarkStart w:id="764" w:name="_Toc86419036"/>
      <w:r w:rsidRPr="0041437E">
        <w:rPr>
          <w:rFonts w:asciiTheme="majorBidi" w:hAnsiTheme="majorBidi" w:cstheme="majorBidi"/>
          <w:b/>
          <w:bCs/>
          <w:i w:val="0"/>
          <w:iCs w:val="0"/>
          <w:sz w:val="20"/>
          <w:szCs w:val="20"/>
        </w:rPr>
        <w:t xml:space="preserve">Table </w:t>
      </w:r>
      <w:r w:rsidR="00F10F0A" w:rsidRPr="0041437E">
        <w:rPr>
          <w:rFonts w:asciiTheme="majorBidi" w:hAnsiTheme="majorBidi" w:cstheme="majorBidi"/>
          <w:b/>
          <w:bCs/>
          <w:i w:val="0"/>
          <w:iCs w:val="0"/>
          <w:noProof/>
          <w:sz w:val="20"/>
          <w:szCs w:val="20"/>
        </w:rPr>
        <w:t>59</w:t>
      </w:r>
      <w:bookmarkEnd w:id="763"/>
      <w:r w:rsidR="001D1471" w:rsidRPr="0041437E">
        <w:rPr>
          <w:rFonts w:asciiTheme="majorBidi" w:hAnsiTheme="majorBidi" w:cstheme="majorBidi"/>
          <w:b/>
          <w:bCs/>
          <w:i w:val="0"/>
          <w:iCs w:val="0"/>
          <w:sz w:val="20"/>
          <w:szCs w:val="20"/>
        </w:rPr>
        <w:t>. Proportion (%) of hospital stay spent on ICU, HDU and general medical ward.</w:t>
      </w:r>
      <w:bookmarkEnd w:id="764"/>
    </w:p>
    <w:tbl>
      <w:tblPr>
        <w:tblStyle w:val="GridTable1Light"/>
        <w:tblW w:w="9016" w:type="dxa"/>
        <w:tblLayout w:type="fixed"/>
        <w:tblLook w:val="0420" w:firstRow="1" w:lastRow="0" w:firstColumn="0" w:lastColumn="0" w:noHBand="0" w:noVBand="1"/>
      </w:tblPr>
      <w:tblGrid>
        <w:gridCol w:w="2254"/>
        <w:gridCol w:w="2254"/>
        <w:gridCol w:w="2254"/>
        <w:gridCol w:w="2254"/>
      </w:tblGrid>
      <w:tr w:rsidR="001D1471" w:rsidRPr="006854DD" w14:paraId="1812CE71" w14:textId="77777777" w:rsidTr="0070201C">
        <w:trPr>
          <w:cnfStyle w:val="100000000000" w:firstRow="1" w:lastRow="0" w:firstColumn="0" w:lastColumn="0" w:oddVBand="0" w:evenVBand="0" w:oddHBand="0" w:evenHBand="0" w:firstRowFirstColumn="0" w:firstRowLastColumn="0" w:lastRowFirstColumn="0" w:lastRowLastColumn="0"/>
        </w:trPr>
        <w:tc>
          <w:tcPr>
            <w:tcW w:w="2254" w:type="dxa"/>
          </w:tcPr>
          <w:p w14:paraId="303F2C65" w14:textId="77777777" w:rsidR="001D1471" w:rsidRPr="006854DD" w:rsidRDefault="001D1471" w:rsidP="001D1471">
            <w:pPr>
              <w:rPr>
                <w:rFonts w:asciiTheme="majorBidi" w:hAnsiTheme="majorBidi" w:cstheme="majorBidi"/>
              </w:rPr>
            </w:pPr>
          </w:p>
        </w:tc>
        <w:tc>
          <w:tcPr>
            <w:tcW w:w="2254" w:type="dxa"/>
          </w:tcPr>
          <w:p w14:paraId="0296ED25" w14:textId="77777777" w:rsidR="001D1471" w:rsidRPr="006854DD" w:rsidRDefault="001D1471" w:rsidP="001D1471">
            <w:pPr>
              <w:rPr>
                <w:rFonts w:asciiTheme="majorBidi" w:hAnsiTheme="majorBidi" w:cstheme="majorBidi"/>
              </w:rPr>
            </w:pPr>
            <w:r w:rsidRPr="006854DD">
              <w:rPr>
                <w:rFonts w:asciiTheme="majorBidi" w:hAnsiTheme="majorBidi" w:cstheme="majorBidi"/>
              </w:rPr>
              <w:t>ICU</w:t>
            </w:r>
          </w:p>
        </w:tc>
        <w:tc>
          <w:tcPr>
            <w:tcW w:w="2254" w:type="dxa"/>
          </w:tcPr>
          <w:p w14:paraId="73145EBC" w14:textId="77777777" w:rsidR="001D1471" w:rsidRPr="006854DD" w:rsidRDefault="001D1471" w:rsidP="001D1471">
            <w:pPr>
              <w:rPr>
                <w:rFonts w:asciiTheme="majorBidi" w:hAnsiTheme="majorBidi" w:cstheme="majorBidi"/>
              </w:rPr>
            </w:pPr>
            <w:r w:rsidRPr="006854DD">
              <w:rPr>
                <w:rFonts w:asciiTheme="majorBidi" w:hAnsiTheme="majorBidi" w:cstheme="majorBidi"/>
              </w:rPr>
              <w:t>HDU</w:t>
            </w:r>
          </w:p>
        </w:tc>
        <w:tc>
          <w:tcPr>
            <w:tcW w:w="2254" w:type="dxa"/>
          </w:tcPr>
          <w:p w14:paraId="6F833846" w14:textId="77777777" w:rsidR="001D1471" w:rsidRPr="006854DD" w:rsidRDefault="001D1471" w:rsidP="001D1471">
            <w:pPr>
              <w:rPr>
                <w:rFonts w:asciiTheme="majorBidi" w:hAnsiTheme="majorBidi" w:cstheme="majorBidi"/>
              </w:rPr>
            </w:pPr>
            <w:r w:rsidRPr="006854DD">
              <w:rPr>
                <w:rFonts w:asciiTheme="majorBidi" w:hAnsiTheme="majorBidi" w:cstheme="majorBidi"/>
              </w:rPr>
              <w:t>General medical ward</w:t>
            </w:r>
          </w:p>
        </w:tc>
      </w:tr>
      <w:tr w:rsidR="001D1471" w:rsidRPr="006854DD" w14:paraId="32127455" w14:textId="77777777" w:rsidTr="0070201C">
        <w:tc>
          <w:tcPr>
            <w:tcW w:w="2254" w:type="dxa"/>
          </w:tcPr>
          <w:p w14:paraId="24868604" w14:textId="77777777" w:rsidR="001D1471" w:rsidRPr="006854DD" w:rsidRDefault="001D1471" w:rsidP="001D1471">
            <w:pPr>
              <w:rPr>
                <w:rFonts w:asciiTheme="majorBidi" w:hAnsiTheme="majorBidi" w:cstheme="majorBidi"/>
              </w:rPr>
            </w:pPr>
            <w:r w:rsidRPr="006854DD">
              <w:rPr>
                <w:rFonts w:asciiTheme="majorBidi" w:hAnsiTheme="majorBidi" w:cstheme="majorBidi"/>
              </w:rPr>
              <w:t>HAP, susceptible</w:t>
            </w:r>
          </w:p>
        </w:tc>
        <w:tc>
          <w:tcPr>
            <w:tcW w:w="2254" w:type="dxa"/>
          </w:tcPr>
          <w:p w14:paraId="57D00D6F" w14:textId="77777777" w:rsidR="001D1471" w:rsidRPr="006854DD" w:rsidRDefault="001D1471" w:rsidP="001D1471">
            <w:pPr>
              <w:rPr>
                <w:rFonts w:asciiTheme="majorBidi" w:hAnsiTheme="majorBidi" w:cstheme="majorBidi"/>
              </w:rPr>
            </w:pPr>
            <w:r w:rsidRPr="006854DD">
              <w:rPr>
                <w:rFonts w:asciiTheme="majorBidi" w:hAnsiTheme="majorBidi" w:cstheme="majorBidi"/>
              </w:rPr>
              <w:t>23.56</w:t>
            </w:r>
          </w:p>
        </w:tc>
        <w:tc>
          <w:tcPr>
            <w:tcW w:w="2254" w:type="dxa"/>
          </w:tcPr>
          <w:p w14:paraId="63A04E30" w14:textId="77777777" w:rsidR="001D1471" w:rsidRPr="006854DD" w:rsidRDefault="001D1471" w:rsidP="001D1471">
            <w:pPr>
              <w:rPr>
                <w:rFonts w:asciiTheme="majorBidi" w:hAnsiTheme="majorBidi" w:cstheme="majorBidi"/>
              </w:rPr>
            </w:pPr>
            <w:r w:rsidRPr="006854DD">
              <w:rPr>
                <w:rFonts w:asciiTheme="majorBidi" w:hAnsiTheme="majorBidi" w:cstheme="majorBidi"/>
              </w:rPr>
              <w:t>21.22</w:t>
            </w:r>
          </w:p>
        </w:tc>
        <w:tc>
          <w:tcPr>
            <w:tcW w:w="2254" w:type="dxa"/>
          </w:tcPr>
          <w:p w14:paraId="17E472BD" w14:textId="77777777" w:rsidR="001D1471" w:rsidRPr="006854DD" w:rsidRDefault="001D1471" w:rsidP="001D1471">
            <w:pPr>
              <w:rPr>
                <w:rFonts w:asciiTheme="majorBidi" w:hAnsiTheme="majorBidi" w:cstheme="majorBidi"/>
              </w:rPr>
            </w:pPr>
            <w:r w:rsidRPr="006854DD">
              <w:rPr>
                <w:rFonts w:asciiTheme="majorBidi" w:hAnsiTheme="majorBidi" w:cstheme="majorBidi"/>
              </w:rPr>
              <w:t>55.22</w:t>
            </w:r>
          </w:p>
        </w:tc>
      </w:tr>
      <w:tr w:rsidR="001D1471" w:rsidRPr="006854DD" w14:paraId="33F01C2C" w14:textId="77777777" w:rsidTr="0070201C">
        <w:trPr>
          <w:trHeight w:val="283"/>
        </w:trPr>
        <w:tc>
          <w:tcPr>
            <w:tcW w:w="2254" w:type="dxa"/>
          </w:tcPr>
          <w:p w14:paraId="0905B926" w14:textId="77777777" w:rsidR="001D1471" w:rsidRPr="006854DD" w:rsidRDefault="001D1471" w:rsidP="001D1471">
            <w:pPr>
              <w:rPr>
                <w:rFonts w:asciiTheme="majorBidi" w:hAnsiTheme="majorBidi" w:cstheme="majorBidi"/>
              </w:rPr>
            </w:pPr>
            <w:r w:rsidRPr="006854DD">
              <w:rPr>
                <w:rFonts w:asciiTheme="majorBidi" w:hAnsiTheme="majorBidi" w:cstheme="majorBidi"/>
              </w:rPr>
              <w:t>VAP, susceptible</w:t>
            </w:r>
          </w:p>
        </w:tc>
        <w:tc>
          <w:tcPr>
            <w:tcW w:w="2254" w:type="dxa"/>
          </w:tcPr>
          <w:p w14:paraId="3B9C993B" w14:textId="77777777" w:rsidR="001D1471" w:rsidRPr="006854DD" w:rsidRDefault="001D1471" w:rsidP="001D1471">
            <w:pPr>
              <w:rPr>
                <w:rFonts w:asciiTheme="majorBidi" w:hAnsiTheme="majorBidi" w:cstheme="majorBidi"/>
              </w:rPr>
            </w:pPr>
            <w:r w:rsidRPr="006854DD">
              <w:rPr>
                <w:rFonts w:asciiTheme="majorBidi" w:hAnsiTheme="majorBidi" w:cstheme="majorBidi"/>
              </w:rPr>
              <w:t>62.86</w:t>
            </w:r>
          </w:p>
        </w:tc>
        <w:tc>
          <w:tcPr>
            <w:tcW w:w="2254" w:type="dxa"/>
          </w:tcPr>
          <w:p w14:paraId="01AF4FA5" w14:textId="77777777" w:rsidR="001D1471" w:rsidRPr="006854DD" w:rsidRDefault="001D1471" w:rsidP="001D1471">
            <w:pPr>
              <w:rPr>
                <w:rFonts w:asciiTheme="majorBidi" w:hAnsiTheme="majorBidi" w:cstheme="majorBidi"/>
              </w:rPr>
            </w:pPr>
            <w:r w:rsidRPr="006854DD">
              <w:rPr>
                <w:rFonts w:asciiTheme="majorBidi" w:hAnsiTheme="majorBidi" w:cstheme="majorBidi"/>
              </w:rPr>
              <w:t>14.29</w:t>
            </w:r>
          </w:p>
        </w:tc>
        <w:tc>
          <w:tcPr>
            <w:tcW w:w="2254" w:type="dxa"/>
          </w:tcPr>
          <w:p w14:paraId="3D8F0CF0" w14:textId="77777777" w:rsidR="001D1471" w:rsidRPr="006854DD" w:rsidRDefault="001D1471" w:rsidP="001D1471">
            <w:pPr>
              <w:rPr>
                <w:rFonts w:asciiTheme="majorBidi" w:hAnsiTheme="majorBidi" w:cstheme="majorBidi"/>
              </w:rPr>
            </w:pPr>
            <w:r w:rsidRPr="006854DD">
              <w:rPr>
                <w:rFonts w:asciiTheme="majorBidi" w:hAnsiTheme="majorBidi" w:cstheme="majorBidi"/>
              </w:rPr>
              <w:t>22.86</w:t>
            </w:r>
          </w:p>
        </w:tc>
      </w:tr>
      <w:tr w:rsidR="001D1471" w:rsidRPr="006854DD" w14:paraId="068A40D2" w14:textId="77777777" w:rsidTr="0070201C">
        <w:tc>
          <w:tcPr>
            <w:tcW w:w="2254" w:type="dxa"/>
          </w:tcPr>
          <w:p w14:paraId="1D758B52"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t>cUTI</w:t>
            </w:r>
            <w:proofErr w:type="spellEnd"/>
            <w:r w:rsidRPr="006854DD">
              <w:rPr>
                <w:rFonts w:asciiTheme="majorBidi" w:hAnsiTheme="majorBidi" w:cstheme="majorBidi"/>
              </w:rPr>
              <w:t>, susceptible</w:t>
            </w:r>
          </w:p>
        </w:tc>
        <w:tc>
          <w:tcPr>
            <w:tcW w:w="2254" w:type="dxa"/>
          </w:tcPr>
          <w:p w14:paraId="416E7945" w14:textId="77777777" w:rsidR="001D1471" w:rsidRPr="006854DD" w:rsidRDefault="001D1471" w:rsidP="001D1471">
            <w:pPr>
              <w:rPr>
                <w:rFonts w:asciiTheme="majorBidi" w:hAnsiTheme="majorBidi" w:cstheme="majorBidi"/>
              </w:rPr>
            </w:pPr>
            <w:r w:rsidRPr="006854DD">
              <w:rPr>
                <w:rFonts w:asciiTheme="majorBidi" w:hAnsiTheme="majorBidi" w:cstheme="majorBidi"/>
              </w:rPr>
              <w:t>13.57</w:t>
            </w:r>
          </w:p>
        </w:tc>
        <w:tc>
          <w:tcPr>
            <w:tcW w:w="2254" w:type="dxa"/>
          </w:tcPr>
          <w:p w14:paraId="462F138C" w14:textId="77777777" w:rsidR="001D1471" w:rsidRPr="006854DD" w:rsidRDefault="001D1471" w:rsidP="001D1471">
            <w:pPr>
              <w:rPr>
                <w:rFonts w:asciiTheme="majorBidi" w:hAnsiTheme="majorBidi" w:cstheme="majorBidi"/>
              </w:rPr>
            </w:pPr>
            <w:r w:rsidRPr="006854DD">
              <w:rPr>
                <w:rFonts w:asciiTheme="majorBidi" w:hAnsiTheme="majorBidi" w:cstheme="majorBidi"/>
              </w:rPr>
              <w:t>16.00</w:t>
            </w:r>
          </w:p>
        </w:tc>
        <w:tc>
          <w:tcPr>
            <w:tcW w:w="2254" w:type="dxa"/>
          </w:tcPr>
          <w:p w14:paraId="170DC6A4" w14:textId="77777777" w:rsidR="001D1471" w:rsidRPr="006854DD" w:rsidRDefault="001D1471" w:rsidP="001D1471">
            <w:pPr>
              <w:rPr>
                <w:rFonts w:asciiTheme="majorBidi" w:hAnsiTheme="majorBidi" w:cstheme="majorBidi"/>
              </w:rPr>
            </w:pPr>
            <w:r w:rsidRPr="006854DD">
              <w:rPr>
                <w:rFonts w:asciiTheme="majorBidi" w:hAnsiTheme="majorBidi" w:cstheme="majorBidi"/>
              </w:rPr>
              <w:t>70.43</w:t>
            </w:r>
          </w:p>
        </w:tc>
      </w:tr>
      <w:tr w:rsidR="001D1471" w:rsidRPr="006854DD" w14:paraId="703DEF3B" w14:textId="77777777" w:rsidTr="0070201C">
        <w:tc>
          <w:tcPr>
            <w:tcW w:w="2254" w:type="dxa"/>
          </w:tcPr>
          <w:p w14:paraId="00E57775" w14:textId="77777777" w:rsidR="001D1471" w:rsidRPr="006854DD" w:rsidRDefault="001D1471" w:rsidP="001D1471">
            <w:pPr>
              <w:rPr>
                <w:rFonts w:asciiTheme="majorBidi" w:hAnsiTheme="majorBidi" w:cstheme="majorBidi"/>
              </w:rPr>
            </w:pPr>
            <w:r w:rsidRPr="006854DD">
              <w:rPr>
                <w:rFonts w:asciiTheme="majorBidi" w:hAnsiTheme="majorBidi" w:cstheme="majorBidi"/>
              </w:rPr>
              <w:t>HAP, not susceptible</w:t>
            </w:r>
          </w:p>
        </w:tc>
        <w:tc>
          <w:tcPr>
            <w:tcW w:w="2254" w:type="dxa"/>
          </w:tcPr>
          <w:p w14:paraId="7E247BB2" w14:textId="77777777" w:rsidR="001D1471" w:rsidRPr="006854DD" w:rsidRDefault="001D1471" w:rsidP="001D1471">
            <w:pPr>
              <w:rPr>
                <w:rFonts w:asciiTheme="majorBidi" w:hAnsiTheme="majorBidi" w:cstheme="majorBidi"/>
              </w:rPr>
            </w:pPr>
            <w:r w:rsidRPr="006854DD">
              <w:rPr>
                <w:rFonts w:asciiTheme="majorBidi" w:hAnsiTheme="majorBidi" w:cstheme="majorBidi"/>
              </w:rPr>
              <w:t>36.00</w:t>
            </w:r>
          </w:p>
        </w:tc>
        <w:tc>
          <w:tcPr>
            <w:tcW w:w="2254" w:type="dxa"/>
          </w:tcPr>
          <w:p w14:paraId="58AA64B5" w14:textId="77777777" w:rsidR="001D1471" w:rsidRPr="006854DD" w:rsidRDefault="001D1471" w:rsidP="001D1471">
            <w:pPr>
              <w:rPr>
                <w:rFonts w:asciiTheme="majorBidi" w:hAnsiTheme="majorBidi" w:cstheme="majorBidi"/>
              </w:rPr>
            </w:pPr>
            <w:r w:rsidRPr="006854DD">
              <w:rPr>
                <w:rFonts w:asciiTheme="majorBidi" w:hAnsiTheme="majorBidi" w:cstheme="majorBidi"/>
              </w:rPr>
              <w:t>22.00</w:t>
            </w:r>
          </w:p>
        </w:tc>
        <w:tc>
          <w:tcPr>
            <w:tcW w:w="2254" w:type="dxa"/>
          </w:tcPr>
          <w:p w14:paraId="1BE661AD" w14:textId="77777777" w:rsidR="001D1471" w:rsidRPr="006854DD" w:rsidRDefault="001D1471" w:rsidP="001D1471">
            <w:pPr>
              <w:rPr>
                <w:rFonts w:asciiTheme="majorBidi" w:hAnsiTheme="majorBidi" w:cstheme="majorBidi"/>
              </w:rPr>
            </w:pPr>
            <w:r w:rsidRPr="006854DD">
              <w:rPr>
                <w:rFonts w:asciiTheme="majorBidi" w:hAnsiTheme="majorBidi" w:cstheme="majorBidi"/>
              </w:rPr>
              <w:t>42.00</w:t>
            </w:r>
          </w:p>
        </w:tc>
      </w:tr>
      <w:tr w:rsidR="001D1471" w:rsidRPr="006854DD" w14:paraId="515995B0" w14:textId="77777777" w:rsidTr="0070201C">
        <w:tc>
          <w:tcPr>
            <w:tcW w:w="2254" w:type="dxa"/>
          </w:tcPr>
          <w:p w14:paraId="130F8BEB" w14:textId="77777777" w:rsidR="001D1471" w:rsidRPr="006854DD" w:rsidRDefault="001D1471" w:rsidP="001D1471">
            <w:pPr>
              <w:rPr>
                <w:rFonts w:asciiTheme="majorBidi" w:hAnsiTheme="majorBidi" w:cstheme="majorBidi"/>
              </w:rPr>
            </w:pPr>
            <w:r w:rsidRPr="006854DD">
              <w:rPr>
                <w:rFonts w:asciiTheme="majorBidi" w:hAnsiTheme="majorBidi" w:cstheme="majorBidi"/>
              </w:rPr>
              <w:t>VAP, not susceptible</w:t>
            </w:r>
          </w:p>
        </w:tc>
        <w:tc>
          <w:tcPr>
            <w:tcW w:w="2254" w:type="dxa"/>
          </w:tcPr>
          <w:p w14:paraId="567775FC" w14:textId="77777777" w:rsidR="001D1471" w:rsidRPr="006854DD" w:rsidRDefault="001D1471" w:rsidP="001D1471">
            <w:pPr>
              <w:rPr>
                <w:rFonts w:asciiTheme="majorBidi" w:hAnsiTheme="majorBidi" w:cstheme="majorBidi"/>
              </w:rPr>
            </w:pPr>
            <w:r w:rsidRPr="006854DD">
              <w:rPr>
                <w:rFonts w:asciiTheme="majorBidi" w:hAnsiTheme="majorBidi" w:cstheme="majorBidi"/>
              </w:rPr>
              <w:t>68.57</w:t>
            </w:r>
          </w:p>
        </w:tc>
        <w:tc>
          <w:tcPr>
            <w:tcW w:w="2254" w:type="dxa"/>
          </w:tcPr>
          <w:p w14:paraId="3FF6268E" w14:textId="77777777" w:rsidR="001D1471" w:rsidRPr="006854DD" w:rsidRDefault="001D1471" w:rsidP="001D1471">
            <w:pPr>
              <w:rPr>
                <w:rFonts w:asciiTheme="majorBidi" w:hAnsiTheme="majorBidi" w:cstheme="majorBidi"/>
              </w:rPr>
            </w:pPr>
            <w:r w:rsidRPr="006854DD">
              <w:rPr>
                <w:rFonts w:asciiTheme="majorBidi" w:hAnsiTheme="majorBidi" w:cstheme="majorBidi"/>
              </w:rPr>
              <w:t>16.43</w:t>
            </w:r>
          </w:p>
        </w:tc>
        <w:tc>
          <w:tcPr>
            <w:tcW w:w="2254" w:type="dxa"/>
          </w:tcPr>
          <w:p w14:paraId="6131DF8A" w14:textId="77777777" w:rsidR="001D1471" w:rsidRPr="006854DD" w:rsidRDefault="001D1471" w:rsidP="001D1471">
            <w:pPr>
              <w:rPr>
                <w:rFonts w:asciiTheme="majorBidi" w:hAnsiTheme="majorBidi" w:cstheme="majorBidi"/>
              </w:rPr>
            </w:pPr>
            <w:r w:rsidRPr="006854DD">
              <w:rPr>
                <w:rFonts w:asciiTheme="majorBidi" w:hAnsiTheme="majorBidi" w:cstheme="majorBidi"/>
              </w:rPr>
              <w:t>15.00</w:t>
            </w:r>
          </w:p>
        </w:tc>
      </w:tr>
      <w:tr w:rsidR="001D1471" w:rsidRPr="006854DD" w14:paraId="0EB0B918" w14:textId="77777777" w:rsidTr="0070201C">
        <w:tc>
          <w:tcPr>
            <w:tcW w:w="2254" w:type="dxa"/>
          </w:tcPr>
          <w:p w14:paraId="74D051A2" w14:textId="77777777" w:rsidR="001D1471" w:rsidRPr="006854DD" w:rsidRDefault="001D1471" w:rsidP="001D1471">
            <w:pPr>
              <w:rPr>
                <w:rFonts w:asciiTheme="majorBidi" w:hAnsiTheme="majorBidi" w:cstheme="majorBidi"/>
              </w:rPr>
            </w:pPr>
            <w:proofErr w:type="spellStart"/>
            <w:r w:rsidRPr="006854DD">
              <w:rPr>
                <w:rFonts w:asciiTheme="majorBidi" w:hAnsiTheme="majorBidi" w:cstheme="majorBidi"/>
              </w:rPr>
              <w:t>cUTI</w:t>
            </w:r>
            <w:proofErr w:type="spellEnd"/>
            <w:r w:rsidRPr="006854DD">
              <w:rPr>
                <w:rFonts w:asciiTheme="majorBidi" w:hAnsiTheme="majorBidi" w:cstheme="majorBidi"/>
              </w:rPr>
              <w:t>, not susceptible</w:t>
            </w:r>
          </w:p>
        </w:tc>
        <w:tc>
          <w:tcPr>
            <w:tcW w:w="2254" w:type="dxa"/>
          </w:tcPr>
          <w:p w14:paraId="76D8A5BD" w14:textId="77777777" w:rsidR="001D1471" w:rsidRPr="006854DD" w:rsidRDefault="001D1471" w:rsidP="001D1471">
            <w:pPr>
              <w:rPr>
                <w:rFonts w:asciiTheme="majorBidi" w:hAnsiTheme="majorBidi" w:cstheme="majorBidi"/>
              </w:rPr>
            </w:pPr>
            <w:r w:rsidRPr="006854DD">
              <w:rPr>
                <w:rFonts w:asciiTheme="majorBidi" w:hAnsiTheme="majorBidi" w:cstheme="majorBidi"/>
              </w:rPr>
              <w:t>21.43</w:t>
            </w:r>
          </w:p>
        </w:tc>
        <w:tc>
          <w:tcPr>
            <w:tcW w:w="2254" w:type="dxa"/>
          </w:tcPr>
          <w:p w14:paraId="705B4775" w14:textId="77777777" w:rsidR="001D1471" w:rsidRPr="006854DD" w:rsidRDefault="001D1471" w:rsidP="001D1471">
            <w:pPr>
              <w:rPr>
                <w:rFonts w:asciiTheme="majorBidi" w:hAnsiTheme="majorBidi" w:cstheme="majorBidi"/>
              </w:rPr>
            </w:pPr>
            <w:r w:rsidRPr="006854DD">
              <w:rPr>
                <w:rFonts w:asciiTheme="majorBidi" w:hAnsiTheme="majorBidi" w:cstheme="majorBidi"/>
              </w:rPr>
              <w:t>18.57</w:t>
            </w:r>
          </w:p>
        </w:tc>
        <w:tc>
          <w:tcPr>
            <w:tcW w:w="2254" w:type="dxa"/>
          </w:tcPr>
          <w:p w14:paraId="78D140D2" w14:textId="77777777" w:rsidR="001D1471" w:rsidRPr="006854DD" w:rsidRDefault="001D1471" w:rsidP="001D1471">
            <w:pPr>
              <w:rPr>
                <w:rFonts w:asciiTheme="majorBidi" w:hAnsiTheme="majorBidi" w:cstheme="majorBidi"/>
              </w:rPr>
            </w:pPr>
            <w:r w:rsidRPr="006854DD">
              <w:rPr>
                <w:rFonts w:asciiTheme="majorBidi" w:hAnsiTheme="majorBidi" w:cstheme="majorBidi"/>
              </w:rPr>
              <w:t>60.00</w:t>
            </w:r>
          </w:p>
        </w:tc>
      </w:tr>
    </w:tbl>
    <w:p w14:paraId="15EEEAE4" w14:textId="77777777" w:rsidR="000E3737" w:rsidRDefault="000E3737" w:rsidP="000E3737">
      <w:pPr>
        <w:pStyle w:val="EEPRUtextundertables"/>
      </w:pPr>
      <w:proofErr w:type="spellStart"/>
      <w:r>
        <w:t>cUTI</w:t>
      </w:r>
      <w:proofErr w:type="spellEnd"/>
      <w:r>
        <w:t>, complicated urinary tract infection; HAP, hospital-acquired pneumonia; HDU, high dependency unit;</w:t>
      </w:r>
      <w:r w:rsidRPr="00D95E30">
        <w:t xml:space="preserve"> </w:t>
      </w:r>
      <w:r>
        <w:t xml:space="preserve">ICU, intensive care unit; VAP, ventilator-associated pneumonia </w:t>
      </w:r>
    </w:p>
    <w:p w14:paraId="2CB98A7D" w14:textId="77777777" w:rsidR="001D1471" w:rsidRDefault="001D1471" w:rsidP="001D1471">
      <w:pPr>
        <w:spacing w:line="360" w:lineRule="auto"/>
        <w:rPr>
          <w:b/>
        </w:rPr>
      </w:pPr>
    </w:p>
    <w:p w14:paraId="65029CCC" w14:textId="77777777" w:rsidR="001D1471" w:rsidRDefault="001D1471" w:rsidP="001D1471">
      <w:pPr>
        <w:spacing w:after="0" w:line="360" w:lineRule="auto"/>
      </w:pPr>
      <w:bookmarkStart w:id="765" w:name="_heading=h.sxzc5o1kgmuc" w:colFirst="0" w:colLast="0"/>
      <w:bookmarkEnd w:id="765"/>
    </w:p>
    <w:p w14:paraId="05D04321" w14:textId="77777777" w:rsidR="00AB4BA3" w:rsidRDefault="00AB4BA3">
      <w:pPr>
        <w:rPr>
          <w:rFonts w:ascii="Times New Roman" w:hAnsi="Times New Roman" w:cs="Times New Roman"/>
          <w:sz w:val="32"/>
          <w:szCs w:val="32"/>
        </w:rPr>
      </w:pPr>
      <w:r>
        <w:rPr>
          <w:rFonts w:ascii="Times New Roman" w:hAnsi="Times New Roman" w:cs="Times New Roman"/>
          <w:sz w:val="32"/>
          <w:szCs w:val="32"/>
        </w:rPr>
        <w:br w:type="page"/>
      </w:r>
    </w:p>
    <w:p w14:paraId="6949DBF4" w14:textId="51A5174B" w:rsidR="006F4DEE" w:rsidRPr="0041437E" w:rsidRDefault="006F4DEE" w:rsidP="006F4DEE">
      <w:pPr>
        <w:pStyle w:val="EEPRUnumberedLevel2Headingnew"/>
        <w:numPr>
          <w:ilvl w:val="0"/>
          <w:numId w:val="0"/>
        </w:numPr>
        <w:rPr>
          <w:sz w:val="32"/>
          <w:szCs w:val="32"/>
        </w:rPr>
      </w:pPr>
      <w:bookmarkStart w:id="766" w:name="_Toc87463116"/>
      <w:r w:rsidRPr="0041437E">
        <w:rPr>
          <w:sz w:val="32"/>
          <w:szCs w:val="32"/>
        </w:rPr>
        <w:lastRenderedPageBreak/>
        <w:t xml:space="preserve">Appendix 10: Structured expert elicitation: background </w:t>
      </w:r>
      <w:r w:rsidR="0041437E">
        <w:rPr>
          <w:sz w:val="32"/>
          <w:szCs w:val="32"/>
        </w:rPr>
        <w:tab/>
      </w:r>
      <w:r w:rsidR="0041437E">
        <w:rPr>
          <w:sz w:val="32"/>
          <w:szCs w:val="32"/>
        </w:rPr>
        <w:tab/>
      </w:r>
      <w:r w:rsidRPr="0041437E">
        <w:rPr>
          <w:sz w:val="32"/>
          <w:szCs w:val="32"/>
        </w:rPr>
        <w:t>information provided to clinicians</w:t>
      </w:r>
      <w:bookmarkEnd w:id="766"/>
      <w:r w:rsidRPr="0041437E">
        <w:rPr>
          <w:sz w:val="32"/>
          <w:szCs w:val="32"/>
        </w:rPr>
        <w:t xml:space="preserve"> </w:t>
      </w:r>
    </w:p>
    <w:p w14:paraId="518814D4" w14:textId="04B6DB71" w:rsidR="006F4DEE" w:rsidRPr="0041437E" w:rsidRDefault="0041437E" w:rsidP="006F4DEE">
      <w:pPr>
        <w:pStyle w:val="EEPRUnumberedLevel2Headingnew"/>
        <w:numPr>
          <w:ilvl w:val="0"/>
          <w:numId w:val="0"/>
        </w:numPr>
      </w:pPr>
      <w:r>
        <w:tab/>
      </w:r>
      <w:bookmarkStart w:id="767" w:name="_Toc87463117"/>
      <w:r>
        <w:t>A10.1</w:t>
      </w:r>
      <w:r>
        <w:tab/>
      </w:r>
      <w:r w:rsidR="006F4DEE" w:rsidRPr="0041437E">
        <w:t>Introduction</w:t>
      </w:r>
      <w:bookmarkEnd w:id="767"/>
    </w:p>
    <w:p w14:paraId="6C93E626" w14:textId="77777777" w:rsidR="006F4DEE" w:rsidRPr="0041437E" w:rsidRDefault="006F4DEE" w:rsidP="006F4DEE">
      <w:pPr>
        <w:rPr>
          <w:rFonts w:asciiTheme="majorBidi" w:hAnsiTheme="majorBidi" w:cstheme="majorBidi"/>
        </w:rPr>
      </w:pPr>
      <w:r w:rsidRPr="0041437E">
        <w:rPr>
          <w:rFonts w:asciiTheme="majorBidi" w:hAnsiTheme="majorBidi" w:cstheme="majorBidi"/>
        </w:rPr>
        <w:t>NICE, NHS England and NHS Improvement have commissioned a project to assess the feasibility of innovative models for reimbursing antimicrobials.</w:t>
      </w:r>
    </w:p>
    <w:p w14:paraId="00F1378B" w14:textId="77777777" w:rsidR="006F4DEE" w:rsidRPr="0041437E" w:rsidRDefault="006F4DEE" w:rsidP="006F4DEE">
      <w:pPr>
        <w:rPr>
          <w:rFonts w:asciiTheme="majorBidi" w:hAnsiTheme="majorBidi" w:cstheme="majorBidi"/>
        </w:rPr>
      </w:pPr>
      <w:r w:rsidRPr="0041437E">
        <w:rPr>
          <w:rFonts w:asciiTheme="majorBidi" w:hAnsiTheme="majorBidi" w:cstheme="majorBidi"/>
        </w:rPr>
        <w:t xml:space="preserve">As part of the project, the University of Sheffield and the University of York are modelling outcomes of two antimicrobials that target infections caused by carbapenem-resistant </w:t>
      </w:r>
      <w:proofErr w:type="gramStart"/>
      <w:r w:rsidRPr="0041437E">
        <w:rPr>
          <w:rFonts w:asciiTheme="majorBidi" w:hAnsiTheme="majorBidi" w:cstheme="majorBidi"/>
        </w:rPr>
        <w:t>gram negative</w:t>
      </w:r>
      <w:proofErr w:type="gramEnd"/>
      <w:r w:rsidRPr="0041437E">
        <w:rPr>
          <w:rFonts w:asciiTheme="majorBidi" w:hAnsiTheme="majorBidi" w:cstheme="majorBidi"/>
        </w:rPr>
        <w:t xml:space="preserve"> bacteria. For this modelling we are focusing on patients with infections caused by the following pathogens:</w:t>
      </w:r>
    </w:p>
    <w:p w14:paraId="40EC8D2A" w14:textId="77777777" w:rsidR="006F4DEE" w:rsidRPr="0041437E" w:rsidRDefault="006F4DEE" w:rsidP="005A3BE6">
      <w:pPr>
        <w:pStyle w:val="ListParagraph"/>
        <w:numPr>
          <w:ilvl w:val="0"/>
          <w:numId w:val="105"/>
        </w:numPr>
        <w:spacing w:line="360" w:lineRule="auto"/>
        <w:jc w:val="both"/>
        <w:rPr>
          <w:rFonts w:asciiTheme="majorBidi" w:hAnsiTheme="majorBidi" w:cstheme="majorBidi"/>
        </w:rPr>
      </w:pPr>
      <w:proofErr w:type="spellStart"/>
      <w:r w:rsidRPr="0041437E">
        <w:rPr>
          <w:rFonts w:asciiTheme="majorBidi" w:hAnsiTheme="majorBidi" w:cstheme="majorBidi"/>
        </w:rPr>
        <w:t>Cefiderocol</w:t>
      </w:r>
      <w:proofErr w:type="spellEnd"/>
      <w:r w:rsidRPr="0041437E">
        <w:rPr>
          <w:rFonts w:asciiTheme="majorBidi" w:hAnsiTheme="majorBidi" w:cstheme="majorBidi"/>
        </w:rPr>
        <w:t xml:space="preserve"> (</w:t>
      </w:r>
      <w:proofErr w:type="spellStart"/>
      <w:r w:rsidRPr="0041437E">
        <w:rPr>
          <w:rFonts w:asciiTheme="majorBidi" w:hAnsiTheme="majorBidi" w:cstheme="majorBidi"/>
        </w:rPr>
        <w:t>Fetcroja</w:t>
      </w:r>
      <w:proofErr w:type="spellEnd"/>
      <w:r w:rsidRPr="0041437E">
        <w:rPr>
          <w:rFonts w:asciiTheme="majorBidi" w:hAnsiTheme="majorBidi" w:cstheme="majorBidi"/>
        </w:rPr>
        <w:t xml:space="preserve">) </w:t>
      </w:r>
      <w:proofErr w:type="spellStart"/>
      <w:r w:rsidRPr="0041437E">
        <w:rPr>
          <w:rFonts w:asciiTheme="majorBidi" w:hAnsiTheme="majorBidi" w:cstheme="majorBidi"/>
        </w:rPr>
        <w:t>targetting</w:t>
      </w:r>
      <w:proofErr w:type="spellEnd"/>
      <w:r w:rsidRPr="0041437E">
        <w:rPr>
          <w:rFonts w:asciiTheme="majorBidi" w:hAnsiTheme="majorBidi" w:cstheme="majorBidi"/>
        </w:rPr>
        <w:t xml:space="preserve"> carbapenem-producing </w:t>
      </w:r>
      <w:proofErr w:type="spellStart"/>
      <w:r w:rsidRPr="0041437E">
        <w:rPr>
          <w:rFonts w:asciiTheme="majorBidi" w:hAnsiTheme="majorBidi" w:cstheme="majorBidi"/>
        </w:rPr>
        <w:t>enterobacterales</w:t>
      </w:r>
      <w:proofErr w:type="spellEnd"/>
      <w:r w:rsidRPr="0041437E">
        <w:rPr>
          <w:rFonts w:asciiTheme="majorBidi" w:hAnsiTheme="majorBidi" w:cstheme="majorBidi"/>
        </w:rPr>
        <w:t xml:space="preserve"> (CPE) and pseudomonas with </w:t>
      </w:r>
      <w:proofErr w:type="spellStart"/>
      <w:r w:rsidRPr="0041437E">
        <w:rPr>
          <w:rFonts w:asciiTheme="majorBidi" w:hAnsiTheme="majorBidi" w:cstheme="majorBidi"/>
        </w:rPr>
        <w:t>metalo</w:t>
      </w:r>
      <w:proofErr w:type="spellEnd"/>
      <w:r w:rsidRPr="0041437E">
        <w:rPr>
          <w:rFonts w:asciiTheme="majorBidi" w:hAnsiTheme="majorBidi" w:cstheme="majorBidi"/>
        </w:rPr>
        <w:t>-beta-lactamase (MBL); and </w:t>
      </w:r>
    </w:p>
    <w:p w14:paraId="4DF04A8B" w14:textId="77777777" w:rsidR="006F4DEE" w:rsidRPr="0041437E" w:rsidRDefault="006F4DEE" w:rsidP="005A3BE6">
      <w:pPr>
        <w:pStyle w:val="ListParagraph"/>
        <w:numPr>
          <w:ilvl w:val="0"/>
          <w:numId w:val="105"/>
        </w:numPr>
        <w:spacing w:line="360" w:lineRule="auto"/>
        <w:jc w:val="both"/>
        <w:rPr>
          <w:rFonts w:asciiTheme="majorBidi" w:hAnsiTheme="majorBidi" w:cstheme="majorBidi"/>
        </w:rPr>
      </w:pPr>
      <w:r w:rsidRPr="0041437E">
        <w:rPr>
          <w:rFonts w:asciiTheme="majorBidi" w:hAnsiTheme="majorBidi" w:cstheme="majorBidi"/>
        </w:rPr>
        <w:t xml:space="preserve">Ceftazidime with avibactam (CAZ-AVI, </w:t>
      </w:r>
      <w:proofErr w:type="spellStart"/>
      <w:r w:rsidRPr="0041437E">
        <w:rPr>
          <w:rFonts w:asciiTheme="majorBidi" w:hAnsiTheme="majorBidi" w:cstheme="majorBidi"/>
        </w:rPr>
        <w:t>Zavicefta</w:t>
      </w:r>
      <w:proofErr w:type="spellEnd"/>
      <w:r w:rsidRPr="0041437E">
        <w:rPr>
          <w:rFonts w:asciiTheme="majorBidi" w:hAnsiTheme="majorBidi" w:cstheme="majorBidi"/>
        </w:rPr>
        <w:t>) targeting CPE with OXA-48.</w:t>
      </w:r>
    </w:p>
    <w:p w14:paraId="166883FA" w14:textId="77777777" w:rsidR="006F4DEE" w:rsidRPr="0041437E" w:rsidRDefault="006F4DEE" w:rsidP="006F4DEE">
      <w:pPr>
        <w:rPr>
          <w:rFonts w:asciiTheme="majorBidi" w:hAnsiTheme="majorBidi" w:cstheme="majorBidi"/>
        </w:rPr>
      </w:pPr>
      <w:r w:rsidRPr="0041437E">
        <w:rPr>
          <w:rFonts w:asciiTheme="majorBidi" w:hAnsiTheme="majorBidi" w:cstheme="majorBidi"/>
        </w:rPr>
        <w:t>This modelling work and subsequent NICE Committee deliberations will provide guidance on the value of each product to the NHS.</w:t>
      </w:r>
    </w:p>
    <w:p w14:paraId="429BBA41" w14:textId="77777777" w:rsidR="006F4DEE" w:rsidRPr="0041437E" w:rsidRDefault="006F4DEE" w:rsidP="006F4DEE">
      <w:pPr>
        <w:rPr>
          <w:rFonts w:asciiTheme="majorBidi" w:hAnsiTheme="majorBidi" w:cstheme="majorBidi"/>
        </w:rPr>
      </w:pPr>
      <w:r w:rsidRPr="0041437E">
        <w:rPr>
          <w:rFonts w:asciiTheme="majorBidi" w:hAnsiTheme="majorBidi" w:cstheme="majorBidi"/>
        </w:rPr>
        <w:t>There are several model inputs for which data are limited or unavailable. As an alternative we require your expert opinion to inform these inputs. We are also interested in how uncertain you are about your opinions. The training seminar gave you guidance on how to express your uncertainty. We will use this approach here.</w:t>
      </w:r>
    </w:p>
    <w:p w14:paraId="6B451E6F" w14:textId="77777777" w:rsidR="006F4DEE" w:rsidRPr="0041437E" w:rsidRDefault="006F4DEE" w:rsidP="006F4DEE">
      <w:pPr>
        <w:rPr>
          <w:rFonts w:asciiTheme="majorBidi" w:hAnsiTheme="majorBidi" w:cstheme="majorBidi"/>
        </w:rPr>
      </w:pPr>
      <w:r w:rsidRPr="0041437E">
        <w:rPr>
          <w:rFonts w:asciiTheme="majorBidi" w:hAnsiTheme="majorBidi" w:cstheme="majorBidi"/>
        </w:rPr>
        <w:t>To begin, please click on the 'About you' tab at the top of the screen and proceed as advised thereafter.</w:t>
      </w:r>
    </w:p>
    <w:p w14:paraId="55AD8BD3" w14:textId="6C432EA7" w:rsidR="006F4DEE" w:rsidRPr="0041437E" w:rsidRDefault="0041437E" w:rsidP="006F4DEE">
      <w:pPr>
        <w:pStyle w:val="EEPRUnumberedLevel2Headingnew"/>
        <w:numPr>
          <w:ilvl w:val="0"/>
          <w:numId w:val="0"/>
        </w:numPr>
        <w:rPr>
          <w:sz w:val="48"/>
          <w:szCs w:val="48"/>
          <w:lang w:eastAsia="en-GB"/>
        </w:rPr>
      </w:pPr>
      <w:r>
        <w:rPr>
          <w:lang w:eastAsia="en-GB"/>
        </w:rPr>
        <w:tab/>
      </w:r>
      <w:bookmarkStart w:id="768" w:name="_Toc87463118"/>
      <w:r>
        <w:rPr>
          <w:lang w:eastAsia="en-GB"/>
        </w:rPr>
        <w:t xml:space="preserve">A10.2 </w:t>
      </w:r>
      <w:r w:rsidR="006F4DEE" w:rsidRPr="0041437E">
        <w:rPr>
          <w:lang w:eastAsia="en-GB"/>
        </w:rPr>
        <w:t>Background information</w:t>
      </w:r>
      <w:bookmarkEnd w:id="768"/>
    </w:p>
    <w:p w14:paraId="7DD9EF19"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We are interested in outcomes for patients with Hospital Acquired Pneumonia (HAP), Ventilator Associated Pneumonia (VAP), and complicated urinary tract infections (</w:t>
      </w:r>
      <w:proofErr w:type="spellStart"/>
      <w:r w:rsidRPr="0041437E">
        <w:rPr>
          <w:rFonts w:asciiTheme="majorBidi" w:hAnsiTheme="majorBidi" w:cstheme="majorBidi"/>
          <w:lang w:eastAsia="en-GB"/>
        </w:rPr>
        <w:t>cUTIs</w:t>
      </w:r>
      <w:proofErr w:type="spellEnd"/>
      <w:r w:rsidRPr="0041437E">
        <w:rPr>
          <w:rFonts w:asciiTheme="majorBidi" w:hAnsiTheme="majorBidi" w:cstheme="majorBidi"/>
          <w:lang w:eastAsia="en-GB"/>
        </w:rPr>
        <w:t xml:space="preserve">) caused by carbapenem-resistant </w:t>
      </w:r>
      <w:proofErr w:type="gramStart"/>
      <w:r w:rsidRPr="0041437E">
        <w:rPr>
          <w:rFonts w:asciiTheme="majorBidi" w:hAnsiTheme="majorBidi" w:cstheme="majorBidi"/>
          <w:lang w:eastAsia="en-GB"/>
        </w:rPr>
        <w:t>gram negative</w:t>
      </w:r>
      <w:proofErr w:type="gramEnd"/>
      <w:r w:rsidRPr="0041437E">
        <w:rPr>
          <w:rFonts w:asciiTheme="majorBidi" w:hAnsiTheme="majorBidi" w:cstheme="majorBidi"/>
          <w:lang w:eastAsia="en-GB"/>
        </w:rPr>
        <w:t xml:space="preserve"> bacteria. Specifically, we are interested in outcomes following microbiology-directed treatment for patients with an infection caused by CPE with an OXA-48 or MBL resistance mechanism, or pseudomonas with a MBL resistance mechanism.</w:t>
      </w:r>
    </w:p>
    <w:p w14:paraId="2CB67CEE" w14:textId="545C2A07" w:rsidR="006F4DEE" w:rsidRPr="0041437E" w:rsidRDefault="0041437E" w:rsidP="006E4E83">
      <w:pPr>
        <w:pStyle w:val="EEPRUnumberedLevel3Headingnew"/>
        <w:rPr>
          <w:lang w:eastAsia="en-GB"/>
        </w:rPr>
      </w:pPr>
      <w:r>
        <w:rPr>
          <w:lang w:eastAsia="en-GB"/>
        </w:rPr>
        <w:tab/>
      </w:r>
      <w:bookmarkStart w:id="769" w:name="_Toc87463119"/>
      <w:r w:rsidRPr="0041437E">
        <w:rPr>
          <w:lang w:eastAsia="en-GB"/>
        </w:rPr>
        <w:t xml:space="preserve">A10.3 </w:t>
      </w:r>
      <w:r w:rsidR="006F4DEE" w:rsidRPr="0041437E">
        <w:rPr>
          <w:lang w:eastAsia="en-GB"/>
        </w:rPr>
        <w:t>What do we mean by microbiology-directed treatment?</w:t>
      </w:r>
      <w:bookmarkEnd w:id="769"/>
    </w:p>
    <w:p w14:paraId="6FE39132"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 xml:space="preserve">Patients in the microbiology-directed setting may have received empiric treatment with other antimicrobials prior to receiving microbiology results but require a change of treatment. This could be for a range of reasons including poor response to empiric treatment or adverse events requiring discontinuation of empiric treatment. Once the microbiology results are available, patients are assumed to be eligible to receive CAZ-AVI or </w:t>
      </w:r>
      <w:proofErr w:type="spellStart"/>
      <w:r w:rsidRPr="0041437E">
        <w:rPr>
          <w:rFonts w:asciiTheme="majorBidi" w:hAnsiTheme="majorBidi" w:cstheme="majorBidi"/>
          <w:lang w:eastAsia="en-GB"/>
        </w:rPr>
        <w:t>cefiderocol</w:t>
      </w:r>
      <w:proofErr w:type="spellEnd"/>
      <w:r w:rsidRPr="0041437E">
        <w:rPr>
          <w:rFonts w:asciiTheme="majorBidi" w:hAnsiTheme="majorBidi" w:cstheme="majorBidi"/>
          <w:lang w:eastAsia="en-GB"/>
        </w:rPr>
        <w:t xml:space="preserve"> (if found to be susceptible to them) if they meet either of the following criteria:</w:t>
      </w:r>
    </w:p>
    <w:p w14:paraId="08462A19" w14:textId="77777777" w:rsidR="006F4DEE" w:rsidRPr="0041437E" w:rsidRDefault="006F4DEE" w:rsidP="005A3BE6">
      <w:pPr>
        <w:pStyle w:val="ListParagraph"/>
        <w:numPr>
          <w:ilvl w:val="0"/>
          <w:numId w:val="106"/>
        </w:numPr>
        <w:spacing w:line="360" w:lineRule="auto"/>
        <w:jc w:val="both"/>
        <w:rPr>
          <w:rFonts w:asciiTheme="majorBidi" w:hAnsiTheme="majorBidi" w:cstheme="majorBidi"/>
          <w:lang w:eastAsia="en-GB"/>
        </w:rPr>
      </w:pPr>
      <w:r w:rsidRPr="0041437E">
        <w:rPr>
          <w:rFonts w:asciiTheme="majorBidi" w:hAnsiTheme="majorBidi" w:cstheme="majorBidi"/>
          <w:lang w:eastAsia="en-GB"/>
        </w:rPr>
        <w:t>Patients are susceptible only to colistin or aminoglycosides, and the new treatments offer improved safety. </w:t>
      </w:r>
    </w:p>
    <w:p w14:paraId="06C9A92C" w14:textId="77777777" w:rsidR="006F4DEE" w:rsidRPr="0041437E" w:rsidRDefault="006F4DEE" w:rsidP="005A3BE6">
      <w:pPr>
        <w:pStyle w:val="ListParagraph"/>
        <w:numPr>
          <w:ilvl w:val="0"/>
          <w:numId w:val="106"/>
        </w:numPr>
        <w:spacing w:line="360" w:lineRule="auto"/>
        <w:jc w:val="both"/>
        <w:rPr>
          <w:rFonts w:asciiTheme="majorBidi" w:hAnsiTheme="majorBidi" w:cstheme="majorBidi"/>
          <w:lang w:eastAsia="en-GB"/>
        </w:rPr>
      </w:pPr>
      <w:r w:rsidRPr="0041437E">
        <w:rPr>
          <w:rFonts w:asciiTheme="majorBidi" w:hAnsiTheme="majorBidi" w:cstheme="majorBidi"/>
          <w:lang w:eastAsia="en-GB"/>
        </w:rPr>
        <w:t>Patients are not susceptible to any existing treatment options, and the new treatments offer improved effectiveness and, possibly, safety.</w:t>
      </w:r>
    </w:p>
    <w:p w14:paraId="016BB748"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Without the new treatments, patients who are not susceptible to any existing treatment options would be assumed to receive multi-drug salvage regimens.</w:t>
      </w:r>
    </w:p>
    <w:p w14:paraId="1C6304C6" w14:textId="56B9C4CD" w:rsidR="006F4DEE" w:rsidRPr="0041437E" w:rsidRDefault="0041437E" w:rsidP="006E4E83">
      <w:pPr>
        <w:pStyle w:val="EEPRUnumberedLevel3Headingnew"/>
        <w:rPr>
          <w:lang w:eastAsia="en-GB"/>
        </w:rPr>
      </w:pPr>
      <w:r>
        <w:rPr>
          <w:lang w:eastAsia="en-GB"/>
        </w:rPr>
        <w:lastRenderedPageBreak/>
        <w:tab/>
      </w:r>
      <w:bookmarkStart w:id="770" w:name="_Toc87463120"/>
      <w:r w:rsidRPr="0041437E">
        <w:rPr>
          <w:lang w:eastAsia="en-GB"/>
        </w:rPr>
        <w:t xml:space="preserve">A10.4 </w:t>
      </w:r>
      <w:r w:rsidR="006F4DEE" w:rsidRPr="0041437E">
        <w:rPr>
          <w:lang w:eastAsia="en-GB"/>
        </w:rPr>
        <w:t>Outcomes of interest</w:t>
      </w:r>
      <w:bookmarkEnd w:id="770"/>
    </w:p>
    <w:p w14:paraId="1DBADB94"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 xml:space="preserve">For patients with HAP, VAP or </w:t>
      </w:r>
      <w:proofErr w:type="spellStart"/>
      <w:r w:rsidRPr="0041437E">
        <w:rPr>
          <w:rFonts w:asciiTheme="majorBidi" w:hAnsiTheme="majorBidi" w:cstheme="majorBidi"/>
          <w:lang w:eastAsia="en-GB"/>
        </w:rPr>
        <w:t>cUTIs</w:t>
      </w:r>
      <w:proofErr w:type="spellEnd"/>
      <w:r w:rsidRPr="0041437E">
        <w:rPr>
          <w:rFonts w:asciiTheme="majorBidi" w:hAnsiTheme="majorBidi" w:cstheme="majorBidi"/>
          <w:lang w:eastAsia="en-GB"/>
        </w:rPr>
        <w:t>, whose infection is caused by CPE with an OXA-48 or MBL resistance mechanism or pseudomonas with a MBL resistance mechanism, and whose treatment is informed by microbiology results, we are interested in outcomes depending on whether the infectious pathogen is susceptible to treatment.</w:t>
      </w:r>
    </w:p>
    <w:p w14:paraId="24866BDC"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We will assume that outcomes only depend on whether a patient is susceptible to treatment or not, and not to the specific treatment given. We therefore leave aside toxicity issues and differing risks of adverse events across treatments for the moment. We also assume that these patients will not experience acute kidney injury.</w:t>
      </w:r>
    </w:p>
    <w:p w14:paraId="53E4A3C3"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Note that in this scenario, patients who are classified as not susceptible to any treatment are assumed to receive multi-drug salvage regimens.</w:t>
      </w:r>
    </w:p>
    <w:p w14:paraId="056B40F4"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The outcomes we are interested in are 30-day mortality, length of stay in hospital, and the type of ward these patients would stay on in hospital.</w:t>
      </w:r>
    </w:p>
    <w:p w14:paraId="7EA788FC" w14:textId="389921F4" w:rsidR="006F4DEE" w:rsidRDefault="0041437E" w:rsidP="006F4DEE">
      <w:pPr>
        <w:spacing w:before="40" w:after="0" w:line="240" w:lineRule="auto"/>
        <w:outlineLvl w:val="1"/>
        <w:rPr>
          <w:rFonts w:asciiTheme="majorBidi" w:eastAsia="Times New Roman" w:hAnsiTheme="majorBidi" w:cstheme="majorBidi"/>
          <w:b/>
          <w:bCs/>
          <w:color w:val="000000"/>
          <w:sz w:val="26"/>
          <w:szCs w:val="26"/>
          <w:lang w:eastAsia="en-GB"/>
        </w:rPr>
      </w:pPr>
      <w:r>
        <w:rPr>
          <w:rFonts w:asciiTheme="majorBidi" w:eastAsia="Times New Roman" w:hAnsiTheme="majorBidi" w:cstheme="majorBidi"/>
          <w:b/>
          <w:bCs/>
          <w:color w:val="000000"/>
          <w:sz w:val="26"/>
          <w:szCs w:val="26"/>
          <w:lang w:eastAsia="en-GB"/>
        </w:rPr>
        <w:tab/>
      </w:r>
      <w:bookmarkStart w:id="771" w:name="_Toc87463121"/>
      <w:r>
        <w:rPr>
          <w:rFonts w:asciiTheme="majorBidi" w:eastAsia="Times New Roman" w:hAnsiTheme="majorBidi" w:cstheme="majorBidi"/>
          <w:b/>
          <w:bCs/>
          <w:color w:val="000000"/>
          <w:sz w:val="26"/>
          <w:szCs w:val="26"/>
          <w:lang w:eastAsia="en-GB"/>
        </w:rPr>
        <w:t xml:space="preserve">A10.5 </w:t>
      </w:r>
      <w:r w:rsidR="006F4DEE" w:rsidRPr="0041437E">
        <w:rPr>
          <w:rFonts w:asciiTheme="majorBidi" w:eastAsia="Times New Roman" w:hAnsiTheme="majorBidi" w:cstheme="majorBidi"/>
          <w:b/>
          <w:bCs/>
          <w:color w:val="000000"/>
          <w:sz w:val="26"/>
          <w:szCs w:val="26"/>
          <w:lang w:eastAsia="en-GB"/>
        </w:rPr>
        <w:t>Existing literature</w:t>
      </w:r>
      <w:bookmarkEnd w:id="771"/>
    </w:p>
    <w:p w14:paraId="65B86801" w14:textId="77777777" w:rsidR="0041437E" w:rsidRPr="0041437E" w:rsidRDefault="0041437E" w:rsidP="000E3737">
      <w:pPr>
        <w:pStyle w:val="NICEnormal"/>
        <w:rPr>
          <w:lang w:eastAsia="en-GB"/>
        </w:rPr>
      </w:pPr>
    </w:p>
    <w:p w14:paraId="7C3F1C29"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 xml:space="preserve">We are not aware of any literature reporting our outcomes of interest in susceptible and not susceptible patients in the microbiology-directed setting, for patients with HAP, VAP, </w:t>
      </w:r>
      <w:proofErr w:type="spellStart"/>
      <w:r w:rsidRPr="0041437E">
        <w:rPr>
          <w:rFonts w:asciiTheme="majorBidi" w:hAnsiTheme="majorBidi" w:cstheme="majorBidi"/>
          <w:lang w:eastAsia="en-GB"/>
        </w:rPr>
        <w:t>cUTIs</w:t>
      </w:r>
      <w:proofErr w:type="spellEnd"/>
      <w:r w:rsidRPr="0041437E">
        <w:rPr>
          <w:rFonts w:asciiTheme="majorBidi" w:hAnsiTheme="majorBidi" w:cstheme="majorBidi"/>
          <w:lang w:eastAsia="en-GB"/>
        </w:rPr>
        <w:t xml:space="preserve"> caused by carbapenem-resistant </w:t>
      </w:r>
      <w:proofErr w:type="gramStart"/>
      <w:r w:rsidRPr="0041437E">
        <w:rPr>
          <w:rFonts w:asciiTheme="majorBidi" w:hAnsiTheme="majorBidi" w:cstheme="majorBidi"/>
          <w:lang w:eastAsia="en-GB"/>
        </w:rPr>
        <w:t>gram negative</w:t>
      </w:r>
      <w:proofErr w:type="gramEnd"/>
      <w:r w:rsidRPr="0041437E">
        <w:rPr>
          <w:rFonts w:asciiTheme="majorBidi" w:hAnsiTheme="majorBidi" w:cstheme="majorBidi"/>
          <w:lang w:eastAsia="en-GB"/>
        </w:rPr>
        <w:t xml:space="preserve"> bacteria.</w:t>
      </w:r>
    </w:p>
    <w:p w14:paraId="1C285166" w14:textId="77777777" w:rsidR="006F4DEE" w:rsidRPr="0041437E" w:rsidRDefault="006F4DEE" w:rsidP="006F4DEE">
      <w:pPr>
        <w:rPr>
          <w:rFonts w:asciiTheme="majorBidi" w:hAnsiTheme="majorBidi" w:cstheme="majorBidi"/>
          <w:sz w:val="24"/>
          <w:szCs w:val="24"/>
          <w:lang w:eastAsia="en-GB"/>
        </w:rPr>
      </w:pPr>
      <w:r w:rsidRPr="0041437E">
        <w:rPr>
          <w:rFonts w:asciiTheme="majorBidi" w:hAnsiTheme="majorBidi" w:cstheme="majorBidi"/>
          <w:lang w:eastAsia="en-GB"/>
        </w:rPr>
        <w:t>We are therefore asking you to estimate these outcomes in this exercise and tell us how uncertain you are about your estimates.</w:t>
      </w:r>
    </w:p>
    <w:p w14:paraId="51C77D50" w14:textId="77777777" w:rsidR="006F4DEE" w:rsidRDefault="006F4DEE" w:rsidP="006F4DEE">
      <w:pPr>
        <w:rPr>
          <w:lang w:eastAsia="en-GB"/>
        </w:rPr>
      </w:pPr>
      <w:r w:rsidRPr="0041437E">
        <w:rPr>
          <w:rFonts w:asciiTheme="majorBidi" w:hAnsiTheme="majorBidi" w:cstheme="majorBidi"/>
          <w:lang w:eastAsia="en-GB"/>
        </w:rPr>
        <w:t>As background we have identified several related studies that may help inform your answers, although they are not directly addressing the outcomes of interest. In these studies, infecting pathogens were not confirmed to be susceptible to the antibiotics administered (</w:t>
      </w:r>
      <w:proofErr w:type="spellStart"/>
      <w:r w:rsidRPr="0041437E">
        <w:rPr>
          <w:rFonts w:asciiTheme="majorBidi" w:hAnsiTheme="majorBidi" w:cstheme="majorBidi"/>
          <w:lang w:eastAsia="en-GB"/>
        </w:rPr>
        <w:t>cefiderocol</w:t>
      </w:r>
      <w:proofErr w:type="spellEnd"/>
      <w:r w:rsidRPr="0041437E">
        <w:rPr>
          <w:rFonts w:asciiTheme="majorBidi" w:hAnsiTheme="majorBidi" w:cstheme="majorBidi"/>
          <w:lang w:eastAsia="en-GB"/>
        </w:rPr>
        <w:t xml:space="preserve"> or CAZ-AVI); however, in our assessment they are likely to have been susceptible.</w:t>
      </w:r>
      <w:r>
        <w:rPr>
          <w:lang w:eastAsia="en-GB"/>
        </w:rPr>
        <w:br w:type="page"/>
      </w:r>
    </w:p>
    <w:p w14:paraId="6D1F35EF" w14:textId="77777777" w:rsidR="006F4DEE" w:rsidRDefault="006F4DEE" w:rsidP="006F4DEE">
      <w:pPr>
        <w:spacing w:line="240" w:lineRule="auto"/>
        <w:rPr>
          <w:rFonts w:ascii="Calibri" w:eastAsia="Times New Roman" w:hAnsi="Calibri" w:cs="Calibri"/>
          <w:color w:val="000000"/>
          <w:lang w:eastAsia="en-GB"/>
        </w:rPr>
        <w:sectPr w:rsidR="006F4DEE" w:rsidSect="006F4DEE">
          <w:pgSz w:w="11906" w:h="16838"/>
          <w:pgMar w:top="1440" w:right="1440" w:bottom="1440" w:left="1440" w:header="708" w:footer="708" w:gutter="0"/>
          <w:cols w:space="708"/>
          <w:docGrid w:linePitch="360"/>
        </w:sectPr>
      </w:pPr>
    </w:p>
    <w:p w14:paraId="616503CA" w14:textId="77777777" w:rsidR="006F4DEE" w:rsidRPr="00C72906" w:rsidRDefault="006F4DEE" w:rsidP="006F4DEE">
      <w:pPr>
        <w:rPr>
          <w:lang w:eastAsia="en-GB"/>
        </w:rPr>
      </w:pPr>
      <w:r w:rsidRPr="00C72906">
        <w:rPr>
          <w:lang w:eastAsia="en-GB"/>
        </w:rPr>
        <w:lastRenderedPageBreak/>
        <w:t>These studies are summarised in the table below.</w:t>
      </w:r>
    </w:p>
    <w:tbl>
      <w:tblPr>
        <w:tblW w:w="13879" w:type="dxa"/>
        <w:tblCellMar>
          <w:top w:w="15" w:type="dxa"/>
          <w:left w:w="15" w:type="dxa"/>
          <w:bottom w:w="15" w:type="dxa"/>
          <w:right w:w="15" w:type="dxa"/>
        </w:tblCellMar>
        <w:tblLook w:val="04A0" w:firstRow="1" w:lastRow="0" w:firstColumn="1" w:lastColumn="0" w:noHBand="0" w:noVBand="1"/>
      </w:tblPr>
      <w:tblGrid>
        <w:gridCol w:w="1308"/>
        <w:gridCol w:w="1788"/>
        <w:gridCol w:w="3288"/>
        <w:gridCol w:w="1288"/>
        <w:gridCol w:w="1552"/>
        <w:gridCol w:w="1690"/>
        <w:gridCol w:w="1725"/>
        <w:gridCol w:w="1240"/>
      </w:tblGrid>
      <w:tr w:rsidR="006F4DEE" w:rsidRPr="00E052E9" w14:paraId="14F46DB7" w14:textId="77777777" w:rsidTr="006F4D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F40DC"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82804"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Site of infection and organism</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3F11A"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Pathogen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54F81"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Treatment received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7F8A2"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Treatment history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A207D"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Patient characteristics (mean)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D39BE" w14:textId="77777777" w:rsidR="006F4DEE" w:rsidRPr="00E052E9" w:rsidRDefault="006F4DEE" w:rsidP="006F4DEE">
            <w:pPr>
              <w:spacing w:after="0" w:line="240" w:lineRule="auto"/>
              <w:rPr>
                <w:rFonts w:asciiTheme="majorBidi" w:eastAsia="Times New Roman" w:hAnsiTheme="majorBidi" w:cstheme="majorBidi"/>
                <w:sz w:val="20"/>
                <w:szCs w:val="20"/>
                <w:lang w:val="pt-PT" w:eastAsia="en-GB"/>
              </w:rPr>
            </w:pPr>
            <w:r w:rsidRPr="00E052E9">
              <w:rPr>
                <w:rFonts w:asciiTheme="majorBidi" w:eastAsia="Times New Roman" w:hAnsiTheme="majorBidi" w:cstheme="majorBidi"/>
                <w:b/>
                <w:bCs/>
                <w:color w:val="000000"/>
                <w:sz w:val="20"/>
                <w:szCs w:val="20"/>
                <w:lang w:val="pt-PT" w:eastAsia="en-GB"/>
              </w:rPr>
              <w:t>Outcomes: HAP/VAP/ nosocomial pneumonia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D2229"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b/>
                <w:bCs/>
                <w:color w:val="000000"/>
                <w:sz w:val="20"/>
                <w:szCs w:val="20"/>
                <w:lang w:eastAsia="en-GB"/>
              </w:rPr>
              <w:t xml:space="preserve">Outcomes: </w:t>
            </w:r>
            <w:proofErr w:type="spellStart"/>
            <w:r w:rsidRPr="00E052E9">
              <w:rPr>
                <w:rFonts w:asciiTheme="majorBidi" w:eastAsia="Times New Roman" w:hAnsiTheme="majorBidi" w:cstheme="majorBidi"/>
                <w:b/>
                <w:bCs/>
                <w:color w:val="000000"/>
                <w:sz w:val="20"/>
                <w:szCs w:val="20"/>
                <w:lang w:eastAsia="en-GB"/>
              </w:rPr>
              <w:t>cUTIs</w:t>
            </w:r>
            <w:proofErr w:type="spellEnd"/>
          </w:p>
        </w:tc>
      </w:tr>
      <w:tr w:rsidR="006F4DEE" w:rsidRPr="00E052E9" w14:paraId="6643C3AC" w14:textId="77777777" w:rsidTr="006F4D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1D1C3"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APEKs-NP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8D5DF" w14:textId="77777777" w:rsidR="006F4DEE" w:rsidRPr="00454CF5" w:rsidRDefault="006F4DEE" w:rsidP="006F4DEE">
            <w:pPr>
              <w:spacing w:after="0" w:line="240" w:lineRule="auto"/>
              <w:rPr>
                <w:rFonts w:asciiTheme="majorBidi" w:eastAsia="Times New Roman" w:hAnsiTheme="majorBidi" w:cstheme="majorBidi"/>
                <w:color w:val="000000"/>
                <w:sz w:val="20"/>
                <w:szCs w:val="20"/>
                <w:lang w:val="fr-FR" w:eastAsia="en-GB"/>
              </w:rPr>
            </w:pPr>
            <w:r w:rsidRPr="00454CF5">
              <w:rPr>
                <w:rFonts w:asciiTheme="majorBidi" w:eastAsia="Times New Roman" w:hAnsiTheme="majorBidi" w:cstheme="majorBidi"/>
                <w:color w:val="000000"/>
                <w:sz w:val="20"/>
                <w:szCs w:val="20"/>
                <w:lang w:val="fr-FR" w:eastAsia="en-GB"/>
              </w:rPr>
              <w:t>HAP (n=59)</w:t>
            </w:r>
          </w:p>
          <w:p w14:paraId="32B1900D" w14:textId="77777777" w:rsidR="006F4DEE" w:rsidRPr="00454CF5" w:rsidRDefault="006F4DEE" w:rsidP="006F4DEE">
            <w:pPr>
              <w:spacing w:after="0" w:line="240" w:lineRule="auto"/>
              <w:rPr>
                <w:rFonts w:asciiTheme="majorBidi" w:eastAsia="Times New Roman" w:hAnsiTheme="majorBidi" w:cstheme="majorBidi"/>
                <w:sz w:val="20"/>
                <w:szCs w:val="20"/>
                <w:lang w:val="fr-FR" w:eastAsia="en-GB"/>
              </w:rPr>
            </w:pPr>
            <w:r w:rsidRPr="00454CF5">
              <w:rPr>
                <w:rFonts w:asciiTheme="majorBidi" w:eastAsia="Times New Roman" w:hAnsiTheme="majorBidi" w:cstheme="majorBidi"/>
                <w:color w:val="000000"/>
                <w:sz w:val="20"/>
                <w:szCs w:val="20"/>
                <w:lang w:val="fr-FR" w:eastAsia="en-GB"/>
              </w:rPr>
              <w:t>VAP (n=59)</w:t>
            </w:r>
          </w:p>
          <w:p w14:paraId="60F001E3" w14:textId="77777777" w:rsidR="006F4DEE" w:rsidRPr="00454CF5" w:rsidRDefault="006F4DEE" w:rsidP="006F4DEE">
            <w:pPr>
              <w:spacing w:after="0" w:line="240" w:lineRule="auto"/>
              <w:rPr>
                <w:rFonts w:asciiTheme="majorBidi" w:eastAsia="Times New Roman" w:hAnsiTheme="majorBidi" w:cstheme="majorBidi"/>
                <w:sz w:val="20"/>
                <w:szCs w:val="20"/>
                <w:lang w:val="fr-FR" w:eastAsia="en-GB"/>
              </w:rPr>
            </w:pPr>
            <w:r w:rsidRPr="00454CF5">
              <w:rPr>
                <w:rFonts w:asciiTheme="majorBidi" w:eastAsia="Times New Roman" w:hAnsiTheme="majorBidi" w:cstheme="majorBidi"/>
                <w:color w:val="000000"/>
                <w:sz w:val="20"/>
                <w:szCs w:val="20"/>
                <w:lang w:val="fr-FR" w:eastAsia="en-GB"/>
              </w:rPr>
              <w:t>HCAP (n=27)</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54006"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 xml:space="preserve">Infections caused by Gram negative pathogens. Excluded patients known to have carbapenem-resistant pathogens at the time of </w:t>
            </w:r>
            <w:proofErr w:type="spellStart"/>
            <w:r w:rsidRPr="00E052E9">
              <w:rPr>
                <w:rFonts w:asciiTheme="majorBidi" w:eastAsia="Times New Roman" w:hAnsiTheme="majorBidi" w:cstheme="majorBidi"/>
                <w:color w:val="000000"/>
                <w:sz w:val="20"/>
                <w:szCs w:val="20"/>
                <w:lang w:eastAsia="en-GB"/>
              </w:rPr>
              <w:t>ransomisation</w:t>
            </w:r>
            <w:proofErr w:type="spellEnd"/>
            <w:r w:rsidRPr="00E052E9">
              <w:rPr>
                <w:rFonts w:asciiTheme="majorBidi" w:eastAsia="Times New Roman" w:hAnsiTheme="majorBidi" w:cstheme="majorBidi"/>
                <w:color w:val="000000"/>
                <w:sz w:val="20"/>
                <w:szCs w:val="20"/>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608DB"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proofErr w:type="spellStart"/>
            <w:r w:rsidRPr="00E052E9">
              <w:rPr>
                <w:rFonts w:asciiTheme="majorBidi" w:eastAsia="Times New Roman" w:hAnsiTheme="majorBidi" w:cstheme="majorBidi"/>
                <w:color w:val="000000"/>
                <w:sz w:val="20"/>
                <w:szCs w:val="20"/>
                <w:lang w:eastAsia="en-GB"/>
              </w:rPr>
              <w:t>Cefiderocol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EC24E"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33% had had empiric treatment failure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0F0D9"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Age = 64.6</w:t>
            </w:r>
          </w:p>
          <w:p w14:paraId="2A946563"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APACHE II = 16.0</w:t>
            </w:r>
          </w:p>
          <w:p w14:paraId="1A02556B"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SOFA = 4.7</w:t>
            </w:r>
          </w:p>
          <w:p w14:paraId="6693BB2B"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CCI = NR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03D88"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u w:val="single"/>
                <w:lang w:eastAsia="en-GB"/>
              </w:rPr>
              <w:t>14-day mortality</w:t>
            </w:r>
          </w:p>
          <w:p w14:paraId="6EC56D3C"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HAP: 10.2%</w:t>
            </w:r>
          </w:p>
          <w:p w14:paraId="26FC870B"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VAP: 15%</w:t>
            </w:r>
          </w:p>
          <w:p w14:paraId="40D5685E"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Total: 12.4%</w:t>
            </w:r>
          </w:p>
          <w:p w14:paraId="5611C0E7"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u w:val="single"/>
                <w:lang w:eastAsia="en-GB"/>
              </w:rPr>
              <w:t>28-day mortality</w:t>
            </w:r>
          </w:p>
          <w:p w14:paraId="02224732"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Total:21.0%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20481"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NA</w:t>
            </w:r>
          </w:p>
        </w:tc>
      </w:tr>
      <w:tr w:rsidR="006F4DEE" w:rsidRPr="00E052E9" w14:paraId="2DBAAFE4" w14:textId="77777777" w:rsidTr="006F4D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68329"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CREDIBLE-CR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2A865"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Nosocomial pneumonia (n=40)</w:t>
            </w:r>
          </w:p>
          <w:p w14:paraId="2092DEC5"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proofErr w:type="spellStart"/>
            <w:r w:rsidRPr="00E052E9">
              <w:rPr>
                <w:rFonts w:asciiTheme="majorBidi" w:eastAsia="Times New Roman" w:hAnsiTheme="majorBidi" w:cstheme="majorBidi"/>
                <w:color w:val="000000"/>
                <w:sz w:val="20"/>
                <w:szCs w:val="20"/>
                <w:lang w:eastAsia="en-GB"/>
              </w:rPr>
              <w:t>cUTIs</w:t>
            </w:r>
            <w:proofErr w:type="spellEnd"/>
            <w:r w:rsidRPr="00E052E9">
              <w:rPr>
                <w:rFonts w:asciiTheme="majorBidi" w:eastAsia="Times New Roman" w:hAnsiTheme="majorBidi" w:cstheme="majorBidi"/>
                <w:color w:val="000000"/>
                <w:sz w:val="20"/>
                <w:szCs w:val="20"/>
                <w:lang w:eastAsia="en-GB"/>
              </w:rPr>
              <w:t xml:space="preserve"> (n=17) bloodstream infections or sepsis (n=44)</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8E842"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 xml:space="preserve">Infections with evidence of a carbapenem-resistant </w:t>
            </w:r>
            <w:proofErr w:type="gramStart"/>
            <w:r w:rsidRPr="00E052E9">
              <w:rPr>
                <w:rFonts w:asciiTheme="majorBidi" w:eastAsia="Times New Roman" w:hAnsiTheme="majorBidi" w:cstheme="majorBidi"/>
                <w:color w:val="000000"/>
                <w:sz w:val="20"/>
                <w:szCs w:val="20"/>
                <w:lang w:eastAsia="en-GB"/>
              </w:rPr>
              <w:t>Gram negative</w:t>
            </w:r>
            <w:proofErr w:type="gramEnd"/>
            <w:r w:rsidRPr="00E052E9">
              <w:rPr>
                <w:rFonts w:asciiTheme="majorBidi" w:eastAsia="Times New Roman" w:hAnsiTheme="majorBidi" w:cstheme="majorBidi"/>
                <w:color w:val="000000"/>
                <w:sz w:val="20"/>
                <w:szCs w:val="20"/>
                <w:lang w:eastAsia="en-GB"/>
              </w:rPr>
              <w:t xml:space="preserve"> pathogen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30AC2"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proofErr w:type="spellStart"/>
            <w:r w:rsidRPr="00E052E9">
              <w:rPr>
                <w:rFonts w:asciiTheme="majorBidi" w:eastAsia="Times New Roman" w:hAnsiTheme="majorBidi" w:cstheme="majorBidi"/>
                <w:color w:val="000000"/>
                <w:sz w:val="20"/>
                <w:szCs w:val="20"/>
                <w:lang w:eastAsia="en-GB"/>
              </w:rPr>
              <w:t>Cefiderocol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0AC0F"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57% had had empiric treatment failure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5B7C1"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Mean age = 63.1</w:t>
            </w:r>
          </w:p>
          <w:p w14:paraId="0FE74E25"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APACHE II = 15.3</w:t>
            </w:r>
          </w:p>
          <w:p w14:paraId="37AD8B8D"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SOFA = 5.1</w:t>
            </w:r>
          </w:p>
          <w:p w14:paraId="17CF7D36"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CCI = 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3440E"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u w:val="single"/>
                <w:lang w:eastAsia="en-GB"/>
              </w:rPr>
              <w:t>Nosocomial pneumonia</w:t>
            </w:r>
          </w:p>
          <w:p w14:paraId="2E5692D8"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28-day mort: 33%</w:t>
            </w:r>
          </w:p>
          <w:p w14:paraId="4A4C466E"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6BB41"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28-day mort: 12%</w:t>
            </w:r>
          </w:p>
        </w:tc>
      </w:tr>
      <w:tr w:rsidR="006F4DEE" w:rsidRPr="00E052E9" w14:paraId="7FD0D4A5" w14:textId="77777777" w:rsidTr="006F4D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A7A4B"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REPRISE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27F7D"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proofErr w:type="spellStart"/>
            <w:r w:rsidRPr="00E052E9">
              <w:rPr>
                <w:rFonts w:asciiTheme="majorBidi" w:eastAsia="Times New Roman" w:hAnsiTheme="majorBidi" w:cstheme="majorBidi"/>
                <w:color w:val="000000"/>
                <w:sz w:val="20"/>
                <w:szCs w:val="20"/>
                <w:lang w:eastAsia="en-GB"/>
              </w:rPr>
              <w:t>cUTI</w:t>
            </w:r>
            <w:proofErr w:type="spellEnd"/>
            <w:r w:rsidRPr="00E052E9">
              <w:rPr>
                <w:rFonts w:asciiTheme="majorBidi" w:eastAsia="Times New Roman" w:hAnsiTheme="majorBidi" w:cstheme="majorBidi"/>
                <w:color w:val="000000"/>
                <w:sz w:val="20"/>
                <w:szCs w:val="20"/>
                <w:lang w:eastAsia="en-GB"/>
              </w:rPr>
              <w:t xml:space="preserve"> (n=152)</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1BC25"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 xml:space="preserve">Infections caused by ceftazidime-resistant </w:t>
            </w:r>
            <w:proofErr w:type="gramStart"/>
            <w:r w:rsidRPr="00E052E9">
              <w:rPr>
                <w:rFonts w:asciiTheme="majorBidi" w:eastAsia="Times New Roman" w:hAnsiTheme="majorBidi" w:cstheme="majorBidi"/>
                <w:color w:val="000000"/>
                <w:sz w:val="20"/>
                <w:szCs w:val="20"/>
                <w:lang w:eastAsia="en-GB"/>
              </w:rPr>
              <w:t>Gram negative</w:t>
            </w:r>
            <w:proofErr w:type="gramEnd"/>
            <w:r w:rsidRPr="00E052E9">
              <w:rPr>
                <w:rFonts w:asciiTheme="majorBidi" w:eastAsia="Times New Roman" w:hAnsiTheme="majorBidi" w:cstheme="majorBidi"/>
                <w:color w:val="000000"/>
                <w:sz w:val="20"/>
                <w:szCs w:val="20"/>
                <w:lang w:eastAsia="en-GB"/>
              </w:rPr>
              <w:t xml:space="preserve"> pathogens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BBA33"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CAZ-AVI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2F970"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50% had received prior empiric treatment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81F64"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Mean age = 64.3</w:t>
            </w:r>
          </w:p>
          <w:p w14:paraId="29D93A23"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APACHE II = NR</w:t>
            </w:r>
          </w:p>
          <w:p w14:paraId="0D981F65"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SOFA = NR</w:t>
            </w:r>
          </w:p>
          <w:p w14:paraId="1FF90E88"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CCI = NR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F2AA9"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45229"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28-day mort: 2.1%</w:t>
            </w:r>
          </w:p>
        </w:tc>
      </w:tr>
      <w:tr w:rsidR="006F4DEE" w:rsidRPr="00E052E9" w14:paraId="02B3DBF8" w14:textId="77777777" w:rsidTr="006F4D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AB169"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REPROVE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4B92C" w14:textId="77777777" w:rsidR="006F4DEE" w:rsidRPr="00E052E9" w:rsidRDefault="006F4DEE" w:rsidP="006F4DEE">
            <w:pPr>
              <w:spacing w:after="0" w:line="240" w:lineRule="auto"/>
              <w:rPr>
                <w:rFonts w:asciiTheme="majorBidi" w:eastAsia="Times New Roman" w:hAnsiTheme="majorBidi" w:cstheme="majorBidi"/>
                <w:sz w:val="20"/>
                <w:szCs w:val="20"/>
                <w:lang w:val="nl-NL" w:eastAsia="en-GB"/>
              </w:rPr>
            </w:pPr>
            <w:r w:rsidRPr="00E052E9">
              <w:rPr>
                <w:rFonts w:asciiTheme="majorBidi" w:eastAsia="Times New Roman" w:hAnsiTheme="majorBidi" w:cstheme="majorBidi"/>
                <w:color w:val="000000"/>
                <w:sz w:val="20"/>
                <w:szCs w:val="20"/>
                <w:lang w:val="nl-NL" w:eastAsia="en-GB"/>
              </w:rPr>
              <w:t>HAP/VAP</w:t>
            </w:r>
          </w:p>
          <w:p w14:paraId="4170B762" w14:textId="77777777" w:rsidR="006F4DEE" w:rsidRPr="00E052E9" w:rsidRDefault="006F4DEE" w:rsidP="006F4DEE">
            <w:pPr>
              <w:spacing w:after="0" w:line="240" w:lineRule="auto"/>
              <w:rPr>
                <w:rFonts w:asciiTheme="majorBidi" w:eastAsia="Times New Roman" w:hAnsiTheme="majorBidi" w:cstheme="majorBidi"/>
                <w:sz w:val="20"/>
                <w:szCs w:val="20"/>
                <w:lang w:val="nl-NL" w:eastAsia="en-GB"/>
              </w:rPr>
            </w:pPr>
          </w:p>
          <w:p w14:paraId="1C3801BF" w14:textId="7847E141" w:rsidR="006F4DEE" w:rsidRPr="00E052E9" w:rsidRDefault="00C67B00" w:rsidP="006F4DEE">
            <w:pPr>
              <w:spacing w:after="0" w:line="240" w:lineRule="auto"/>
              <w:rPr>
                <w:rFonts w:asciiTheme="majorBidi" w:eastAsia="Times New Roman" w:hAnsiTheme="majorBidi" w:cstheme="majorBidi"/>
                <w:sz w:val="20"/>
                <w:szCs w:val="20"/>
                <w:lang w:val="el-GR" w:eastAsia="en-GB"/>
              </w:rPr>
            </w:pPr>
            <w:r w:rsidRPr="00E052E9">
              <w:rPr>
                <w:rFonts w:asciiTheme="majorBidi" w:eastAsia="Times New Roman" w:hAnsiTheme="majorBidi" w:cstheme="majorBidi"/>
                <w:color w:val="000000"/>
                <w:sz w:val="20"/>
                <w:szCs w:val="20"/>
                <w:lang w:val="el-GR" w:eastAsia="en-GB"/>
              </w:rPr>
              <w:t>(ΩΑΠ ν=118;΄νον-ΩΑΠ ν=238)</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7B961"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Excluded infections caused by Gram positive pathogens only or other pathogens not expected to respond to CAZ-AVI and/or meropenem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F9288"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CAZ-AVI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55282"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 xml:space="preserve">34% had received </w:t>
            </w:r>
            <w:r w:rsidRPr="00E052E9">
              <w:rPr>
                <w:rFonts w:asciiTheme="majorBidi" w:eastAsia="Times New Roman" w:hAnsiTheme="majorBidi" w:cstheme="majorBidi"/>
                <w:color w:val="000000"/>
                <w:sz w:val="20"/>
                <w:szCs w:val="20"/>
                <w:u w:val="single"/>
                <w:lang w:eastAsia="en-GB"/>
              </w:rPr>
              <w:t>no</w:t>
            </w:r>
            <w:r w:rsidRPr="00E052E9">
              <w:rPr>
                <w:rFonts w:asciiTheme="majorBidi" w:eastAsia="Times New Roman" w:hAnsiTheme="majorBidi" w:cstheme="majorBidi"/>
                <w:color w:val="000000"/>
                <w:sz w:val="20"/>
                <w:szCs w:val="20"/>
                <w:lang w:eastAsia="en-GB"/>
              </w:rPr>
              <w:t xml:space="preserve"> prior antibiotics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B1CAC"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Mean age = 62.4</w:t>
            </w:r>
          </w:p>
          <w:p w14:paraId="27E7A4FD"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APACHE II = 14.5</w:t>
            </w:r>
          </w:p>
          <w:p w14:paraId="7CB141B8"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SOFA = NR </w:t>
            </w:r>
          </w:p>
          <w:p w14:paraId="37331872" w14:textId="77777777" w:rsidR="006F4DEE" w:rsidRPr="00E052E9" w:rsidRDefault="006F4DEE" w:rsidP="006F4DEE">
            <w:pPr>
              <w:spacing w:after="12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CCI = NR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96C5"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28-day mort: 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DD6BC" w14:textId="77777777" w:rsidR="006F4DEE" w:rsidRPr="00E052E9" w:rsidRDefault="006F4DEE" w:rsidP="006F4DEE">
            <w:pPr>
              <w:spacing w:after="0" w:line="240" w:lineRule="auto"/>
              <w:rPr>
                <w:rFonts w:asciiTheme="majorBidi" w:eastAsia="Times New Roman" w:hAnsiTheme="majorBidi" w:cstheme="majorBidi"/>
                <w:sz w:val="20"/>
                <w:szCs w:val="20"/>
                <w:lang w:eastAsia="en-GB"/>
              </w:rPr>
            </w:pPr>
            <w:r w:rsidRPr="00E052E9">
              <w:rPr>
                <w:rFonts w:asciiTheme="majorBidi" w:eastAsia="Times New Roman" w:hAnsiTheme="majorBidi" w:cstheme="majorBidi"/>
                <w:color w:val="000000"/>
                <w:sz w:val="20"/>
                <w:szCs w:val="20"/>
                <w:lang w:eastAsia="en-GB"/>
              </w:rPr>
              <w:t>NA</w:t>
            </w:r>
          </w:p>
        </w:tc>
      </w:tr>
    </w:tbl>
    <w:p w14:paraId="7E9B430D" w14:textId="14D7351A" w:rsidR="006F4DEE" w:rsidRPr="006F4DEE" w:rsidRDefault="006F4DEE" w:rsidP="006F4DEE">
      <w:pPr>
        <w:spacing w:after="0" w:line="240" w:lineRule="auto"/>
        <w:rPr>
          <w:rFonts w:eastAsia="Times New Roman" w:cs="Times New Roman"/>
          <w:sz w:val="20"/>
          <w:szCs w:val="20"/>
          <w:lang w:eastAsia="en-GB"/>
        </w:rPr>
      </w:pPr>
      <w:r w:rsidRPr="001C73C4">
        <w:rPr>
          <w:rFonts w:ascii="Calibri" w:eastAsia="Times New Roman" w:hAnsi="Calibri" w:cs="Calibri"/>
          <w:color w:val="000000"/>
          <w:sz w:val="20"/>
          <w:szCs w:val="20"/>
          <w:lang w:eastAsia="en-GB"/>
        </w:rPr>
        <w:t xml:space="preserve">HAP =hospital acquired pneumonia; VAP = ventilator-associated pneumonia; HCAP = healthcare-associated pneumonia; </w:t>
      </w:r>
      <w:proofErr w:type="spellStart"/>
      <w:r w:rsidRPr="001C73C4">
        <w:rPr>
          <w:rFonts w:ascii="Calibri" w:eastAsia="Times New Roman" w:hAnsi="Calibri" w:cs="Calibri"/>
          <w:color w:val="000000"/>
          <w:sz w:val="20"/>
          <w:szCs w:val="20"/>
          <w:lang w:eastAsia="en-GB"/>
        </w:rPr>
        <w:t>cUTI</w:t>
      </w:r>
      <w:proofErr w:type="spellEnd"/>
      <w:r w:rsidRPr="001C73C4">
        <w:rPr>
          <w:rFonts w:ascii="Calibri" w:eastAsia="Times New Roman" w:hAnsi="Calibri" w:cs="Calibri"/>
          <w:color w:val="000000"/>
          <w:sz w:val="20"/>
          <w:szCs w:val="20"/>
          <w:lang w:eastAsia="en-GB"/>
        </w:rPr>
        <w:t xml:space="preserve"> = complicated urinary tract infection; APACHE II = Acute Physiology and Chronic Health Evaluation II; SOFA = Sequential Organ Failure Assessment; CCI = </w:t>
      </w:r>
      <w:proofErr w:type="spellStart"/>
      <w:r w:rsidRPr="001C73C4">
        <w:rPr>
          <w:rFonts w:ascii="Calibri" w:eastAsia="Times New Roman" w:hAnsi="Calibri" w:cs="Calibri"/>
          <w:color w:val="000000"/>
          <w:sz w:val="20"/>
          <w:szCs w:val="20"/>
          <w:lang w:eastAsia="en-GB"/>
        </w:rPr>
        <w:t>Charlson</w:t>
      </w:r>
      <w:proofErr w:type="spellEnd"/>
      <w:r w:rsidRPr="001C73C4">
        <w:rPr>
          <w:rFonts w:ascii="Calibri" w:eastAsia="Times New Roman" w:hAnsi="Calibri" w:cs="Calibri"/>
          <w:color w:val="000000"/>
          <w:sz w:val="20"/>
          <w:szCs w:val="20"/>
          <w:lang w:eastAsia="en-GB"/>
        </w:rPr>
        <w:t xml:space="preserve"> Comorbidity Index; NR = not reported.</w:t>
      </w:r>
      <w:r>
        <w:br w:type="page"/>
      </w:r>
    </w:p>
    <w:p w14:paraId="72B7E72C" w14:textId="77777777" w:rsidR="006F4DEE" w:rsidRDefault="006F4DEE" w:rsidP="008E6F0E">
      <w:pPr>
        <w:pStyle w:val="Heading2"/>
        <w:ind w:left="720" w:hanging="720"/>
        <w:jc w:val="both"/>
        <w:sectPr w:rsidR="006F4DEE" w:rsidSect="006F4DEE">
          <w:footerReference w:type="default" r:id="rId65"/>
          <w:pgSz w:w="16840" w:h="11910" w:orient="landscape"/>
          <w:pgMar w:top="1321" w:right="1582" w:bottom="1321" w:left="1582" w:header="0" w:footer="1389" w:gutter="0"/>
          <w:cols w:space="720"/>
        </w:sectPr>
      </w:pPr>
    </w:p>
    <w:p w14:paraId="1A44C90D" w14:textId="7D850258" w:rsidR="001D1471" w:rsidRPr="0041437E" w:rsidRDefault="006F4DEE" w:rsidP="008E6F0E">
      <w:pPr>
        <w:pStyle w:val="Heading2"/>
        <w:ind w:left="720" w:hanging="720"/>
        <w:jc w:val="both"/>
        <w:rPr>
          <w:sz w:val="32"/>
          <w:szCs w:val="32"/>
        </w:rPr>
      </w:pPr>
      <w:bookmarkStart w:id="772" w:name="_Toc87463122"/>
      <w:r w:rsidRPr="0041437E">
        <w:rPr>
          <w:sz w:val="32"/>
          <w:szCs w:val="32"/>
        </w:rPr>
        <w:lastRenderedPageBreak/>
        <w:t>Appendix 11:</w:t>
      </w:r>
      <w:r w:rsidR="001D1471" w:rsidRPr="0041437E">
        <w:rPr>
          <w:sz w:val="32"/>
          <w:szCs w:val="32"/>
        </w:rPr>
        <w:t xml:space="preserve"> Training slides</w:t>
      </w:r>
      <w:bookmarkEnd w:id="772"/>
    </w:p>
    <w:p w14:paraId="7B6FBFD0" w14:textId="659F4CA1" w:rsidR="006745C0" w:rsidRDefault="006745C0">
      <w:pPr>
        <w:rPr>
          <w:rFonts w:ascii="Times New Roman" w:hAnsi="Times New Roman" w:cs="Times New Roman"/>
          <w:sz w:val="32"/>
          <w:szCs w:val="32"/>
        </w:rPr>
      </w:pPr>
    </w:p>
    <w:tbl>
      <w:tblPr>
        <w:tblW w:w="0" w:type="auto"/>
        <w:tblLayout w:type="fixed"/>
        <w:tblLook w:val="04A0" w:firstRow="1" w:lastRow="0" w:firstColumn="1" w:lastColumn="0" w:noHBand="0" w:noVBand="1"/>
      </w:tblPr>
      <w:tblGrid>
        <w:gridCol w:w="1368"/>
        <w:gridCol w:w="3829"/>
        <w:gridCol w:w="3829"/>
      </w:tblGrid>
      <w:tr w:rsidR="00AB4BA3" w14:paraId="224043F2" w14:textId="77777777" w:rsidTr="00AB4BA3">
        <w:trPr>
          <w:trHeight w:val="4000"/>
        </w:trPr>
        <w:tc>
          <w:tcPr>
            <w:tcW w:w="1368" w:type="dxa"/>
            <w:hideMark/>
          </w:tcPr>
          <w:p w14:paraId="29AC3F99" w14:textId="77777777" w:rsidR="00AB4BA3" w:rsidRDefault="00AB4BA3">
            <w:r>
              <w:t>Slide 1</w:t>
            </w:r>
          </w:p>
        </w:tc>
        <w:tc>
          <w:tcPr>
            <w:tcW w:w="3829" w:type="dxa"/>
            <w:hideMark/>
          </w:tcPr>
          <w:p w14:paraId="501099C9" w14:textId="7BC2008F" w:rsidR="00AB4BA3" w:rsidRDefault="00CA33F5">
            <w:r>
              <w:rPr>
                <w:noProof/>
              </w:rPr>
              <w:drawing>
                <wp:inline distT="0" distB="0" distL="0" distR="0" wp14:anchorId="02223E0E" wp14:editId="773DAB4B">
                  <wp:extent cx="2283460" cy="1652905"/>
                  <wp:effectExtent l="19050" t="19050" r="40640" b="42545"/>
                  <wp:docPr id="26" name="Picture 26" descr="Picture of a powerpoint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 of a powerpoint slide&#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3460" cy="165290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3829" w:type="dxa"/>
          </w:tcPr>
          <w:p w14:paraId="27E89F9E" w14:textId="77777777" w:rsidR="00AB4BA3" w:rsidRDefault="00AB4BA3"/>
        </w:tc>
      </w:tr>
      <w:tr w:rsidR="00AB4BA3" w14:paraId="6608CA80" w14:textId="77777777" w:rsidTr="00AB4BA3">
        <w:trPr>
          <w:trHeight w:val="4000"/>
        </w:trPr>
        <w:tc>
          <w:tcPr>
            <w:tcW w:w="1368" w:type="dxa"/>
            <w:hideMark/>
          </w:tcPr>
          <w:p w14:paraId="167B62B3" w14:textId="77777777" w:rsidR="00AB4BA3" w:rsidRDefault="00AB4BA3">
            <w:r>
              <w:t>Slide 2</w:t>
            </w:r>
          </w:p>
        </w:tc>
        <w:tc>
          <w:tcPr>
            <w:tcW w:w="3829" w:type="dxa"/>
            <w:hideMark/>
          </w:tcPr>
          <w:p w14:paraId="168620F5" w14:textId="78DFABE2" w:rsidR="00AB4BA3" w:rsidRDefault="003D1E50">
            <w:r>
              <w:rPr>
                <w:noProof/>
              </w:rPr>
              <w:drawing>
                <wp:inline distT="0" distB="0" distL="0" distR="0" wp14:anchorId="65B4B75B" wp14:editId="1377BC7A">
                  <wp:extent cx="2385695" cy="1654175"/>
                  <wp:effectExtent l="19050" t="19050" r="33655" b="41275"/>
                  <wp:docPr id="14" name="Picture 14" descr="Picture of a powerpoint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a powerpoint slide&#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5695" cy="16541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3829" w:type="dxa"/>
          </w:tcPr>
          <w:p w14:paraId="32AB05C3" w14:textId="77777777" w:rsidR="00AB4BA3" w:rsidRDefault="00AB4BA3"/>
        </w:tc>
      </w:tr>
      <w:tr w:rsidR="00AB4BA3" w14:paraId="6AD965A3" w14:textId="77777777" w:rsidTr="00AB4BA3">
        <w:trPr>
          <w:trHeight w:val="4000"/>
        </w:trPr>
        <w:tc>
          <w:tcPr>
            <w:tcW w:w="1368" w:type="dxa"/>
            <w:hideMark/>
          </w:tcPr>
          <w:p w14:paraId="7A4D8755" w14:textId="77777777" w:rsidR="00AB4BA3" w:rsidRDefault="00AB4BA3">
            <w:r>
              <w:t>Slide 3</w:t>
            </w:r>
          </w:p>
        </w:tc>
        <w:tc>
          <w:tcPr>
            <w:tcW w:w="3829" w:type="dxa"/>
            <w:hideMark/>
          </w:tcPr>
          <w:p w14:paraId="0B4DCB3B" w14:textId="15C99B6A" w:rsidR="00AB4BA3" w:rsidRDefault="00CA33F5">
            <w:r>
              <w:rPr>
                <w:noProof/>
              </w:rPr>
              <w:drawing>
                <wp:inline distT="0" distB="0" distL="0" distR="0" wp14:anchorId="0D605801" wp14:editId="23EF382D">
                  <wp:extent cx="2386330" cy="1652905"/>
                  <wp:effectExtent l="19050" t="19050" r="33020" b="42545"/>
                  <wp:docPr id="18" name="Picture 18" descr="Picture of a powerpoint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powerpoint slide&#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6330" cy="165290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3829" w:type="dxa"/>
          </w:tcPr>
          <w:p w14:paraId="427A59F2" w14:textId="77777777" w:rsidR="00AB4BA3" w:rsidRDefault="00AB4BA3"/>
        </w:tc>
      </w:tr>
      <w:tr w:rsidR="00AB4BA3" w14:paraId="0FF9D595" w14:textId="77777777" w:rsidTr="00AB4BA3">
        <w:trPr>
          <w:trHeight w:val="4000"/>
        </w:trPr>
        <w:tc>
          <w:tcPr>
            <w:tcW w:w="1368" w:type="dxa"/>
            <w:hideMark/>
          </w:tcPr>
          <w:p w14:paraId="311D1E6B" w14:textId="77777777" w:rsidR="00AB4BA3" w:rsidRDefault="00AB4BA3">
            <w:r>
              <w:lastRenderedPageBreak/>
              <w:t>Slide 4</w:t>
            </w:r>
          </w:p>
        </w:tc>
        <w:tc>
          <w:tcPr>
            <w:tcW w:w="3829" w:type="dxa"/>
            <w:hideMark/>
          </w:tcPr>
          <w:p w14:paraId="4524C09E" w14:textId="39C2BAE5" w:rsidR="00AB4BA3" w:rsidRDefault="000F6BF0">
            <w:r>
              <w:rPr>
                <w:rFonts w:eastAsiaTheme="minorEastAsia"/>
                <w:noProof/>
              </w:rPr>
              <w:pict w14:anchorId="11999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of a powerpoint slide&#10;" style="width:180pt;height:129.75pt;mso-width-percent:0;mso-height-percent:0;mso-position-horizontal:absolute;mso-width-percent:0;mso-height-percent:0"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w:pict>
            </w:r>
          </w:p>
        </w:tc>
        <w:tc>
          <w:tcPr>
            <w:tcW w:w="3829" w:type="dxa"/>
          </w:tcPr>
          <w:p w14:paraId="2DFE4DC2" w14:textId="77777777" w:rsidR="00AB4BA3" w:rsidRDefault="00AB4BA3"/>
        </w:tc>
      </w:tr>
      <w:tr w:rsidR="00AB4BA3" w14:paraId="314E5136" w14:textId="77777777" w:rsidTr="00AB4BA3">
        <w:trPr>
          <w:trHeight w:val="4000"/>
        </w:trPr>
        <w:tc>
          <w:tcPr>
            <w:tcW w:w="1368" w:type="dxa"/>
            <w:hideMark/>
          </w:tcPr>
          <w:p w14:paraId="7E838141" w14:textId="77777777" w:rsidR="00AB4BA3" w:rsidRDefault="00AB4BA3">
            <w:r>
              <w:t>Slide 5</w:t>
            </w:r>
          </w:p>
        </w:tc>
        <w:tc>
          <w:tcPr>
            <w:tcW w:w="3829" w:type="dxa"/>
            <w:hideMark/>
          </w:tcPr>
          <w:p w14:paraId="1602896F" w14:textId="234D8C31" w:rsidR="00AB4BA3" w:rsidRDefault="000F6BF0">
            <w:r>
              <w:rPr>
                <w:rFonts w:eastAsiaTheme="minorEastAsia"/>
                <w:noProof/>
              </w:rPr>
              <w:pict w14:anchorId="28316171">
                <v:shape id="_x0000_i1026" type="#_x0000_t75" alt="Picture of a power point slide" style="width:180pt;height:129.75pt;mso-width-percent:0;mso-height-percent:0;mso-position-horizontal:absolute;mso-width-percent:0;mso-height-percent:0"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w:pict>
            </w:r>
          </w:p>
        </w:tc>
        <w:tc>
          <w:tcPr>
            <w:tcW w:w="3829" w:type="dxa"/>
          </w:tcPr>
          <w:p w14:paraId="7A5F33AC" w14:textId="77777777" w:rsidR="00AB4BA3" w:rsidRDefault="00AB4BA3"/>
        </w:tc>
      </w:tr>
      <w:tr w:rsidR="00AB4BA3" w14:paraId="2EA3B623" w14:textId="77777777" w:rsidTr="00AB4BA3">
        <w:trPr>
          <w:trHeight w:val="4000"/>
        </w:trPr>
        <w:tc>
          <w:tcPr>
            <w:tcW w:w="1368" w:type="dxa"/>
            <w:hideMark/>
          </w:tcPr>
          <w:p w14:paraId="248E44AF" w14:textId="77777777" w:rsidR="00AB4BA3" w:rsidRDefault="00AB4BA3">
            <w:r>
              <w:t>Slide 6</w:t>
            </w:r>
          </w:p>
        </w:tc>
        <w:tc>
          <w:tcPr>
            <w:tcW w:w="3829" w:type="dxa"/>
            <w:hideMark/>
          </w:tcPr>
          <w:p w14:paraId="00EDACAB" w14:textId="7FD1AD35" w:rsidR="00AB4BA3" w:rsidRDefault="000F6BF0">
            <w:r>
              <w:rPr>
                <w:rFonts w:eastAsiaTheme="minorEastAsia"/>
                <w:noProof/>
              </w:rPr>
              <w:pict w14:anchorId="0131214B">
                <v:shape id="_x0000_i1027" type="#_x0000_t75" alt="Picture of a power point slide" style="width:180pt;height:150.7pt;mso-width-percent:0;mso-height-percent:0;mso-position-horizontal:absolute;mso-width-percent:0;mso-height-percent:0"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w:pict>
            </w:r>
          </w:p>
        </w:tc>
        <w:tc>
          <w:tcPr>
            <w:tcW w:w="3829" w:type="dxa"/>
          </w:tcPr>
          <w:p w14:paraId="3905CD5A" w14:textId="77777777" w:rsidR="00AB4BA3" w:rsidRDefault="00AB4BA3"/>
        </w:tc>
      </w:tr>
      <w:tr w:rsidR="00AB4BA3" w14:paraId="5BCF997A" w14:textId="77777777" w:rsidTr="00AB4BA3">
        <w:trPr>
          <w:trHeight w:val="4000"/>
        </w:trPr>
        <w:tc>
          <w:tcPr>
            <w:tcW w:w="1368" w:type="dxa"/>
            <w:hideMark/>
          </w:tcPr>
          <w:p w14:paraId="598F23BF" w14:textId="77777777" w:rsidR="00AB4BA3" w:rsidRDefault="00AB4BA3">
            <w:r>
              <w:lastRenderedPageBreak/>
              <w:t>Slide 7</w:t>
            </w:r>
          </w:p>
        </w:tc>
        <w:tc>
          <w:tcPr>
            <w:tcW w:w="3829" w:type="dxa"/>
            <w:hideMark/>
          </w:tcPr>
          <w:p w14:paraId="635B37B7" w14:textId="7D36D1F4" w:rsidR="00AB4BA3" w:rsidRDefault="000F6BF0">
            <w:r>
              <w:rPr>
                <w:rFonts w:eastAsiaTheme="minorEastAsia"/>
                <w:noProof/>
              </w:rPr>
              <w:pict w14:anchorId="14C3DB7D">
                <v:shape id="_x0000_i1028" type="#_x0000_t75" alt="Picture of a power point slide" style="width:180pt;height:129.75pt;mso-width-percent:0;mso-height-percent:0;mso-position-horizontal:absolute;mso-width-percent:0;mso-height-percent:0"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w:pict>
            </w:r>
          </w:p>
        </w:tc>
        <w:tc>
          <w:tcPr>
            <w:tcW w:w="3829" w:type="dxa"/>
          </w:tcPr>
          <w:p w14:paraId="3D7565CF" w14:textId="77777777" w:rsidR="00AB4BA3" w:rsidRDefault="00AB4BA3"/>
        </w:tc>
      </w:tr>
      <w:tr w:rsidR="00AB4BA3" w14:paraId="5126ED5B" w14:textId="77777777" w:rsidTr="00AB4BA3">
        <w:trPr>
          <w:trHeight w:val="4000"/>
        </w:trPr>
        <w:tc>
          <w:tcPr>
            <w:tcW w:w="1368" w:type="dxa"/>
            <w:hideMark/>
          </w:tcPr>
          <w:p w14:paraId="463FD102" w14:textId="77777777" w:rsidR="00AB4BA3" w:rsidRDefault="00AB4BA3">
            <w:r>
              <w:t>Slide 8</w:t>
            </w:r>
          </w:p>
        </w:tc>
        <w:tc>
          <w:tcPr>
            <w:tcW w:w="3829" w:type="dxa"/>
            <w:hideMark/>
          </w:tcPr>
          <w:p w14:paraId="194224F4" w14:textId="77195FA6" w:rsidR="00AB4BA3" w:rsidRDefault="000F6BF0">
            <w:r>
              <w:rPr>
                <w:rFonts w:eastAsiaTheme="minorEastAsia"/>
                <w:noProof/>
              </w:rPr>
              <w:pict w14:anchorId="6F317FFB">
                <v:shape id="_x0000_i1029" type="#_x0000_t75" alt="Picture of a power point slide" style="width:180pt;height:129.75pt;mso-width-percent:0;mso-height-percent:0;mso-position-horizontal:absolute;mso-width-percent:0;mso-height-percent:0"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w:pict>
            </w:r>
          </w:p>
        </w:tc>
        <w:tc>
          <w:tcPr>
            <w:tcW w:w="3829" w:type="dxa"/>
          </w:tcPr>
          <w:p w14:paraId="19905559" w14:textId="77777777" w:rsidR="00AB4BA3" w:rsidRDefault="00AB4BA3"/>
        </w:tc>
      </w:tr>
      <w:tr w:rsidR="00AB4BA3" w14:paraId="144FE53E" w14:textId="77777777" w:rsidTr="00AB4BA3">
        <w:trPr>
          <w:trHeight w:val="4000"/>
        </w:trPr>
        <w:tc>
          <w:tcPr>
            <w:tcW w:w="1368" w:type="dxa"/>
            <w:hideMark/>
          </w:tcPr>
          <w:p w14:paraId="5D6C9479" w14:textId="77777777" w:rsidR="00AB4BA3" w:rsidRDefault="00AB4BA3">
            <w:r>
              <w:t>Slide 9</w:t>
            </w:r>
          </w:p>
        </w:tc>
        <w:tc>
          <w:tcPr>
            <w:tcW w:w="3829" w:type="dxa"/>
            <w:hideMark/>
          </w:tcPr>
          <w:p w14:paraId="2988CCAF" w14:textId="78570A38" w:rsidR="00AB4BA3" w:rsidRDefault="000F6BF0">
            <w:r>
              <w:rPr>
                <w:rFonts w:eastAsiaTheme="minorEastAsia"/>
                <w:noProof/>
              </w:rPr>
              <w:pict w14:anchorId="531B7331">
                <v:shape id="_x0000_i1030" type="#_x0000_t75" alt="Picture of a power point slide" style="width:172.45pt;height:122.25pt;mso-width-percent:0;mso-height-percent:0;mso-position-horizontal:absolute;mso-width-percent:0;mso-height-percent:0"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w:pict>
            </w:r>
          </w:p>
        </w:tc>
        <w:tc>
          <w:tcPr>
            <w:tcW w:w="3829" w:type="dxa"/>
          </w:tcPr>
          <w:p w14:paraId="0021308B" w14:textId="77777777" w:rsidR="00AB4BA3" w:rsidRDefault="00AB4BA3"/>
        </w:tc>
      </w:tr>
      <w:tr w:rsidR="00AB4BA3" w14:paraId="0A746A4B" w14:textId="77777777" w:rsidTr="00AB4BA3">
        <w:trPr>
          <w:trHeight w:val="4000"/>
        </w:trPr>
        <w:tc>
          <w:tcPr>
            <w:tcW w:w="1368" w:type="dxa"/>
            <w:hideMark/>
          </w:tcPr>
          <w:p w14:paraId="581A3D76" w14:textId="77777777" w:rsidR="00AB4BA3" w:rsidRDefault="00AB4BA3">
            <w:r>
              <w:lastRenderedPageBreak/>
              <w:t>Slide 10</w:t>
            </w:r>
          </w:p>
        </w:tc>
        <w:tc>
          <w:tcPr>
            <w:tcW w:w="3829" w:type="dxa"/>
            <w:hideMark/>
          </w:tcPr>
          <w:p w14:paraId="01B4BA15" w14:textId="40A8340F" w:rsidR="00AB4BA3" w:rsidRDefault="000F6BF0">
            <w:r>
              <w:rPr>
                <w:rFonts w:eastAsiaTheme="minorEastAsia"/>
                <w:noProof/>
              </w:rPr>
              <w:pict w14:anchorId="43EA1E2F">
                <v:shape id="_x0000_i1031" type="#_x0000_t75" alt="Picture of a power point slide" style="width:187.55pt;height:108.85pt;mso-width-percent:0;mso-height-percent:0;mso-position-horizontal:absolute;mso-width-percent:0;mso-height-percent:0"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w:pict>
            </w:r>
          </w:p>
        </w:tc>
        <w:tc>
          <w:tcPr>
            <w:tcW w:w="3829" w:type="dxa"/>
          </w:tcPr>
          <w:p w14:paraId="0D5377FF" w14:textId="77777777" w:rsidR="00AB4BA3" w:rsidRDefault="00AB4BA3">
            <w:pPr>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w:t>
            </w:r>
          </w:p>
          <w:p w14:paraId="562F263D" w14:textId="77777777" w:rsidR="00AB4BA3" w:rsidRDefault="00AB4BA3">
            <w:pPr>
              <w:autoSpaceDE w:val="0"/>
              <w:autoSpaceDN w:val="0"/>
              <w:adjustRightInd w:val="0"/>
              <w:spacing w:after="0" w:line="240" w:lineRule="auto"/>
              <w:rPr>
                <w:rFonts w:ascii="Arial" w:eastAsiaTheme="minorEastAsia" w:hAnsi="Arial" w:cs="Arial"/>
                <w:sz w:val="24"/>
                <w:szCs w:val="24"/>
              </w:rPr>
            </w:pPr>
          </w:p>
          <w:p w14:paraId="69DAD042" w14:textId="77777777" w:rsidR="00AB4BA3" w:rsidRDefault="00AB4BA3"/>
        </w:tc>
      </w:tr>
      <w:tr w:rsidR="00AB4BA3" w14:paraId="05F69D8D" w14:textId="77777777" w:rsidTr="00AB4BA3">
        <w:trPr>
          <w:trHeight w:val="4000"/>
        </w:trPr>
        <w:tc>
          <w:tcPr>
            <w:tcW w:w="1368" w:type="dxa"/>
            <w:hideMark/>
          </w:tcPr>
          <w:p w14:paraId="2F1E6B75" w14:textId="77777777" w:rsidR="00AB4BA3" w:rsidRDefault="00AB4BA3">
            <w:r>
              <w:t>Slide 11</w:t>
            </w:r>
          </w:p>
        </w:tc>
        <w:tc>
          <w:tcPr>
            <w:tcW w:w="3829" w:type="dxa"/>
            <w:hideMark/>
          </w:tcPr>
          <w:p w14:paraId="3D0D216D" w14:textId="54F5B7B5" w:rsidR="00AB4BA3" w:rsidRDefault="000F6BF0">
            <w:r>
              <w:rPr>
                <w:rFonts w:eastAsiaTheme="minorEastAsia"/>
                <w:noProof/>
              </w:rPr>
              <w:pict w14:anchorId="0E29808C">
                <v:shape id="_x0000_i1032" type="#_x0000_t75" alt="Picture of a power point slide" style="width:187.55pt;height:101.3pt;mso-width-percent:0;mso-height-percent:0;mso-position-horizontal:absolute;mso-width-percent:0;mso-height-percent:0"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w:pict>
            </w:r>
          </w:p>
        </w:tc>
        <w:tc>
          <w:tcPr>
            <w:tcW w:w="3829" w:type="dxa"/>
          </w:tcPr>
          <w:p w14:paraId="3BC815BC" w14:textId="77777777" w:rsidR="00AB4BA3" w:rsidRDefault="00AB4BA3"/>
        </w:tc>
      </w:tr>
      <w:tr w:rsidR="00AB4BA3" w14:paraId="2966280B" w14:textId="77777777" w:rsidTr="00AB4BA3">
        <w:trPr>
          <w:trHeight w:val="4000"/>
        </w:trPr>
        <w:tc>
          <w:tcPr>
            <w:tcW w:w="1368" w:type="dxa"/>
            <w:hideMark/>
          </w:tcPr>
          <w:p w14:paraId="6106CBF0" w14:textId="77777777" w:rsidR="00AB4BA3" w:rsidRDefault="00AB4BA3">
            <w:r>
              <w:t>Slide 12</w:t>
            </w:r>
          </w:p>
        </w:tc>
        <w:tc>
          <w:tcPr>
            <w:tcW w:w="3829" w:type="dxa"/>
            <w:hideMark/>
          </w:tcPr>
          <w:p w14:paraId="5CCAAC59" w14:textId="047404C9" w:rsidR="00AB4BA3" w:rsidRDefault="000F6BF0">
            <w:r>
              <w:rPr>
                <w:rFonts w:eastAsiaTheme="minorEastAsia"/>
                <w:noProof/>
              </w:rPr>
              <w:pict w14:anchorId="729B382C">
                <v:shape id="_x0000_i1033" type="#_x0000_t75" alt="Picture of a power point slide" style="width:187.55pt;height:135.65pt;mso-width-percent:0;mso-height-percent:0;mso-position-horizontal:absolute;mso-width-percent:0;mso-height-percent:0"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w:pict>
            </w:r>
          </w:p>
        </w:tc>
        <w:tc>
          <w:tcPr>
            <w:tcW w:w="3829" w:type="dxa"/>
          </w:tcPr>
          <w:p w14:paraId="6642BD54" w14:textId="77777777" w:rsidR="00AB4BA3" w:rsidRDefault="00AB4BA3"/>
        </w:tc>
      </w:tr>
      <w:tr w:rsidR="00AB4BA3" w14:paraId="74E78350" w14:textId="77777777" w:rsidTr="00AB4BA3">
        <w:trPr>
          <w:trHeight w:val="4000"/>
        </w:trPr>
        <w:tc>
          <w:tcPr>
            <w:tcW w:w="1368" w:type="dxa"/>
            <w:hideMark/>
          </w:tcPr>
          <w:p w14:paraId="4F1AF062" w14:textId="77777777" w:rsidR="00AB4BA3" w:rsidRDefault="00AB4BA3">
            <w:r>
              <w:lastRenderedPageBreak/>
              <w:t>Slide 13</w:t>
            </w:r>
          </w:p>
        </w:tc>
        <w:tc>
          <w:tcPr>
            <w:tcW w:w="3829" w:type="dxa"/>
            <w:hideMark/>
          </w:tcPr>
          <w:p w14:paraId="5784B6E4" w14:textId="66CE0574" w:rsidR="00AB4BA3" w:rsidRDefault="000F6BF0">
            <w:r>
              <w:rPr>
                <w:rFonts w:eastAsiaTheme="minorEastAsia"/>
                <w:noProof/>
              </w:rPr>
              <w:pict w14:anchorId="41849786">
                <v:shape id="_x0000_i1034" type="#_x0000_t75" alt="Picture of a power point slide" style="width:180pt;height:122.25pt;mso-width-percent:0;mso-height-percent:0;mso-position-horizontal:absolute;mso-width-percent:0;mso-height-percent:0"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w:pict>
            </w:r>
          </w:p>
        </w:tc>
        <w:tc>
          <w:tcPr>
            <w:tcW w:w="3829" w:type="dxa"/>
          </w:tcPr>
          <w:p w14:paraId="19693A1F" w14:textId="77777777" w:rsidR="00AB4BA3" w:rsidRDefault="00AB4BA3"/>
        </w:tc>
      </w:tr>
      <w:tr w:rsidR="00AB4BA3" w14:paraId="75F822AE" w14:textId="77777777" w:rsidTr="00AB4BA3">
        <w:trPr>
          <w:trHeight w:val="4000"/>
        </w:trPr>
        <w:tc>
          <w:tcPr>
            <w:tcW w:w="1368" w:type="dxa"/>
            <w:hideMark/>
          </w:tcPr>
          <w:p w14:paraId="70A57BE9" w14:textId="77777777" w:rsidR="00AB4BA3" w:rsidRDefault="00AB4BA3">
            <w:r>
              <w:t>Slide 14</w:t>
            </w:r>
          </w:p>
        </w:tc>
        <w:tc>
          <w:tcPr>
            <w:tcW w:w="3829" w:type="dxa"/>
            <w:hideMark/>
          </w:tcPr>
          <w:p w14:paraId="178F908F" w14:textId="7373DF1A" w:rsidR="00AB4BA3" w:rsidRDefault="000F6BF0">
            <w:r>
              <w:rPr>
                <w:rFonts w:eastAsiaTheme="minorEastAsia"/>
                <w:noProof/>
              </w:rPr>
              <w:pict w14:anchorId="4D560904">
                <v:shape id="_x0000_i1035" type="#_x0000_t75" alt="Picture of a power point slide" style="width:180pt;height:122.25pt;mso-width-percent:0;mso-height-percent:0;mso-position-horizontal:absolute;mso-width-percent:0;mso-height-percent:0"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w:pict>
            </w:r>
          </w:p>
        </w:tc>
        <w:tc>
          <w:tcPr>
            <w:tcW w:w="3829" w:type="dxa"/>
          </w:tcPr>
          <w:p w14:paraId="79A97B9D" w14:textId="77777777" w:rsidR="00AB4BA3" w:rsidRDefault="00AB4BA3"/>
        </w:tc>
      </w:tr>
      <w:tr w:rsidR="00AB4BA3" w14:paraId="1ECE98A4" w14:textId="77777777" w:rsidTr="00AB4BA3">
        <w:trPr>
          <w:trHeight w:val="4000"/>
        </w:trPr>
        <w:tc>
          <w:tcPr>
            <w:tcW w:w="1368" w:type="dxa"/>
            <w:hideMark/>
          </w:tcPr>
          <w:p w14:paraId="4B5755BC" w14:textId="77777777" w:rsidR="00AB4BA3" w:rsidRDefault="00AB4BA3">
            <w:r>
              <w:t>Slide 15</w:t>
            </w:r>
          </w:p>
        </w:tc>
        <w:tc>
          <w:tcPr>
            <w:tcW w:w="3829" w:type="dxa"/>
            <w:hideMark/>
          </w:tcPr>
          <w:p w14:paraId="7080F61E" w14:textId="5971C5BE" w:rsidR="00AB4BA3" w:rsidRDefault="000F6BF0">
            <w:r>
              <w:rPr>
                <w:rFonts w:eastAsiaTheme="minorEastAsia"/>
                <w:noProof/>
              </w:rPr>
              <w:pict w14:anchorId="236854E8">
                <v:shape id="_x0000_i1036" type="#_x0000_t75" alt="Picture of a power point slide" style="width:187.55pt;height:135.65pt;mso-width-percent:0;mso-height-percent:0;mso-position-horizontal:absolute;mso-width-percent:0;mso-height-percent:0"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w:pict>
            </w:r>
          </w:p>
        </w:tc>
        <w:tc>
          <w:tcPr>
            <w:tcW w:w="3829" w:type="dxa"/>
          </w:tcPr>
          <w:p w14:paraId="1E6EE186" w14:textId="77777777" w:rsidR="00AB4BA3" w:rsidRDefault="00AB4BA3"/>
        </w:tc>
      </w:tr>
    </w:tbl>
    <w:tbl>
      <w:tblPr>
        <w:tblpPr w:leftFromText="180" w:rightFromText="180" w:vertAnchor="text" w:horzAnchor="margin" w:tblpY="1"/>
        <w:tblOverlap w:val="never"/>
        <w:tblW w:w="0" w:type="auto"/>
        <w:tblLayout w:type="fixed"/>
        <w:tblLook w:val="04A0" w:firstRow="1" w:lastRow="0" w:firstColumn="1" w:lastColumn="0" w:noHBand="0" w:noVBand="1"/>
      </w:tblPr>
      <w:tblGrid>
        <w:gridCol w:w="1368"/>
        <w:gridCol w:w="3829"/>
      </w:tblGrid>
      <w:tr w:rsidR="006758EB" w14:paraId="740E8514" w14:textId="77777777" w:rsidTr="006758EB">
        <w:trPr>
          <w:trHeight w:val="4000"/>
        </w:trPr>
        <w:tc>
          <w:tcPr>
            <w:tcW w:w="1368" w:type="dxa"/>
            <w:hideMark/>
          </w:tcPr>
          <w:p w14:paraId="65E03371" w14:textId="77777777" w:rsidR="006758EB" w:rsidRDefault="006758EB" w:rsidP="006758EB">
            <w:r>
              <w:lastRenderedPageBreak/>
              <w:t>Slide 16</w:t>
            </w:r>
          </w:p>
        </w:tc>
        <w:tc>
          <w:tcPr>
            <w:tcW w:w="3829" w:type="dxa"/>
            <w:hideMark/>
          </w:tcPr>
          <w:p w14:paraId="65226877" w14:textId="1317ADB8" w:rsidR="006758EB" w:rsidRDefault="000F6BF0" w:rsidP="006758EB">
            <w:r>
              <w:rPr>
                <w:rFonts w:eastAsiaTheme="minorEastAsia"/>
                <w:noProof/>
              </w:rPr>
              <w:pict w14:anchorId="5EDF4112">
                <v:shape id="_x0000_i1037" type="#_x0000_t75" alt="Picture of a power point slide" style="width:180pt;height:122.25pt;mso-width-percent:0;mso-height-percent:0;mso-position-horizontal:absolute;mso-width-percent:0;mso-height-percent:0"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w:pict>
            </w:r>
          </w:p>
        </w:tc>
      </w:tr>
      <w:tr w:rsidR="006758EB" w14:paraId="4C1314D0" w14:textId="77777777" w:rsidTr="006758EB">
        <w:trPr>
          <w:trHeight w:val="4000"/>
        </w:trPr>
        <w:tc>
          <w:tcPr>
            <w:tcW w:w="1368" w:type="dxa"/>
            <w:hideMark/>
          </w:tcPr>
          <w:p w14:paraId="6C144706" w14:textId="77777777" w:rsidR="006758EB" w:rsidRDefault="006758EB" w:rsidP="006758EB">
            <w:r>
              <w:t>Slide 17</w:t>
            </w:r>
          </w:p>
        </w:tc>
        <w:tc>
          <w:tcPr>
            <w:tcW w:w="3829" w:type="dxa"/>
            <w:hideMark/>
          </w:tcPr>
          <w:p w14:paraId="60F5ADA2" w14:textId="1B9021AD" w:rsidR="006758EB" w:rsidRDefault="000F6BF0" w:rsidP="006758EB">
            <w:r>
              <w:rPr>
                <w:rFonts w:eastAsiaTheme="minorEastAsia"/>
                <w:noProof/>
              </w:rPr>
              <w:pict w14:anchorId="3AAAE79B">
                <v:shape id="_x0000_i1038" type="#_x0000_t75" alt="Picture of a power point slide" style="width:180pt;height:122.25pt;mso-width-percent:0;mso-height-percent:0;mso-position-horizontal:absolute;mso-width-percent:0;mso-height-percent:0"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w:pict>
            </w:r>
          </w:p>
        </w:tc>
      </w:tr>
      <w:tr w:rsidR="006758EB" w14:paraId="686ACD75" w14:textId="77777777" w:rsidTr="006758EB">
        <w:trPr>
          <w:trHeight w:val="4000"/>
        </w:trPr>
        <w:tc>
          <w:tcPr>
            <w:tcW w:w="1368" w:type="dxa"/>
            <w:hideMark/>
          </w:tcPr>
          <w:p w14:paraId="13125E29" w14:textId="77777777" w:rsidR="006758EB" w:rsidRDefault="006758EB" w:rsidP="006758EB">
            <w:r>
              <w:t>Slide 18</w:t>
            </w:r>
          </w:p>
        </w:tc>
        <w:tc>
          <w:tcPr>
            <w:tcW w:w="3829" w:type="dxa"/>
            <w:hideMark/>
          </w:tcPr>
          <w:p w14:paraId="42B30244" w14:textId="2DC9C817" w:rsidR="006758EB" w:rsidRDefault="000F6BF0" w:rsidP="006758EB">
            <w:r>
              <w:rPr>
                <w:rFonts w:eastAsiaTheme="minorEastAsia"/>
                <w:noProof/>
              </w:rPr>
              <w:pict w14:anchorId="6257B608">
                <v:shape id="_x0000_i1039" type="#_x0000_t75" alt="Picture of a power point slide" style="width:180pt;height:116.35pt;mso-width-percent:0;mso-height-percent:0;mso-position-horizontal:absolute;mso-width-percent:0;mso-height-percent:0"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w:pict>
            </w:r>
          </w:p>
        </w:tc>
      </w:tr>
      <w:tr w:rsidR="006758EB" w14:paraId="54D9F271" w14:textId="77777777" w:rsidTr="006758EB">
        <w:trPr>
          <w:trHeight w:val="4000"/>
        </w:trPr>
        <w:tc>
          <w:tcPr>
            <w:tcW w:w="1368" w:type="dxa"/>
            <w:hideMark/>
          </w:tcPr>
          <w:p w14:paraId="6458EAC7" w14:textId="77777777" w:rsidR="006758EB" w:rsidRDefault="006758EB" w:rsidP="006758EB">
            <w:r>
              <w:lastRenderedPageBreak/>
              <w:t>Slide 19</w:t>
            </w:r>
          </w:p>
        </w:tc>
        <w:tc>
          <w:tcPr>
            <w:tcW w:w="3829" w:type="dxa"/>
            <w:hideMark/>
          </w:tcPr>
          <w:p w14:paraId="4233B600" w14:textId="4465D8EE" w:rsidR="006758EB" w:rsidRDefault="000F6BF0" w:rsidP="006758EB">
            <w:r>
              <w:rPr>
                <w:rFonts w:eastAsiaTheme="minorEastAsia"/>
                <w:noProof/>
              </w:rPr>
              <w:pict w14:anchorId="466520A8">
                <v:shape id="_x0000_i1040" type="#_x0000_t75" alt="Picture of a power point slide" style="width:172.45pt;height:122.25pt;mso-width-percent:0;mso-height-percent:0;mso-position-horizontal:absolute;mso-width-percent:0;mso-height-percent:0"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w:pict>
            </w:r>
          </w:p>
        </w:tc>
      </w:tr>
      <w:tr w:rsidR="006758EB" w14:paraId="34CD7C34" w14:textId="77777777" w:rsidTr="006758EB">
        <w:trPr>
          <w:trHeight w:val="4000"/>
        </w:trPr>
        <w:tc>
          <w:tcPr>
            <w:tcW w:w="1368" w:type="dxa"/>
            <w:hideMark/>
          </w:tcPr>
          <w:p w14:paraId="4836CE17" w14:textId="77777777" w:rsidR="006758EB" w:rsidRDefault="006758EB" w:rsidP="006758EB">
            <w:r>
              <w:t>Slide 20</w:t>
            </w:r>
          </w:p>
        </w:tc>
        <w:tc>
          <w:tcPr>
            <w:tcW w:w="3829" w:type="dxa"/>
            <w:hideMark/>
          </w:tcPr>
          <w:p w14:paraId="798D178D" w14:textId="579B33E1" w:rsidR="006758EB" w:rsidRDefault="000F6BF0" w:rsidP="006758EB">
            <w:r>
              <w:rPr>
                <w:rFonts w:eastAsiaTheme="minorEastAsia"/>
                <w:noProof/>
              </w:rPr>
              <w:pict w14:anchorId="3D0BC0A8">
                <v:shape id="_x0000_i1041" type="#_x0000_t75" alt="Picture of a power point slide" style="width:172.45pt;height:129.75pt;mso-width-percent:0;mso-height-percent:0;mso-position-horizontal:absolute;mso-width-percent:0;mso-height-percent:0"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w:pict>
            </w:r>
          </w:p>
        </w:tc>
      </w:tr>
      <w:tr w:rsidR="006758EB" w14:paraId="0757E120" w14:textId="77777777" w:rsidTr="006758EB">
        <w:trPr>
          <w:trHeight w:val="4000"/>
        </w:trPr>
        <w:tc>
          <w:tcPr>
            <w:tcW w:w="1368" w:type="dxa"/>
            <w:hideMark/>
          </w:tcPr>
          <w:p w14:paraId="4A2293A8" w14:textId="77777777" w:rsidR="006758EB" w:rsidRDefault="006758EB" w:rsidP="006758EB">
            <w:r>
              <w:t>Slide 21</w:t>
            </w:r>
          </w:p>
        </w:tc>
        <w:tc>
          <w:tcPr>
            <w:tcW w:w="3829" w:type="dxa"/>
            <w:hideMark/>
          </w:tcPr>
          <w:p w14:paraId="2B8779C9" w14:textId="7BA63286" w:rsidR="006758EB" w:rsidRDefault="000F6BF0" w:rsidP="006758EB">
            <w:r>
              <w:rPr>
                <w:rFonts w:eastAsiaTheme="minorEastAsia"/>
                <w:noProof/>
              </w:rPr>
              <w:pict w14:anchorId="3CF32BE6">
                <v:shape id="_x0000_i1042" type="#_x0000_t75" alt="Picture of a power point slide" style="width:172.45pt;height:129.75pt;mso-width-percent:0;mso-height-percent:0;mso-position-horizontal:absolute;mso-width-percent:0;mso-height-percent:0" o:bordertopcolor="this" o:borderleftcolor="this" o:borderbottomcolor="this" o:borderrightcolor="this">
                  <v:imagedata r:id="rId86" o:title=""/>
                  <w10:bordertop type="single" width="4" shadow="t"/>
                  <w10:borderleft type="single" width="4" shadow="t"/>
                  <w10:borderbottom type="single" width="4" shadow="t"/>
                  <w10:borderright type="single" width="4" shadow="t"/>
                </v:shape>
              </w:pict>
            </w:r>
          </w:p>
        </w:tc>
      </w:tr>
      <w:tr w:rsidR="006758EB" w14:paraId="585F7E6D" w14:textId="77777777" w:rsidTr="006758EB">
        <w:trPr>
          <w:trHeight w:val="4000"/>
        </w:trPr>
        <w:tc>
          <w:tcPr>
            <w:tcW w:w="1368" w:type="dxa"/>
            <w:hideMark/>
          </w:tcPr>
          <w:p w14:paraId="51643894" w14:textId="77777777" w:rsidR="006758EB" w:rsidRDefault="006758EB" w:rsidP="006758EB">
            <w:r>
              <w:lastRenderedPageBreak/>
              <w:t>Slide 22</w:t>
            </w:r>
          </w:p>
        </w:tc>
        <w:tc>
          <w:tcPr>
            <w:tcW w:w="3829" w:type="dxa"/>
            <w:hideMark/>
          </w:tcPr>
          <w:p w14:paraId="0CDB6933" w14:textId="2B96E0D1" w:rsidR="006758EB" w:rsidRDefault="000F6BF0" w:rsidP="006758EB">
            <w:r>
              <w:rPr>
                <w:rFonts w:eastAsiaTheme="minorEastAsia"/>
                <w:noProof/>
              </w:rPr>
              <w:pict w14:anchorId="0218BDB0">
                <v:shape id="_x0000_i1043" type="#_x0000_t75" alt="Picture of a power point slide" style="width:172.45pt;height:129.75pt;mso-width-percent:0;mso-height-percent:0;mso-position-horizontal:absolute;mso-width-percent:0;mso-height-percent:0"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w:pict>
            </w:r>
          </w:p>
        </w:tc>
      </w:tr>
      <w:tr w:rsidR="006758EB" w14:paraId="7C306878" w14:textId="77777777" w:rsidTr="006758EB">
        <w:trPr>
          <w:trHeight w:val="4000"/>
        </w:trPr>
        <w:tc>
          <w:tcPr>
            <w:tcW w:w="1368" w:type="dxa"/>
            <w:hideMark/>
          </w:tcPr>
          <w:p w14:paraId="6281FE93" w14:textId="77777777" w:rsidR="006758EB" w:rsidRDefault="006758EB" w:rsidP="006758EB">
            <w:r>
              <w:t>Slide 23</w:t>
            </w:r>
          </w:p>
        </w:tc>
        <w:tc>
          <w:tcPr>
            <w:tcW w:w="3829" w:type="dxa"/>
            <w:hideMark/>
          </w:tcPr>
          <w:p w14:paraId="30104B95" w14:textId="0BEC89E5" w:rsidR="006758EB" w:rsidRDefault="000F6BF0" w:rsidP="006758EB">
            <w:r>
              <w:rPr>
                <w:rFonts w:eastAsiaTheme="minorEastAsia"/>
                <w:noProof/>
              </w:rPr>
              <w:pict w14:anchorId="7E0A5910">
                <v:shape id="_x0000_i1044" type="#_x0000_t75" alt="Picture of a power point slide" style="width:180pt;height:135.65pt;mso-width-percent:0;mso-height-percent:0;mso-position-horizontal:absolute;mso-width-percent:0;mso-height-percent:0" o:bordertopcolor="this" o:borderleftcolor="this" o:borderbottomcolor="this" o:borderrightcolor="this">
                  <v:imagedata r:id="rId88" o:title=""/>
                  <w10:bordertop type="single" width="4" shadow="t"/>
                  <w10:borderleft type="single" width="4" shadow="t"/>
                  <w10:borderbottom type="single" width="4" shadow="t"/>
                  <w10:borderright type="single" width="4" shadow="t"/>
                </v:shape>
              </w:pict>
            </w:r>
          </w:p>
        </w:tc>
      </w:tr>
      <w:tr w:rsidR="006758EB" w14:paraId="42CC1005" w14:textId="77777777" w:rsidTr="006758EB">
        <w:trPr>
          <w:trHeight w:val="4000"/>
        </w:trPr>
        <w:tc>
          <w:tcPr>
            <w:tcW w:w="1368" w:type="dxa"/>
            <w:hideMark/>
          </w:tcPr>
          <w:p w14:paraId="6824BF86" w14:textId="77777777" w:rsidR="006758EB" w:rsidRDefault="006758EB" w:rsidP="006758EB">
            <w:r>
              <w:t>Slide 24</w:t>
            </w:r>
          </w:p>
        </w:tc>
        <w:tc>
          <w:tcPr>
            <w:tcW w:w="3829" w:type="dxa"/>
            <w:hideMark/>
          </w:tcPr>
          <w:p w14:paraId="64D4624D" w14:textId="2082E298" w:rsidR="006758EB" w:rsidRDefault="000F6BF0" w:rsidP="006758EB">
            <w:r>
              <w:rPr>
                <w:rFonts w:eastAsiaTheme="minorEastAsia"/>
                <w:noProof/>
              </w:rPr>
              <w:pict w14:anchorId="4F8C78C4">
                <v:shape id="_x0000_i1045" type="#_x0000_t75" alt="Picture of a power point slide" style="width:180pt;height:2in;mso-width-percent:0;mso-height-percent:0;mso-position-horizontal:absolute;mso-width-percent:0;mso-height-percent:0"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w:pict>
            </w:r>
          </w:p>
        </w:tc>
      </w:tr>
      <w:tr w:rsidR="006758EB" w14:paraId="1653D1F0" w14:textId="77777777" w:rsidTr="006758EB">
        <w:trPr>
          <w:trHeight w:val="4000"/>
        </w:trPr>
        <w:tc>
          <w:tcPr>
            <w:tcW w:w="1368" w:type="dxa"/>
            <w:hideMark/>
          </w:tcPr>
          <w:p w14:paraId="298F66CF" w14:textId="77777777" w:rsidR="006758EB" w:rsidRDefault="006758EB" w:rsidP="006758EB">
            <w:r>
              <w:lastRenderedPageBreak/>
              <w:t>Slide 25</w:t>
            </w:r>
          </w:p>
        </w:tc>
        <w:tc>
          <w:tcPr>
            <w:tcW w:w="3829" w:type="dxa"/>
            <w:hideMark/>
          </w:tcPr>
          <w:p w14:paraId="7D67E89D" w14:textId="195A0BDE" w:rsidR="006758EB" w:rsidRDefault="000F6BF0" w:rsidP="006758EB">
            <w:r>
              <w:rPr>
                <w:rFonts w:eastAsiaTheme="minorEastAsia"/>
                <w:noProof/>
              </w:rPr>
              <w:pict w14:anchorId="7FF3775C">
                <v:shape id="_x0000_i1046" type="#_x0000_t75" alt="Picture of a power point slide" style="width:180pt;height:135.65pt;mso-width-percent:0;mso-height-percent:0;mso-position-horizontal:absolute;mso-width-percent:0;mso-height-percent:0" o:bordertopcolor="this" o:borderleftcolor="this" o:borderbottomcolor="this" o:borderrightcolor="this">
                  <v:imagedata r:id="rId90" o:title=""/>
                  <w10:bordertop type="single" width="4" shadow="t"/>
                  <w10:borderleft type="single" width="4" shadow="t"/>
                  <w10:borderbottom type="single" width="4" shadow="t"/>
                  <w10:borderright type="single" width="4" shadow="t"/>
                </v:shape>
              </w:pict>
            </w:r>
          </w:p>
        </w:tc>
      </w:tr>
      <w:tr w:rsidR="006758EB" w14:paraId="5000A0FB" w14:textId="77777777" w:rsidTr="006758EB">
        <w:trPr>
          <w:trHeight w:val="4000"/>
        </w:trPr>
        <w:tc>
          <w:tcPr>
            <w:tcW w:w="1368" w:type="dxa"/>
            <w:hideMark/>
          </w:tcPr>
          <w:p w14:paraId="28A9A441" w14:textId="77777777" w:rsidR="006758EB" w:rsidRDefault="006758EB" w:rsidP="006758EB">
            <w:r>
              <w:t>Slide 26</w:t>
            </w:r>
          </w:p>
        </w:tc>
        <w:tc>
          <w:tcPr>
            <w:tcW w:w="3829" w:type="dxa"/>
            <w:hideMark/>
          </w:tcPr>
          <w:p w14:paraId="0F0F10B5" w14:textId="3F23641E" w:rsidR="006758EB" w:rsidRDefault="000F6BF0" w:rsidP="006758EB">
            <w:r>
              <w:rPr>
                <w:rFonts w:eastAsiaTheme="minorEastAsia"/>
                <w:noProof/>
              </w:rPr>
              <w:pict w14:anchorId="14F50C29">
                <v:shape id="_x0000_i1047" type="#_x0000_t75" alt="Picture of a power point slide" style="width:180pt;height:135.65pt;mso-width-percent:0;mso-height-percent:0;mso-position-horizontal:absolute;mso-width-percent:0;mso-height-percent:0"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w:pict>
            </w:r>
          </w:p>
        </w:tc>
      </w:tr>
      <w:tr w:rsidR="006758EB" w14:paraId="50661DAB" w14:textId="77777777" w:rsidTr="006758EB">
        <w:trPr>
          <w:trHeight w:val="4000"/>
        </w:trPr>
        <w:tc>
          <w:tcPr>
            <w:tcW w:w="1368" w:type="dxa"/>
            <w:hideMark/>
          </w:tcPr>
          <w:p w14:paraId="432CA3FC" w14:textId="77777777" w:rsidR="006758EB" w:rsidRDefault="006758EB" w:rsidP="006758EB">
            <w:r>
              <w:t>Slide 27</w:t>
            </w:r>
          </w:p>
        </w:tc>
        <w:tc>
          <w:tcPr>
            <w:tcW w:w="3829" w:type="dxa"/>
            <w:hideMark/>
          </w:tcPr>
          <w:p w14:paraId="229BDC7B" w14:textId="6521D17A" w:rsidR="006758EB" w:rsidRDefault="000F6BF0" w:rsidP="006758EB">
            <w:r>
              <w:rPr>
                <w:rFonts w:eastAsiaTheme="minorEastAsia"/>
                <w:noProof/>
              </w:rPr>
              <w:pict w14:anchorId="5A25F328">
                <v:shape id="_x0000_i1048" type="#_x0000_t75" alt="Picture of a power point slide" style="width:187.55pt;height:2in;mso-width-percent:0;mso-height-percent:0;mso-position-horizontal:absolute;mso-width-percent:0;mso-height-percent:0" o:bordertopcolor="this" o:borderleftcolor="this" o:borderbottomcolor="this" o:borderrightcolor="this">
                  <v:imagedata r:id="rId92" o:title=""/>
                  <w10:bordertop type="single" width="4" shadow="t"/>
                  <w10:borderleft type="single" width="4" shadow="t"/>
                  <w10:borderbottom type="single" width="4" shadow="t"/>
                  <w10:borderright type="single" width="4" shadow="t"/>
                </v:shape>
              </w:pict>
            </w:r>
          </w:p>
        </w:tc>
      </w:tr>
      <w:tr w:rsidR="006758EB" w14:paraId="65BB645F" w14:textId="77777777" w:rsidTr="006758EB">
        <w:trPr>
          <w:trHeight w:val="4000"/>
        </w:trPr>
        <w:tc>
          <w:tcPr>
            <w:tcW w:w="1368" w:type="dxa"/>
            <w:hideMark/>
          </w:tcPr>
          <w:p w14:paraId="788D11CB" w14:textId="77777777" w:rsidR="006758EB" w:rsidRDefault="006758EB" w:rsidP="006758EB">
            <w:r>
              <w:lastRenderedPageBreak/>
              <w:t>Slide 28</w:t>
            </w:r>
          </w:p>
        </w:tc>
        <w:tc>
          <w:tcPr>
            <w:tcW w:w="3829" w:type="dxa"/>
            <w:hideMark/>
          </w:tcPr>
          <w:p w14:paraId="56F08F6E" w14:textId="188B1082" w:rsidR="006758EB" w:rsidRDefault="000F6BF0" w:rsidP="006758EB">
            <w:r>
              <w:rPr>
                <w:rFonts w:eastAsiaTheme="minorEastAsia"/>
                <w:noProof/>
              </w:rPr>
              <w:pict w14:anchorId="1FA9B234">
                <v:shape id="_x0000_i1049" type="#_x0000_t75" alt="Picture of a power point slide" style="width:172.45pt;height:129.75pt;mso-width-percent:0;mso-height-percent:0;mso-position-horizontal:absolute;mso-width-percent:0;mso-height-percent:0"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w:pict>
            </w:r>
          </w:p>
        </w:tc>
      </w:tr>
      <w:tr w:rsidR="006758EB" w14:paraId="7E601A38" w14:textId="77777777" w:rsidTr="006758EB">
        <w:trPr>
          <w:trHeight w:val="4000"/>
        </w:trPr>
        <w:tc>
          <w:tcPr>
            <w:tcW w:w="1368" w:type="dxa"/>
            <w:hideMark/>
          </w:tcPr>
          <w:p w14:paraId="6106828D" w14:textId="77777777" w:rsidR="006758EB" w:rsidRDefault="006758EB" w:rsidP="006758EB">
            <w:r>
              <w:t>Slide 29</w:t>
            </w:r>
          </w:p>
        </w:tc>
        <w:tc>
          <w:tcPr>
            <w:tcW w:w="3829" w:type="dxa"/>
            <w:hideMark/>
          </w:tcPr>
          <w:p w14:paraId="51CB4698" w14:textId="7F78C4B3" w:rsidR="006758EB" w:rsidRDefault="000F6BF0" w:rsidP="006758EB">
            <w:r>
              <w:rPr>
                <w:rFonts w:eastAsiaTheme="minorEastAsia"/>
                <w:noProof/>
              </w:rPr>
              <w:pict w14:anchorId="365F2CD1">
                <v:shape id="_x0000_i1050" type="#_x0000_t75" alt="Picture of a power point slide" style="width:180pt;height:2in;mso-width-percent:0;mso-height-percent:0;mso-position-horizontal:absolute;mso-width-percent:0;mso-height-percent:0" o:bordertopcolor="this" o:borderleftcolor="this" o:borderbottomcolor="this" o:borderrightcolor="this">
                  <v:imagedata r:id="rId94" o:title=""/>
                  <w10:bordertop type="single" width="4" shadow="t"/>
                  <w10:borderleft type="single" width="4" shadow="t"/>
                  <w10:borderbottom type="single" width="4" shadow="t"/>
                  <w10:borderright type="single" width="4" shadow="t"/>
                </v:shape>
              </w:pict>
            </w:r>
          </w:p>
        </w:tc>
      </w:tr>
    </w:tbl>
    <w:p w14:paraId="7E085AF1" w14:textId="77777777" w:rsidR="00AB4BA3" w:rsidRDefault="00AB4BA3" w:rsidP="00AB4BA3"/>
    <w:p w14:paraId="6E4AF8FA" w14:textId="671F2C5B" w:rsidR="00AB4E6A" w:rsidRPr="0041437E" w:rsidRDefault="006745C0" w:rsidP="008E6F0E">
      <w:pPr>
        <w:pStyle w:val="Heading2"/>
        <w:ind w:left="720" w:hanging="720"/>
        <w:jc w:val="both"/>
        <w:rPr>
          <w:b w:val="0"/>
          <w:bCs w:val="0"/>
          <w:sz w:val="32"/>
          <w:szCs w:val="32"/>
        </w:rPr>
      </w:pPr>
      <w:r>
        <w:rPr>
          <w:rFonts w:ascii="Times New Roman" w:hAnsi="Times New Roman" w:cs="Times New Roman"/>
          <w:sz w:val="32"/>
          <w:szCs w:val="32"/>
        </w:rPr>
        <w:br w:type="page"/>
      </w:r>
      <w:bookmarkStart w:id="773" w:name="_Toc87463123"/>
      <w:r w:rsidR="00F927AD" w:rsidRPr="0041437E">
        <w:rPr>
          <w:sz w:val="32"/>
          <w:szCs w:val="32"/>
        </w:rPr>
        <w:lastRenderedPageBreak/>
        <w:t>A</w:t>
      </w:r>
      <w:r w:rsidR="00917737" w:rsidRPr="0041437E">
        <w:rPr>
          <w:sz w:val="32"/>
          <w:szCs w:val="32"/>
        </w:rPr>
        <w:t>pp</w:t>
      </w:r>
      <w:r w:rsidR="00F927AD" w:rsidRPr="0041437E">
        <w:rPr>
          <w:sz w:val="32"/>
          <w:szCs w:val="32"/>
        </w:rPr>
        <w:t>endix</w:t>
      </w:r>
      <w:r w:rsidR="00AB4E6A" w:rsidRPr="0041437E">
        <w:rPr>
          <w:sz w:val="32"/>
          <w:szCs w:val="32"/>
        </w:rPr>
        <w:t xml:space="preserve"> 1</w:t>
      </w:r>
      <w:r w:rsidR="006F4DEE" w:rsidRPr="0041437E">
        <w:rPr>
          <w:sz w:val="32"/>
          <w:szCs w:val="32"/>
        </w:rPr>
        <w:t>2</w:t>
      </w:r>
      <w:r w:rsidR="00AB4E6A" w:rsidRPr="0041437E">
        <w:rPr>
          <w:sz w:val="32"/>
          <w:szCs w:val="32"/>
        </w:rPr>
        <w:t>: Review of existing economic evaluations</w:t>
      </w:r>
      <w:bookmarkEnd w:id="773"/>
      <w:r w:rsidR="00AB4E6A" w:rsidRPr="0041437E">
        <w:rPr>
          <w:b w:val="0"/>
          <w:bCs w:val="0"/>
          <w:sz w:val="32"/>
          <w:szCs w:val="32"/>
        </w:rPr>
        <w:t xml:space="preserve"> </w:t>
      </w:r>
    </w:p>
    <w:p w14:paraId="4D3E7BE1" w14:textId="280A6C34" w:rsidR="00AB4E6A" w:rsidRPr="00AB4E6A" w:rsidRDefault="0041437E" w:rsidP="00AB4E6A">
      <w:pPr>
        <w:pStyle w:val="EEPRUnumberedstylelevel3"/>
      </w:pPr>
      <w:r>
        <w:tab/>
      </w:r>
      <w:bookmarkStart w:id="774" w:name="_Toc87463124"/>
      <w:r w:rsidR="00AB4E6A" w:rsidRPr="00AB4E6A">
        <w:t>A</w:t>
      </w:r>
      <w:r w:rsidR="00AB4E6A">
        <w:t>1</w:t>
      </w:r>
      <w:r w:rsidR="006F4DEE">
        <w:t>2</w:t>
      </w:r>
      <w:r w:rsidR="00AB4E6A" w:rsidRPr="00AB4E6A">
        <w:t>.1 Introduction and objectives</w:t>
      </w:r>
      <w:bookmarkEnd w:id="774"/>
    </w:p>
    <w:p w14:paraId="71233BEE"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A series of reviews of existing cost-effectiveness evidence and modelling approaches was conducted:</w:t>
      </w:r>
    </w:p>
    <w:p w14:paraId="6FBF0774" w14:textId="408BB6BF" w:rsidR="00AB4E6A" w:rsidRPr="00AB4E6A" w:rsidRDefault="00AB4E6A" w:rsidP="005A3BE6">
      <w:pPr>
        <w:numPr>
          <w:ilvl w:val="0"/>
          <w:numId w:val="57"/>
        </w:numPr>
        <w:spacing w:line="360" w:lineRule="auto"/>
        <w:rPr>
          <w:rFonts w:asciiTheme="majorBidi" w:hAnsiTheme="majorBidi" w:cstheme="majorBidi"/>
        </w:rPr>
      </w:pPr>
      <w:r w:rsidRPr="00AB4E6A">
        <w:rPr>
          <w:rFonts w:asciiTheme="majorBidi" w:hAnsiTheme="majorBidi" w:cstheme="majorBidi"/>
        </w:rPr>
        <w:t xml:space="preserve">A review of existing cost-effectiveness evidence for CAZ-AVI with a focus on studies that include decision-analytic models.  The aims were to establish the </w:t>
      </w:r>
      <w:proofErr w:type="spellStart"/>
      <w:r w:rsidRPr="00AB4E6A">
        <w:rPr>
          <w:rFonts w:asciiTheme="majorBidi" w:hAnsiTheme="majorBidi" w:cstheme="majorBidi"/>
        </w:rPr>
        <w:t>existance</w:t>
      </w:r>
      <w:proofErr w:type="spellEnd"/>
      <w:r w:rsidRPr="00AB4E6A">
        <w:rPr>
          <w:rFonts w:asciiTheme="majorBidi" w:hAnsiTheme="majorBidi" w:cstheme="majorBidi"/>
        </w:rPr>
        <w:t xml:space="preserve"> of potentially policy-relevant models to guide NICE and NHS decisions; and to identify relevant analytical methods and data sources. </w:t>
      </w:r>
    </w:p>
    <w:p w14:paraId="0E8DDFDC" w14:textId="77777777" w:rsidR="00AB4E6A" w:rsidRPr="00AB4E6A" w:rsidRDefault="00AB4E6A" w:rsidP="005A3BE6">
      <w:pPr>
        <w:numPr>
          <w:ilvl w:val="0"/>
          <w:numId w:val="57"/>
        </w:numPr>
        <w:spacing w:line="360" w:lineRule="auto"/>
        <w:rPr>
          <w:rFonts w:asciiTheme="majorBidi" w:hAnsiTheme="majorBidi" w:cstheme="majorBidi"/>
        </w:rPr>
      </w:pPr>
      <w:r w:rsidRPr="00AB4E6A">
        <w:rPr>
          <w:rFonts w:asciiTheme="majorBidi" w:hAnsiTheme="majorBidi" w:cstheme="majorBidi"/>
        </w:rPr>
        <w:t>A review of existing approaches for resistance modelling in the target population. The aim of this review was to identify methods that could be adopted for this purpose in EEPRU’s modelling.</w:t>
      </w:r>
    </w:p>
    <w:p w14:paraId="73D1B1FE" w14:textId="77777777" w:rsidR="00AB4E6A" w:rsidRPr="00AB4E6A" w:rsidRDefault="00AB4E6A" w:rsidP="005A3BE6">
      <w:pPr>
        <w:numPr>
          <w:ilvl w:val="0"/>
          <w:numId w:val="57"/>
        </w:numPr>
        <w:spacing w:line="360" w:lineRule="auto"/>
        <w:rPr>
          <w:rFonts w:asciiTheme="majorBidi" w:hAnsiTheme="majorBidi" w:cstheme="majorBidi"/>
        </w:rPr>
      </w:pPr>
      <w:r w:rsidRPr="00AB4E6A">
        <w:rPr>
          <w:rFonts w:asciiTheme="majorBidi" w:hAnsiTheme="majorBidi" w:cstheme="majorBidi"/>
        </w:rPr>
        <w:t xml:space="preserve">A review of existing cost-effectiveness models in HAP/VAP to understand modelling approaches and data sources.  </w:t>
      </w:r>
    </w:p>
    <w:p w14:paraId="4EA64A85" w14:textId="77777777" w:rsidR="00AB4E6A" w:rsidRPr="00AB4E6A" w:rsidRDefault="00AB4E6A" w:rsidP="005A3BE6">
      <w:pPr>
        <w:numPr>
          <w:ilvl w:val="0"/>
          <w:numId w:val="57"/>
        </w:numPr>
        <w:spacing w:line="360" w:lineRule="auto"/>
        <w:rPr>
          <w:rFonts w:asciiTheme="majorBidi" w:hAnsiTheme="majorBidi" w:cstheme="majorBidi"/>
        </w:rPr>
      </w:pPr>
      <w:r w:rsidRPr="00AB4E6A">
        <w:rPr>
          <w:rFonts w:asciiTheme="majorBidi" w:hAnsiTheme="majorBidi" w:cstheme="majorBidi"/>
        </w:rPr>
        <w:t xml:space="preserve">A review of existing cost-effectiveness models in </w:t>
      </w: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Again, the purpose was to understand modelling approaches and data sources.  </w:t>
      </w:r>
    </w:p>
    <w:p w14:paraId="5C85A3DC" w14:textId="77777777" w:rsidR="00AB4E6A" w:rsidRPr="00AB4E6A" w:rsidRDefault="00AB4E6A" w:rsidP="00917737">
      <w:pPr>
        <w:spacing w:line="360" w:lineRule="auto"/>
        <w:rPr>
          <w:rFonts w:asciiTheme="majorBidi" w:hAnsiTheme="majorBidi" w:cstheme="majorBidi"/>
        </w:rPr>
      </w:pPr>
    </w:p>
    <w:p w14:paraId="0DEC1D12" w14:textId="002C96E0" w:rsidR="00AB4E6A" w:rsidRPr="0041437E" w:rsidRDefault="0041437E" w:rsidP="00C03BFF">
      <w:pPr>
        <w:pStyle w:val="EEPRUnumberedstylelevel3"/>
        <w:rPr>
          <w:b w:val="0"/>
          <w:bCs w:val="0"/>
        </w:rPr>
      </w:pPr>
      <w:r>
        <w:tab/>
      </w:r>
      <w:bookmarkStart w:id="775" w:name="_Toc87463125"/>
      <w:r w:rsidR="00AB4E6A" w:rsidRPr="0041437E">
        <w:t>A1</w:t>
      </w:r>
      <w:r w:rsidR="006F4DEE" w:rsidRPr="0041437E">
        <w:t>2</w:t>
      </w:r>
      <w:r w:rsidR="00AB4E6A" w:rsidRPr="0041437E">
        <w:t>.2 Methods</w:t>
      </w:r>
      <w:bookmarkEnd w:id="775"/>
    </w:p>
    <w:p w14:paraId="3623EF77"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Each review involved searches of bibliographic databases using standardized search terms, selection of studies using explicit inclusion criteria and data extraction using an agreed template.  Details of the bibliographic databases that were searched are provided in Annex 1 to this appendix.  </w:t>
      </w:r>
    </w:p>
    <w:p w14:paraId="1BA67D5A" w14:textId="77777777" w:rsidR="00AB4E6A" w:rsidRPr="00AB4E6A" w:rsidRDefault="00AB4E6A" w:rsidP="00917737">
      <w:pPr>
        <w:spacing w:line="360" w:lineRule="auto"/>
        <w:rPr>
          <w:rFonts w:asciiTheme="majorBidi" w:hAnsiTheme="majorBidi" w:cstheme="majorBidi"/>
        </w:rPr>
      </w:pPr>
    </w:p>
    <w:p w14:paraId="5D23A65B" w14:textId="787840BA" w:rsidR="00AB4E6A" w:rsidRPr="0041437E" w:rsidRDefault="0041437E" w:rsidP="00C03BFF">
      <w:pPr>
        <w:pStyle w:val="EEPRUnumberedstylelevel3"/>
        <w:rPr>
          <w:b w:val="0"/>
          <w:bCs w:val="0"/>
        </w:rPr>
      </w:pPr>
      <w:r>
        <w:tab/>
      </w:r>
      <w:bookmarkStart w:id="776" w:name="_Toc87463126"/>
      <w:r w:rsidR="00AB4E6A" w:rsidRPr="0041437E">
        <w:t>A1</w:t>
      </w:r>
      <w:r w:rsidR="006F4DEE" w:rsidRPr="0041437E">
        <w:t>2</w:t>
      </w:r>
      <w:r w:rsidR="00AB4E6A" w:rsidRPr="0041437E">
        <w:t>.3 Review 1: existing cost-effectiveness evidence for CAZ-AVI</w:t>
      </w:r>
      <w:bookmarkEnd w:id="776"/>
      <w:r w:rsidR="00AB4E6A" w:rsidRPr="0041437E">
        <w:t xml:space="preserve"> </w:t>
      </w:r>
    </w:p>
    <w:p w14:paraId="3BB1E7E5" w14:textId="11D6913B" w:rsidR="00AB4E6A" w:rsidRPr="00AB4E6A" w:rsidRDefault="00AB4E6A" w:rsidP="00917737">
      <w:pPr>
        <w:spacing w:line="360" w:lineRule="auto"/>
        <w:rPr>
          <w:rFonts w:asciiTheme="majorBidi" w:hAnsiTheme="majorBidi" w:cstheme="majorBidi"/>
        </w:rPr>
      </w:pPr>
      <w:bookmarkStart w:id="777" w:name="_Toc77944762"/>
      <w:bookmarkStart w:id="778" w:name="_Toc77950644"/>
      <w:r w:rsidRPr="00AB4E6A">
        <w:rPr>
          <w:rFonts w:asciiTheme="majorBidi" w:hAnsiTheme="majorBidi" w:cstheme="majorBidi"/>
        </w:rPr>
        <w:t xml:space="preserve">The objective of the first review was to identify existing cost-effectiveness modelling studies of CAZ-AVI from the published literature. A total of 89 potentially relevant papers or abstracts were identified for the review from the searches. All the publications were screened using their titles and abstracts. Of the 89 publications screened, 14 relevant publications were included and 74 were excluded. The major reasons for exclusion were that the studies did not use decision analytic models, did not consider a relevant target population or were duplicates of other studies. Full-text articles of the relevant publications were obtained for secondary screening. Out of the 14 studies included, 9 studies were excluded on the basis of the </w:t>
      </w:r>
      <w:proofErr w:type="gramStart"/>
      <w:r w:rsidRPr="00AB4E6A">
        <w:rPr>
          <w:rFonts w:asciiTheme="majorBidi" w:hAnsiTheme="majorBidi" w:cstheme="majorBidi"/>
        </w:rPr>
        <w:t>full-text</w:t>
      </w:r>
      <w:proofErr w:type="gramEnd"/>
      <w:r w:rsidRPr="00AB4E6A">
        <w:rPr>
          <w:rFonts w:asciiTheme="majorBidi" w:hAnsiTheme="majorBidi" w:cstheme="majorBidi"/>
        </w:rPr>
        <w:t xml:space="preserve">.  The major reason for exclusion of studies during secondary </w:t>
      </w:r>
      <w:r w:rsidRPr="00AB4E6A">
        <w:rPr>
          <w:rFonts w:asciiTheme="majorBidi" w:hAnsiTheme="majorBidi" w:cstheme="majorBidi"/>
        </w:rPr>
        <w:lastRenderedPageBreak/>
        <w:t xml:space="preserve">screening was that after further reading it was apparent that the study did not include decision modelling. The 5 studies included in the review are described in </w:t>
      </w:r>
      <w:r w:rsidR="00E32B55" w:rsidRPr="00E32B55">
        <w:rPr>
          <w:rFonts w:asciiTheme="majorBidi" w:hAnsiTheme="majorBidi" w:cstheme="majorBidi"/>
        </w:rPr>
        <w:t>Table 53</w:t>
      </w:r>
      <w:r w:rsidRPr="00AB4E6A">
        <w:rPr>
          <w:rFonts w:asciiTheme="majorBidi" w:hAnsiTheme="majorBidi" w:cstheme="majorBidi"/>
        </w:rPr>
        <w:t xml:space="preserve">. </w:t>
      </w:r>
    </w:p>
    <w:p w14:paraId="331A192E" w14:textId="2F8B95E7"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Three of five included studies took a conventional approach to health technology assessment and sought to estimate the cost-effectiveness of CAZ-AVI based on clinical and economic data collected in the product’s regulatory trials.</w:t>
      </w:r>
      <w:r w:rsidR="00A83123" w:rsidRPr="00A83123">
        <w:rPr>
          <w:rFonts w:asciiTheme="majorBidi" w:hAnsiTheme="majorBidi" w:cstheme="majorBidi"/>
          <w:noProof/>
          <w:vertAlign w:val="superscript"/>
        </w:rPr>
        <w:t>14,103,104</w:t>
      </w:r>
      <w:r w:rsidRPr="00AB4E6A">
        <w:rPr>
          <w:rFonts w:asciiTheme="majorBidi" w:hAnsiTheme="majorBidi" w:cstheme="majorBidi"/>
        </w:rPr>
        <w:t xml:space="preserve"> As discussed elsewhere,</w:t>
      </w:r>
      <w:r w:rsidR="00A83123" w:rsidRPr="00A83123">
        <w:rPr>
          <w:rFonts w:asciiTheme="majorBidi" w:hAnsiTheme="majorBidi" w:cstheme="majorBidi"/>
          <w:noProof/>
          <w:vertAlign w:val="superscript"/>
        </w:rPr>
        <w:t>13</w:t>
      </w:r>
      <w:r w:rsidRPr="00AB4E6A">
        <w:rPr>
          <w:rFonts w:asciiTheme="majorBidi" w:hAnsiTheme="majorBidi" w:cstheme="majorBidi"/>
        </w:rPr>
        <w:t xml:space="preserve"> such trials are problematic to assess the value of new antibiotics for two main reasons.  The first is that they are non-inferiority studies and, as such, are not designed to estimate the incremental benefit that a new product typically requires to demonstrate value against less costly comparator treatments.  The second is that, for ethical reasons, the patients included in regulatory trials generally need to be susceptible to the treatments in all arms of the study.  As such, their populations are different to those relating to the HVCSs, who are either known or suspected of being resistant to many existing antibiotics.  These three studies</w:t>
      </w:r>
      <w:r w:rsidR="00A83123" w:rsidRPr="00A83123">
        <w:rPr>
          <w:rFonts w:asciiTheme="majorBidi" w:hAnsiTheme="majorBidi" w:cstheme="majorBidi"/>
          <w:noProof/>
          <w:vertAlign w:val="superscript"/>
        </w:rPr>
        <w:t>14,103,104</w:t>
      </w:r>
      <w:r w:rsidRPr="00AB4E6A">
        <w:rPr>
          <w:rFonts w:asciiTheme="majorBidi" w:hAnsiTheme="majorBidi" w:cstheme="majorBidi"/>
        </w:rPr>
        <w:t xml:space="preserve"> sought to address the second limitation by modelling a proportion of patients having resistant infections, which involved making assumptions about the proportion of patients with resistant infection in the relevant population, and the impact of resistance on clinical parameters including cure rates.  These studies also tried to reflect the wider set of existing therapies used in clinical practice by drawing on non-RCT evidence in the target population.</w:t>
      </w:r>
    </w:p>
    <w:p w14:paraId="67192090" w14:textId="59E166CC"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The two remaining studies considered a broader evidence base than just regulatory trials to relate their analyses more directly to populations with a higher likelihood of pathogens resistant to existing therapies.  Simon </w:t>
      </w:r>
      <w:r w:rsidRPr="00AB4E6A">
        <w:rPr>
          <w:rFonts w:asciiTheme="majorBidi" w:hAnsiTheme="majorBidi" w:cstheme="majorBidi"/>
          <w:i/>
          <w:iCs/>
        </w:rPr>
        <w:t>et al</w:t>
      </w:r>
      <w:r w:rsidRPr="00AB4E6A">
        <w:rPr>
          <w:rFonts w:asciiTheme="majorBidi" w:hAnsiTheme="majorBidi" w:cstheme="majorBidi"/>
        </w:rPr>
        <w:t xml:space="preserve"> focused on the cost-effectiveness of CAZ-AVI in carbapenem-resistant </w:t>
      </w:r>
      <w:r w:rsidRPr="00AB4E6A">
        <w:rPr>
          <w:rFonts w:asciiTheme="majorBidi" w:hAnsiTheme="majorBidi" w:cstheme="majorBidi"/>
          <w:i/>
          <w:iCs/>
        </w:rPr>
        <w:t xml:space="preserve">Enterobacteriaceae </w:t>
      </w:r>
      <w:r w:rsidRPr="00AB4E6A">
        <w:rPr>
          <w:rFonts w:asciiTheme="majorBidi" w:hAnsiTheme="majorBidi" w:cstheme="majorBidi"/>
        </w:rPr>
        <w:t>pneumonia or bacteraemia, drawing on evidence from observational studies on the proportions of patients with different types of infection, mortality rates with the comparator (colistin-based) therapy and the absolute effect of CAZ-AVI on mortality.</w:t>
      </w:r>
      <w:r w:rsidR="00A83123" w:rsidRPr="00A83123">
        <w:rPr>
          <w:rFonts w:asciiTheme="majorBidi" w:hAnsiTheme="majorBidi" w:cstheme="majorBidi"/>
          <w:noProof/>
          <w:vertAlign w:val="superscript"/>
        </w:rPr>
        <w:t>105</w:t>
      </w:r>
      <w:r w:rsidRPr="00AB4E6A">
        <w:rPr>
          <w:rFonts w:asciiTheme="majorBidi" w:hAnsiTheme="majorBidi" w:cstheme="majorBidi"/>
        </w:rPr>
        <w:t xml:space="preserve"> The risk of nephrotoxicity with colistin-based therapy was also modelled using observational data.  Nguyen </w:t>
      </w:r>
      <w:r w:rsidRPr="00AB4E6A">
        <w:rPr>
          <w:rFonts w:asciiTheme="majorBidi" w:hAnsiTheme="majorBidi" w:cstheme="majorBidi"/>
          <w:i/>
          <w:iCs/>
        </w:rPr>
        <w:t>et al</w:t>
      </w:r>
      <w:r w:rsidRPr="00AB4E6A">
        <w:rPr>
          <w:rFonts w:asciiTheme="majorBidi" w:hAnsiTheme="majorBidi" w:cstheme="majorBidi"/>
        </w:rPr>
        <w:t xml:space="preserve"> considered the cost-effectiveness of CAZ-AVI (and other carbapenem-sparing beta-lactams) compared to meropenem in </w:t>
      </w: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or intra-abdominal infections in ESBL/</w:t>
      </w:r>
      <w:proofErr w:type="spellStart"/>
      <w:r w:rsidRPr="00AB4E6A">
        <w:rPr>
          <w:rFonts w:asciiTheme="majorBidi" w:hAnsiTheme="majorBidi" w:cstheme="majorBidi"/>
        </w:rPr>
        <w:t>AmpC</w:t>
      </w:r>
      <w:proofErr w:type="spellEnd"/>
      <w:r w:rsidRPr="00AB4E6A">
        <w:rPr>
          <w:rFonts w:asciiTheme="majorBidi" w:hAnsiTheme="majorBidi" w:cstheme="majorBidi"/>
        </w:rPr>
        <w:t>-producing pathogens which have a high risk of carbapenem resistance.</w:t>
      </w:r>
      <w:r w:rsidR="00A83123" w:rsidRPr="00A83123">
        <w:rPr>
          <w:rFonts w:asciiTheme="majorBidi" w:hAnsiTheme="majorBidi" w:cstheme="majorBidi"/>
          <w:noProof/>
          <w:vertAlign w:val="superscript"/>
        </w:rPr>
        <w:t>106</w:t>
      </w:r>
      <w:r w:rsidRPr="00AB4E6A">
        <w:rPr>
          <w:rFonts w:asciiTheme="majorBidi" w:hAnsiTheme="majorBidi" w:cstheme="majorBidi"/>
        </w:rPr>
        <w:t xml:space="preserve">  Both observational and RCT evidence was used for the analysis, although RCT evidence was used for the CAZ-AVI analysis which showed no significant difference in clinical cure versus meropenem with limited information about patients’ resistance status.  </w:t>
      </w:r>
    </w:p>
    <w:p w14:paraId="72E0D8B9" w14:textId="57D71948" w:rsidR="000A3967" w:rsidRDefault="00AB4E6A" w:rsidP="00A83123">
      <w:pPr>
        <w:spacing w:line="360" w:lineRule="auto"/>
        <w:rPr>
          <w:rFonts w:asciiTheme="majorBidi" w:hAnsiTheme="majorBidi" w:cstheme="majorBidi"/>
        </w:rPr>
      </w:pPr>
      <w:r w:rsidRPr="00AB4E6A">
        <w:rPr>
          <w:rFonts w:asciiTheme="majorBidi" w:hAnsiTheme="majorBidi" w:cstheme="majorBidi"/>
        </w:rPr>
        <w:t>All studies considered costs and benefits at a patient-level with no attempt to aggregate across the licensed CAZ-AVI indications likely to represent the product’s expected population.   All studies had relatively short-term time horizons (3-5 years) and no attempt was made to consider the value of CAZ-AVI as resistance to the new and existing therapies increases over time.  There has been discussion in the literature of a wider set of sources of value for novel antibiotics including benefits associated with reducing transmission, enabling medical procedures and insuring against sudden future increases in resistance.</w:t>
      </w:r>
      <w:proofErr w:type="gramStart"/>
      <w:r w:rsidR="00A83123" w:rsidRPr="00A83123">
        <w:rPr>
          <w:rFonts w:asciiTheme="majorBidi" w:hAnsiTheme="majorBidi" w:cstheme="majorBidi"/>
          <w:noProof/>
          <w:vertAlign w:val="superscript"/>
        </w:rPr>
        <w:t>13</w:t>
      </w:r>
      <w:r w:rsidRPr="00AB4E6A">
        <w:rPr>
          <w:rFonts w:asciiTheme="majorBidi" w:hAnsiTheme="majorBidi" w:cstheme="majorBidi"/>
        </w:rPr>
        <w:t xml:space="preserve">  These</w:t>
      </w:r>
      <w:proofErr w:type="gramEnd"/>
      <w:r w:rsidRPr="00AB4E6A">
        <w:rPr>
          <w:rFonts w:asciiTheme="majorBidi" w:hAnsiTheme="majorBidi" w:cstheme="majorBidi"/>
        </w:rPr>
        <w:t xml:space="preserve"> were not considered in any of the five studies included in the review.  None of the </w:t>
      </w:r>
      <w:r w:rsidRPr="00AB4E6A">
        <w:rPr>
          <w:rFonts w:asciiTheme="majorBidi" w:hAnsiTheme="majorBidi" w:cstheme="majorBidi"/>
        </w:rPr>
        <w:lastRenderedPageBreak/>
        <w:t>analyses related to clinical practice or evidence from the UK.  As such, their relevance to this evaluation of CAZ-AVI is very limited.</w:t>
      </w:r>
    </w:p>
    <w:p w14:paraId="4EE6BCAB" w14:textId="77777777" w:rsidR="000A3967" w:rsidRDefault="000A3967">
      <w:pPr>
        <w:rPr>
          <w:rFonts w:asciiTheme="majorBidi" w:hAnsiTheme="majorBidi" w:cstheme="majorBidi"/>
        </w:rPr>
      </w:pPr>
      <w:r>
        <w:rPr>
          <w:rFonts w:asciiTheme="majorBidi" w:hAnsiTheme="majorBidi" w:cstheme="majorBidi"/>
        </w:rPr>
        <w:br w:type="page"/>
      </w:r>
    </w:p>
    <w:p w14:paraId="5ED53583" w14:textId="71ECA5BC" w:rsidR="00AB4E6A" w:rsidRPr="00E052E9" w:rsidRDefault="00E32B55" w:rsidP="00E32B55">
      <w:pPr>
        <w:pStyle w:val="Caption"/>
        <w:rPr>
          <w:rFonts w:asciiTheme="majorBidi" w:hAnsiTheme="majorBidi" w:cstheme="majorBidi"/>
          <w:b/>
          <w:bCs/>
          <w:i w:val="0"/>
          <w:iCs w:val="0"/>
        </w:rPr>
      </w:pPr>
      <w:bookmarkStart w:id="779" w:name="_Ref85646253"/>
      <w:bookmarkStart w:id="780" w:name="_Toc86419037"/>
      <w:r w:rsidRPr="00E052E9">
        <w:rPr>
          <w:b/>
          <w:bCs/>
          <w:i w:val="0"/>
          <w:iCs w:val="0"/>
        </w:rPr>
        <w:lastRenderedPageBreak/>
        <w:t xml:space="preserve">Table </w:t>
      </w:r>
      <w:r w:rsidR="00F10F0A" w:rsidRPr="00E052E9">
        <w:rPr>
          <w:b/>
          <w:bCs/>
          <w:i w:val="0"/>
          <w:iCs w:val="0"/>
          <w:noProof/>
        </w:rPr>
        <w:t>60</w:t>
      </w:r>
      <w:bookmarkEnd w:id="779"/>
      <w:r w:rsidR="00AB4E6A" w:rsidRPr="00E052E9">
        <w:rPr>
          <w:rFonts w:asciiTheme="majorBidi" w:hAnsiTheme="majorBidi" w:cstheme="majorBidi"/>
          <w:b/>
          <w:bCs/>
          <w:i w:val="0"/>
          <w:iCs w:val="0"/>
        </w:rPr>
        <w:t>: Summary of included cost-effectiveness studies of CAZ-AVI</w:t>
      </w:r>
      <w:bookmarkEnd w:id="780"/>
    </w:p>
    <w:tbl>
      <w:tblPr>
        <w:tblStyle w:val="TableGrid4"/>
        <w:tblW w:w="10485" w:type="dxa"/>
        <w:tblLayout w:type="fixed"/>
        <w:tblLook w:val="0020" w:firstRow="1" w:lastRow="0" w:firstColumn="0" w:lastColumn="0" w:noHBand="0" w:noVBand="0"/>
      </w:tblPr>
      <w:tblGrid>
        <w:gridCol w:w="1216"/>
        <w:gridCol w:w="1047"/>
        <w:gridCol w:w="1701"/>
        <w:gridCol w:w="1418"/>
        <w:gridCol w:w="992"/>
        <w:gridCol w:w="1418"/>
        <w:gridCol w:w="1559"/>
        <w:gridCol w:w="1134"/>
      </w:tblGrid>
      <w:tr w:rsidR="00AB4E6A" w:rsidRPr="00AB4E6A" w14:paraId="1B78CA50" w14:textId="77777777" w:rsidTr="00BF606F">
        <w:trPr>
          <w:trHeight w:val="110"/>
        </w:trPr>
        <w:tc>
          <w:tcPr>
            <w:tcW w:w="1216" w:type="dxa"/>
          </w:tcPr>
          <w:p w14:paraId="340F12F7"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Author, year</w:t>
            </w:r>
          </w:p>
        </w:tc>
        <w:tc>
          <w:tcPr>
            <w:tcW w:w="1047" w:type="dxa"/>
          </w:tcPr>
          <w:p w14:paraId="4157628D"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Country</w:t>
            </w:r>
          </w:p>
          <w:p w14:paraId="506C8660" w14:textId="77777777" w:rsidR="00AB4E6A" w:rsidRPr="00AB4E6A" w:rsidRDefault="00AB4E6A" w:rsidP="00AB4E6A">
            <w:pPr>
              <w:spacing w:after="160" w:line="259" w:lineRule="auto"/>
              <w:rPr>
                <w:rFonts w:asciiTheme="majorBidi" w:hAnsiTheme="majorBidi" w:cstheme="majorBidi"/>
                <w:b/>
                <w:bCs/>
              </w:rPr>
            </w:pPr>
          </w:p>
        </w:tc>
        <w:tc>
          <w:tcPr>
            <w:tcW w:w="1701" w:type="dxa"/>
          </w:tcPr>
          <w:p w14:paraId="6E6BF1D4"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Population (Pathogen)</w:t>
            </w:r>
          </w:p>
        </w:tc>
        <w:tc>
          <w:tcPr>
            <w:tcW w:w="1418" w:type="dxa"/>
          </w:tcPr>
          <w:p w14:paraId="3E2953DE"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Comparator</w:t>
            </w:r>
          </w:p>
        </w:tc>
        <w:tc>
          <w:tcPr>
            <w:tcW w:w="992" w:type="dxa"/>
          </w:tcPr>
          <w:p w14:paraId="52833D3F"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Strategies modelled</w:t>
            </w:r>
          </w:p>
        </w:tc>
        <w:tc>
          <w:tcPr>
            <w:tcW w:w="1418" w:type="dxa"/>
          </w:tcPr>
          <w:p w14:paraId="0FD16C50"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Resistance infections considered</w:t>
            </w:r>
          </w:p>
        </w:tc>
        <w:tc>
          <w:tcPr>
            <w:tcW w:w="1559" w:type="dxa"/>
          </w:tcPr>
          <w:p w14:paraId="7034E50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b/>
                <w:bCs/>
              </w:rPr>
              <w:t>Main clinical endpoint for modelling treatment differences</w:t>
            </w:r>
          </w:p>
        </w:tc>
        <w:tc>
          <w:tcPr>
            <w:tcW w:w="1134" w:type="dxa"/>
          </w:tcPr>
          <w:p w14:paraId="3843C8B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b/>
                <w:bCs/>
              </w:rPr>
              <w:t>Primary Evidence Source</w:t>
            </w:r>
          </w:p>
        </w:tc>
      </w:tr>
      <w:tr w:rsidR="00AB4E6A" w:rsidRPr="00AB4E6A" w14:paraId="581C4764" w14:textId="77777777" w:rsidTr="00BF606F">
        <w:trPr>
          <w:trHeight w:val="391"/>
        </w:trPr>
        <w:tc>
          <w:tcPr>
            <w:tcW w:w="1216" w:type="dxa"/>
          </w:tcPr>
          <w:p w14:paraId="03F615C4" w14:textId="43CF9DC6"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Tichy</w:t>
            </w:r>
            <w:proofErr w:type="spellEnd"/>
            <w:r w:rsidRPr="00AB4E6A">
              <w:rPr>
                <w:rFonts w:asciiTheme="majorBidi" w:hAnsiTheme="majorBidi" w:cstheme="majorBidi"/>
              </w:rPr>
              <w:t xml:space="preserve"> et al 2020</w:t>
            </w:r>
            <w:r w:rsidR="00A83123" w:rsidRPr="00A83123">
              <w:rPr>
                <w:rFonts w:asciiTheme="majorBidi" w:hAnsiTheme="majorBidi" w:cstheme="majorBidi"/>
                <w:noProof/>
                <w:vertAlign w:val="superscript"/>
              </w:rPr>
              <w:t>103</w:t>
            </w:r>
            <w:r w:rsidRPr="00AB4E6A">
              <w:rPr>
                <w:rFonts w:asciiTheme="majorBidi" w:hAnsiTheme="majorBidi" w:cstheme="majorBidi"/>
              </w:rPr>
              <w:t xml:space="preserve"> </w:t>
            </w:r>
          </w:p>
        </w:tc>
        <w:tc>
          <w:tcPr>
            <w:tcW w:w="1047" w:type="dxa"/>
          </w:tcPr>
          <w:p w14:paraId="12ADA43F"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1701" w:type="dxa"/>
          </w:tcPr>
          <w:p w14:paraId="2A82C68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HAP/VAP</w:t>
            </w:r>
          </w:p>
          <w:p w14:paraId="7606E10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w:t>
            </w:r>
            <w:r w:rsidRPr="00AB4E6A">
              <w:rPr>
                <w:rFonts w:asciiTheme="majorBidi" w:hAnsiTheme="majorBidi" w:cstheme="majorBidi"/>
                <w:i/>
                <w:iCs/>
              </w:rPr>
              <w:t xml:space="preserve">K. pneumonia </w:t>
            </w:r>
            <w:r w:rsidRPr="00AB4E6A">
              <w:rPr>
                <w:rFonts w:asciiTheme="majorBidi" w:hAnsiTheme="majorBidi" w:cstheme="majorBidi"/>
              </w:rPr>
              <w:t>(37%),</w:t>
            </w:r>
            <w:r w:rsidRPr="00AB4E6A">
              <w:rPr>
                <w:rFonts w:asciiTheme="majorBidi" w:hAnsiTheme="majorBidi" w:cstheme="majorBidi"/>
                <w:i/>
                <w:iCs/>
              </w:rPr>
              <w:t xml:space="preserve"> P. aeruginosa </w:t>
            </w:r>
            <w:r w:rsidRPr="00AB4E6A">
              <w:rPr>
                <w:rFonts w:asciiTheme="majorBidi" w:hAnsiTheme="majorBidi" w:cstheme="majorBidi"/>
              </w:rPr>
              <w:t>(26%),</w:t>
            </w:r>
            <w:r w:rsidRPr="00AB4E6A">
              <w:rPr>
                <w:rFonts w:asciiTheme="majorBidi" w:hAnsiTheme="majorBidi" w:cstheme="majorBidi"/>
                <w:i/>
                <w:iCs/>
              </w:rPr>
              <w:t xml:space="preserve"> E. cloacae </w:t>
            </w:r>
            <w:r w:rsidRPr="00AB4E6A">
              <w:rPr>
                <w:rFonts w:asciiTheme="majorBidi" w:hAnsiTheme="majorBidi" w:cstheme="majorBidi"/>
              </w:rPr>
              <w:t>(14%),</w:t>
            </w:r>
            <w:r w:rsidRPr="00AB4E6A">
              <w:rPr>
                <w:rFonts w:asciiTheme="majorBidi" w:hAnsiTheme="majorBidi" w:cstheme="majorBidi"/>
                <w:i/>
                <w:iCs/>
              </w:rPr>
              <w:t xml:space="preserve"> E coli </w:t>
            </w:r>
            <w:r w:rsidRPr="00AB4E6A">
              <w:rPr>
                <w:rFonts w:asciiTheme="majorBidi" w:hAnsiTheme="majorBidi" w:cstheme="majorBidi"/>
              </w:rPr>
              <w:t>(12%),</w:t>
            </w:r>
            <w:r w:rsidRPr="00AB4E6A">
              <w:rPr>
                <w:rFonts w:asciiTheme="majorBidi" w:hAnsiTheme="majorBidi" w:cstheme="majorBidi"/>
                <w:i/>
                <w:iCs/>
              </w:rPr>
              <w:t xml:space="preserve"> and H. influenzae (9%).)</w:t>
            </w:r>
          </w:p>
        </w:tc>
        <w:tc>
          <w:tcPr>
            <w:tcW w:w="1418" w:type="dxa"/>
          </w:tcPr>
          <w:p w14:paraId="00F3243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w:t>
            </w:r>
          </w:p>
        </w:tc>
        <w:tc>
          <w:tcPr>
            <w:tcW w:w="992" w:type="dxa"/>
          </w:tcPr>
          <w:p w14:paraId="0AC1B3E5"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418" w:type="dxa"/>
          </w:tcPr>
          <w:p w14:paraId="441EFE1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Assumptions regarding efficacy</w:t>
            </w:r>
          </w:p>
        </w:tc>
        <w:tc>
          <w:tcPr>
            <w:tcW w:w="1559" w:type="dxa"/>
          </w:tcPr>
          <w:p w14:paraId="740733B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response and cure</w:t>
            </w:r>
          </w:p>
        </w:tc>
        <w:tc>
          <w:tcPr>
            <w:tcW w:w="1134" w:type="dxa"/>
          </w:tcPr>
          <w:p w14:paraId="5357531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RCT</w:t>
            </w:r>
          </w:p>
        </w:tc>
      </w:tr>
      <w:tr w:rsidR="00AB4E6A" w:rsidRPr="00AB4E6A" w14:paraId="5E43911A" w14:textId="77777777" w:rsidTr="00BF606F">
        <w:trPr>
          <w:trHeight w:val="224"/>
        </w:trPr>
        <w:tc>
          <w:tcPr>
            <w:tcW w:w="1216" w:type="dxa"/>
          </w:tcPr>
          <w:p w14:paraId="4FEBA896" w14:textId="5E31E6CA"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Simon et al 2019</w:t>
            </w:r>
            <w:r w:rsidR="00A83123" w:rsidRPr="00A83123">
              <w:rPr>
                <w:rFonts w:asciiTheme="majorBidi" w:hAnsiTheme="majorBidi" w:cstheme="majorBidi"/>
                <w:noProof/>
                <w:vertAlign w:val="superscript"/>
              </w:rPr>
              <w:t>105</w:t>
            </w:r>
            <w:r w:rsidRPr="00AB4E6A">
              <w:rPr>
                <w:rFonts w:asciiTheme="majorBidi" w:hAnsiTheme="majorBidi" w:cstheme="majorBidi"/>
              </w:rPr>
              <w:t xml:space="preserve">.  </w:t>
            </w:r>
          </w:p>
        </w:tc>
        <w:tc>
          <w:tcPr>
            <w:tcW w:w="1047" w:type="dxa"/>
          </w:tcPr>
          <w:p w14:paraId="1EAF537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United States</w:t>
            </w:r>
          </w:p>
        </w:tc>
        <w:tc>
          <w:tcPr>
            <w:tcW w:w="1701" w:type="dxa"/>
          </w:tcPr>
          <w:p w14:paraId="1CA4FD8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 xml:space="preserve">CRE Pneumonia, BSI, </w:t>
            </w:r>
          </w:p>
          <w:p w14:paraId="009E795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i/>
                <w:iCs/>
              </w:rPr>
              <w:t>(K pneumoniae, Enterobacteriaceae)</w:t>
            </w:r>
          </w:p>
        </w:tc>
        <w:tc>
          <w:tcPr>
            <w:tcW w:w="1418" w:type="dxa"/>
          </w:tcPr>
          <w:p w14:paraId="5AA19D8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Colistin-based therapy</w:t>
            </w:r>
          </w:p>
        </w:tc>
        <w:tc>
          <w:tcPr>
            <w:tcW w:w="992" w:type="dxa"/>
          </w:tcPr>
          <w:p w14:paraId="052604B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First-line</w:t>
            </w:r>
          </w:p>
        </w:tc>
        <w:tc>
          <w:tcPr>
            <w:tcW w:w="1418" w:type="dxa"/>
          </w:tcPr>
          <w:p w14:paraId="1E9095C9"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Use of observational evidence</w:t>
            </w:r>
          </w:p>
        </w:tc>
        <w:tc>
          <w:tcPr>
            <w:tcW w:w="1559" w:type="dxa"/>
          </w:tcPr>
          <w:p w14:paraId="2BCF12A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 xml:space="preserve">Absolute mortality risk reduction </w:t>
            </w:r>
          </w:p>
        </w:tc>
        <w:tc>
          <w:tcPr>
            <w:tcW w:w="1134" w:type="dxa"/>
          </w:tcPr>
          <w:p w14:paraId="420BEB02"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Observational study</w:t>
            </w:r>
          </w:p>
        </w:tc>
      </w:tr>
      <w:tr w:rsidR="00AB4E6A" w:rsidRPr="00AB4E6A" w14:paraId="28194142" w14:textId="77777777" w:rsidTr="00BF606F">
        <w:trPr>
          <w:trHeight w:val="505"/>
        </w:trPr>
        <w:tc>
          <w:tcPr>
            <w:tcW w:w="1216" w:type="dxa"/>
          </w:tcPr>
          <w:p w14:paraId="6122896E" w14:textId="04BE9BF0"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et al 2019</w:t>
            </w:r>
            <w:r w:rsidR="004B4D1C" w:rsidRPr="004B4D1C">
              <w:rPr>
                <w:rFonts w:asciiTheme="majorBidi" w:hAnsiTheme="majorBidi" w:cstheme="majorBidi"/>
                <w:noProof/>
                <w:vertAlign w:val="superscript"/>
              </w:rPr>
              <w:t>139</w:t>
            </w:r>
            <w:r w:rsidR="00BE5092">
              <w:rPr>
                <w:rFonts w:asciiTheme="majorBidi" w:hAnsiTheme="majorBidi" w:cstheme="majorBidi"/>
              </w:rPr>
              <w:t xml:space="preserve"> </w:t>
            </w:r>
          </w:p>
        </w:tc>
        <w:tc>
          <w:tcPr>
            <w:tcW w:w="1047" w:type="dxa"/>
          </w:tcPr>
          <w:p w14:paraId="04FF2BE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1701" w:type="dxa"/>
          </w:tcPr>
          <w:p w14:paraId="4C435EA8"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cIAIs</w:t>
            </w:r>
            <w:proofErr w:type="spellEnd"/>
          </w:p>
          <w:p w14:paraId="4F933FE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i/>
                <w:iCs/>
              </w:rPr>
              <w:t xml:space="preserve">(Escherichia coli, Streptococcus </w:t>
            </w:r>
            <w:proofErr w:type="spellStart"/>
            <w:r w:rsidRPr="00AB4E6A">
              <w:rPr>
                <w:rFonts w:asciiTheme="majorBidi" w:hAnsiTheme="majorBidi" w:cstheme="majorBidi"/>
                <w:i/>
                <w:iCs/>
              </w:rPr>
              <w:t>anginosus</w:t>
            </w:r>
            <w:proofErr w:type="spellEnd"/>
            <w:r w:rsidRPr="00AB4E6A">
              <w:rPr>
                <w:rFonts w:asciiTheme="majorBidi" w:hAnsiTheme="majorBidi" w:cstheme="majorBidi"/>
                <w:i/>
                <w:iCs/>
              </w:rPr>
              <w:t xml:space="preserve"> group, Klebsiella pneumoniae, Bacteroides fragilis, Pseudomonas aeruginosa)</w:t>
            </w:r>
          </w:p>
        </w:tc>
        <w:tc>
          <w:tcPr>
            <w:tcW w:w="1418" w:type="dxa"/>
          </w:tcPr>
          <w:p w14:paraId="5F0757D5"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Ceftolozane</w:t>
            </w:r>
            <w:proofErr w:type="spellEnd"/>
            <w:r w:rsidRPr="00AB4E6A">
              <w:rPr>
                <w:rFonts w:asciiTheme="majorBidi" w:hAnsiTheme="majorBidi" w:cstheme="majorBidi"/>
              </w:rPr>
              <w:t>/tazobactam plus metronidazole; meropenem</w:t>
            </w:r>
          </w:p>
        </w:tc>
        <w:tc>
          <w:tcPr>
            <w:tcW w:w="992" w:type="dxa"/>
          </w:tcPr>
          <w:p w14:paraId="37C17B31"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418" w:type="dxa"/>
          </w:tcPr>
          <w:p w14:paraId="149FE776"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Assumptions regarding efficacy</w:t>
            </w:r>
          </w:p>
        </w:tc>
        <w:tc>
          <w:tcPr>
            <w:tcW w:w="1559" w:type="dxa"/>
          </w:tcPr>
          <w:p w14:paraId="557F597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response and cure; Recurrence</w:t>
            </w:r>
          </w:p>
        </w:tc>
        <w:tc>
          <w:tcPr>
            <w:tcW w:w="1134" w:type="dxa"/>
          </w:tcPr>
          <w:p w14:paraId="1198A5B1"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RCT</w:t>
            </w:r>
          </w:p>
        </w:tc>
      </w:tr>
      <w:tr w:rsidR="00AB4E6A" w:rsidRPr="00AB4E6A" w14:paraId="37AA0187" w14:textId="77777777" w:rsidTr="00BF606F">
        <w:trPr>
          <w:trHeight w:val="447"/>
        </w:trPr>
        <w:tc>
          <w:tcPr>
            <w:tcW w:w="1216" w:type="dxa"/>
          </w:tcPr>
          <w:p w14:paraId="6BE93F2A" w14:textId="18701365"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et al 2019</w:t>
            </w:r>
            <w:r w:rsidR="00A83123" w:rsidRPr="00A83123">
              <w:rPr>
                <w:rFonts w:asciiTheme="majorBidi" w:hAnsiTheme="majorBidi" w:cstheme="majorBidi"/>
                <w:noProof/>
                <w:vertAlign w:val="superscript"/>
              </w:rPr>
              <w:t>104</w:t>
            </w:r>
          </w:p>
        </w:tc>
        <w:tc>
          <w:tcPr>
            <w:tcW w:w="1047" w:type="dxa"/>
          </w:tcPr>
          <w:p w14:paraId="6E292551"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1701" w:type="dxa"/>
          </w:tcPr>
          <w:p w14:paraId="3B898664"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cUTI</w:t>
            </w:r>
            <w:proofErr w:type="spellEnd"/>
            <w:r w:rsidRPr="00AB4E6A">
              <w:rPr>
                <w:rFonts w:asciiTheme="majorBidi" w:hAnsiTheme="majorBidi" w:cstheme="majorBidi"/>
                <w:i/>
                <w:iCs/>
              </w:rPr>
              <w:t xml:space="preserve"> (Escherichia coli, Klebsiella pneumoniae, Pseudomonas aeruginosa, Proteus mirabilis, Enterobacter cloacae)</w:t>
            </w:r>
          </w:p>
        </w:tc>
        <w:tc>
          <w:tcPr>
            <w:tcW w:w="1418" w:type="dxa"/>
          </w:tcPr>
          <w:p w14:paraId="25F58ECF"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Imipenem</w:t>
            </w:r>
          </w:p>
        </w:tc>
        <w:tc>
          <w:tcPr>
            <w:tcW w:w="992" w:type="dxa"/>
          </w:tcPr>
          <w:p w14:paraId="587464E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418" w:type="dxa"/>
          </w:tcPr>
          <w:p w14:paraId="0450CE1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Assumptions regarding efficacy</w:t>
            </w:r>
          </w:p>
        </w:tc>
        <w:tc>
          <w:tcPr>
            <w:tcW w:w="1559" w:type="dxa"/>
          </w:tcPr>
          <w:p w14:paraId="2AFFE53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response and cure; Recurrence</w:t>
            </w:r>
          </w:p>
        </w:tc>
        <w:tc>
          <w:tcPr>
            <w:tcW w:w="1134" w:type="dxa"/>
          </w:tcPr>
          <w:p w14:paraId="3609F93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RCT</w:t>
            </w:r>
          </w:p>
        </w:tc>
      </w:tr>
      <w:tr w:rsidR="00AB4E6A" w:rsidRPr="00AB4E6A" w14:paraId="2CABACF6" w14:textId="77777777" w:rsidTr="00BF606F">
        <w:trPr>
          <w:trHeight w:val="391"/>
        </w:trPr>
        <w:tc>
          <w:tcPr>
            <w:tcW w:w="1216" w:type="dxa"/>
          </w:tcPr>
          <w:p w14:paraId="10097662" w14:textId="40E7210C" w:rsidR="00AB4E6A" w:rsidRPr="00AB4E6A" w:rsidRDefault="00AB4E6A" w:rsidP="00A83123">
            <w:pPr>
              <w:spacing w:after="160" w:line="259" w:lineRule="auto"/>
              <w:rPr>
                <w:rFonts w:asciiTheme="majorBidi" w:hAnsiTheme="majorBidi" w:cstheme="majorBidi"/>
              </w:rPr>
            </w:pPr>
            <w:r w:rsidRPr="00AB4E6A">
              <w:rPr>
                <w:rFonts w:asciiTheme="majorBidi" w:hAnsiTheme="majorBidi" w:cstheme="majorBidi"/>
              </w:rPr>
              <w:lastRenderedPageBreak/>
              <w:t>Nguyen et al 2019</w:t>
            </w:r>
            <w:r w:rsidR="00A83123" w:rsidRPr="00A83123">
              <w:rPr>
                <w:rFonts w:asciiTheme="majorBidi" w:hAnsiTheme="majorBidi" w:cstheme="majorBidi"/>
                <w:noProof/>
                <w:vertAlign w:val="superscript"/>
              </w:rPr>
              <w:t>106</w:t>
            </w:r>
          </w:p>
        </w:tc>
        <w:tc>
          <w:tcPr>
            <w:tcW w:w="1047" w:type="dxa"/>
          </w:tcPr>
          <w:p w14:paraId="560F350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Netherlands</w:t>
            </w:r>
          </w:p>
        </w:tc>
        <w:tc>
          <w:tcPr>
            <w:tcW w:w="1701" w:type="dxa"/>
          </w:tcPr>
          <w:p w14:paraId="2071A2C3"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w:t>
            </w:r>
            <w:proofErr w:type="spellStart"/>
            <w:r w:rsidRPr="00AB4E6A">
              <w:rPr>
                <w:rFonts w:asciiTheme="majorBidi" w:hAnsiTheme="majorBidi" w:cstheme="majorBidi"/>
              </w:rPr>
              <w:t>cIAI</w:t>
            </w:r>
            <w:proofErr w:type="spellEnd"/>
            <w:r w:rsidRPr="00AB4E6A">
              <w:rPr>
                <w:rFonts w:asciiTheme="majorBidi" w:hAnsiTheme="majorBidi" w:cstheme="majorBidi"/>
              </w:rPr>
              <w:t>, BSI</w:t>
            </w:r>
          </w:p>
          <w:p w14:paraId="4D4CC5D5" w14:textId="24B5A4B0" w:rsidR="0066375D" w:rsidRDefault="00AB4E6A" w:rsidP="00AB4E6A">
            <w:pPr>
              <w:spacing w:after="160" w:line="259" w:lineRule="auto"/>
              <w:rPr>
                <w:rFonts w:asciiTheme="majorBidi" w:hAnsiTheme="majorBidi" w:cstheme="majorBidi"/>
                <w:i/>
                <w:iCs/>
              </w:rPr>
            </w:pPr>
            <w:r w:rsidRPr="00AB4E6A">
              <w:rPr>
                <w:rFonts w:asciiTheme="majorBidi" w:hAnsiTheme="majorBidi" w:cstheme="majorBidi"/>
                <w:i/>
                <w:iCs/>
              </w:rPr>
              <w:t>(</w:t>
            </w:r>
          </w:p>
          <w:p w14:paraId="427DD12E" w14:textId="677BBB0B" w:rsidR="00AB4E6A" w:rsidRPr="00AB4E6A" w:rsidRDefault="00AB4E6A" w:rsidP="00AB4E6A">
            <w:pPr>
              <w:spacing w:after="160" w:line="259" w:lineRule="auto"/>
              <w:rPr>
                <w:rFonts w:asciiTheme="majorBidi" w:hAnsiTheme="majorBidi" w:cstheme="majorBidi"/>
                <w:i/>
                <w:iCs/>
              </w:rPr>
            </w:pPr>
            <w:r w:rsidRPr="00AB4E6A">
              <w:rPr>
                <w:rFonts w:asciiTheme="majorBidi" w:hAnsiTheme="majorBidi" w:cstheme="majorBidi"/>
                <w:i/>
                <w:iCs/>
              </w:rPr>
              <w:t>ESBL/</w:t>
            </w:r>
            <w:proofErr w:type="spellStart"/>
            <w:r w:rsidRPr="00AB4E6A">
              <w:rPr>
                <w:rFonts w:asciiTheme="majorBidi" w:hAnsiTheme="majorBidi" w:cstheme="majorBidi"/>
                <w:i/>
                <w:iCs/>
              </w:rPr>
              <w:t>AmpC</w:t>
            </w:r>
            <w:proofErr w:type="spellEnd"/>
            <w:r w:rsidRPr="00AB4E6A">
              <w:rPr>
                <w:rFonts w:asciiTheme="majorBidi" w:hAnsiTheme="majorBidi" w:cstheme="majorBidi"/>
                <w:i/>
                <w:iCs/>
              </w:rPr>
              <w:t>-producing Gram-negative pathogens)</w:t>
            </w:r>
          </w:p>
        </w:tc>
        <w:tc>
          <w:tcPr>
            <w:tcW w:w="1418" w:type="dxa"/>
          </w:tcPr>
          <w:p w14:paraId="6FCEB058"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w:t>
            </w:r>
          </w:p>
        </w:tc>
        <w:tc>
          <w:tcPr>
            <w:tcW w:w="992" w:type="dxa"/>
          </w:tcPr>
          <w:p w14:paraId="6750099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Definitive</w:t>
            </w:r>
          </w:p>
        </w:tc>
        <w:tc>
          <w:tcPr>
            <w:tcW w:w="1418" w:type="dxa"/>
          </w:tcPr>
          <w:p w14:paraId="048DD0B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Not clear for CAZ-AVI</w:t>
            </w:r>
          </w:p>
        </w:tc>
        <w:tc>
          <w:tcPr>
            <w:tcW w:w="1559" w:type="dxa"/>
          </w:tcPr>
          <w:p w14:paraId="4F8D8A12"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cure</w:t>
            </w:r>
          </w:p>
        </w:tc>
        <w:tc>
          <w:tcPr>
            <w:tcW w:w="1134" w:type="dxa"/>
          </w:tcPr>
          <w:p w14:paraId="03F6C336"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SLR and Meta-Analysis</w:t>
            </w:r>
          </w:p>
        </w:tc>
      </w:tr>
    </w:tbl>
    <w:p w14:paraId="6B007044" w14:textId="63C126B7" w:rsidR="000E3737" w:rsidRPr="00620688" w:rsidRDefault="000E3737" w:rsidP="000E3737">
      <w:pPr>
        <w:pStyle w:val="EEPRUtextundertables"/>
      </w:pPr>
      <w:r>
        <w:t xml:space="preserve">BSI, bloodstream infection; CRE, carbapenem-resistant </w:t>
      </w:r>
      <w:proofErr w:type="spellStart"/>
      <w:r w:rsidRPr="00D95E30">
        <w:t>Enterobacterales</w:t>
      </w:r>
      <w:proofErr w:type="spellEnd"/>
      <w:r>
        <w:t xml:space="preserve">; </w:t>
      </w:r>
      <w:proofErr w:type="spellStart"/>
      <w:r>
        <w:t>cUTI</w:t>
      </w:r>
      <w:proofErr w:type="spellEnd"/>
      <w:r>
        <w:t xml:space="preserve">, complicated urinary tract infection; </w:t>
      </w:r>
      <w:r w:rsidR="0066375D">
        <w:t xml:space="preserve">ESBL, </w:t>
      </w:r>
      <w:r w:rsidR="0066375D" w:rsidRPr="00C971ED">
        <w:rPr>
          <w:rFonts w:asciiTheme="majorBidi" w:hAnsiTheme="majorBidi" w:cstheme="majorBidi"/>
        </w:rPr>
        <w:t>extended-spectrum beta-lactamase</w:t>
      </w:r>
      <w:r w:rsidR="0066375D" w:rsidRPr="0066375D">
        <w:t>;</w:t>
      </w:r>
      <w:r w:rsidR="0066375D">
        <w:t xml:space="preserve"> </w:t>
      </w:r>
      <w:r>
        <w:t xml:space="preserve">HAP/VAP, hospital-acquired </w:t>
      </w:r>
      <w:proofErr w:type="gramStart"/>
      <w:r>
        <w:t>pneumonia</w:t>
      </w:r>
      <w:proofErr w:type="gramEnd"/>
      <w:r>
        <w:t xml:space="preserve"> or ventilator-associated pneumonia; RCT, randomised controlled trial; SLR, systematic literature review</w:t>
      </w:r>
    </w:p>
    <w:p w14:paraId="511711A3" w14:textId="77777777" w:rsidR="00AB4E6A" w:rsidRPr="00AB4E6A" w:rsidRDefault="00AB4E6A" w:rsidP="00AB4E6A">
      <w:pPr>
        <w:rPr>
          <w:rFonts w:asciiTheme="majorBidi" w:hAnsiTheme="majorBidi" w:cstheme="majorBidi"/>
        </w:rPr>
      </w:pPr>
    </w:p>
    <w:p w14:paraId="1D7545A5" w14:textId="77777777" w:rsidR="00AB4E6A" w:rsidRPr="00AB4E6A" w:rsidRDefault="00AB4E6A" w:rsidP="00AB4E6A">
      <w:pPr>
        <w:rPr>
          <w:rFonts w:asciiTheme="majorBidi" w:hAnsiTheme="majorBidi" w:cstheme="majorBidi"/>
          <w:i/>
        </w:rPr>
      </w:pPr>
      <w:bookmarkStart w:id="781" w:name="_Toc77944764"/>
      <w:bookmarkStart w:id="782" w:name="_Toc77950646"/>
      <w:bookmarkEnd w:id="777"/>
      <w:bookmarkEnd w:id="778"/>
    </w:p>
    <w:p w14:paraId="36FD80F7" w14:textId="54032B69" w:rsidR="00AB4E6A" w:rsidRPr="0041437E" w:rsidRDefault="0041437E" w:rsidP="00C03BFF">
      <w:pPr>
        <w:pStyle w:val="EEPRUnumberedstylelevel3"/>
        <w:rPr>
          <w:b w:val="0"/>
          <w:bCs w:val="0"/>
        </w:rPr>
      </w:pPr>
      <w:r>
        <w:tab/>
      </w:r>
      <w:bookmarkStart w:id="783" w:name="_Toc87463127"/>
      <w:r w:rsidR="00AB4E6A" w:rsidRPr="0041437E">
        <w:t>A1</w:t>
      </w:r>
      <w:r w:rsidR="006F4DEE" w:rsidRPr="0041437E">
        <w:t>2</w:t>
      </w:r>
      <w:r w:rsidR="00AB4E6A" w:rsidRPr="0041437E">
        <w:t>.4 Review 2: modelling studies considering resistance</w:t>
      </w:r>
      <w:bookmarkEnd w:id="781"/>
      <w:bookmarkEnd w:id="782"/>
      <w:bookmarkEnd w:id="783"/>
      <w:r w:rsidR="00AB4E6A" w:rsidRPr="0041437E">
        <w:t xml:space="preserve"> </w:t>
      </w:r>
    </w:p>
    <w:p w14:paraId="36495C26" w14:textId="59706822" w:rsidR="00AB4E6A" w:rsidRPr="00AB4E6A" w:rsidRDefault="00AB4E6A" w:rsidP="00917737">
      <w:pPr>
        <w:spacing w:line="360" w:lineRule="auto"/>
        <w:rPr>
          <w:rFonts w:asciiTheme="majorBidi" w:hAnsiTheme="majorBidi" w:cstheme="majorBidi"/>
        </w:rPr>
      </w:pPr>
      <w:bookmarkStart w:id="784" w:name="_Ref77853256"/>
      <w:r w:rsidRPr="00AB4E6A">
        <w:rPr>
          <w:rFonts w:asciiTheme="majorBidi" w:hAnsiTheme="majorBidi" w:cstheme="majorBidi"/>
        </w:rPr>
        <w:t>A second review was conducted to identify published economic evaluations of AMs that attempted to quantify the effects of resistance, with a focus on resistance modelling.  A total of 89 potentially relevant studies or abstracts were identified from the searches. All the publications were screened using their titles and abstracts after which 9 studies were publications were included in the review, which are described in</w:t>
      </w:r>
      <w:r w:rsidR="00E32B55">
        <w:rPr>
          <w:rFonts w:asciiTheme="majorBidi" w:hAnsiTheme="majorBidi" w:cstheme="majorBidi"/>
        </w:rPr>
        <w:t xml:space="preserve"> </w:t>
      </w:r>
      <w:r w:rsidR="00E32B55" w:rsidRPr="00E32B55">
        <w:rPr>
          <w:rFonts w:asciiTheme="majorBidi" w:hAnsiTheme="majorBidi" w:cstheme="majorBidi"/>
        </w:rPr>
        <w:t>Table 54</w:t>
      </w:r>
      <w:r w:rsidRPr="00AB4E6A">
        <w:rPr>
          <w:rFonts w:asciiTheme="majorBidi" w:hAnsiTheme="majorBidi" w:cstheme="majorBidi"/>
        </w:rPr>
        <w:t>. Note that this includes the 5 papers already identified from Review 1.</w:t>
      </w:r>
    </w:p>
    <w:p w14:paraId="3760DE2B" w14:textId="77777777" w:rsidR="00AB4E6A" w:rsidRPr="00AB4E6A" w:rsidRDefault="00AB4E6A" w:rsidP="00AB4E6A">
      <w:pPr>
        <w:rPr>
          <w:rFonts w:asciiTheme="majorBidi" w:hAnsiTheme="majorBidi" w:cstheme="majorBidi"/>
        </w:rPr>
      </w:pPr>
    </w:p>
    <w:p w14:paraId="1A37F296" w14:textId="210D5DED" w:rsidR="00AB4E6A" w:rsidRPr="0041437E" w:rsidRDefault="00E32B55" w:rsidP="00E32B55">
      <w:pPr>
        <w:pStyle w:val="Caption"/>
        <w:rPr>
          <w:rFonts w:asciiTheme="majorBidi" w:hAnsiTheme="majorBidi" w:cstheme="majorBidi"/>
          <w:b/>
          <w:bCs/>
          <w:i w:val="0"/>
          <w:iCs w:val="0"/>
          <w:sz w:val="20"/>
          <w:szCs w:val="20"/>
        </w:rPr>
      </w:pPr>
      <w:bookmarkStart w:id="785" w:name="_Ref85646221"/>
      <w:bookmarkStart w:id="786" w:name="_Toc77931485"/>
      <w:bookmarkStart w:id="787" w:name="_Toc78204576"/>
      <w:bookmarkStart w:id="788" w:name="_Toc86419038"/>
      <w:r w:rsidRPr="0041437E">
        <w:rPr>
          <w:b/>
          <w:bCs/>
          <w:i w:val="0"/>
          <w:iCs w:val="0"/>
          <w:sz w:val="20"/>
          <w:szCs w:val="20"/>
        </w:rPr>
        <w:t xml:space="preserve">Table </w:t>
      </w:r>
      <w:r w:rsidR="00F10F0A" w:rsidRPr="0041437E">
        <w:rPr>
          <w:b/>
          <w:bCs/>
          <w:i w:val="0"/>
          <w:iCs w:val="0"/>
          <w:noProof/>
          <w:sz w:val="20"/>
          <w:szCs w:val="20"/>
        </w:rPr>
        <w:t>61</w:t>
      </w:r>
      <w:bookmarkEnd w:id="785"/>
      <w:r w:rsidR="00AB4E6A" w:rsidRPr="0041437E">
        <w:rPr>
          <w:rFonts w:asciiTheme="majorBidi" w:hAnsiTheme="majorBidi" w:cstheme="majorBidi"/>
          <w:b/>
          <w:bCs/>
          <w:i w:val="0"/>
          <w:iCs w:val="0"/>
          <w:sz w:val="20"/>
          <w:szCs w:val="20"/>
        </w:rPr>
        <w:t>: Summary of included resistance modelling studies (including those from CAZ-AVI cost-effectiveness studies review in</w:t>
      </w:r>
      <w:r w:rsidRPr="0041437E">
        <w:rPr>
          <w:rFonts w:asciiTheme="majorBidi" w:hAnsiTheme="majorBidi" w:cstheme="majorBidi"/>
          <w:b/>
          <w:bCs/>
          <w:i w:val="0"/>
          <w:iCs w:val="0"/>
          <w:sz w:val="20"/>
          <w:szCs w:val="20"/>
        </w:rPr>
        <w:t xml:space="preserve"> </w:t>
      </w:r>
      <w:r w:rsidRPr="0041437E">
        <w:rPr>
          <w:b/>
          <w:bCs/>
          <w:i w:val="0"/>
          <w:iCs w:val="0"/>
          <w:sz w:val="20"/>
          <w:szCs w:val="20"/>
        </w:rPr>
        <w:t xml:space="preserve">Table </w:t>
      </w:r>
      <w:r w:rsidRPr="0041437E">
        <w:rPr>
          <w:b/>
          <w:bCs/>
          <w:i w:val="0"/>
          <w:iCs w:val="0"/>
          <w:noProof/>
          <w:sz w:val="20"/>
          <w:szCs w:val="20"/>
        </w:rPr>
        <w:t>53</w:t>
      </w:r>
      <w:r w:rsidR="00AB4E6A" w:rsidRPr="0041437E">
        <w:rPr>
          <w:rFonts w:asciiTheme="majorBidi" w:hAnsiTheme="majorBidi" w:cstheme="majorBidi"/>
          <w:b/>
          <w:bCs/>
          <w:i w:val="0"/>
          <w:iCs w:val="0"/>
          <w:sz w:val="20"/>
          <w:szCs w:val="20"/>
        </w:rPr>
        <w:t>)</w:t>
      </w:r>
      <w:bookmarkEnd w:id="786"/>
      <w:bookmarkEnd w:id="787"/>
      <w:r w:rsidR="00AB4E6A" w:rsidRPr="0041437E">
        <w:rPr>
          <w:rFonts w:asciiTheme="majorBidi" w:hAnsiTheme="majorBidi" w:cstheme="majorBidi"/>
          <w:b/>
          <w:bCs/>
          <w:i w:val="0"/>
          <w:iCs w:val="0"/>
          <w:sz w:val="20"/>
          <w:szCs w:val="20"/>
        </w:rPr>
        <w:t>.</w:t>
      </w:r>
      <w:bookmarkEnd w:id="788"/>
      <w:r w:rsidR="00AB4E6A" w:rsidRPr="0041437E">
        <w:rPr>
          <w:rFonts w:asciiTheme="majorBidi" w:hAnsiTheme="majorBidi" w:cstheme="majorBidi"/>
          <w:b/>
          <w:bCs/>
          <w:i w:val="0"/>
          <w:iCs w:val="0"/>
          <w:sz w:val="20"/>
          <w:szCs w:val="20"/>
        </w:rPr>
        <w:t xml:space="preserve"> </w:t>
      </w:r>
    </w:p>
    <w:tbl>
      <w:tblPr>
        <w:tblStyle w:val="TableGrid5"/>
        <w:tblW w:w="8880" w:type="dxa"/>
        <w:tblLayout w:type="fixed"/>
        <w:tblLook w:val="0020" w:firstRow="1" w:lastRow="0" w:firstColumn="0" w:lastColumn="0" w:noHBand="0" w:noVBand="0"/>
      </w:tblPr>
      <w:tblGrid>
        <w:gridCol w:w="1704"/>
        <w:gridCol w:w="1284"/>
        <w:gridCol w:w="2272"/>
        <w:gridCol w:w="1749"/>
        <w:gridCol w:w="1871"/>
      </w:tblGrid>
      <w:tr w:rsidR="00AB4E6A" w:rsidRPr="00AB4E6A" w14:paraId="4AF587EF" w14:textId="77777777" w:rsidTr="00BF606F">
        <w:trPr>
          <w:trHeight w:val="367"/>
        </w:trPr>
        <w:tc>
          <w:tcPr>
            <w:tcW w:w="1704" w:type="dxa"/>
          </w:tcPr>
          <w:p w14:paraId="6F622B99"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Author, year</w:t>
            </w:r>
          </w:p>
        </w:tc>
        <w:tc>
          <w:tcPr>
            <w:tcW w:w="1284" w:type="dxa"/>
          </w:tcPr>
          <w:p w14:paraId="242F74E2"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Country</w:t>
            </w:r>
          </w:p>
          <w:p w14:paraId="4BA3D5F2" w14:textId="77777777" w:rsidR="00AB4E6A" w:rsidRPr="00AB4E6A" w:rsidRDefault="00AB4E6A" w:rsidP="00AB4E6A">
            <w:pPr>
              <w:spacing w:after="160" w:line="259" w:lineRule="auto"/>
              <w:rPr>
                <w:rFonts w:asciiTheme="majorBidi" w:hAnsiTheme="majorBidi" w:cstheme="majorBidi"/>
                <w:b/>
                <w:bCs/>
              </w:rPr>
            </w:pPr>
          </w:p>
        </w:tc>
        <w:tc>
          <w:tcPr>
            <w:tcW w:w="2272" w:type="dxa"/>
          </w:tcPr>
          <w:p w14:paraId="67538891"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Population (Pathogen)</w:t>
            </w:r>
          </w:p>
        </w:tc>
        <w:tc>
          <w:tcPr>
            <w:tcW w:w="1749" w:type="dxa"/>
          </w:tcPr>
          <w:p w14:paraId="0AAB12D9"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Intervention</w:t>
            </w:r>
          </w:p>
        </w:tc>
        <w:tc>
          <w:tcPr>
            <w:tcW w:w="1871" w:type="dxa"/>
          </w:tcPr>
          <w:p w14:paraId="5FFEBF16"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Comparator</w:t>
            </w:r>
          </w:p>
        </w:tc>
      </w:tr>
      <w:tr w:rsidR="00AB4E6A" w:rsidRPr="00AB4E6A" w14:paraId="50DA06F9" w14:textId="77777777" w:rsidTr="00BF606F">
        <w:trPr>
          <w:trHeight w:val="927"/>
        </w:trPr>
        <w:tc>
          <w:tcPr>
            <w:tcW w:w="1704" w:type="dxa"/>
          </w:tcPr>
          <w:p w14:paraId="486CA69A" w14:textId="74F3068D"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 xml:space="preserve">Chen et al 2019 </w:t>
            </w:r>
            <w:r w:rsidR="00A83123" w:rsidRPr="00A83123">
              <w:rPr>
                <w:rFonts w:asciiTheme="majorBidi" w:hAnsiTheme="majorBidi" w:cstheme="majorBidi"/>
                <w:noProof/>
                <w:vertAlign w:val="superscript"/>
              </w:rPr>
              <w:t>107</w:t>
            </w:r>
          </w:p>
        </w:tc>
        <w:tc>
          <w:tcPr>
            <w:tcW w:w="1284" w:type="dxa"/>
          </w:tcPr>
          <w:p w14:paraId="0B40466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Taiwan</w:t>
            </w:r>
          </w:p>
        </w:tc>
        <w:tc>
          <w:tcPr>
            <w:tcW w:w="2272" w:type="dxa"/>
          </w:tcPr>
          <w:p w14:paraId="3BDA8D54" w14:textId="77777777" w:rsidR="00AB4E6A" w:rsidRPr="00AB4E6A" w:rsidRDefault="00AB4E6A" w:rsidP="00AB4E6A">
            <w:pPr>
              <w:spacing w:after="160" w:line="259" w:lineRule="auto"/>
              <w:rPr>
                <w:rFonts w:asciiTheme="majorBidi" w:hAnsiTheme="majorBidi" w:cstheme="majorBidi"/>
                <w:lang w:val="it-IT"/>
              </w:rPr>
            </w:pPr>
            <w:r w:rsidRPr="00AB4E6A">
              <w:rPr>
                <w:rFonts w:asciiTheme="majorBidi" w:hAnsiTheme="majorBidi" w:cstheme="majorBidi"/>
                <w:lang w:val="it-IT"/>
              </w:rPr>
              <w:t>cUTI</w:t>
            </w:r>
          </w:p>
          <w:p w14:paraId="4A6C9F2A" w14:textId="77777777" w:rsidR="00AB4E6A" w:rsidRPr="00AB4E6A" w:rsidRDefault="00AB4E6A" w:rsidP="00AB4E6A">
            <w:pPr>
              <w:spacing w:after="160" w:line="259" w:lineRule="auto"/>
              <w:rPr>
                <w:rFonts w:asciiTheme="majorBidi" w:hAnsiTheme="majorBidi" w:cstheme="majorBidi"/>
                <w:i/>
                <w:iCs/>
                <w:lang w:val="it-IT"/>
              </w:rPr>
            </w:pPr>
            <w:r w:rsidRPr="00AB4E6A">
              <w:rPr>
                <w:rFonts w:asciiTheme="majorBidi" w:hAnsiTheme="majorBidi" w:cstheme="majorBidi"/>
                <w:i/>
                <w:iCs/>
                <w:lang w:val="it-IT"/>
              </w:rPr>
              <w:t>(E. Coli, K. Pneumoniae, P. Aeruginosa, P. Mirabilis)</w:t>
            </w:r>
          </w:p>
        </w:tc>
        <w:tc>
          <w:tcPr>
            <w:tcW w:w="1749" w:type="dxa"/>
          </w:tcPr>
          <w:p w14:paraId="4422EB52"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Ceftolozane</w:t>
            </w:r>
            <w:proofErr w:type="spellEnd"/>
            <w:r w:rsidRPr="00AB4E6A">
              <w:rPr>
                <w:rFonts w:asciiTheme="majorBidi" w:hAnsiTheme="majorBidi" w:cstheme="majorBidi"/>
              </w:rPr>
              <w:t>/</w:t>
            </w:r>
          </w:p>
          <w:p w14:paraId="0AAA7332"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tazobactam</w:t>
            </w:r>
          </w:p>
        </w:tc>
        <w:tc>
          <w:tcPr>
            <w:tcW w:w="1871" w:type="dxa"/>
          </w:tcPr>
          <w:p w14:paraId="481206C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Piperacillin/</w:t>
            </w:r>
          </w:p>
          <w:p w14:paraId="769BC4C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tazobactam</w:t>
            </w:r>
          </w:p>
        </w:tc>
      </w:tr>
      <w:tr w:rsidR="00AB4E6A" w:rsidRPr="00AB4E6A" w14:paraId="4588B12B" w14:textId="77777777" w:rsidTr="00BF606F">
        <w:trPr>
          <w:trHeight w:val="183"/>
        </w:trPr>
        <w:tc>
          <w:tcPr>
            <w:tcW w:w="1704" w:type="dxa"/>
          </w:tcPr>
          <w:p w14:paraId="574A6D46" w14:textId="01F7442B"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Nelson 2019</w:t>
            </w:r>
            <w:r w:rsidR="00A83123" w:rsidRPr="00A83123">
              <w:rPr>
                <w:rFonts w:asciiTheme="majorBidi" w:hAnsiTheme="majorBidi" w:cstheme="majorBidi"/>
                <w:noProof/>
                <w:vertAlign w:val="superscript"/>
              </w:rPr>
              <w:t>109</w:t>
            </w:r>
          </w:p>
        </w:tc>
        <w:tc>
          <w:tcPr>
            <w:tcW w:w="1284" w:type="dxa"/>
          </w:tcPr>
          <w:p w14:paraId="5D4F0912"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US</w:t>
            </w:r>
          </w:p>
        </w:tc>
        <w:tc>
          <w:tcPr>
            <w:tcW w:w="2272" w:type="dxa"/>
          </w:tcPr>
          <w:p w14:paraId="3C1BCDEF"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CRE BSI</w:t>
            </w:r>
          </w:p>
        </w:tc>
        <w:tc>
          <w:tcPr>
            <w:tcW w:w="1749" w:type="dxa"/>
          </w:tcPr>
          <w:p w14:paraId="11B80DD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Hypothetical</w:t>
            </w:r>
          </w:p>
        </w:tc>
        <w:tc>
          <w:tcPr>
            <w:tcW w:w="1871" w:type="dxa"/>
          </w:tcPr>
          <w:p w14:paraId="5CF88810"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Hypothetical</w:t>
            </w:r>
          </w:p>
        </w:tc>
      </w:tr>
      <w:tr w:rsidR="00AB4E6A" w:rsidRPr="00AB4E6A" w14:paraId="09294058" w14:textId="77777777" w:rsidTr="00BF606F">
        <w:trPr>
          <w:trHeight w:val="734"/>
        </w:trPr>
        <w:tc>
          <w:tcPr>
            <w:tcW w:w="1704" w:type="dxa"/>
          </w:tcPr>
          <w:p w14:paraId="280192EB" w14:textId="69AB379C"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Mewes</w:t>
            </w:r>
            <w:proofErr w:type="spellEnd"/>
            <w:r w:rsidRPr="00AB4E6A">
              <w:rPr>
                <w:rFonts w:asciiTheme="majorBidi" w:hAnsiTheme="majorBidi" w:cstheme="majorBidi"/>
              </w:rPr>
              <w:t xml:space="preserve"> 2019 </w:t>
            </w:r>
            <w:r w:rsidR="00A83123" w:rsidRPr="00A83123">
              <w:rPr>
                <w:rFonts w:asciiTheme="majorBidi" w:hAnsiTheme="majorBidi" w:cstheme="majorBidi"/>
                <w:noProof/>
                <w:vertAlign w:val="superscript"/>
              </w:rPr>
              <w:t>108</w:t>
            </w:r>
          </w:p>
        </w:tc>
        <w:tc>
          <w:tcPr>
            <w:tcW w:w="1284" w:type="dxa"/>
          </w:tcPr>
          <w:p w14:paraId="5F6E021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US</w:t>
            </w:r>
          </w:p>
        </w:tc>
        <w:tc>
          <w:tcPr>
            <w:tcW w:w="2272" w:type="dxa"/>
          </w:tcPr>
          <w:p w14:paraId="1A53C39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Sepsis and lower respiratory tract infection</w:t>
            </w:r>
          </w:p>
          <w:p w14:paraId="1A8436E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w:t>
            </w:r>
            <w:r w:rsidRPr="00AB4E6A">
              <w:rPr>
                <w:rFonts w:asciiTheme="majorBidi" w:hAnsiTheme="majorBidi" w:cstheme="majorBidi"/>
                <w:i/>
                <w:iCs/>
              </w:rPr>
              <w:t>C. Difficile)</w:t>
            </w:r>
          </w:p>
        </w:tc>
        <w:tc>
          <w:tcPr>
            <w:tcW w:w="1749" w:type="dxa"/>
          </w:tcPr>
          <w:p w14:paraId="5D3AFFBA"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Procalcitonin-algorithm</w:t>
            </w:r>
          </w:p>
        </w:tc>
        <w:tc>
          <w:tcPr>
            <w:tcW w:w="1871" w:type="dxa"/>
          </w:tcPr>
          <w:p w14:paraId="3B716B2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Standard of care</w:t>
            </w:r>
          </w:p>
        </w:tc>
      </w:tr>
      <w:tr w:rsidR="00AB4E6A" w:rsidRPr="00AB4E6A" w14:paraId="7B92BAAB" w14:textId="77777777" w:rsidTr="00BF606F">
        <w:trPr>
          <w:trHeight w:val="743"/>
        </w:trPr>
        <w:tc>
          <w:tcPr>
            <w:tcW w:w="1704" w:type="dxa"/>
          </w:tcPr>
          <w:p w14:paraId="0E961CC7" w14:textId="44C7EB5E"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 xml:space="preserve">Gordon 2020 </w:t>
            </w:r>
            <w:r w:rsidR="00A83123" w:rsidRPr="00A83123">
              <w:rPr>
                <w:rFonts w:asciiTheme="majorBidi" w:hAnsiTheme="majorBidi" w:cstheme="majorBidi"/>
                <w:noProof/>
                <w:vertAlign w:val="superscript"/>
              </w:rPr>
              <w:t>110</w:t>
            </w:r>
          </w:p>
        </w:tc>
        <w:tc>
          <w:tcPr>
            <w:tcW w:w="1284" w:type="dxa"/>
          </w:tcPr>
          <w:p w14:paraId="2FDAC999"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UK</w:t>
            </w:r>
          </w:p>
        </w:tc>
        <w:tc>
          <w:tcPr>
            <w:tcW w:w="2272" w:type="dxa"/>
          </w:tcPr>
          <w:p w14:paraId="7774BB1C"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w:t>
            </w:r>
            <w:proofErr w:type="spellStart"/>
            <w:r w:rsidRPr="00AB4E6A">
              <w:rPr>
                <w:rFonts w:asciiTheme="majorBidi" w:hAnsiTheme="majorBidi" w:cstheme="majorBidi"/>
              </w:rPr>
              <w:t>cIAI</w:t>
            </w:r>
            <w:proofErr w:type="spellEnd"/>
            <w:r w:rsidRPr="00AB4E6A">
              <w:rPr>
                <w:rFonts w:asciiTheme="majorBidi" w:hAnsiTheme="majorBidi" w:cstheme="majorBidi"/>
              </w:rPr>
              <w:t xml:space="preserve">, HAP </w:t>
            </w:r>
          </w:p>
          <w:p w14:paraId="543B1AC8" w14:textId="77777777" w:rsidR="00AB4E6A" w:rsidRPr="00685394" w:rsidRDefault="00AB4E6A" w:rsidP="00AB4E6A">
            <w:pPr>
              <w:spacing w:after="160" w:line="259" w:lineRule="auto"/>
              <w:rPr>
                <w:rFonts w:asciiTheme="majorBidi" w:hAnsiTheme="majorBidi" w:cstheme="majorBidi"/>
              </w:rPr>
            </w:pPr>
            <w:r w:rsidRPr="00685394">
              <w:rPr>
                <w:rFonts w:asciiTheme="majorBidi" w:hAnsiTheme="majorBidi" w:cstheme="majorBidi"/>
              </w:rPr>
              <w:t>(</w:t>
            </w:r>
            <w:proofErr w:type="spellStart"/>
            <w:proofErr w:type="gramStart"/>
            <w:r w:rsidRPr="00685394">
              <w:rPr>
                <w:rFonts w:asciiTheme="majorBidi" w:hAnsiTheme="majorBidi" w:cstheme="majorBidi"/>
                <w:i/>
              </w:rPr>
              <w:t>E.Coli</w:t>
            </w:r>
            <w:proofErr w:type="spellEnd"/>
            <w:proofErr w:type="gramEnd"/>
            <w:r w:rsidRPr="00685394">
              <w:rPr>
                <w:rFonts w:asciiTheme="majorBidi" w:hAnsiTheme="majorBidi" w:cstheme="majorBidi"/>
                <w:i/>
              </w:rPr>
              <w:t>, Pneumoniae, P. Aeruginosa)</w:t>
            </w:r>
          </w:p>
        </w:tc>
        <w:tc>
          <w:tcPr>
            <w:tcW w:w="1749" w:type="dxa"/>
          </w:tcPr>
          <w:p w14:paraId="7A7F3D00"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Peperacillin</w:t>
            </w:r>
            <w:proofErr w:type="spellEnd"/>
            <w:r w:rsidRPr="00AB4E6A">
              <w:rPr>
                <w:rFonts w:asciiTheme="majorBidi" w:hAnsiTheme="majorBidi" w:cstheme="majorBidi"/>
              </w:rPr>
              <w:t>/Tazobactam</w:t>
            </w:r>
          </w:p>
        </w:tc>
        <w:tc>
          <w:tcPr>
            <w:tcW w:w="1871" w:type="dxa"/>
          </w:tcPr>
          <w:p w14:paraId="7E541AB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Meropenem/(theoretical) new antimicrobial</w:t>
            </w:r>
          </w:p>
        </w:tc>
      </w:tr>
      <w:tr w:rsidR="00AB4E6A" w:rsidRPr="00AB4E6A" w14:paraId="7E61AC0D" w14:textId="77777777" w:rsidTr="00BF606F">
        <w:trPr>
          <w:trHeight w:val="743"/>
        </w:trPr>
        <w:tc>
          <w:tcPr>
            <w:tcW w:w="1704" w:type="dxa"/>
          </w:tcPr>
          <w:p w14:paraId="4710359F" w14:textId="20C7AD60"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lastRenderedPageBreak/>
              <w:t>Tichy</w:t>
            </w:r>
            <w:proofErr w:type="spellEnd"/>
            <w:r w:rsidRPr="00AB4E6A">
              <w:rPr>
                <w:rFonts w:asciiTheme="majorBidi" w:hAnsiTheme="majorBidi" w:cstheme="majorBidi"/>
              </w:rPr>
              <w:t xml:space="preserve"> et al 2020</w:t>
            </w:r>
            <w:r w:rsidR="00A83123" w:rsidRPr="00A83123">
              <w:rPr>
                <w:rFonts w:asciiTheme="majorBidi" w:hAnsiTheme="majorBidi" w:cstheme="majorBidi"/>
                <w:noProof/>
                <w:vertAlign w:val="superscript"/>
              </w:rPr>
              <w:t>103</w:t>
            </w:r>
            <w:r w:rsidRPr="00AB4E6A">
              <w:rPr>
                <w:rFonts w:asciiTheme="majorBidi" w:hAnsiTheme="majorBidi" w:cstheme="majorBidi"/>
              </w:rPr>
              <w:t xml:space="preserve"> </w:t>
            </w:r>
          </w:p>
        </w:tc>
        <w:tc>
          <w:tcPr>
            <w:tcW w:w="1284" w:type="dxa"/>
          </w:tcPr>
          <w:p w14:paraId="53E5E635"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2272" w:type="dxa"/>
          </w:tcPr>
          <w:p w14:paraId="35BD6A1A"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HAP/VAP</w:t>
            </w:r>
          </w:p>
          <w:p w14:paraId="3E9C4209"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w:t>
            </w:r>
            <w:r w:rsidRPr="00AB4E6A">
              <w:rPr>
                <w:rFonts w:asciiTheme="majorBidi" w:hAnsiTheme="majorBidi" w:cstheme="majorBidi"/>
                <w:i/>
                <w:iCs/>
              </w:rPr>
              <w:t>K. pneumonia (37%), P. aeruginosa (26%), E. cloacae (14%), E coli (12%), and H. influenzae (9%).)</w:t>
            </w:r>
          </w:p>
        </w:tc>
        <w:tc>
          <w:tcPr>
            <w:tcW w:w="1749" w:type="dxa"/>
          </w:tcPr>
          <w:p w14:paraId="0B9E1DE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ceftazidime/avibactam (CAZ-AVI)</w:t>
            </w:r>
          </w:p>
        </w:tc>
        <w:tc>
          <w:tcPr>
            <w:tcW w:w="1871" w:type="dxa"/>
          </w:tcPr>
          <w:p w14:paraId="4BEDD719"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w:t>
            </w:r>
          </w:p>
        </w:tc>
      </w:tr>
      <w:tr w:rsidR="00AB4E6A" w:rsidRPr="00AB4E6A" w14:paraId="1F7219C0" w14:textId="77777777" w:rsidTr="00BF606F">
        <w:trPr>
          <w:trHeight w:val="743"/>
        </w:trPr>
        <w:tc>
          <w:tcPr>
            <w:tcW w:w="1704" w:type="dxa"/>
          </w:tcPr>
          <w:p w14:paraId="041263FD" w14:textId="52434133"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Simon et al 2019</w:t>
            </w:r>
            <w:r w:rsidR="00A83123" w:rsidRPr="00A83123">
              <w:rPr>
                <w:rFonts w:asciiTheme="majorBidi" w:hAnsiTheme="majorBidi" w:cstheme="majorBidi"/>
                <w:noProof/>
                <w:vertAlign w:val="superscript"/>
              </w:rPr>
              <w:t>105</w:t>
            </w:r>
            <w:r w:rsidRPr="00AB4E6A">
              <w:rPr>
                <w:rFonts w:asciiTheme="majorBidi" w:hAnsiTheme="majorBidi" w:cstheme="majorBidi"/>
              </w:rPr>
              <w:t xml:space="preserve">.  </w:t>
            </w:r>
          </w:p>
        </w:tc>
        <w:tc>
          <w:tcPr>
            <w:tcW w:w="1284" w:type="dxa"/>
          </w:tcPr>
          <w:p w14:paraId="50929EBA"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United States</w:t>
            </w:r>
          </w:p>
        </w:tc>
        <w:tc>
          <w:tcPr>
            <w:tcW w:w="2272" w:type="dxa"/>
          </w:tcPr>
          <w:p w14:paraId="23E019C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 xml:space="preserve">CRE Pneumonia, BSI, </w:t>
            </w:r>
          </w:p>
          <w:p w14:paraId="674A3A8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i/>
                <w:iCs/>
              </w:rPr>
              <w:t>(K pneumoniae, Enterobacteriaceae)</w:t>
            </w:r>
          </w:p>
        </w:tc>
        <w:tc>
          <w:tcPr>
            <w:tcW w:w="1749" w:type="dxa"/>
          </w:tcPr>
          <w:p w14:paraId="25B3B584" w14:textId="77777777" w:rsidR="00AB4E6A" w:rsidRPr="00AB4E6A" w:rsidRDefault="00AB4E6A" w:rsidP="00AB4E6A">
            <w:pPr>
              <w:spacing w:after="160" w:line="259" w:lineRule="auto"/>
              <w:rPr>
                <w:rFonts w:asciiTheme="majorBidi" w:hAnsiTheme="majorBidi" w:cstheme="majorBidi"/>
              </w:rPr>
            </w:pPr>
          </w:p>
        </w:tc>
        <w:tc>
          <w:tcPr>
            <w:tcW w:w="1871" w:type="dxa"/>
          </w:tcPr>
          <w:p w14:paraId="7A476171"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Colistin-based therapy</w:t>
            </w:r>
          </w:p>
        </w:tc>
      </w:tr>
      <w:tr w:rsidR="00AB4E6A" w:rsidRPr="00AB4E6A" w14:paraId="31248840" w14:textId="77777777" w:rsidTr="00BF606F">
        <w:trPr>
          <w:trHeight w:val="743"/>
        </w:trPr>
        <w:tc>
          <w:tcPr>
            <w:tcW w:w="1704" w:type="dxa"/>
          </w:tcPr>
          <w:p w14:paraId="77528B3A" w14:textId="1E4C5013"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et al 2019</w:t>
            </w:r>
            <w:r w:rsidR="004B4D1C" w:rsidRPr="004B4D1C">
              <w:rPr>
                <w:rFonts w:asciiTheme="majorBidi" w:hAnsiTheme="majorBidi" w:cstheme="majorBidi"/>
                <w:noProof/>
                <w:vertAlign w:val="superscript"/>
              </w:rPr>
              <w:t>198</w:t>
            </w:r>
          </w:p>
        </w:tc>
        <w:tc>
          <w:tcPr>
            <w:tcW w:w="1284" w:type="dxa"/>
          </w:tcPr>
          <w:p w14:paraId="34B41DE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2272" w:type="dxa"/>
          </w:tcPr>
          <w:p w14:paraId="7CEC7EEF"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cIAIs</w:t>
            </w:r>
            <w:proofErr w:type="spellEnd"/>
          </w:p>
          <w:p w14:paraId="17CE8A5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i/>
                <w:iCs/>
              </w:rPr>
              <w:t xml:space="preserve">(Escherichia coli, Streptococcus </w:t>
            </w:r>
            <w:proofErr w:type="spellStart"/>
            <w:r w:rsidRPr="00AB4E6A">
              <w:rPr>
                <w:rFonts w:asciiTheme="majorBidi" w:hAnsiTheme="majorBidi" w:cstheme="majorBidi"/>
                <w:i/>
                <w:iCs/>
              </w:rPr>
              <w:t>anginosus</w:t>
            </w:r>
            <w:proofErr w:type="spellEnd"/>
            <w:r w:rsidRPr="00AB4E6A">
              <w:rPr>
                <w:rFonts w:asciiTheme="majorBidi" w:hAnsiTheme="majorBidi" w:cstheme="majorBidi"/>
                <w:i/>
                <w:iCs/>
              </w:rPr>
              <w:t xml:space="preserve"> group, Klebsiella pneumoniae, Bacteroides fragilis, Pseudomonas aeruginosa)</w:t>
            </w:r>
          </w:p>
        </w:tc>
        <w:tc>
          <w:tcPr>
            <w:tcW w:w="1749" w:type="dxa"/>
          </w:tcPr>
          <w:p w14:paraId="699EEF38" w14:textId="77777777" w:rsidR="00AB4E6A" w:rsidRPr="00AB4E6A" w:rsidRDefault="00AB4E6A" w:rsidP="00AB4E6A">
            <w:pPr>
              <w:spacing w:after="160" w:line="259" w:lineRule="auto"/>
              <w:rPr>
                <w:rFonts w:asciiTheme="majorBidi" w:hAnsiTheme="majorBidi" w:cstheme="majorBidi"/>
              </w:rPr>
            </w:pPr>
          </w:p>
        </w:tc>
        <w:tc>
          <w:tcPr>
            <w:tcW w:w="1871" w:type="dxa"/>
          </w:tcPr>
          <w:p w14:paraId="114C2498"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Ceftolozane</w:t>
            </w:r>
            <w:proofErr w:type="spellEnd"/>
            <w:r w:rsidRPr="00AB4E6A">
              <w:rPr>
                <w:rFonts w:asciiTheme="majorBidi" w:hAnsiTheme="majorBidi" w:cstheme="majorBidi"/>
              </w:rPr>
              <w:t>/tazobactam plus metronidazole; meropenem</w:t>
            </w:r>
          </w:p>
        </w:tc>
      </w:tr>
      <w:tr w:rsidR="00AB4E6A" w:rsidRPr="00AB4E6A" w14:paraId="4DD70A58" w14:textId="77777777" w:rsidTr="00BF606F">
        <w:trPr>
          <w:trHeight w:val="743"/>
        </w:trPr>
        <w:tc>
          <w:tcPr>
            <w:tcW w:w="1704" w:type="dxa"/>
          </w:tcPr>
          <w:p w14:paraId="618BDF75" w14:textId="0F5507F9"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et al 2019</w:t>
            </w:r>
            <w:r w:rsidR="00A83123" w:rsidRPr="00A83123">
              <w:rPr>
                <w:rFonts w:asciiTheme="majorBidi" w:hAnsiTheme="majorBidi" w:cstheme="majorBidi"/>
                <w:noProof/>
                <w:vertAlign w:val="superscript"/>
              </w:rPr>
              <w:t>104</w:t>
            </w:r>
          </w:p>
        </w:tc>
        <w:tc>
          <w:tcPr>
            <w:tcW w:w="1284" w:type="dxa"/>
          </w:tcPr>
          <w:p w14:paraId="4E086E09"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Italy</w:t>
            </w:r>
          </w:p>
        </w:tc>
        <w:tc>
          <w:tcPr>
            <w:tcW w:w="2272" w:type="dxa"/>
          </w:tcPr>
          <w:p w14:paraId="347223A4"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cUTI</w:t>
            </w:r>
            <w:proofErr w:type="spellEnd"/>
            <w:r w:rsidRPr="00AB4E6A">
              <w:rPr>
                <w:rFonts w:asciiTheme="majorBidi" w:hAnsiTheme="majorBidi" w:cstheme="majorBidi"/>
                <w:i/>
                <w:iCs/>
              </w:rPr>
              <w:t xml:space="preserve"> (Escherichia coli, Klebsiella pneumoniae, Pseudomonas aeruginosa, Proteus mirabilis, Enterobacter cloacae)</w:t>
            </w:r>
          </w:p>
        </w:tc>
        <w:tc>
          <w:tcPr>
            <w:tcW w:w="1749" w:type="dxa"/>
          </w:tcPr>
          <w:p w14:paraId="19CE124A" w14:textId="77777777" w:rsidR="00AB4E6A" w:rsidRPr="00AB4E6A" w:rsidRDefault="00AB4E6A" w:rsidP="00AB4E6A">
            <w:pPr>
              <w:spacing w:after="160" w:line="259" w:lineRule="auto"/>
              <w:rPr>
                <w:rFonts w:asciiTheme="majorBidi" w:hAnsiTheme="majorBidi" w:cstheme="majorBidi"/>
              </w:rPr>
            </w:pPr>
          </w:p>
        </w:tc>
        <w:tc>
          <w:tcPr>
            <w:tcW w:w="1871" w:type="dxa"/>
          </w:tcPr>
          <w:p w14:paraId="11A04DD8"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Imipenem</w:t>
            </w:r>
          </w:p>
        </w:tc>
      </w:tr>
      <w:tr w:rsidR="00AB4E6A" w:rsidRPr="00AB4E6A" w14:paraId="7B7759F2" w14:textId="77777777" w:rsidTr="00BF606F">
        <w:trPr>
          <w:trHeight w:val="743"/>
        </w:trPr>
        <w:tc>
          <w:tcPr>
            <w:tcW w:w="1704" w:type="dxa"/>
          </w:tcPr>
          <w:p w14:paraId="4DB4B89F" w14:textId="42F6D3B0" w:rsidR="00AB4E6A" w:rsidRPr="00AB4E6A" w:rsidRDefault="00AB4E6A" w:rsidP="00A83123">
            <w:pPr>
              <w:spacing w:after="160" w:line="259" w:lineRule="auto"/>
              <w:rPr>
                <w:rFonts w:asciiTheme="majorBidi" w:hAnsiTheme="majorBidi" w:cstheme="majorBidi"/>
              </w:rPr>
            </w:pPr>
            <w:r w:rsidRPr="00AB4E6A">
              <w:rPr>
                <w:rFonts w:asciiTheme="majorBidi" w:hAnsiTheme="majorBidi" w:cstheme="majorBidi"/>
              </w:rPr>
              <w:t>Nguyen et al 2019</w:t>
            </w:r>
            <w:r w:rsidR="00A83123" w:rsidRPr="00A83123">
              <w:rPr>
                <w:rFonts w:asciiTheme="majorBidi" w:hAnsiTheme="majorBidi" w:cstheme="majorBidi"/>
                <w:noProof/>
                <w:vertAlign w:val="superscript"/>
              </w:rPr>
              <w:t>106</w:t>
            </w:r>
          </w:p>
        </w:tc>
        <w:tc>
          <w:tcPr>
            <w:tcW w:w="1284" w:type="dxa"/>
          </w:tcPr>
          <w:p w14:paraId="291B7FC2"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Netherlands</w:t>
            </w:r>
          </w:p>
        </w:tc>
        <w:tc>
          <w:tcPr>
            <w:tcW w:w="2272" w:type="dxa"/>
          </w:tcPr>
          <w:p w14:paraId="1F0100B5"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w:t>
            </w:r>
            <w:proofErr w:type="spellStart"/>
            <w:r w:rsidRPr="00AB4E6A">
              <w:rPr>
                <w:rFonts w:asciiTheme="majorBidi" w:hAnsiTheme="majorBidi" w:cstheme="majorBidi"/>
              </w:rPr>
              <w:t>cIAI</w:t>
            </w:r>
            <w:proofErr w:type="spellEnd"/>
            <w:r w:rsidRPr="00AB4E6A">
              <w:rPr>
                <w:rFonts w:asciiTheme="majorBidi" w:hAnsiTheme="majorBidi" w:cstheme="majorBidi"/>
              </w:rPr>
              <w:t>, BSI</w:t>
            </w:r>
          </w:p>
          <w:p w14:paraId="0484E152" w14:textId="36AAA074"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i/>
                <w:iCs/>
              </w:rPr>
              <w:t>(ESBL/</w:t>
            </w:r>
            <w:proofErr w:type="spellStart"/>
            <w:r w:rsidRPr="00AB4E6A">
              <w:rPr>
                <w:rFonts w:asciiTheme="majorBidi" w:hAnsiTheme="majorBidi" w:cstheme="majorBidi"/>
                <w:i/>
                <w:iCs/>
              </w:rPr>
              <w:t>AmpC</w:t>
            </w:r>
            <w:proofErr w:type="spellEnd"/>
            <w:r w:rsidRPr="00AB4E6A">
              <w:rPr>
                <w:rFonts w:asciiTheme="majorBidi" w:hAnsiTheme="majorBidi" w:cstheme="majorBidi"/>
                <w:i/>
                <w:iCs/>
              </w:rPr>
              <w:t>-producing Gram-negative pathogens)</w:t>
            </w:r>
          </w:p>
        </w:tc>
        <w:tc>
          <w:tcPr>
            <w:tcW w:w="1749" w:type="dxa"/>
          </w:tcPr>
          <w:p w14:paraId="78C4B7CA" w14:textId="77777777" w:rsidR="00AB4E6A" w:rsidRPr="00AB4E6A" w:rsidRDefault="00AB4E6A" w:rsidP="00AB4E6A">
            <w:pPr>
              <w:spacing w:after="160" w:line="259" w:lineRule="auto"/>
              <w:rPr>
                <w:rFonts w:asciiTheme="majorBidi" w:hAnsiTheme="majorBidi" w:cstheme="majorBidi"/>
              </w:rPr>
            </w:pPr>
          </w:p>
        </w:tc>
        <w:tc>
          <w:tcPr>
            <w:tcW w:w="1871" w:type="dxa"/>
          </w:tcPr>
          <w:p w14:paraId="2DCBB8A5"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w:t>
            </w:r>
          </w:p>
        </w:tc>
      </w:tr>
    </w:tbl>
    <w:p w14:paraId="0BE7D182" w14:textId="29CB31DB" w:rsidR="000E3737" w:rsidRPr="00620688" w:rsidRDefault="000E3737" w:rsidP="000E3737">
      <w:pPr>
        <w:pStyle w:val="EEPRUtextundertables"/>
      </w:pPr>
      <w:r>
        <w:t xml:space="preserve">BSI, bloodstream infection; </w:t>
      </w:r>
      <w:proofErr w:type="spellStart"/>
      <w:r>
        <w:t>cIAI</w:t>
      </w:r>
      <w:proofErr w:type="spellEnd"/>
      <w:r>
        <w:t xml:space="preserve">, complicated intraabdominal infection; CRE, carbapenem-resistant </w:t>
      </w:r>
      <w:proofErr w:type="spellStart"/>
      <w:r w:rsidRPr="00D95E30">
        <w:t>Enterobacterales</w:t>
      </w:r>
      <w:proofErr w:type="spellEnd"/>
      <w:r>
        <w:t xml:space="preserve">; </w:t>
      </w:r>
      <w:proofErr w:type="spellStart"/>
      <w:r>
        <w:t>cUTI</w:t>
      </w:r>
      <w:proofErr w:type="spellEnd"/>
      <w:r>
        <w:t xml:space="preserve">, complicated urinary tract infection; </w:t>
      </w:r>
      <w:r w:rsidR="0066375D">
        <w:t xml:space="preserve">ESBL, </w:t>
      </w:r>
      <w:r w:rsidR="0066375D" w:rsidRPr="007D1B7F">
        <w:rPr>
          <w:rFonts w:asciiTheme="majorBidi" w:hAnsiTheme="majorBidi" w:cstheme="majorBidi"/>
        </w:rPr>
        <w:t>extended-spectrum beta-lactamase</w:t>
      </w:r>
      <w:r w:rsidR="0066375D" w:rsidRPr="0066375D">
        <w:t>;</w:t>
      </w:r>
      <w:r w:rsidR="0066375D">
        <w:t xml:space="preserve"> </w:t>
      </w:r>
      <w:r>
        <w:t>HAP, hospital-acquired pneumonia; VAP, ventilator-associated pneumonia</w:t>
      </w:r>
    </w:p>
    <w:p w14:paraId="2CC2881C" w14:textId="77777777" w:rsidR="00AB4E6A" w:rsidRPr="00AB4E6A" w:rsidRDefault="00AB4E6A" w:rsidP="00AB4E6A">
      <w:pPr>
        <w:rPr>
          <w:rFonts w:asciiTheme="majorBidi" w:hAnsiTheme="majorBidi" w:cstheme="majorBidi"/>
        </w:rPr>
      </w:pPr>
    </w:p>
    <w:p w14:paraId="18EF696E" w14:textId="2B64B672"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As discussed under Review 1, the 5 studies looking at the cost-effectiveness of CAZ-AVI provided limited insights regarding how to reflect resistance in the modelling and no attempt was made to consider the implications of changes in resistance over time.  The additional four studies provide some indications of how these effects could be captured.  Chen </w:t>
      </w:r>
      <w:r w:rsidRPr="00AB4E6A">
        <w:rPr>
          <w:rFonts w:asciiTheme="majorBidi" w:hAnsiTheme="majorBidi" w:cstheme="majorBidi"/>
          <w:i/>
          <w:iCs/>
        </w:rPr>
        <w:t>et al</w:t>
      </w:r>
      <w:r w:rsidRPr="00AB4E6A">
        <w:rPr>
          <w:rFonts w:asciiTheme="majorBidi" w:hAnsiTheme="majorBidi" w:cstheme="majorBidi"/>
        </w:rPr>
        <w:t xml:space="preserve"> considered alternative antibiotics for complicated UTI in the </w:t>
      </w:r>
      <w:r w:rsidR="008E4948">
        <w:rPr>
          <w:rFonts w:asciiTheme="majorBidi" w:hAnsiTheme="majorBidi" w:cstheme="majorBidi"/>
        </w:rPr>
        <w:t>ES</w:t>
      </w:r>
      <w:r w:rsidRPr="00AB4E6A">
        <w:rPr>
          <w:rFonts w:asciiTheme="majorBidi" w:hAnsiTheme="majorBidi" w:cstheme="majorBidi"/>
        </w:rPr>
        <w:t>.</w:t>
      </w:r>
      <w:proofErr w:type="gramStart"/>
      <w:r w:rsidR="00A83123" w:rsidRPr="00A83123">
        <w:rPr>
          <w:rFonts w:asciiTheme="majorBidi" w:hAnsiTheme="majorBidi" w:cstheme="majorBidi"/>
          <w:noProof/>
          <w:vertAlign w:val="superscript"/>
        </w:rPr>
        <w:t>107</w:t>
      </w:r>
      <w:r w:rsidRPr="00AB4E6A">
        <w:rPr>
          <w:rFonts w:asciiTheme="majorBidi" w:hAnsiTheme="majorBidi" w:cstheme="majorBidi"/>
        </w:rPr>
        <w:t xml:space="preserve">  They</w:t>
      </w:r>
      <w:proofErr w:type="gramEnd"/>
      <w:r w:rsidRPr="00AB4E6A">
        <w:rPr>
          <w:rFonts w:asciiTheme="majorBidi" w:hAnsiTheme="majorBidi" w:cstheme="majorBidi"/>
        </w:rPr>
        <w:t xml:space="preserve"> used a cohort study from a Taiwanese hospital to assess the appropriateness of each alternative empiric therapy based on clinical isolates.  Specifically, each randomly drawn isolate from the cohort represents a specific patient in the model and their susceptibility </w:t>
      </w:r>
      <w:r w:rsidRPr="00AB4E6A">
        <w:rPr>
          <w:rFonts w:asciiTheme="majorBidi" w:hAnsiTheme="majorBidi" w:cstheme="majorBidi"/>
        </w:rPr>
        <w:lastRenderedPageBreak/>
        <w:t xml:space="preserve">to a given antibiotic was used to determine whether a patient remained on their initial therapy or switched to an alternative regimen or required salvage therapy. </w:t>
      </w:r>
    </w:p>
    <w:p w14:paraId="33AC6A04" w14:textId="77777777" w:rsidR="00AB4E6A" w:rsidRPr="00AB4E6A" w:rsidRDefault="00AB4E6A" w:rsidP="00917737">
      <w:pPr>
        <w:spacing w:line="360" w:lineRule="auto"/>
        <w:rPr>
          <w:rFonts w:asciiTheme="majorBidi" w:hAnsiTheme="majorBidi" w:cstheme="majorBidi"/>
        </w:rPr>
      </w:pPr>
    </w:p>
    <w:p w14:paraId="786BF91C" w14:textId="07FEB5CE"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In the economic evaluation of Procalcitonin-guided antibiotic stewardship, </w:t>
      </w:r>
      <w:proofErr w:type="spellStart"/>
      <w:r w:rsidRPr="00AB4E6A">
        <w:rPr>
          <w:rFonts w:asciiTheme="majorBidi" w:hAnsiTheme="majorBidi" w:cstheme="majorBidi"/>
        </w:rPr>
        <w:t>Mewes</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Pr="00AB4E6A">
        <w:rPr>
          <w:rFonts w:asciiTheme="majorBidi" w:hAnsiTheme="majorBidi" w:cstheme="majorBidi"/>
        </w:rPr>
        <w:t>attempted to estimate the reduction in resistant infections resulting from the use of the biomarker.</w:t>
      </w:r>
      <w:r w:rsidR="00A83123" w:rsidRPr="00A83123">
        <w:rPr>
          <w:rFonts w:asciiTheme="majorBidi" w:hAnsiTheme="majorBidi" w:cstheme="majorBidi"/>
          <w:noProof/>
          <w:vertAlign w:val="superscript"/>
        </w:rPr>
        <w:t>108</w:t>
      </w:r>
      <w:r w:rsidRPr="00AB4E6A">
        <w:rPr>
          <w:rFonts w:asciiTheme="majorBidi" w:hAnsiTheme="majorBidi" w:cstheme="majorBidi"/>
        </w:rPr>
        <w:t xml:space="preserve"> The key parameter was an estimate of the correlation between the percentage reduction in days of antibiotic use resulting from use of the Procalcitonin-guided test and antibiotic resistance.  This estimate was taken from secondary sources and the authors emphasised the weakness in the data. </w:t>
      </w:r>
    </w:p>
    <w:p w14:paraId="6140A952" w14:textId="77777777" w:rsidR="00AB4E6A" w:rsidRPr="00AB4E6A" w:rsidRDefault="00AB4E6A" w:rsidP="00917737">
      <w:pPr>
        <w:spacing w:line="360" w:lineRule="auto"/>
        <w:rPr>
          <w:rFonts w:asciiTheme="majorBidi" w:hAnsiTheme="majorBidi" w:cstheme="majorBidi"/>
        </w:rPr>
      </w:pPr>
    </w:p>
    <w:p w14:paraId="08AC9C43" w14:textId="38057D1D"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The other two studies in this review attempted to deal with resistance through mechanistic infectious disease modelling.  In a conference abstract, Nelson </w:t>
      </w:r>
      <w:r w:rsidRPr="00AB4E6A">
        <w:rPr>
          <w:rFonts w:asciiTheme="majorBidi" w:hAnsiTheme="majorBidi" w:cstheme="majorBidi"/>
          <w:i/>
          <w:iCs/>
        </w:rPr>
        <w:t>et al</w:t>
      </w:r>
      <w:r w:rsidRPr="00AB4E6A">
        <w:rPr>
          <w:rFonts w:asciiTheme="majorBidi" w:hAnsiTheme="majorBidi" w:cstheme="majorBidi"/>
        </w:rPr>
        <w:t xml:space="preserve"> reported on the use of a compartmental model to show how the use of two hypothetical antibiotics for hospitalised patients with CRE could reduce transmission of this pathogen.</w:t>
      </w:r>
      <w:r w:rsidR="00A83123" w:rsidRPr="00A83123">
        <w:rPr>
          <w:rFonts w:asciiTheme="majorBidi" w:hAnsiTheme="majorBidi" w:cstheme="majorBidi"/>
          <w:noProof/>
          <w:vertAlign w:val="superscript"/>
        </w:rPr>
        <w:t>109</w:t>
      </w:r>
      <w:r w:rsidRPr="00AB4E6A">
        <w:rPr>
          <w:rFonts w:asciiTheme="majorBidi" w:hAnsiTheme="majorBidi" w:cstheme="majorBidi"/>
        </w:rPr>
        <w:t xml:space="preserve"> The ultimate purpose of the analysis was to describe the methods necessary to capture the transmission value of such products and the magnitude of this effect compared to the direct benefits of treatment.  Hypothetical data were only used for illustrative purposes.  </w:t>
      </w:r>
    </w:p>
    <w:p w14:paraId="60F37846" w14:textId="77777777" w:rsidR="00AB4E6A" w:rsidRPr="00AB4E6A" w:rsidRDefault="00AB4E6A" w:rsidP="00917737">
      <w:pPr>
        <w:spacing w:line="360" w:lineRule="auto"/>
        <w:rPr>
          <w:rFonts w:asciiTheme="majorBidi" w:hAnsiTheme="majorBidi" w:cstheme="majorBidi"/>
        </w:rPr>
      </w:pPr>
    </w:p>
    <w:p w14:paraId="775A0FA2" w14:textId="2D992FD2"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The study by Gordon et al (which is a key source of the model detailed in the CAZ-AVI manufacturer’s submission – see Section </w:t>
      </w:r>
      <w:r w:rsidR="003A30C3">
        <w:rPr>
          <w:rFonts w:asciiTheme="majorBidi" w:hAnsiTheme="majorBidi" w:cstheme="majorBidi"/>
        </w:rPr>
        <w:t>6.1.5</w:t>
      </w:r>
      <w:r w:rsidRPr="00AB4E6A">
        <w:rPr>
          <w:rFonts w:asciiTheme="majorBidi" w:hAnsiTheme="majorBidi" w:cstheme="majorBidi"/>
        </w:rPr>
        <w:t>) also used the combination of a dynamic transmission model and a treatment pathway model as a generic framework to evaluate up to three lines of antibiotics in different indications and pathogens.</w:t>
      </w:r>
      <w:proofErr w:type="gramStart"/>
      <w:r w:rsidR="00A83123" w:rsidRPr="00A83123">
        <w:rPr>
          <w:rFonts w:asciiTheme="majorBidi" w:hAnsiTheme="majorBidi" w:cstheme="majorBidi"/>
          <w:noProof/>
          <w:vertAlign w:val="superscript"/>
        </w:rPr>
        <w:t>110</w:t>
      </w:r>
      <w:r w:rsidRPr="00AB4E6A">
        <w:rPr>
          <w:rFonts w:asciiTheme="majorBidi" w:hAnsiTheme="majorBidi" w:cstheme="majorBidi"/>
        </w:rPr>
        <w:t xml:space="preserve">  This</w:t>
      </w:r>
      <w:proofErr w:type="gramEnd"/>
      <w:r w:rsidRPr="00AB4E6A">
        <w:rPr>
          <w:rFonts w:asciiTheme="majorBidi" w:hAnsiTheme="majorBidi" w:cstheme="majorBidi"/>
        </w:rPr>
        <w:t xml:space="preserve"> version of the model was applied to hospitalised patients in the UK with infections from a range of pathogens and in different sites. Transition parameters for the transmission model were derived using calibration from data from the English Surveillance Programme for Antimicrobial Utilisation and Resistance (ESPAUR) and the Public Health Profiles Fingertips tool on utilisation. In principle, this model could be capable of quantifying not just the direct health effects of a new antibiotic, but also the indirect impacts via any reduction in transmission of relevant pathogens. It could also reflect changes in resistance over time in response to different stewardship strategies and the introduction of new antimicrobials.  However, whether the model can achieve this in practice will inevitably depend on the available evidence and the assumptions necessary given the evidence gaps.  </w:t>
      </w:r>
    </w:p>
    <w:p w14:paraId="5516C3DE" w14:textId="43D8212B" w:rsidR="00AB4E6A" w:rsidRDefault="00AB4E6A" w:rsidP="00AB4E6A">
      <w:pPr>
        <w:rPr>
          <w:rFonts w:asciiTheme="majorBidi" w:hAnsiTheme="majorBidi" w:cstheme="majorBidi"/>
        </w:rPr>
      </w:pPr>
      <w:bookmarkStart w:id="789" w:name="_Toc77927082"/>
      <w:bookmarkStart w:id="790" w:name="_Toc77940592"/>
      <w:bookmarkStart w:id="791" w:name="_Toc77940957"/>
      <w:bookmarkStart w:id="792" w:name="_Toc77952399"/>
      <w:bookmarkStart w:id="793" w:name="_Toc77954395"/>
    </w:p>
    <w:p w14:paraId="65650BF7" w14:textId="44AFEFF2" w:rsidR="00AB4E6A" w:rsidRPr="00C03BFF" w:rsidRDefault="0041437E" w:rsidP="00C03BFF">
      <w:pPr>
        <w:pStyle w:val="EEPRUnumberedstylelevel3"/>
      </w:pPr>
      <w:r>
        <w:tab/>
      </w:r>
      <w:bookmarkStart w:id="794" w:name="_Toc87463128"/>
      <w:r w:rsidR="00AB4E6A" w:rsidRPr="0041437E">
        <w:t>A1</w:t>
      </w:r>
      <w:r w:rsidR="006F4DEE" w:rsidRPr="0041437E">
        <w:t>2</w:t>
      </w:r>
      <w:r w:rsidR="00AB4E6A" w:rsidRPr="0041437E">
        <w:t>.5 Review 3: modelling studies focused on HAP/VAP</w:t>
      </w:r>
      <w:bookmarkEnd w:id="789"/>
      <w:bookmarkEnd w:id="790"/>
      <w:bookmarkEnd w:id="791"/>
      <w:bookmarkEnd w:id="792"/>
      <w:bookmarkEnd w:id="793"/>
      <w:bookmarkEnd w:id="794"/>
      <w:r w:rsidR="00AB4E6A" w:rsidRPr="0041437E">
        <w:t xml:space="preserve"> </w:t>
      </w:r>
    </w:p>
    <w:p w14:paraId="7088E748" w14:textId="40E1A005" w:rsid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 targeted review was also conducted of models specifically in HAP/VAP to expand our understanding of models relating to this site of infection given its relevance to the HVCSs.  A recent systematic </w:t>
      </w:r>
      <w:r w:rsidRPr="00AB4E6A">
        <w:rPr>
          <w:rFonts w:asciiTheme="majorBidi" w:hAnsiTheme="majorBidi" w:cstheme="majorBidi"/>
        </w:rPr>
        <w:lastRenderedPageBreak/>
        <w:t xml:space="preserve">literature review of models in HAP/VAP by Wenger </w:t>
      </w:r>
      <w:r w:rsidRPr="00AB4E6A">
        <w:rPr>
          <w:rFonts w:asciiTheme="majorBidi" w:hAnsiTheme="majorBidi" w:cstheme="majorBidi"/>
          <w:i/>
          <w:iCs/>
        </w:rPr>
        <w:t>et al</w:t>
      </w:r>
      <w:r w:rsidRPr="00AB4E6A">
        <w:rPr>
          <w:rFonts w:asciiTheme="majorBidi" w:hAnsiTheme="majorBidi" w:cstheme="majorBidi"/>
        </w:rPr>
        <w:t xml:space="preserve"> was identified with searches conducted in </w:t>
      </w:r>
      <w:proofErr w:type="gramStart"/>
      <w:r w:rsidRPr="00AB4E6A">
        <w:rPr>
          <w:rFonts w:asciiTheme="majorBidi" w:hAnsiTheme="majorBidi" w:cstheme="majorBidi"/>
        </w:rPr>
        <w:t>2017.</w:t>
      </w:r>
      <w:r w:rsidR="00A83123" w:rsidRPr="00A83123">
        <w:rPr>
          <w:rFonts w:asciiTheme="majorBidi" w:hAnsiTheme="majorBidi" w:cstheme="majorBidi"/>
          <w:noProof/>
          <w:vertAlign w:val="superscript"/>
        </w:rPr>
        <w:t>111</w:t>
      </w:r>
      <w:r w:rsidRPr="00AB4E6A">
        <w:rPr>
          <w:rFonts w:asciiTheme="majorBidi" w:hAnsiTheme="majorBidi" w:cstheme="majorBidi"/>
        </w:rPr>
        <w:t xml:space="preserve">  In</w:t>
      </w:r>
      <w:proofErr w:type="gramEnd"/>
      <w:r w:rsidRPr="00AB4E6A">
        <w:rPr>
          <w:rFonts w:asciiTheme="majorBidi" w:hAnsiTheme="majorBidi" w:cstheme="majorBidi"/>
        </w:rPr>
        <w:t xml:space="preserve"> addition, a targeted search of HAP/VAP models published since 2017 was conducted but no additional relevant studies were identified except for </w:t>
      </w:r>
      <w:proofErr w:type="spellStart"/>
      <w:r w:rsidRPr="00AB4E6A">
        <w:rPr>
          <w:rFonts w:asciiTheme="majorBidi" w:hAnsiTheme="majorBidi" w:cstheme="majorBidi"/>
        </w:rPr>
        <w:t>Tichy</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00A83123" w:rsidRPr="00A83123">
        <w:rPr>
          <w:rFonts w:asciiTheme="majorBidi" w:hAnsiTheme="majorBidi" w:cstheme="majorBidi"/>
          <w:noProof/>
          <w:vertAlign w:val="superscript"/>
        </w:rPr>
        <w:t>103</w:t>
      </w:r>
      <w:r w:rsidRPr="00AB4E6A">
        <w:rPr>
          <w:rFonts w:asciiTheme="majorBidi" w:hAnsiTheme="majorBidi" w:cstheme="majorBidi"/>
        </w:rPr>
        <w:t xml:space="preserve"> from </w:t>
      </w:r>
      <w:r>
        <w:rPr>
          <w:rFonts w:asciiTheme="majorBidi" w:hAnsiTheme="majorBidi" w:cstheme="majorBidi"/>
        </w:rPr>
        <w:t xml:space="preserve">Review 1. </w:t>
      </w:r>
      <w:r w:rsidRPr="00AB4E6A">
        <w:rPr>
          <w:rFonts w:asciiTheme="majorBidi" w:hAnsiTheme="majorBidi" w:cstheme="majorBidi"/>
        </w:rPr>
        <w:t xml:space="preserve">The review by Wagner </w:t>
      </w:r>
      <w:r w:rsidRPr="00AB4E6A">
        <w:rPr>
          <w:rFonts w:asciiTheme="majorBidi" w:hAnsiTheme="majorBidi" w:cstheme="majorBidi"/>
          <w:i/>
          <w:iCs/>
        </w:rPr>
        <w:t>et al</w:t>
      </w:r>
      <w:r w:rsidRPr="00AB4E6A">
        <w:rPr>
          <w:rFonts w:asciiTheme="majorBidi" w:hAnsiTheme="majorBidi" w:cstheme="majorBidi"/>
        </w:rPr>
        <w:t xml:space="preserve"> was used to extract information on the target population, modelling assumptions, model structure, clinical evidence, healthcare resource use, costs. This information is summarized in </w:t>
      </w:r>
      <w:r w:rsidR="00E32B55" w:rsidRPr="00E32B55">
        <w:rPr>
          <w:rFonts w:asciiTheme="majorBidi" w:hAnsiTheme="majorBidi" w:cstheme="majorBidi"/>
        </w:rPr>
        <w:t>Table 55</w:t>
      </w:r>
      <w:r w:rsidRPr="00AB4E6A">
        <w:rPr>
          <w:rFonts w:asciiTheme="majorBidi" w:hAnsiTheme="majorBidi" w:cstheme="majorBidi"/>
        </w:rPr>
        <w:t>.</w:t>
      </w:r>
    </w:p>
    <w:p w14:paraId="3A9AAF8A" w14:textId="01B17DC4" w:rsidR="00BE5092" w:rsidRDefault="00BE5092">
      <w:pPr>
        <w:rPr>
          <w:rFonts w:asciiTheme="majorBidi" w:hAnsiTheme="majorBidi" w:cstheme="majorBidi"/>
        </w:rPr>
      </w:pPr>
      <w:r>
        <w:rPr>
          <w:rFonts w:asciiTheme="majorBidi" w:hAnsiTheme="majorBidi" w:cstheme="majorBidi"/>
        </w:rPr>
        <w:br w:type="page"/>
      </w:r>
    </w:p>
    <w:p w14:paraId="116B65E7" w14:textId="6CA67075" w:rsidR="00BE5092" w:rsidRDefault="00BE5092" w:rsidP="00AB4E6A">
      <w:pPr>
        <w:rPr>
          <w:rFonts w:asciiTheme="majorBidi" w:hAnsiTheme="majorBidi" w:cstheme="majorBidi"/>
        </w:rPr>
        <w:sectPr w:rsidR="00BE5092" w:rsidSect="006F4DEE">
          <w:pgSz w:w="11910" w:h="16840"/>
          <w:pgMar w:top="1582" w:right="1321" w:bottom="1582" w:left="1321" w:header="0" w:footer="1389" w:gutter="0"/>
          <w:cols w:space="720"/>
        </w:sectPr>
      </w:pPr>
    </w:p>
    <w:p w14:paraId="4064ABF2" w14:textId="2456C6D3" w:rsidR="00AB4E6A" w:rsidRPr="00BE5092" w:rsidRDefault="00E32B55" w:rsidP="00A83123">
      <w:pPr>
        <w:pStyle w:val="Caption"/>
        <w:rPr>
          <w:rFonts w:asciiTheme="majorBidi" w:hAnsiTheme="majorBidi" w:cstheme="majorBidi"/>
          <w:b/>
          <w:bCs/>
          <w:i w:val="0"/>
          <w:iCs w:val="0"/>
          <w:sz w:val="20"/>
          <w:szCs w:val="20"/>
        </w:rPr>
      </w:pPr>
      <w:bookmarkStart w:id="795" w:name="_Ref85646298"/>
      <w:bookmarkStart w:id="796" w:name="_Toc77931486"/>
      <w:bookmarkStart w:id="797" w:name="_Toc78204577"/>
      <w:bookmarkStart w:id="798" w:name="_Toc86419039"/>
      <w:r w:rsidRPr="00BE5092">
        <w:rPr>
          <w:rFonts w:asciiTheme="majorBidi" w:hAnsiTheme="majorBidi" w:cstheme="majorBidi"/>
          <w:b/>
          <w:bCs/>
          <w:i w:val="0"/>
          <w:iCs w:val="0"/>
          <w:sz w:val="20"/>
          <w:szCs w:val="20"/>
        </w:rPr>
        <w:lastRenderedPageBreak/>
        <w:t xml:space="preserve">Table </w:t>
      </w:r>
      <w:r w:rsidR="00F10F0A" w:rsidRPr="00BE5092">
        <w:rPr>
          <w:rFonts w:asciiTheme="majorBidi" w:hAnsiTheme="majorBidi" w:cstheme="majorBidi"/>
          <w:b/>
          <w:bCs/>
          <w:i w:val="0"/>
          <w:iCs w:val="0"/>
          <w:noProof/>
          <w:sz w:val="20"/>
          <w:szCs w:val="20"/>
        </w:rPr>
        <w:t>62</w:t>
      </w:r>
      <w:bookmarkEnd w:id="795"/>
      <w:r w:rsidR="00AB4E6A" w:rsidRPr="00BE5092">
        <w:rPr>
          <w:rFonts w:asciiTheme="majorBidi" w:hAnsiTheme="majorBidi" w:cstheme="majorBidi"/>
          <w:b/>
          <w:bCs/>
          <w:i w:val="0"/>
          <w:iCs w:val="0"/>
          <w:sz w:val="20"/>
          <w:szCs w:val="20"/>
        </w:rPr>
        <w:t>: Summary of included HAP/VAP modelling studies</w:t>
      </w:r>
      <w:bookmarkEnd w:id="796"/>
      <w:bookmarkEnd w:id="797"/>
      <w:r w:rsidR="00AB4E6A" w:rsidRPr="00BE5092">
        <w:rPr>
          <w:rFonts w:asciiTheme="majorBidi" w:hAnsiTheme="majorBidi" w:cstheme="majorBidi"/>
          <w:b/>
          <w:bCs/>
          <w:i w:val="0"/>
          <w:iCs w:val="0"/>
          <w:sz w:val="20"/>
          <w:szCs w:val="20"/>
        </w:rPr>
        <w:t xml:space="preserve"> based on in the review by Wagner et al</w:t>
      </w:r>
      <w:r w:rsidR="00A83123" w:rsidRPr="00A83123">
        <w:rPr>
          <w:rFonts w:asciiTheme="majorBidi" w:hAnsiTheme="majorBidi" w:cstheme="majorBidi"/>
          <w:b/>
          <w:bCs/>
          <w:i w:val="0"/>
          <w:iCs w:val="0"/>
          <w:noProof/>
          <w:sz w:val="20"/>
          <w:szCs w:val="20"/>
          <w:vertAlign w:val="superscript"/>
        </w:rPr>
        <w:t>111</w:t>
      </w:r>
      <w:bookmarkEnd w:id="798"/>
      <w:r w:rsidR="00AB4E6A" w:rsidRPr="00BE5092">
        <w:rPr>
          <w:rFonts w:asciiTheme="majorBidi" w:hAnsiTheme="majorBidi" w:cstheme="majorBidi"/>
          <w:b/>
          <w:bCs/>
          <w:i w:val="0"/>
          <w:iCs w:val="0"/>
          <w:sz w:val="20"/>
          <w:szCs w:val="20"/>
        </w:rPr>
        <w:t xml:space="preserve">  </w:t>
      </w:r>
    </w:p>
    <w:tbl>
      <w:tblPr>
        <w:tblStyle w:val="TableGrid5"/>
        <w:tblW w:w="12469" w:type="dxa"/>
        <w:tblLayout w:type="fixed"/>
        <w:tblLook w:val="0020" w:firstRow="1" w:lastRow="0" w:firstColumn="0" w:lastColumn="0" w:noHBand="0" w:noVBand="0"/>
      </w:tblPr>
      <w:tblGrid>
        <w:gridCol w:w="1555"/>
        <w:gridCol w:w="992"/>
        <w:gridCol w:w="1276"/>
        <w:gridCol w:w="1344"/>
        <w:gridCol w:w="1283"/>
        <w:gridCol w:w="1061"/>
        <w:gridCol w:w="1139"/>
        <w:gridCol w:w="1327"/>
        <w:gridCol w:w="1316"/>
        <w:gridCol w:w="1176"/>
      </w:tblGrid>
      <w:tr w:rsidR="00AB4E6A" w:rsidRPr="00AB4E6A" w14:paraId="4DCECE0B" w14:textId="77777777" w:rsidTr="00BF606F">
        <w:trPr>
          <w:trHeight w:val="562"/>
        </w:trPr>
        <w:tc>
          <w:tcPr>
            <w:tcW w:w="1555" w:type="dxa"/>
          </w:tcPr>
          <w:p w14:paraId="71254751"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Author, year</w:t>
            </w:r>
          </w:p>
        </w:tc>
        <w:tc>
          <w:tcPr>
            <w:tcW w:w="992" w:type="dxa"/>
          </w:tcPr>
          <w:p w14:paraId="3E2DD78D"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Country</w:t>
            </w:r>
          </w:p>
          <w:p w14:paraId="7FB31010" w14:textId="77777777" w:rsidR="00AB4E6A" w:rsidRPr="00AB4E6A" w:rsidRDefault="00AB4E6A" w:rsidP="00AB4E6A">
            <w:pPr>
              <w:spacing w:after="160" w:line="259" w:lineRule="auto"/>
              <w:rPr>
                <w:rFonts w:asciiTheme="majorBidi" w:hAnsiTheme="majorBidi" w:cstheme="majorBidi"/>
                <w:b/>
                <w:bCs/>
              </w:rPr>
            </w:pPr>
          </w:p>
        </w:tc>
        <w:tc>
          <w:tcPr>
            <w:tcW w:w="1276" w:type="dxa"/>
          </w:tcPr>
          <w:p w14:paraId="137C3FD5"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Population (Pathogen)</w:t>
            </w:r>
          </w:p>
        </w:tc>
        <w:tc>
          <w:tcPr>
            <w:tcW w:w="1344" w:type="dxa"/>
          </w:tcPr>
          <w:p w14:paraId="20A99856"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Intervention</w:t>
            </w:r>
          </w:p>
        </w:tc>
        <w:tc>
          <w:tcPr>
            <w:tcW w:w="1283" w:type="dxa"/>
          </w:tcPr>
          <w:p w14:paraId="2545D96F"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Comparator</w:t>
            </w:r>
          </w:p>
        </w:tc>
        <w:tc>
          <w:tcPr>
            <w:tcW w:w="1061" w:type="dxa"/>
          </w:tcPr>
          <w:p w14:paraId="03B34807"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Strategies modelled</w:t>
            </w:r>
          </w:p>
        </w:tc>
        <w:tc>
          <w:tcPr>
            <w:tcW w:w="1139" w:type="dxa"/>
          </w:tcPr>
          <w:p w14:paraId="0FDED9B6"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Resistance considered (Y/N)</w:t>
            </w:r>
          </w:p>
        </w:tc>
        <w:tc>
          <w:tcPr>
            <w:tcW w:w="1327" w:type="dxa"/>
          </w:tcPr>
          <w:p w14:paraId="7352D230"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Treatment Effectiveness</w:t>
            </w:r>
          </w:p>
        </w:tc>
        <w:tc>
          <w:tcPr>
            <w:tcW w:w="1316" w:type="dxa"/>
          </w:tcPr>
          <w:p w14:paraId="4B5668AF"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Evidence Source</w:t>
            </w:r>
          </w:p>
        </w:tc>
        <w:tc>
          <w:tcPr>
            <w:tcW w:w="1176" w:type="dxa"/>
          </w:tcPr>
          <w:p w14:paraId="4CFAD51E"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Model Structure</w:t>
            </w:r>
          </w:p>
        </w:tc>
      </w:tr>
      <w:tr w:rsidR="00AB4E6A" w:rsidRPr="00AB4E6A" w14:paraId="7AB5252E" w14:textId="77777777" w:rsidTr="00BF606F">
        <w:trPr>
          <w:trHeight w:val="760"/>
        </w:trPr>
        <w:tc>
          <w:tcPr>
            <w:tcW w:w="1555" w:type="dxa"/>
          </w:tcPr>
          <w:p w14:paraId="11C3564A" w14:textId="7DAB378D"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Edwards et al 2012</w:t>
            </w:r>
            <w:r w:rsidR="00A83123" w:rsidRPr="00A83123">
              <w:rPr>
                <w:rFonts w:asciiTheme="majorBidi" w:hAnsiTheme="majorBidi" w:cstheme="majorBidi"/>
                <w:noProof/>
                <w:vertAlign w:val="superscript"/>
              </w:rPr>
              <w:t>112</w:t>
            </w:r>
          </w:p>
        </w:tc>
        <w:tc>
          <w:tcPr>
            <w:tcW w:w="992" w:type="dxa"/>
          </w:tcPr>
          <w:p w14:paraId="0DD203A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UK</w:t>
            </w:r>
          </w:p>
        </w:tc>
        <w:tc>
          <w:tcPr>
            <w:tcW w:w="1276" w:type="dxa"/>
          </w:tcPr>
          <w:p w14:paraId="4CE26B3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HAP</w:t>
            </w:r>
          </w:p>
        </w:tc>
        <w:tc>
          <w:tcPr>
            <w:tcW w:w="1344" w:type="dxa"/>
          </w:tcPr>
          <w:p w14:paraId="2538FA00"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Meropenem</w:t>
            </w:r>
          </w:p>
        </w:tc>
        <w:tc>
          <w:tcPr>
            <w:tcW w:w="1283" w:type="dxa"/>
          </w:tcPr>
          <w:p w14:paraId="15DB88A0"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Piperacillin/</w:t>
            </w:r>
          </w:p>
          <w:p w14:paraId="22152590"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tazobactam</w:t>
            </w:r>
          </w:p>
        </w:tc>
        <w:tc>
          <w:tcPr>
            <w:tcW w:w="1061" w:type="dxa"/>
          </w:tcPr>
          <w:p w14:paraId="204ECB1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Following failure of 1</w:t>
            </w:r>
            <w:r w:rsidRPr="00AB4E6A">
              <w:rPr>
                <w:rFonts w:asciiTheme="majorBidi" w:hAnsiTheme="majorBidi" w:cstheme="majorBidi"/>
                <w:vertAlign w:val="superscript"/>
              </w:rPr>
              <w:t>st</w:t>
            </w:r>
            <w:r w:rsidRPr="00AB4E6A">
              <w:rPr>
                <w:rFonts w:asciiTheme="majorBidi" w:hAnsiTheme="majorBidi" w:cstheme="majorBidi"/>
              </w:rPr>
              <w:t xml:space="preserve"> line   antibiotics</w:t>
            </w:r>
          </w:p>
        </w:tc>
        <w:tc>
          <w:tcPr>
            <w:tcW w:w="1139" w:type="dxa"/>
          </w:tcPr>
          <w:p w14:paraId="09D14F81"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w:t>
            </w:r>
          </w:p>
        </w:tc>
        <w:tc>
          <w:tcPr>
            <w:tcW w:w="1327" w:type="dxa"/>
          </w:tcPr>
          <w:p w14:paraId="3DE3B2C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response; Diarrhoea</w:t>
            </w:r>
          </w:p>
        </w:tc>
        <w:tc>
          <w:tcPr>
            <w:tcW w:w="1316" w:type="dxa"/>
          </w:tcPr>
          <w:p w14:paraId="634F1905"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Literature review and meta-analysis</w:t>
            </w:r>
          </w:p>
        </w:tc>
        <w:tc>
          <w:tcPr>
            <w:tcW w:w="1176" w:type="dxa"/>
          </w:tcPr>
          <w:p w14:paraId="6C7FB7A5"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Markov model</w:t>
            </w:r>
          </w:p>
        </w:tc>
      </w:tr>
      <w:tr w:rsidR="00AB4E6A" w:rsidRPr="00AB4E6A" w14:paraId="360246C3" w14:textId="77777777" w:rsidTr="00BF606F">
        <w:trPr>
          <w:trHeight w:val="760"/>
        </w:trPr>
        <w:tc>
          <w:tcPr>
            <w:tcW w:w="1555" w:type="dxa"/>
          </w:tcPr>
          <w:p w14:paraId="126059D0" w14:textId="7DDF3DC7" w:rsidR="00AB4E6A" w:rsidRPr="00AB4E6A" w:rsidRDefault="00AB4E6A" w:rsidP="00C83FB7">
            <w:pPr>
              <w:spacing w:after="160" w:line="259" w:lineRule="auto"/>
              <w:rPr>
                <w:rFonts w:asciiTheme="majorBidi" w:hAnsiTheme="majorBidi" w:cstheme="majorBidi"/>
              </w:rPr>
            </w:pPr>
            <w:r w:rsidRPr="00AB4E6A">
              <w:rPr>
                <w:rFonts w:asciiTheme="majorBidi" w:hAnsiTheme="majorBidi" w:cstheme="majorBidi"/>
              </w:rPr>
              <w:t>Grau et al 2013</w:t>
            </w:r>
            <w:r w:rsidR="00A83123" w:rsidRPr="00A83123">
              <w:rPr>
                <w:rFonts w:asciiTheme="majorBidi" w:hAnsiTheme="majorBidi" w:cstheme="majorBidi"/>
                <w:noProof/>
                <w:vertAlign w:val="superscript"/>
              </w:rPr>
              <w:t>113</w:t>
            </w:r>
          </w:p>
        </w:tc>
        <w:tc>
          <w:tcPr>
            <w:tcW w:w="992" w:type="dxa"/>
          </w:tcPr>
          <w:p w14:paraId="15623D08"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Spain</w:t>
            </w:r>
          </w:p>
        </w:tc>
        <w:tc>
          <w:tcPr>
            <w:tcW w:w="1276" w:type="dxa"/>
          </w:tcPr>
          <w:p w14:paraId="74CC25C8"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VAP</w:t>
            </w:r>
          </w:p>
        </w:tc>
        <w:tc>
          <w:tcPr>
            <w:tcW w:w="1344" w:type="dxa"/>
          </w:tcPr>
          <w:p w14:paraId="56D26D9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Linezolid</w:t>
            </w:r>
          </w:p>
        </w:tc>
        <w:tc>
          <w:tcPr>
            <w:tcW w:w="1283" w:type="dxa"/>
          </w:tcPr>
          <w:p w14:paraId="61C3A833"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Vancomycin</w:t>
            </w:r>
          </w:p>
        </w:tc>
        <w:tc>
          <w:tcPr>
            <w:tcW w:w="1061" w:type="dxa"/>
          </w:tcPr>
          <w:p w14:paraId="2A18A50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139" w:type="dxa"/>
          </w:tcPr>
          <w:p w14:paraId="0E7F40E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w:t>
            </w:r>
          </w:p>
        </w:tc>
        <w:tc>
          <w:tcPr>
            <w:tcW w:w="1327" w:type="dxa"/>
          </w:tcPr>
          <w:p w14:paraId="42EA9FF6"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Cure, Survival Rates (for life-years and QALYs)</w:t>
            </w:r>
          </w:p>
        </w:tc>
        <w:tc>
          <w:tcPr>
            <w:tcW w:w="1316" w:type="dxa"/>
          </w:tcPr>
          <w:p w14:paraId="3E076E5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Retrospective analysis of RCTs</w:t>
            </w:r>
          </w:p>
        </w:tc>
        <w:tc>
          <w:tcPr>
            <w:tcW w:w="1176" w:type="dxa"/>
          </w:tcPr>
          <w:p w14:paraId="3E21E95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Decision Tree</w:t>
            </w:r>
          </w:p>
        </w:tc>
      </w:tr>
      <w:tr w:rsidR="00AB4E6A" w:rsidRPr="00AB4E6A" w14:paraId="54FFB5B8" w14:textId="77777777" w:rsidTr="00BF606F">
        <w:trPr>
          <w:trHeight w:val="1699"/>
        </w:trPr>
        <w:tc>
          <w:tcPr>
            <w:tcW w:w="1555" w:type="dxa"/>
          </w:tcPr>
          <w:p w14:paraId="1061869A" w14:textId="20163023"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et al 2010</w:t>
            </w:r>
            <w:r w:rsidR="00A83123" w:rsidRPr="00A83123">
              <w:rPr>
                <w:rFonts w:asciiTheme="majorBidi" w:hAnsiTheme="majorBidi" w:cstheme="majorBidi"/>
                <w:noProof/>
                <w:vertAlign w:val="superscript"/>
              </w:rPr>
              <w:t>114</w:t>
            </w:r>
          </w:p>
        </w:tc>
        <w:tc>
          <w:tcPr>
            <w:tcW w:w="992" w:type="dxa"/>
          </w:tcPr>
          <w:p w14:paraId="08757AA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US</w:t>
            </w:r>
          </w:p>
        </w:tc>
        <w:tc>
          <w:tcPr>
            <w:tcW w:w="1276" w:type="dxa"/>
          </w:tcPr>
          <w:p w14:paraId="1DEFB8D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Nosocomial Pneumonia</w:t>
            </w:r>
          </w:p>
        </w:tc>
        <w:tc>
          <w:tcPr>
            <w:tcW w:w="1344" w:type="dxa"/>
          </w:tcPr>
          <w:p w14:paraId="10936F05"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Doripenem</w:t>
            </w:r>
            <w:proofErr w:type="spellEnd"/>
          </w:p>
        </w:tc>
        <w:tc>
          <w:tcPr>
            <w:tcW w:w="1283" w:type="dxa"/>
          </w:tcPr>
          <w:p w14:paraId="0316D4E8"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Imipenem</w:t>
            </w:r>
          </w:p>
        </w:tc>
        <w:tc>
          <w:tcPr>
            <w:tcW w:w="1061" w:type="dxa"/>
          </w:tcPr>
          <w:p w14:paraId="1DF283B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139" w:type="dxa"/>
          </w:tcPr>
          <w:p w14:paraId="7BB34570"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Y</w:t>
            </w:r>
          </w:p>
        </w:tc>
        <w:tc>
          <w:tcPr>
            <w:tcW w:w="1327" w:type="dxa"/>
          </w:tcPr>
          <w:p w14:paraId="277BE19C"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 xml:space="preserve">Number of seizures, number of cases of emerging Pseudomonas aeruginosa resistance, length of stay at hospital, </w:t>
            </w:r>
            <w:r w:rsidRPr="00AB4E6A">
              <w:rPr>
                <w:rFonts w:asciiTheme="majorBidi" w:hAnsiTheme="majorBidi" w:cstheme="majorBidi"/>
              </w:rPr>
              <w:lastRenderedPageBreak/>
              <w:t>transmissions</w:t>
            </w:r>
          </w:p>
        </w:tc>
        <w:tc>
          <w:tcPr>
            <w:tcW w:w="1316" w:type="dxa"/>
          </w:tcPr>
          <w:p w14:paraId="568AE45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lastRenderedPageBreak/>
              <w:t>RCT, Published sources</w:t>
            </w:r>
          </w:p>
        </w:tc>
        <w:tc>
          <w:tcPr>
            <w:tcW w:w="1176" w:type="dxa"/>
          </w:tcPr>
          <w:p w14:paraId="29664F5F"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Patient-level simulation model</w:t>
            </w:r>
          </w:p>
        </w:tc>
      </w:tr>
    </w:tbl>
    <w:p w14:paraId="53C847C4" w14:textId="08754FDD" w:rsidR="00BE5092" w:rsidRDefault="00763774" w:rsidP="00AB4E6A">
      <w:pPr>
        <w:rPr>
          <w:rFonts w:asciiTheme="majorBidi" w:hAnsiTheme="majorBidi" w:cstheme="majorBidi"/>
        </w:rPr>
        <w:sectPr w:rsidR="00BE5092" w:rsidSect="00BE5092">
          <w:pgSz w:w="16840" w:h="11910" w:orient="landscape"/>
          <w:pgMar w:top="1321" w:right="1582" w:bottom="1321" w:left="1582" w:header="0" w:footer="1389" w:gutter="0"/>
          <w:cols w:space="720"/>
        </w:sectPr>
      </w:pPr>
      <w:r>
        <w:rPr>
          <w:rFonts w:asciiTheme="majorBidi" w:hAnsiTheme="majorBidi" w:cstheme="majorBidi"/>
        </w:rPr>
        <w:t>HAP, hospital-acquired pneumonia; VAP, ventilator-associated pneumonia; RCT, randomised controlled trial</w:t>
      </w:r>
    </w:p>
    <w:p w14:paraId="70EB353F" w14:textId="60310637" w:rsidR="00AB4E6A" w:rsidRPr="00AB4E6A" w:rsidRDefault="00AB4E6A" w:rsidP="00AB4E6A">
      <w:pPr>
        <w:rPr>
          <w:rFonts w:asciiTheme="majorBidi" w:hAnsiTheme="majorBidi" w:cstheme="majorBidi"/>
        </w:rPr>
      </w:pPr>
    </w:p>
    <w:p w14:paraId="0A66B730" w14:textId="0D8515BE"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Edwards </w:t>
      </w:r>
      <w:r w:rsidRPr="00AB4E6A">
        <w:rPr>
          <w:rFonts w:asciiTheme="majorBidi" w:hAnsiTheme="majorBidi" w:cstheme="majorBidi"/>
          <w:i/>
          <w:iCs/>
        </w:rPr>
        <w:t>et al</w:t>
      </w:r>
      <w:r w:rsidRPr="00AB4E6A">
        <w:rPr>
          <w:rFonts w:asciiTheme="majorBidi" w:hAnsiTheme="majorBidi" w:cstheme="majorBidi"/>
        </w:rPr>
        <w:t xml:space="preserve"> compared meropenem and Piperacillin/ tazobactam for the treatment of pneumonia.</w:t>
      </w:r>
      <w:r w:rsidR="00A83123" w:rsidRPr="00A83123">
        <w:rPr>
          <w:rFonts w:asciiTheme="majorBidi" w:hAnsiTheme="majorBidi" w:cstheme="majorBidi"/>
          <w:noProof/>
          <w:vertAlign w:val="superscript"/>
        </w:rPr>
        <w:t>112</w:t>
      </w:r>
      <w:r w:rsidRPr="00AB4E6A">
        <w:rPr>
          <w:rFonts w:asciiTheme="majorBidi" w:hAnsiTheme="majorBidi" w:cstheme="majorBidi"/>
        </w:rPr>
        <w:t xml:space="preserve">   The cost-effectiveness modelling involved a standard Markov model with states based on location of care in hospital and mortality.  Efficacy data were taken from a synthesis of RCT studies and allowance was made for relapse.  Grau </w:t>
      </w:r>
      <w:r w:rsidRPr="00AB4E6A">
        <w:rPr>
          <w:rFonts w:asciiTheme="majorBidi" w:hAnsiTheme="majorBidi" w:cstheme="majorBidi"/>
          <w:i/>
          <w:iCs/>
        </w:rPr>
        <w:t>et al</w:t>
      </w:r>
      <w:r w:rsidRPr="00AB4E6A">
        <w:rPr>
          <w:rFonts w:asciiTheme="majorBidi" w:hAnsiTheme="majorBidi" w:cstheme="majorBidi"/>
        </w:rPr>
        <w:t xml:space="preserve"> developed a decision tree model to evaluate linezolid compared with vancomycin in patients with VAP in Spain, distinguishing between different pathogens.</w:t>
      </w:r>
      <w:proofErr w:type="gramStart"/>
      <w:r w:rsidR="00A83123" w:rsidRPr="00A83123">
        <w:rPr>
          <w:rFonts w:asciiTheme="majorBidi" w:hAnsiTheme="majorBidi" w:cstheme="majorBidi"/>
          <w:noProof/>
          <w:vertAlign w:val="superscript"/>
        </w:rPr>
        <w:t>113</w:t>
      </w:r>
      <w:r w:rsidRPr="00AB4E6A">
        <w:rPr>
          <w:rFonts w:asciiTheme="majorBidi" w:hAnsiTheme="majorBidi" w:cstheme="majorBidi"/>
        </w:rPr>
        <w:t xml:space="preserve">  Efficacy</w:t>
      </w:r>
      <w:proofErr w:type="gramEnd"/>
      <w:r w:rsidRPr="00AB4E6A">
        <w:rPr>
          <w:rFonts w:asciiTheme="majorBidi" w:hAnsiTheme="majorBidi" w:cstheme="majorBidi"/>
        </w:rPr>
        <w:t xml:space="preserve"> data relating to clinical cure were taken from two RCTs and mortality was conditional on Acute Physiology And Chronic Health Evaluation (APACHE) scores and secondary data on long-term effects of a serious septic condition.   </w:t>
      </w: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 xml:space="preserve"> used discrete event simulation to model the cost-effectiveness of </w:t>
      </w:r>
      <w:proofErr w:type="spellStart"/>
      <w:r w:rsidRPr="00AB4E6A">
        <w:rPr>
          <w:rFonts w:asciiTheme="majorBidi" w:hAnsiTheme="majorBidi" w:cstheme="majorBidi"/>
        </w:rPr>
        <w:t>doripenem</w:t>
      </w:r>
      <w:proofErr w:type="spellEnd"/>
      <w:r w:rsidRPr="00AB4E6A">
        <w:rPr>
          <w:rFonts w:asciiTheme="majorBidi" w:hAnsiTheme="majorBidi" w:cstheme="majorBidi"/>
        </w:rPr>
        <w:t xml:space="preserve"> compared with imipenem in nosocomial pneumonia.</w:t>
      </w:r>
      <w:proofErr w:type="gramStart"/>
      <w:r w:rsidR="00A83123" w:rsidRPr="00A83123">
        <w:rPr>
          <w:rFonts w:asciiTheme="majorBidi" w:hAnsiTheme="majorBidi" w:cstheme="majorBidi"/>
          <w:noProof/>
          <w:vertAlign w:val="superscript"/>
        </w:rPr>
        <w:t>114</w:t>
      </w:r>
      <w:r w:rsidRPr="00AB4E6A">
        <w:rPr>
          <w:rFonts w:asciiTheme="majorBidi" w:hAnsiTheme="majorBidi" w:cstheme="majorBidi"/>
        </w:rPr>
        <w:t xml:space="preserve">  The</w:t>
      </w:r>
      <w:proofErr w:type="gramEnd"/>
      <w:r w:rsidRPr="00AB4E6A">
        <w:rPr>
          <w:rFonts w:asciiTheme="majorBidi" w:hAnsiTheme="majorBidi" w:cstheme="majorBidi"/>
        </w:rPr>
        <w:t xml:space="preserve"> model allowed for differences in baseline characteristics of nosocomial pneumonia type (without VAP, early-onset VAP, late-onset VAP) and PsA presence and PsA resistance to the given drug.  Efficacy and risk equations for hospital discharge and mortality were estimated from regulatory RCTs.  The number of PsA transmissions was estimated based on the efficacy of treatment.</w:t>
      </w:r>
    </w:p>
    <w:p w14:paraId="218E654F" w14:textId="77777777" w:rsidR="00AB4E6A" w:rsidRPr="00AB4E6A" w:rsidRDefault="00AB4E6A" w:rsidP="00917737">
      <w:pPr>
        <w:spacing w:line="360" w:lineRule="auto"/>
        <w:rPr>
          <w:rFonts w:asciiTheme="majorBidi" w:hAnsiTheme="majorBidi" w:cstheme="majorBidi"/>
        </w:rPr>
      </w:pPr>
    </w:p>
    <w:p w14:paraId="6ED15C5E" w14:textId="14A596AF" w:rsidR="00AB4E6A" w:rsidRPr="00AB4E6A" w:rsidRDefault="00AB4E6A" w:rsidP="00A83123">
      <w:pPr>
        <w:spacing w:line="360" w:lineRule="auto"/>
        <w:rPr>
          <w:rFonts w:asciiTheme="majorBidi" w:hAnsiTheme="majorBidi" w:cstheme="majorBidi"/>
        </w:rPr>
      </w:pPr>
      <w:proofErr w:type="gramStart"/>
      <w:r w:rsidRPr="00AB4E6A">
        <w:rPr>
          <w:rFonts w:asciiTheme="majorBidi" w:hAnsiTheme="majorBidi" w:cstheme="majorBidi"/>
        </w:rPr>
        <w:t>All of</w:t>
      </w:r>
      <w:proofErr w:type="gramEnd"/>
      <w:r w:rsidRPr="00AB4E6A">
        <w:rPr>
          <w:rFonts w:asciiTheme="majorBidi" w:hAnsiTheme="majorBidi" w:cstheme="majorBidi"/>
        </w:rPr>
        <w:t xml:space="preserve"> these studies include standard cost-effectiveness models that did not consider the impact of alternative therapies on resistance patterns over time.  </w:t>
      </w:r>
      <w:proofErr w:type="spellStart"/>
      <w:r w:rsidRPr="00AB4E6A">
        <w:rPr>
          <w:rFonts w:asciiTheme="majorBidi" w:hAnsiTheme="majorBidi" w:cstheme="majorBidi"/>
        </w:rPr>
        <w:t>Kongnakorn</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 xml:space="preserve"> attempted to include transmission rates in the modelling but this was not extrapolated to estimate population-level health effects.</w:t>
      </w:r>
      <w:proofErr w:type="gramStart"/>
      <w:r w:rsidR="00A83123" w:rsidRPr="00A83123">
        <w:rPr>
          <w:rFonts w:asciiTheme="majorBidi" w:hAnsiTheme="majorBidi" w:cstheme="majorBidi"/>
          <w:noProof/>
          <w:vertAlign w:val="superscript"/>
        </w:rPr>
        <w:t>114</w:t>
      </w:r>
      <w:r w:rsidRPr="00AB4E6A">
        <w:rPr>
          <w:rFonts w:asciiTheme="majorBidi" w:hAnsiTheme="majorBidi" w:cstheme="majorBidi"/>
        </w:rPr>
        <w:t xml:space="preserve">  As</w:t>
      </w:r>
      <w:proofErr w:type="gramEnd"/>
      <w:r w:rsidRPr="00AB4E6A">
        <w:rPr>
          <w:rFonts w:asciiTheme="majorBidi" w:hAnsiTheme="majorBidi" w:cstheme="majorBidi"/>
        </w:rPr>
        <w:t xml:space="preserve"> a UK study, Edwards </w:t>
      </w:r>
      <w:r w:rsidRPr="00AB4E6A">
        <w:rPr>
          <w:rFonts w:asciiTheme="majorBidi" w:hAnsiTheme="majorBidi" w:cstheme="majorBidi"/>
          <w:i/>
          <w:iCs/>
        </w:rPr>
        <w:t>et al</w:t>
      </w:r>
      <w:r w:rsidRPr="00AB4E6A">
        <w:rPr>
          <w:rFonts w:asciiTheme="majorBidi" w:hAnsiTheme="majorBidi" w:cstheme="majorBidi"/>
        </w:rPr>
        <w:t xml:space="preserve"> provides some potentially useful evidence sources for the current evaluation.</w:t>
      </w:r>
      <w:r w:rsidR="00A83123" w:rsidRPr="00A83123">
        <w:rPr>
          <w:rFonts w:asciiTheme="majorBidi" w:hAnsiTheme="majorBidi" w:cstheme="majorBidi"/>
          <w:noProof/>
          <w:vertAlign w:val="superscript"/>
        </w:rPr>
        <w:t>112</w:t>
      </w:r>
      <w:r w:rsidRPr="00AB4E6A">
        <w:rPr>
          <w:rFonts w:asciiTheme="majorBidi" w:hAnsiTheme="majorBidi" w:cstheme="majorBidi"/>
        </w:rPr>
        <w:t xml:space="preserve">   </w:t>
      </w:r>
    </w:p>
    <w:p w14:paraId="70D165BA" w14:textId="77777777" w:rsidR="00AB4E6A" w:rsidRPr="00AB4E6A" w:rsidRDefault="00AB4E6A" w:rsidP="00AB4E6A">
      <w:pPr>
        <w:rPr>
          <w:rFonts w:asciiTheme="majorBidi" w:hAnsiTheme="majorBidi" w:cstheme="majorBidi"/>
        </w:rPr>
      </w:pPr>
    </w:p>
    <w:p w14:paraId="2C3879D9" w14:textId="099F4F06" w:rsidR="00AB4E6A" w:rsidRPr="00097E31" w:rsidRDefault="00097E31" w:rsidP="00C03BFF">
      <w:pPr>
        <w:pStyle w:val="EEPRUnumberedstylelevel3"/>
        <w:rPr>
          <w:b w:val="0"/>
          <w:bCs w:val="0"/>
        </w:rPr>
      </w:pPr>
      <w:bookmarkStart w:id="799" w:name="_Toc77927083"/>
      <w:bookmarkStart w:id="800" w:name="_Toc77940593"/>
      <w:bookmarkStart w:id="801" w:name="_Toc77940958"/>
      <w:bookmarkStart w:id="802" w:name="_Toc77952400"/>
      <w:bookmarkStart w:id="803" w:name="_Toc77954396"/>
      <w:r>
        <w:tab/>
      </w:r>
      <w:r>
        <w:tab/>
      </w:r>
      <w:bookmarkStart w:id="804" w:name="_Toc87463129"/>
      <w:r w:rsidR="00AB4E6A" w:rsidRPr="00097E31">
        <w:t>A1</w:t>
      </w:r>
      <w:r w:rsidR="006F4DEE" w:rsidRPr="00097E31">
        <w:t>2</w:t>
      </w:r>
      <w:r w:rsidR="00AB4E6A" w:rsidRPr="00097E31">
        <w:t xml:space="preserve">.6 Review 4: modelling studies focused on </w:t>
      </w:r>
      <w:proofErr w:type="spellStart"/>
      <w:r w:rsidR="00AB4E6A" w:rsidRPr="00097E31">
        <w:t>cUTI</w:t>
      </w:r>
      <w:bookmarkEnd w:id="799"/>
      <w:bookmarkEnd w:id="800"/>
      <w:bookmarkEnd w:id="801"/>
      <w:bookmarkEnd w:id="802"/>
      <w:bookmarkEnd w:id="803"/>
      <w:bookmarkEnd w:id="804"/>
      <w:proofErr w:type="spellEnd"/>
      <w:r w:rsidR="00AB4E6A" w:rsidRPr="00097E31">
        <w:t xml:space="preserve"> </w:t>
      </w:r>
    </w:p>
    <w:p w14:paraId="0DA73541" w14:textId="464B663F"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 targeted review of models specifically in </w:t>
      </w: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was undertaken to better understand the relevance of existing modelling assumptions, model structure, model inputs to the HVCSs. In addition to the models in </w:t>
      </w: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identified in </w:t>
      </w:r>
      <w:r>
        <w:rPr>
          <w:rFonts w:asciiTheme="majorBidi" w:hAnsiTheme="majorBidi" w:cstheme="majorBidi"/>
        </w:rPr>
        <w:t>Reviews 1.</w:t>
      </w:r>
      <w:r w:rsidR="00A83123" w:rsidRPr="00A83123">
        <w:rPr>
          <w:rFonts w:asciiTheme="majorBidi" w:hAnsiTheme="majorBidi" w:cstheme="majorBidi"/>
          <w:noProof/>
          <w:vertAlign w:val="superscript"/>
        </w:rPr>
        <w:t>104,106,107,110,116</w:t>
      </w:r>
      <w:r w:rsidRPr="00AB4E6A">
        <w:rPr>
          <w:rFonts w:asciiTheme="majorBidi" w:hAnsiTheme="majorBidi" w:cstheme="majorBidi"/>
        </w:rPr>
        <w:t xml:space="preserve">, we identified one additional study which is summarised in </w:t>
      </w:r>
      <w:r w:rsidR="00E32B55" w:rsidRPr="00E32B55">
        <w:rPr>
          <w:rFonts w:asciiTheme="majorBidi" w:hAnsiTheme="majorBidi" w:cstheme="majorBidi"/>
        </w:rPr>
        <w:t>Table 56</w:t>
      </w:r>
      <w:r w:rsidRPr="00AB4E6A">
        <w:rPr>
          <w:rFonts w:asciiTheme="majorBidi" w:hAnsiTheme="majorBidi" w:cstheme="majorBidi"/>
        </w:rPr>
        <w:t>.</w:t>
      </w:r>
    </w:p>
    <w:p w14:paraId="62B2B3A9" w14:textId="77777777" w:rsidR="00AB4E6A" w:rsidRPr="00AB4E6A" w:rsidRDefault="00AB4E6A" w:rsidP="00AB4E6A">
      <w:pPr>
        <w:rPr>
          <w:rFonts w:asciiTheme="majorBidi" w:hAnsiTheme="majorBidi" w:cstheme="majorBidi"/>
        </w:rPr>
      </w:pPr>
    </w:p>
    <w:p w14:paraId="4D352A00" w14:textId="77777777" w:rsidR="00BE5092" w:rsidRDefault="00BE5092" w:rsidP="00E32B55">
      <w:pPr>
        <w:pStyle w:val="Caption"/>
        <w:rPr>
          <w:rFonts w:asciiTheme="majorBidi" w:hAnsiTheme="majorBidi" w:cstheme="majorBidi"/>
          <w:b/>
          <w:bCs/>
          <w:i w:val="0"/>
          <w:iCs w:val="0"/>
          <w:sz w:val="20"/>
          <w:szCs w:val="20"/>
        </w:rPr>
        <w:sectPr w:rsidR="00BE5092" w:rsidSect="006F4DEE">
          <w:pgSz w:w="11910" w:h="16840"/>
          <w:pgMar w:top="1582" w:right="1321" w:bottom="1582" w:left="1321" w:header="0" w:footer="1389" w:gutter="0"/>
          <w:cols w:space="720"/>
        </w:sectPr>
      </w:pPr>
      <w:bookmarkStart w:id="805" w:name="_Ref85646326"/>
      <w:bookmarkStart w:id="806" w:name="_Toc77931487"/>
      <w:bookmarkStart w:id="807" w:name="_Toc78204578"/>
    </w:p>
    <w:p w14:paraId="7CA34B4F" w14:textId="22CB6034" w:rsidR="00AB4E6A" w:rsidRPr="00BE5092" w:rsidRDefault="00E32B55" w:rsidP="00E32B55">
      <w:pPr>
        <w:pStyle w:val="Caption"/>
        <w:rPr>
          <w:rFonts w:asciiTheme="majorBidi" w:hAnsiTheme="majorBidi" w:cstheme="majorBidi"/>
          <w:b/>
          <w:bCs/>
          <w:i w:val="0"/>
          <w:iCs w:val="0"/>
          <w:sz w:val="20"/>
          <w:szCs w:val="20"/>
        </w:rPr>
      </w:pPr>
      <w:bookmarkStart w:id="808" w:name="_Toc86419040"/>
      <w:r w:rsidRPr="00BE5092">
        <w:rPr>
          <w:rFonts w:asciiTheme="majorBidi" w:hAnsiTheme="majorBidi" w:cstheme="majorBidi"/>
          <w:b/>
          <w:bCs/>
          <w:i w:val="0"/>
          <w:iCs w:val="0"/>
          <w:sz w:val="20"/>
          <w:szCs w:val="20"/>
        </w:rPr>
        <w:lastRenderedPageBreak/>
        <w:t xml:space="preserve">Table </w:t>
      </w:r>
      <w:r w:rsidR="00F10F0A" w:rsidRPr="00BE5092">
        <w:rPr>
          <w:rFonts w:asciiTheme="majorBidi" w:hAnsiTheme="majorBidi" w:cstheme="majorBidi"/>
          <w:b/>
          <w:bCs/>
          <w:i w:val="0"/>
          <w:iCs w:val="0"/>
          <w:noProof/>
          <w:sz w:val="20"/>
          <w:szCs w:val="20"/>
        </w:rPr>
        <w:t>63</w:t>
      </w:r>
      <w:bookmarkEnd w:id="805"/>
      <w:r w:rsidR="00AB4E6A" w:rsidRPr="00BE5092">
        <w:rPr>
          <w:rFonts w:asciiTheme="majorBidi" w:hAnsiTheme="majorBidi" w:cstheme="majorBidi"/>
          <w:b/>
          <w:bCs/>
          <w:i w:val="0"/>
          <w:iCs w:val="0"/>
          <w:sz w:val="20"/>
          <w:szCs w:val="20"/>
        </w:rPr>
        <w:t xml:space="preserve">: Summary of included </w:t>
      </w:r>
      <w:proofErr w:type="spellStart"/>
      <w:r w:rsidR="00AB4E6A" w:rsidRPr="00BE5092">
        <w:rPr>
          <w:rFonts w:asciiTheme="majorBidi" w:hAnsiTheme="majorBidi" w:cstheme="majorBidi"/>
          <w:b/>
          <w:bCs/>
          <w:i w:val="0"/>
          <w:iCs w:val="0"/>
          <w:sz w:val="20"/>
          <w:szCs w:val="20"/>
        </w:rPr>
        <w:t>cUTI</w:t>
      </w:r>
      <w:proofErr w:type="spellEnd"/>
      <w:r w:rsidR="00AB4E6A" w:rsidRPr="00BE5092">
        <w:rPr>
          <w:rFonts w:asciiTheme="majorBidi" w:hAnsiTheme="majorBidi" w:cstheme="majorBidi"/>
          <w:b/>
          <w:bCs/>
          <w:i w:val="0"/>
          <w:iCs w:val="0"/>
          <w:sz w:val="20"/>
          <w:szCs w:val="20"/>
        </w:rPr>
        <w:t xml:space="preserve"> modelling studies</w:t>
      </w:r>
      <w:bookmarkEnd w:id="806"/>
      <w:bookmarkEnd w:id="807"/>
      <w:r w:rsidR="00AB4E6A" w:rsidRPr="00BE5092">
        <w:rPr>
          <w:rFonts w:asciiTheme="majorBidi" w:hAnsiTheme="majorBidi" w:cstheme="majorBidi"/>
          <w:b/>
          <w:bCs/>
          <w:i w:val="0"/>
          <w:iCs w:val="0"/>
          <w:sz w:val="20"/>
          <w:szCs w:val="20"/>
        </w:rPr>
        <w:t xml:space="preserve"> in addition to those in Review 1</w:t>
      </w:r>
      <w:bookmarkEnd w:id="808"/>
      <w:r w:rsidR="00AB4E6A" w:rsidRPr="00BE5092">
        <w:rPr>
          <w:rFonts w:asciiTheme="majorBidi" w:hAnsiTheme="majorBidi" w:cstheme="majorBidi"/>
          <w:b/>
          <w:bCs/>
          <w:i w:val="0"/>
          <w:iCs w:val="0"/>
          <w:sz w:val="20"/>
          <w:szCs w:val="20"/>
        </w:rPr>
        <w:t xml:space="preserve"> </w:t>
      </w:r>
    </w:p>
    <w:tbl>
      <w:tblPr>
        <w:tblStyle w:val="TableGrid5"/>
        <w:tblW w:w="12186" w:type="dxa"/>
        <w:tblLook w:val="0020" w:firstRow="1" w:lastRow="0" w:firstColumn="0" w:lastColumn="0" w:noHBand="0" w:noVBand="0"/>
      </w:tblPr>
      <w:tblGrid>
        <w:gridCol w:w="956"/>
        <w:gridCol w:w="1011"/>
        <w:gridCol w:w="1371"/>
        <w:gridCol w:w="1390"/>
        <w:gridCol w:w="1390"/>
        <w:gridCol w:w="1145"/>
        <w:gridCol w:w="1231"/>
        <w:gridCol w:w="1438"/>
        <w:gridCol w:w="1426"/>
        <w:gridCol w:w="1145"/>
      </w:tblGrid>
      <w:tr w:rsidR="00AB4E6A" w:rsidRPr="00AB4E6A" w14:paraId="33589E3B" w14:textId="77777777" w:rsidTr="00FF7D30">
        <w:trPr>
          <w:trHeight w:val="562"/>
        </w:trPr>
        <w:tc>
          <w:tcPr>
            <w:tcW w:w="1163" w:type="dxa"/>
          </w:tcPr>
          <w:p w14:paraId="1F8D0BA3"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Author, year</w:t>
            </w:r>
          </w:p>
        </w:tc>
        <w:tc>
          <w:tcPr>
            <w:tcW w:w="939" w:type="dxa"/>
          </w:tcPr>
          <w:p w14:paraId="01044276"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Country</w:t>
            </w:r>
          </w:p>
          <w:p w14:paraId="1B765EF8" w14:textId="77777777" w:rsidR="00AB4E6A" w:rsidRPr="00AB4E6A" w:rsidRDefault="00AB4E6A" w:rsidP="00AB4E6A">
            <w:pPr>
              <w:spacing w:after="160" w:line="259" w:lineRule="auto"/>
              <w:rPr>
                <w:rFonts w:asciiTheme="majorBidi" w:hAnsiTheme="majorBidi" w:cstheme="majorBidi"/>
                <w:b/>
                <w:bCs/>
              </w:rPr>
            </w:pPr>
          </w:p>
        </w:tc>
        <w:tc>
          <w:tcPr>
            <w:tcW w:w="1276" w:type="dxa"/>
          </w:tcPr>
          <w:p w14:paraId="2726091E"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Population (Pathogen)</w:t>
            </w:r>
          </w:p>
        </w:tc>
        <w:tc>
          <w:tcPr>
            <w:tcW w:w="1283" w:type="dxa"/>
          </w:tcPr>
          <w:p w14:paraId="79388BA4"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Intervention</w:t>
            </w:r>
          </w:p>
        </w:tc>
        <w:tc>
          <w:tcPr>
            <w:tcW w:w="1330" w:type="dxa"/>
          </w:tcPr>
          <w:p w14:paraId="0951FC91"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Comparator</w:t>
            </w:r>
          </w:p>
        </w:tc>
        <w:tc>
          <w:tcPr>
            <w:tcW w:w="1061" w:type="dxa"/>
          </w:tcPr>
          <w:p w14:paraId="29530ACA"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Strategies modelled</w:t>
            </w:r>
          </w:p>
        </w:tc>
        <w:tc>
          <w:tcPr>
            <w:tcW w:w="1139" w:type="dxa"/>
          </w:tcPr>
          <w:p w14:paraId="71D19F20"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Resistance considered (Y/N)</w:t>
            </w:r>
          </w:p>
        </w:tc>
        <w:tc>
          <w:tcPr>
            <w:tcW w:w="1327" w:type="dxa"/>
          </w:tcPr>
          <w:p w14:paraId="11D2943A"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Treatment Effectiveness</w:t>
            </w:r>
          </w:p>
        </w:tc>
        <w:tc>
          <w:tcPr>
            <w:tcW w:w="825" w:type="dxa"/>
          </w:tcPr>
          <w:p w14:paraId="568D2373"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Evidence Source</w:t>
            </w:r>
          </w:p>
        </w:tc>
        <w:tc>
          <w:tcPr>
            <w:tcW w:w="1843" w:type="dxa"/>
          </w:tcPr>
          <w:p w14:paraId="7F95DD52" w14:textId="77777777" w:rsidR="00AB4E6A" w:rsidRPr="00AB4E6A" w:rsidRDefault="00AB4E6A" w:rsidP="00AB4E6A">
            <w:pPr>
              <w:spacing w:after="160" w:line="259" w:lineRule="auto"/>
              <w:rPr>
                <w:rFonts w:asciiTheme="majorBidi" w:hAnsiTheme="majorBidi" w:cstheme="majorBidi"/>
                <w:b/>
                <w:bCs/>
              </w:rPr>
            </w:pPr>
            <w:r w:rsidRPr="00AB4E6A">
              <w:rPr>
                <w:rFonts w:asciiTheme="majorBidi" w:hAnsiTheme="majorBidi" w:cstheme="majorBidi"/>
                <w:b/>
                <w:bCs/>
              </w:rPr>
              <w:t>Model Structure</w:t>
            </w:r>
          </w:p>
        </w:tc>
      </w:tr>
      <w:tr w:rsidR="00AB4E6A" w:rsidRPr="00AB4E6A" w14:paraId="29666CA9" w14:textId="77777777" w:rsidTr="00FF7D30">
        <w:trPr>
          <w:trHeight w:val="760"/>
        </w:trPr>
        <w:tc>
          <w:tcPr>
            <w:tcW w:w="1163" w:type="dxa"/>
          </w:tcPr>
          <w:p w14:paraId="69BB189E" w14:textId="59BBD121" w:rsidR="00AB4E6A" w:rsidRPr="00AB4E6A" w:rsidRDefault="00AB4E6A" w:rsidP="00C83FB7">
            <w:pPr>
              <w:spacing w:after="160" w:line="259" w:lineRule="auto"/>
              <w:rPr>
                <w:rFonts w:asciiTheme="majorBidi" w:hAnsiTheme="majorBidi" w:cstheme="majorBidi"/>
              </w:rPr>
            </w:pPr>
            <w:proofErr w:type="spellStart"/>
            <w:r w:rsidRPr="00AB4E6A">
              <w:rPr>
                <w:rFonts w:asciiTheme="majorBidi" w:hAnsiTheme="majorBidi" w:cstheme="majorBidi"/>
              </w:rPr>
              <w:t>Kauf</w:t>
            </w:r>
            <w:proofErr w:type="spellEnd"/>
            <w:r w:rsidRPr="00AB4E6A">
              <w:rPr>
                <w:rFonts w:asciiTheme="majorBidi" w:hAnsiTheme="majorBidi" w:cstheme="majorBidi"/>
              </w:rPr>
              <w:t xml:space="preserve"> 2017</w:t>
            </w:r>
            <w:r w:rsidR="00A83123" w:rsidRPr="00A83123">
              <w:rPr>
                <w:rFonts w:asciiTheme="majorBidi" w:hAnsiTheme="majorBidi" w:cstheme="majorBidi"/>
                <w:noProof/>
                <w:vertAlign w:val="superscript"/>
              </w:rPr>
              <w:t>115</w:t>
            </w:r>
          </w:p>
        </w:tc>
        <w:tc>
          <w:tcPr>
            <w:tcW w:w="939" w:type="dxa"/>
          </w:tcPr>
          <w:p w14:paraId="49AC67C6"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US</w:t>
            </w:r>
          </w:p>
        </w:tc>
        <w:tc>
          <w:tcPr>
            <w:tcW w:w="1276" w:type="dxa"/>
          </w:tcPr>
          <w:p w14:paraId="7615F2DD" w14:textId="77777777" w:rsidR="00AB4E6A" w:rsidRPr="00AB4E6A" w:rsidRDefault="00AB4E6A" w:rsidP="00AB4E6A">
            <w:pPr>
              <w:spacing w:after="160" w:line="259" w:lineRule="auto"/>
              <w:rPr>
                <w:rFonts w:asciiTheme="majorBidi" w:hAnsiTheme="majorBidi" w:cstheme="majorBidi"/>
                <w:lang w:val="it-IT"/>
              </w:rPr>
            </w:pPr>
            <w:r w:rsidRPr="00AB4E6A">
              <w:rPr>
                <w:rFonts w:asciiTheme="majorBidi" w:hAnsiTheme="majorBidi" w:cstheme="majorBidi"/>
                <w:lang w:val="it-IT"/>
              </w:rPr>
              <w:t>cUTI</w:t>
            </w:r>
          </w:p>
          <w:p w14:paraId="4313039E" w14:textId="77777777" w:rsidR="00AB4E6A" w:rsidRPr="00AB4E6A" w:rsidRDefault="00AB4E6A" w:rsidP="00AB4E6A">
            <w:pPr>
              <w:spacing w:after="160" w:line="259" w:lineRule="auto"/>
              <w:rPr>
                <w:rFonts w:asciiTheme="majorBidi" w:hAnsiTheme="majorBidi" w:cstheme="majorBidi"/>
                <w:lang w:val="it-IT"/>
              </w:rPr>
            </w:pPr>
            <w:r w:rsidRPr="00AB4E6A">
              <w:rPr>
                <w:rFonts w:asciiTheme="majorBidi" w:hAnsiTheme="majorBidi" w:cstheme="majorBidi"/>
                <w:i/>
                <w:iCs/>
                <w:lang w:val="it-IT"/>
              </w:rPr>
              <w:t>(E. Coli, K. Pneumoniae, P. Aeruginosa, P. Mirabilis)</w:t>
            </w:r>
          </w:p>
        </w:tc>
        <w:tc>
          <w:tcPr>
            <w:tcW w:w="1283" w:type="dxa"/>
          </w:tcPr>
          <w:p w14:paraId="4B7E9DA3" w14:textId="77777777" w:rsidR="00AB4E6A" w:rsidRPr="00AB4E6A" w:rsidRDefault="00AB4E6A" w:rsidP="00AB4E6A">
            <w:pPr>
              <w:spacing w:after="160" w:line="259" w:lineRule="auto"/>
              <w:rPr>
                <w:rFonts w:asciiTheme="majorBidi" w:hAnsiTheme="majorBidi" w:cstheme="majorBidi"/>
              </w:rPr>
            </w:pPr>
            <w:proofErr w:type="spellStart"/>
            <w:r w:rsidRPr="00AB4E6A">
              <w:rPr>
                <w:rFonts w:asciiTheme="majorBidi" w:hAnsiTheme="majorBidi" w:cstheme="majorBidi"/>
              </w:rPr>
              <w:t>Ceftolozane</w:t>
            </w:r>
            <w:proofErr w:type="spellEnd"/>
            <w:r w:rsidRPr="00AB4E6A">
              <w:rPr>
                <w:rFonts w:asciiTheme="majorBidi" w:hAnsiTheme="majorBidi" w:cstheme="majorBidi"/>
              </w:rPr>
              <w:t>/</w:t>
            </w:r>
          </w:p>
          <w:p w14:paraId="53725CDE"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tazobactam</w:t>
            </w:r>
          </w:p>
        </w:tc>
        <w:tc>
          <w:tcPr>
            <w:tcW w:w="1330" w:type="dxa"/>
          </w:tcPr>
          <w:p w14:paraId="656184A4"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Piperacillin/</w:t>
            </w:r>
          </w:p>
          <w:p w14:paraId="692A792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tazobactam</w:t>
            </w:r>
          </w:p>
        </w:tc>
        <w:tc>
          <w:tcPr>
            <w:tcW w:w="1061" w:type="dxa"/>
          </w:tcPr>
          <w:p w14:paraId="1D774E8D"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Empiric</w:t>
            </w:r>
          </w:p>
        </w:tc>
        <w:tc>
          <w:tcPr>
            <w:tcW w:w="1139" w:type="dxa"/>
          </w:tcPr>
          <w:p w14:paraId="050D283B"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Y</w:t>
            </w:r>
          </w:p>
        </w:tc>
        <w:tc>
          <w:tcPr>
            <w:tcW w:w="1327" w:type="dxa"/>
          </w:tcPr>
          <w:p w14:paraId="64CD0AF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Clinical cure; appropriate therapy</w:t>
            </w:r>
          </w:p>
        </w:tc>
        <w:tc>
          <w:tcPr>
            <w:tcW w:w="825" w:type="dxa"/>
          </w:tcPr>
          <w:p w14:paraId="292A940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Susceptibility data from the PACTS dataset - Real-World Evidence</w:t>
            </w:r>
          </w:p>
        </w:tc>
        <w:tc>
          <w:tcPr>
            <w:tcW w:w="1843" w:type="dxa"/>
          </w:tcPr>
          <w:p w14:paraId="617D9267" w14:textId="77777777" w:rsidR="00AB4E6A" w:rsidRPr="00AB4E6A" w:rsidRDefault="00AB4E6A" w:rsidP="00AB4E6A">
            <w:pPr>
              <w:spacing w:after="160" w:line="259" w:lineRule="auto"/>
              <w:rPr>
                <w:rFonts w:asciiTheme="majorBidi" w:hAnsiTheme="majorBidi" w:cstheme="majorBidi"/>
              </w:rPr>
            </w:pPr>
            <w:r w:rsidRPr="00AB4E6A">
              <w:rPr>
                <w:rFonts w:asciiTheme="majorBidi" w:hAnsiTheme="majorBidi" w:cstheme="majorBidi"/>
              </w:rPr>
              <w:t>Patient-level simulation</w:t>
            </w:r>
          </w:p>
        </w:tc>
      </w:tr>
    </w:tbl>
    <w:p w14:paraId="09FC2DBB" w14:textId="2D2C9813" w:rsidR="00BE5092" w:rsidRDefault="00763774" w:rsidP="00917737">
      <w:pPr>
        <w:spacing w:line="360" w:lineRule="auto"/>
        <w:rPr>
          <w:rFonts w:asciiTheme="majorBidi" w:hAnsiTheme="majorBidi" w:cstheme="majorBidi"/>
        </w:rPr>
        <w:sectPr w:rsidR="00BE5092" w:rsidSect="00BE5092">
          <w:pgSz w:w="16840" w:h="11910" w:orient="landscape"/>
          <w:pgMar w:top="1321" w:right="1582" w:bottom="1321" w:left="1582" w:header="0" w:footer="1389" w:gutter="0"/>
          <w:cols w:space="720"/>
        </w:sectPr>
      </w:pPr>
      <w:proofErr w:type="spellStart"/>
      <w:r>
        <w:rPr>
          <w:rFonts w:asciiTheme="majorBidi" w:hAnsiTheme="majorBidi" w:cstheme="majorBidi"/>
        </w:rPr>
        <w:t>cUTI</w:t>
      </w:r>
      <w:proofErr w:type="spellEnd"/>
      <w:r>
        <w:rPr>
          <w:rFonts w:asciiTheme="majorBidi" w:hAnsiTheme="majorBidi" w:cstheme="majorBidi"/>
        </w:rPr>
        <w:t>, complicated urinary tract infection</w:t>
      </w:r>
    </w:p>
    <w:p w14:paraId="521FDEA1" w14:textId="72F86FB6" w:rsidR="00AB4E6A" w:rsidRPr="00AB4E6A" w:rsidRDefault="00AB4E6A" w:rsidP="00A83123">
      <w:pPr>
        <w:spacing w:line="360" w:lineRule="auto"/>
        <w:rPr>
          <w:rFonts w:asciiTheme="majorBidi" w:hAnsiTheme="majorBidi" w:cstheme="majorBidi"/>
        </w:rPr>
      </w:pPr>
      <w:proofErr w:type="spellStart"/>
      <w:r w:rsidRPr="00AB4E6A">
        <w:rPr>
          <w:rFonts w:asciiTheme="majorBidi" w:hAnsiTheme="majorBidi" w:cstheme="majorBidi"/>
        </w:rPr>
        <w:lastRenderedPageBreak/>
        <w:t>Kauf</w:t>
      </w:r>
      <w:proofErr w:type="spellEnd"/>
      <w:r w:rsidRPr="00AB4E6A">
        <w:rPr>
          <w:rFonts w:asciiTheme="majorBidi" w:hAnsiTheme="majorBidi" w:cstheme="majorBidi"/>
        </w:rPr>
        <w:t xml:space="preserve"> et al used a micro-simulation model to evaluate empiric </w:t>
      </w:r>
      <w:proofErr w:type="spellStart"/>
      <w:r w:rsidRPr="00AB4E6A">
        <w:rPr>
          <w:rFonts w:asciiTheme="majorBidi" w:hAnsiTheme="majorBidi" w:cstheme="majorBidi"/>
        </w:rPr>
        <w:t>ceftolozane</w:t>
      </w:r>
      <w:proofErr w:type="spellEnd"/>
      <w:r w:rsidRPr="00AB4E6A">
        <w:rPr>
          <w:rFonts w:asciiTheme="majorBidi" w:hAnsiTheme="majorBidi" w:cstheme="majorBidi"/>
        </w:rPr>
        <w:t>/tazobactam compared with piperacillin/ tazobactam as empiric therapy for hospitalized with cUTI.</w:t>
      </w:r>
      <w:proofErr w:type="gramStart"/>
      <w:r w:rsidR="00A83123" w:rsidRPr="00A83123">
        <w:rPr>
          <w:rFonts w:asciiTheme="majorBidi" w:hAnsiTheme="majorBidi" w:cstheme="majorBidi"/>
          <w:noProof/>
          <w:vertAlign w:val="superscript"/>
        </w:rPr>
        <w:t>115</w:t>
      </w:r>
      <w:r w:rsidRPr="00AB4E6A">
        <w:rPr>
          <w:rFonts w:asciiTheme="majorBidi" w:hAnsiTheme="majorBidi" w:cstheme="majorBidi"/>
        </w:rPr>
        <w:t xml:space="preserve">  The</w:t>
      </w:r>
      <w:proofErr w:type="gramEnd"/>
      <w:r w:rsidRPr="00AB4E6A">
        <w:rPr>
          <w:rFonts w:asciiTheme="majorBidi" w:hAnsiTheme="majorBidi" w:cstheme="majorBidi"/>
        </w:rPr>
        <w:t xml:space="preserve"> model tracked patients over different assessment periods allowing for treatment switching as microbiological information becomes available. A surveillance dataset is used to sample isolates and to determine susceptibility to different treatments.  Mortality rates and hospital </w:t>
      </w:r>
      <w:r w:rsidR="005B4EB8">
        <w:rPr>
          <w:rFonts w:asciiTheme="majorBidi" w:hAnsiTheme="majorBidi" w:cstheme="majorBidi"/>
        </w:rPr>
        <w:t>LOS</w:t>
      </w:r>
      <w:r w:rsidRPr="00AB4E6A">
        <w:rPr>
          <w:rFonts w:asciiTheme="majorBidi" w:hAnsiTheme="majorBidi" w:cstheme="majorBidi"/>
        </w:rPr>
        <w:t xml:space="preserve"> were taken from a single study.  Although modelling patients included those with resistant pathogens, no attempt was made to model the effects of resistance over time. </w:t>
      </w:r>
    </w:p>
    <w:bookmarkEnd w:id="784"/>
    <w:p w14:paraId="2BACA0A1" w14:textId="77777777" w:rsidR="00AB4E6A" w:rsidRPr="00AB4E6A" w:rsidRDefault="00AB4E6A" w:rsidP="00AB4E6A">
      <w:pPr>
        <w:rPr>
          <w:rFonts w:asciiTheme="majorBidi" w:hAnsiTheme="majorBidi" w:cstheme="majorBidi"/>
        </w:rPr>
      </w:pPr>
    </w:p>
    <w:p w14:paraId="189B07AC" w14:textId="6943969F" w:rsidR="00AB4E6A" w:rsidRPr="00886459" w:rsidRDefault="00AB4E6A" w:rsidP="00886459">
      <w:pPr>
        <w:pStyle w:val="EEPRUnumberedstylelevel3"/>
      </w:pPr>
      <w:bookmarkStart w:id="809" w:name="_Toc87463130"/>
      <w:r w:rsidRPr="00886459">
        <w:t>Annex 1</w:t>
      </w:r>
      <w:r w:rsidR="006F4DEE" w:rsidRPr="00886459">
        <w:t xml:space="preserve"> to Appendix 12:</w:t>
      </w:r>
      <w:r w:rsidRPr="00886459">
        <w:t xml:space="preserve">  Search strategies</w:t>
      </w:r>
      <w:bookmarkEnd w:id="809"/>
    </w:p>
    <w:p w14:paraId="0E821A65" w14:textId="77777777" w:rsidR="00AB4E6A" w:rsidRPr="00AB4E6A" w:rsidRDefault="00AB4E6A" w:rsidP="00AB4E6A">
      <w:pPr>
        <w:rPr>
          <w:rFonts w:asciiTheme="majorBidi" w:hAnsiTheme="majorBidi" w:cstheme="majorBidi"/>
          <w:b/>
          <w:bCs/>
        </w:rPr>
      </w:pPr>
      <w:r w:rsidRPr="00AB4E6A">
        <w:rPr>
          <w:rFonts w:asciiTheme="majorBidi" w:hAnsiTheme="majorBidi" w:cstheme="majorBidi"/>
          <w:b/>
          <w:bCs/>
        </w:rPr>
        <w:t>Search of cost-effectiveness models</w:t>
      </w:r>
    </w:p>
    <w:p w14:paraId="303B3E0E"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Searches for cost-effectiveness studies (either CAZ-AVI or </w:t>
      </w:r>
      <w:proofErr w:type="spellStart"/>
      <w:r w:rsidRPr="00AB4E6A">
        <w:rPr>
          <w:rFonts w:asciiTheme="majorBidi" w:hAnsiTheme="majorBidi" w:cstheme="majorBidi"/>
        </w:rPr>
        <w:t>cefiderocol</w:t>
      </w:r>
      <w:proofErr w:type="spellEnd"/>
      <w:r w:rsidRPr="00AB4E6A">
        <w:rPr>
          <w:rFonts w:asciiTheme="majorBidi" w:hAnsiTheme="majorBidi" w:cstheme="majorBidi"/>
        </w:rPr>
        <w:t xml:space="preserve">) were conducted in MEDLINE, Embase, CRD and NHS EED. An additional search for HTA / regulatory agencies / conference proceedings was conducted using </w:t>
      </w:r>
      <w:proofErr w:type="spellStart"/>
      <w:r w:rsidRPr="00AB4E6A">
        <w:rPr>
          <w:rFonts w:asciiTheme="majorBidi" w:hAnsiTheme="majorBidi" w:cstheme="majorBidi"/>
        </w:rPr>
        <w:t>WoS</w:t>
      </w:r>
      <w:proofErr w:type="spellEnd"/>
      <w:r w:rsidRPr="00AB4E6A">
        <w:rPr>
          <w:rFonts w:asciiTheme="majorBidi" w:hAnsiTheme="majorBidi" w:cstheme="majorBidi"/>
        </w:rPr>
        <w:t>. The search terms used are provided below.</w:t>
      </w:r>
    </w:p>
    <w:p w14:paraId="6BC85CC0" w14:textId="77777777" w:rsidR="00AB4E6A" w:rsidRPr="00AB4E6A" w:rsidRDefault="00AB4E6A" w:rsidP="00917737">
      <w:pPr>
        <w:spacing w:line="360" w:lineRule="auto"/>
        <w:rPr>
          <w:rFonts w:asciiTheme="majorBidi" w:hAnsiTheme="majorBidi" w:cstheme="majorBidi"/>
        </w:rPr>
      </w:pPr>
    </w:p>
    <w:p w14:paraId="009B1E66" w14:textId="77777777" w:rsidR="00AB4E6A" w:rsidRPr="00886459" w:rsidRDefault="00AB4E6A" w:rsidP="00886459">
      <w:pPr>
        <w:pStyle w:val="EEPRUnumberedstylelevel3"/>
      </w:pPr>
      <w:bookmarkStart w:id="810" w:name="_Toc87463131"/>
      <w:proofErr w:type="spellStart"/>
      <w:r w:rsidRPr="00886459">
        <w:t>Cefiderocol</w:t>
      </w:r>
      <w:proofErr w:type="spellEnd"/>
      <w:r w:rsidRPr="00886459">
        <w:t xml:space="preserve"> CEA models</w:t>
      </w:r>
      <w:bookmarkEnd w:id="810"/>
    </w:p>
    <w:p w14:paraId="59E9F137"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Term group(s): </w:t>
      </w:r>
      <w:proofErr w:type="spellStart"/>
      <w:r w:rsidRPr="00AB4E6A">
        <w:rPr>
          <w:rFonts w:asciiTheme="majorBidi" w:hAnsiTheme="majorBidi" w:cstheme="majorBidi"/>
        </w:rPr>
        <w:t>Cefiderocol</w:t>
      </w:r>
      <w:proofErr w:type="spellEnd"/>
      <w:r w:rsidRPr="00AB4E6A">
        <w:rPr>
          <w:rFonts w:asciiTheme="majorBidi" w:hAnsiTheme="majorBidi" w:cstheme="majorBidi"/>
        </w:rPr>
        <w:t xml:space="preserve"> AND filter</w:t>
      </w:r>
    </w:p>
    <w:p w14:paraId="7ED7B3BA" w14:textId="77777777" w:rsidR="00AB4E6A" w:rsidRPr="00AB4E6A" w:rsidRDefault="00AB4E6A" w:rsidP="00AB4E6A">
      <w:pPr>
        <w:rPr>
          <w:rFonts w:asciiTheme="majorBidi" w:hAnsiTheme="majorBidi" w:cstheme="majorBidi"/>
        </w:rPr>
      </w:pPr>
      <w:r w:rsidRPr="00AB4E6A">
        <w:rPr>
          <w:rFonts w:asciiTheme="majorBidi" w:hAnsiTheme="majorBidi" w:cstheme="majorBidi"/>
        </w:rPr>
        <w:t>Filters: Economic (MEDLINE, Embase), exclusion filter (Embase)</w:t>
      </w:r>
    </w:p>
    <w:p w14:paraId="3416EFB1" w14:textId="77777777" w:rsidR="00AB4E6A" w:rsidRPr="00AB4E6A" w:rsidRDefault="00AB4E6A" w:rsidP="00AB4E6A">
      <w:pPr>
        <w:rPr>
          <w:rFonts w:asciiTheme="majorBidi" w:hAnsiTheme="majorBidi" w:cstheme="majorBidi"/>
        </w:rPr>
      </w:pPr>
      <w:r w:rsidRPr="00AB4E6A">
        <w:rPr>
          <w:rFonts w:asciiTheme="majorBidi" w:hAnsiTheme="majorBidi" w:cstheme="majorBidi"/>
        </w:rPr>
        <w:t>Limits: None</w:t>
      </w:r>
    </w:p>
    <w:p w14:paraId="6EF61C5C" w14:textId="77777777" w:rsidR="00AB4E6A" w:rsidRPr="00AB4E6A" w:rsidRDefault="00AB4E6A" w:rsidP="00AB4E6A">
      <w:pPr>
        <w:rPr>
          <w:rFonts w:asciiTheme="majorBidi" w:hAnsiTheme="majorBidi" w:cstheme="majorBidi"/>
        </w:rPr>
      </w:pPr>
    </w:p>
    <w:p w14:paraId="72AAE51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 xml:space="preserve">Ovid MEDLINE(R) and </w:t>
      </w:r>
      <w:proofErr w:type="spellStart"/>
      <w:r w:rsidRPr="00AB4E6A">
        <w:rPr>
          <w:rFonts w:asciiTheme="majorBidi" w:hAnsiTheme="majorBidi" w:cstheme="majorBidi"/>
          <w:b/>
          <w:bCs/>
        </w:rPr>
        <w:t>Epub</w:t>
      </w:r>
      <w:proofErr w:type="spellEnd"/>
      <w:r w:rsidRPr="00AB4E6A">
        <w:rPr>
          <w:rFonts w:asciiTheme="majorBidi" w:hAnsiTheme="majorBidi" w:cstheme="majorBidi"/>
          <w:b/>
          <w:bCs/>
        </w:rPr>
        <w:t xml:space="preserve"> Ahead of Print, In-Process, In-Data-Review &amp; Other Non-Indexed Citations, Daily and Versions(R) 1946 to February 26, 2021 (searched via the Ovid SP platform)</w:t>
      </w:r>
    </w:p>
    <w:p w14:paraId="21228988"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r w:rsidRPr="00AB4E6A">
        <w:rPr>
          <w:rFonts w:asciiTheme="majorBidi" w:hAnsiTheme="majorBidi" w:cstheme="majorBidi"/>
          <w:vertAlign w:val="superscript"/>
        </w:rPr>
        <w:t>st</w:t>
      </w:r>
      <w:r w:rsidRPr="00AB4E6A">
        <w:rPr>
          <w:rFonts w:asciiTheme="majorBidi" w:hAnsiTheme="majorBidi" w:cstheme="majorBidi"/>
        </w:rPr>
        <w:t xml:space="preserve"> March 2021</w:t>
      </w:r>
    </w:p>
    <w:p w14:paraId="4502DD7B"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885"/>
        <w:gridCol w:w="901"/>
      </w:tblGrid>
      <w:tr w:rsidR="00AB4E6A" w:rsidRPr="00917737" w14:paraId="38BA7FE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77E92" w14:textId="77777777" w:rsidR="00AB4E6A" w:rsidRPr="00917737" w:rsidRDefault="00AB4E6A" w:rsidP="00AB4E6A">
            <w:pPr>
              <w:rPr>
                <w:rFonts w:asciiTheme="majorBidi" w:hAnsiTheme="majorBidi" w:cstheme="majorBidi"/>
              </w:rPr>
            </w:pPr>
            <w:r w:rsidRPr="00917737">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F5412" w14:textId="77777777" w:rsidR="00AB4E6A" w:rsidRPr="00917737" w:rsidRDefault="00AB4E6A" w:rsidP="00AB4E6A">
            <w:pPr>
              <w:rPr>
                <w:rFonts w:asciiTheme="majorBidi" w:hAnsiTheme="majorBidi" w:cstheme="majorBidi"/>
              </w:rPr>
            </w:pPr>
            <w:r w:rsidRPr="00917737">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916BF" w14:textId="77777777" w:rsidR="00AB4E6A" w:rsidRPr="00917737" w:rsidRDefault="00AB4E6A" w:rsidP="00AB4E6A">
            <w:pPr>
              <w:rPr>
                <w:rFonts w:asciiTheme="majorBidi" w:hAnsiTheme="majorBidi" w:cstheme="majorBidi"/>
              </w:rPr>
            </w:pPr>
            <w:r w:rsidRPr="00917737">
              <w:rPr>
                <w:rFonts w:asciiTheme="majorBidi" w:hAnsiTheme="majorBidi" w:cstheme="majorBidi"/>
                <w:b/>
                <w:bCs/>
              </w:rPr>
              <w:t>Results</w:t>
            </w:r>
          </w:p>
        </w:tc>
      </w:tr>
      <w:tr w:rsidR="00AB4E6A" w:rsidRPr="00917737" w14:paraId="6BA991D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A2EBD" w14:textId="77777777" w:rsidR="00AB4E6A" w:rsidRPr="00917737" w:rsidRDefault="00AB4E6A" w:rsidP="00AB4E6A">
            <w:pPr>
              <w:rPr>
                <w:rFonts w:asciiTheme="majorBidi" w:hAnsiTheme="majorBidi" w:cstheme="majorBidi"/>
              </w:rPr>
            </w:pPr>
            <w:r w:rsidRPr="00917737">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FF6BC" w14:textId="77777777" w:rsidR="00AB4E6A" w:rsidRPr="00917737" w:rsidRDefault="00AB4E6A" w:rsidP="00AB4E6A">
            <w:pPr>
              <w:rPr>
                <w:rFonts w:asciiTheme="majorBidi" w:hAnsiTheme="majorBidi" w:cstheme="majorBidi"/>
              </w:rPr>
            </w:pPr>
            <w:r w:rsidRPr="00917737">
              <w:rPr>
                <w:rFonts w:asciiTheme="majorBidi" w:hAnsiTheme="majorBidi" w:cstheme="majorBidi"/>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93742" w14:textId="77777777" w:rsidR="00AB4E6A" w:rsidRPr="00917737" w:rsidRDefault="00AB4E6A" w:rsidP="00AB4E6A">
            <w:pPr>
              <w:rPr>
                <w:rFonts w:asciiTheme="majorBidi" w:hAnsiTheme="majorBidi" w:cstheme="majorBidi"/>
              </w:rPr>
            </w:pPr>
            <w:r w:rsidRPr="00917737">
              <w:rPr>
                <w:rFonts w:asciiTheme="majorBidi" w:hAnsiTheme="majorBidi" w:cstheme="majorBidi"/>
              </w:rPr>
              <w:t>160</w:t>
            </w:r>
          </w:p>
        </w:tc>
      </w:tr>
      <w:tr w:rsidR="00AB4E6A" w:rsidRPr="00917737" w14:paraId="4FB7A43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D3ED8" w14:textId="77777777" w:rsidR="00AB4E6A" w:rsidRPr="00917737" w:rsidRDefault="00AB4E6A" w:rsidP="00AB4E6A">
            <w:pPr>
              <w:rPr>
                <w:rFonts w:asciiTheme="majorBidi" w:hAnsiTheme="majorBidi" w:cstheme="majorBidi"/>
              </w:rPr>
            </w:pPr>
            <w:r w:rsidRPr="00917737">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DEFA" w14:textId="77777777" w:rsidR="00AB4E6A" w:rsidRPr="00917737" w:rsidRDefault="00AB4E6A" w:rsidP="00AB4E6A">
            <w:pPr>
              <w:rPr>
                <w:rFonts w:asciiTheme="majorBidi" w:hAnsiTheme="majorBidi" w:cstheme="majorBidi"/>
              </w:rPr>
            </w:pPr>
            <w:r w:rsidRPr="00917737">
              <w:rPr>
                <w:rFonts w:asciiTheme="majorBidi" w:hAnsiTheme="majorBidi" w:cstheme="majorBidi"/>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6F5FB" w14:textId="77777777" w:rsidR="00AB4E6A" w:rsidRPr="00917737" w:rsidRDefault="00AB4E6A" w:rsidP="00AB4E6A">
            <w:pPr>
              <w:rPr>
                <w:rFonts w:asciiTheme="majorBidi" w:hAnsiTheme="majorBidi" w:cstheme="majorBidi"/>
              </w:rPr>
            </w:pPr>
            <w:r w:rsidRPr="00917737">
              <w:rPr>
                <w:rFonts w:asciiTheme="majorBidi" w:hAnsiTheme="majorBidi" w:cstheme="majorBidi"/>
              </w:rPr>
              <w:t>4</w:t>
            </w:r>
          </w:p>
        </w:tc>
      </w:tr>
      <w:tr w:rsidR="00AB4E6A" w:rsidRPr="00917737" w14:paraId="6424618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443A0" w14:textId="77777777" w:rsidR="00AB4E6A" w:rsidRPr="00917737" w:rsidRDefault="00AB4E6A" w:rsidP="00AB4E6A">
            <w:pPr>
              <w:rPr>
                <w:rFonts w:asciiTheme="majorBidi" w:hAnsiTheme="majorBidi" w:cstheme="majorBidi"/>
              </w:rPr>
            </w:pPr>
            <w:r w:rsidRPr="00917737">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322F3" w14:textId="77777777" w:rsidR="00AB4E6A" w:rsidRPr="00917737" w:rsidRDefault="00AB4E6A" w:rsidP="00AB4E6A">
            <w:pPr>
              <w:rPr>
                <w:rFonts w:asciiTheme="majorBidi" w:hAnsiTheme="majorBidi" w:cstheme="majorBidi"/>
              </w:rPr>
            </w:pPr>
            <w:r w:rsidRPr="00917737">
              <w:rPr>
                <w:rFonts w:asciiTheme="majorBidi" w:hAnsiTheme="majorBidi" w:cstheme="majorBidi"/>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0853D" w14:textId="77777777" w:rsidR="00AB4E6A" w:rsidRPr="00917737" w:rsidRDefault="00AB4E6A" w:rsidP="00AB4E6A">
            <w:pPr>
              <w:rPr>
                <w:rFonts w:asciiTheme="majorBidi" w:hAnsiTheme="majorBidi" w:cstheme="majorBidi"/>
              </w:rPr>
            </w:pPr>
            <w:r w:rsidRPr="00917737">
              <w:rPr>
                <w:rFonts w:asciiTheme="majorBidi" w:hAnsiTheme="majorBidi" w:cstheme="majorBidi"/>
              </w:rPr>
              <w:t>0</w:t>
            </w:r>
          </w:p>
        </w:tc>
      </w:tr>
      <w:tr w:rsidR="00AB4E6A" w:rsidRPr="00917737" w14:paraId="498A3A3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D84E0" w14:textId="77777777" w:rsidR="00AB4E6A" w:rsidRPr="00917737" w:rsidRDefault="00AB4E6A" w:rsidP="00AB4E6A">
            <w:pPr>
              <w:rPr>
                <w:rFonts w:asciiTheme="majorBidi" w:hAnsiTheme="majorBidi" w:cstheme="majorBidi"/>
              </w:rPr>
            </w:pPr>
            <w:r w:rsidRPr="00917737">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F7E9D" w14:textId="77777777" w:rsidR="00AB4E6A" w:rsidRPr="00917737" w:rsidRDefault="00AB4E6A" w:rsidP="00AB4E6A">
            <w:pPr>
              <w:rPr>
                <w:rFonts w:asciiTheme="majorBidi" w:hAnsiTheme="majorBidi" w:cstheme="majorBidi"/>
              </w:rPr>
            </w:pPr>
            <w:r w:rsidRPr="00917737">
              <w:rPr>
                <w:rFonts w:asciiTheme="majorBidi" w:hAnsiTheme="majorBidi" w:cstheme="majorBidi"/>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8FC77" w14:textId="77777777" w:rsidR="00AB4E6A" w:rsidRPr="00917737" w:rsidRDefault="00AB4E6A" w:rsidP="00AB4E6A">
            <w:pPr>
              <w:rPr>
                <w:rFonts w:asciiTheme="majorBidi" w:hAnsiTheme="majorBidi" w:cstheme="majorBidi"/>
              </w:rPr>
            </w:pPr>
            <w:r w:rsidRPr="00917737">
              <w:rPr>
                <w:rFonts w:asciiTheme="majorBidi" w:hAnsiTheme="majorBidi" w:cstheme="majorBidi"/>
              </w:rPr>
              <w:t>0</w:t>
            </w:r>
          </w:p>
        </w:tc>
      </w:tr>
      <w:tr w:rsidR="00AB4E6A" w:rsidRPr="00917737" w14:paraId="1A49855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954A2" w14:textId="77777777" w:rsidR="00AB4E6A" w:rsidRPr="00917737" w:rsidRDefault="00AB4E6A" w:rsidP="00AB4E6A">
            <w:pPr>
              <w:rPr>
                <w:rFonts w:asciiTheme="majorBidi" w:hAnsiTheme="majorBidi" w:cstheme="majorBidi"/>
              </w:rPr>
            </w:pPr>
            <w:r w:rsidRPr="00917737">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0AB35" w14:textId="77777777" w:rsidR="00AB4E6A" w:rsidRPr="00917737" w:rsidRDefault="00AB4E6A" w:rsidP="00AB4E6A">
            <w:pPr>
              <w:rPr>
                <w:rFonts w:asciiTheme="majorBidi" w:hAnsiTheme="majorBidi" w:cstheme="majorBidi"/>
              </w:rPr>
            </w:pPr>
            <w:r w:rsidRPr="00917737">
              <w:rPr>
                <w:rFonts w:asciiTheme="majorBidi" w:hAnsiTheme="majorBidi" w:cstheme="majorBidi"/>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500B9" w14:textId="77777777" w:rsidR="00AB4E6A" w:rsidRPr="00917737" w:rsidRDefault="00AB4E6A" w:rsidP="00AB4E6A">
            <w:pPr>
              <w:rPr>
                <w:rFonts w:asciiTheme="majorBidi" w:hAnsiTheme="majorBidi" w:cstheme="majorBidi"/>
              </w:rPr>
            </w:pPr>
            <w:r w:rsidRPr="00917737">
              <w:rPr>
                <w:rFonts w:asciiTheme="majorBidi" w:hAnsiTheme="majorBidi" w:cstheme="majorBidi"/>
              </w:rPr>
              <w:t>160</w:t>
            </w:r>
          </w:p>
        </w:tc>
      </w:tr>
      <w:tr w:rsidR="00AB4E6A" w:rsidRPr="00917737" w14:paraId="7B153AF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CFCB3" w14:textId="77777777" w:rsidR="00AB4E6A" w:rsidRPr="00917737" w:rsidRDefault="00AB4E6A" w:rsidP="00AB4E6A">
            <w:pPr>
              <w:rPr>
                <w:rFonts w:asciiTheme="majorBidi" w:hAnsiTheme="majorBidi" w:cstheme="majorBidi"/>
              </w:rPr>
            </w:pPr>
            <w:r w:rsidRPr="00917737">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72B4D"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"Costs and Cost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525BB" w14:textId="77777777" w:rsidR="00AB4E6A" w:rsidRPr="00917737" w:rsidRDefault="00AB4E6A" w:rsidP="00AB4E6A">
            <w:pPr>
              <w:rPr>
                <w:rFonts w:asciiTheme="majorBidi" w:hAnsiTheme="majorBidi" w:cstheme="majorBidi"/>
              </w:rPr>
            </w:pPr>
            <w:r w:rsidRPr="00917737">
              <w:rPr>
                <w:rFonts w:asciiTheme="majorBidi" w:hAnsiTheme="majorBidi" w:cstheme="majorBidi"/>
              </w:rPr>
              <w:t>242835</w:t>
            </w:r>
          </w:p>
        </w:tc>
      </w:tr>
      <w:tr w:rsidR="00AB4E6A" w:rsidRPr="00917737" w14:paraId="216F63C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4133B" w14:textId="77777777" w:rsidR="00AB4E6A" w:rsidRPr="00917737" w:rsidRDefault="00AB4E6A" w:rsidP="00AB4E6A">
            <w:pPr>
              <w:rPr>
                <w:rFonts w:asciiTheme="majorBidi" w:hAnsiTheme="majorBidi" w:cstheme="majorBidi"/>
              </w:rPr>
            </w:pPr>
            <w:r w:rsidRPr="00917737">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2C839" w14:textId="77777777" w:rsidR="00AB4E6A" w:rsidRPr="00917737" w:rsidRDefault="00AB4E6A" w:rsidP="00AB4E6A">
            <w:pPr>
              <w:rPr>
                <w:rFonts w:asciiTheme="majorBidi" w:hAnsiTheme="majorBidi" w:cstheme="majorBidi"/>
              </w:rPr>
            </w:pPr>
            <w:r w:rsidRPr="00917737">
              <w:rPr>
                <w:rFonts w:asciiTheme="majorBidi" w:hAnsiTheme="majorBidi" w:cstheme="majorBidi"/>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8346A" w14:textId="77777777" w:rsidR="00AB4E6A" w:rsidRPr="00917737" w:rsidRDefault="00AB4E6A" w:rsidP="00AB4E6A">
            <w:pPr>
              <w:rPr>
                <w:rFonts w:asciiTheme="majorBidi" w:hAnsiTheme="majorBidi" w:cstheme="majorBidi"/>
              </w:rPr>
            </w:pPr>
            <w:r w:rsidRPr="00917737">
              <w:rPr>
                <w:rFonts w:asciiTheme="majorBidi" w:hAnsiTheme="majorBidi" w:cstheme="majorBidi"/>
              </w:rPr>
              <w:t>27294</w:t>
            </w:r>
          </w:p>
        </w:tc>
      </w:tr>
      <w:tr w:rsidR="00AB4E6A" w:rsidRPr="00917737" w14:paraId="2EC1AF3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4B080" w14:textId="77777777" w:rsidR="00AB4E6A" w:rsidRPr="00917737" w:rsidRDefault="00AB4E6A" w:rsidP="00AB4E6A">
            <w:pPr>
              <w:rPr>
                <w:rFonts w:asciiTheme="majorBidi" w:hAnsiTheme="majorBidi" w:cstheme="majorBidi"/>
              </w:rPr>
            </w:pPr>
            <w:r w:rsidRPr="00917737">
              <w:rPr>
                <w:rFonts w:asciiTheme="majorBidi" w:hAnsiTheme="majorBidi" w:cstheme="majorBidi"/>
              </w:rPr>
              <w:lastRenderedPageBreak/>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3FE7C"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Economics,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6A8AD" w14:textId="77777777" w:rsidR="00AB4E6A" w:rsidRPr="00917737" w:rsidRDefault="00AB4E6A" w:rsidP="00AB4E6A">
            <w:pPr>
              <w:rPr>
                <w:rFonts w:asciiTheme="majorBidi" w:hAnsiTheme="majorBidi" w:cstheme="majorBidi"/>
              </w:rPr>
            </w:pPr>
            <w:r w:rsidRPr="00917737">
              <w:rPr>
                <w:rFonts w:asciiTheme="majorBidi" w:hAnsiTheme="majorBidi" w:cstheme="majorBidi"/>
              </w:rPr>
              <w:t>24969</w:t>
            </w:r>
          </w:p>
        </w:tc>
      </w:tr>
      <w:tr w:rsidR="00AB4E6A" w:rsidRPr="00917737" w14:paraId="14D5856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BBDED" w14:textId="77777777" w:rsidR="00AB4E6A" w:rsidRPr="00917737" w:rsidRDefault="00AB4E6A" w:rsidP="00AB4E6A">
            <w:pPr>
              <w:rPr>
                <w:rFonts w:asciiTheme="majorBidi" w:hAnsiTheme="majorBidi" w:cstheme="majorBidi"/>
              </w:rPr>
            </w:pPr>
            <w:r w:rsidRPr="00917737">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20AFB"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Economics, Medical/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C2FE0" w14:textId="77777777" w:rsidR="00AB4E6A" w:rsidRPr="00917737" w:rsidRDefault="00AB4E6A" w:rsidP="00AB4E6A">
            <w:pPr>
              <w:rPr>
                <w:rFonts w:asciiTheme="majorBidi" w:hAnsiTheme="majorBidi" w:cstheme="majorBidi"/>
              </w:rPr>
            </w:pPr>
            <w:r w:rsidRPr="00917737">
              <w:rPr>
                <w:rFonts w:asciiTheme="majorBidi" w:hAnsiTheme="majorBidi" w:cstheme="majorBidi"/>
              </w:rPr>
              <w:t>14242</w:t>
            </w:r>
          </w:p>
        </w:tc>
      </w:tr>
      <w:tr w:rsidR="00AB4E6A" w:rsidRPr="00917737" w14:paraId="0F193E0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BC93C" w14:textId="77777777" w:rsidR="00AB4E6A" w:rsidRPr="00917737" w:rsidRDefault="00AB4E6A" w:rsidP="00AB4E6A">
            <w:pPr>
              <w:rPr>
                <w:rFonts w:asciiTheme="majorBidi" w:hAnsiTheme="majorBidi" w:cstheme="majorBidi"/>
              </w:rPr>
            </w:pPr>
            <w:r w:rsidRPr="00917737">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3F68F" w14:textId="77777777" w:rsidR="00AB4E6A" w:rsidRPr="00917737" w:rsidRDefault="00AB4E6A" w:rsidP="00AB4E6A">
            <w:pPr>
              <w:rPr>
                <w:rFonts w:asciiTheme="majorBidi" w:hAnsiTheme="majorBidi" w:cstheme="majorBidi"/>
              </w:rPr>
            </w:pPr>
            <w:r w:rsidRPr="00917737">
              <w:rPr>
                <w:rFonts w:asciiTheme="majorBidi" w:hAnsiTheme="majorBidi" w:cstheme="majorBidi"/>
              </w:rPr>
              <w:t>Economics,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BE23" w14:textId="77777777" w:rsidR="00AB4E6A" w:rsidRPr="00917737" w:rsidRDefault="00AB4E6A" w:rsidP="00AB4E6A">
            <w:pPr>
              <w:rPr>
                <w:rFonts w:asciiTheme="majorBidi" w:hAnsiTheme="majorBidi" w:cstheme="majorBidi"/>
              </w:rPr>
            </w:pPr>
            <w:r w:rsidRPr="00917737">
              <w:rPr>
                <w:rFonts w:asciiTheme="majorBidi" w:hAnsiTheme="majorBidi" w:cstheme="majorBidi"/>
              </w:rPr>
              <w:t>4002</w:t>
            </w:r>
          </w:p>
        </w:tc>
      </w:tr>
      <w:tr w:rsidR="00AB4E6A" w:rsidRPr="00917737" w14:paraId="57C2B99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D48F1" w14:textId="77777777" w:rsidR="00AB4E6A" w:rsidRPr="00917737" w:rsidRDefault="00AB4E6A" w:rsidP="00AB4E6A">
            <w:pPr>
              <w:rPr>
                <w:rFonts w:asciiTheme="majorBidi" w:hAnsiTheme="majorBidi" w:cstheme="majorBidi"/>
              </w:rPr>
            </w:pPr>
            <w:r w:rsidRPr="00917737">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41A72"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7598A" w14:textId="77777777" w:rsidR="00AB4E6A" w:rsidRPr="00917737" w:rsidRDefault="00AB4E6A" w:rsidP="00AB4E6A">
            <w:pPr>
              <w:rPr>
                <w:rFonts w:asciiTheme="majorBidi" w:hAnsiTheme="majorBidi" w:cstheme="majorBidi"/>
              </w:rPr>
            </w:pPr>
            <w:r w:rsidRPr="00917737">
              <w:rPr>
                <w:rFonts w:asciiTheme="majorBidi" w:hAnsiTheme="majorBidi" w:cstheme="majorBidi"/>
              </w:rPr>
              <w:t>15443</w:t>
            </w:r>
          </w:p>
        </w:tc>
      </w:tr>
      <w:tr w:rsidR="00AB4E6A" w:rsidRPr="00917737" w14:paraId="26D6CB4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74B2C" w14:textId="77777777" w:rsidR="00AB4E6A" w:rsidRPr="00917737" w:rsidRDefault="00AB4E6A" w:rsidP="00AB4E6A">
            <w:pPr>
              <w:rPr>
                <w:rFonts w:asciiTheme="majorBidi" w:hAnsiTheme="majorBidi" w:cstheme="majorBidi"/>
              </w:rPr>
            </w:pPr>
            <w:r w:rsidRPr="00917737">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BBBFE" w14:textId="77777777" w:rsidR="00AB4E6A" w:rsidRPr="00917737" w:rsidRDefault="00AB4E6A" w:rsidP="00AB4E6A">
            <w:pPr>
              <w:rPr>
                <w:rFonts w:asciiTheme="majorBidi" w:hAnsiTheme="majorBidi" w:cstheme="majorBidi"/>
              </w:rPr>
            </w:pPr>
            <w:r w:rsidRPr="00917737">
              <w:rPr>
                <w:rFonts w:asciiTheme="majorBidi" w:hAnsiTheme="majorBidi" w:cstheme="majorBidi"/>
              </w:rPr>
              <w:t>Economics, Pharmaceutical/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7AD0F" w14:textId="77777777" w:rsidR="00AB4E6A" w:rsidRPr="00917737" w:rsidRDefault="00AB4E6A" w:rsidP="00AB4E6A">
            <w:pPr>
              <w:rPr>
                <w:rFonts w:asciiTheme="majorBidi" w:hAnsiTheme="majorBidi" w:cstheme="majorBidi"/>
              </w:rPr>
            </w:pPr>
            <w:r w:rsidRPr="00917737">
              <w:rPr>
                <w:rFonts w:asciiTheme="majorBidi" w:hAnsiTheme="majorBidi" w:cstheme="majorBidi"/>
              </w:rPr>
              <w:t>2971</w:t>
            </w:r>
          </w:p>
        </w:tc>
      </w:tr>
      <w:tr w:rsidR="00AB4E6A" w:rsidRPr="00917737" w14:paraId="323593D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035F0" w14:textId="77777777" w:rsidR="00AB4E6A" w:rsidRPr="00917737" w:rsidRDefault="00AB4E6A" w:rsidP="00AB4E6A">
            <w:pPr>
              <w:rPr>
                <w:rFonts w:asciiTheme="majorBidi" w:hAnsiTheme="majorBidi" w:cstheme="majorBidi"/>
              </w:rPr>
            </w:pPr>
            <w:r w:rsidRPr="00917737">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1E9F0"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"Fees and Charges"/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88D67" w14:textId="77777777" w:rsidR="00AB4E6A" w:rsidRPr="00917737" w:rsidRDefault="00AB4E6A" w:rsidP="00AB4E6A">
            <w:pPr>
              <w:rPr>
                <w:rFonts w:asciiTheme="majorBidi" w:hAnsiTheme="majorBidi" w:cstheme="majorBidi"/>
              </w:rPr>
            </w:pPr>
            <w:r w:rsidRPr="00917737">
              <w:rPr>
                <w:rFonts w:asciiTheme="majorBidi" w:hAnsiTheme="majorBidi" w:cstheme="majorBidi"/>
              </w:rPr>
              <w:t>30592</w:t>
            </w:r>
          </w:p>
        </w:tc>
      </w:tr>
      <w:tr w:rsidR="00AB4E6A" w:rsidRPr="00917737" w14:paraId="5AEA88C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67168" w14:textId="77777777" w:rsidR="00AB4E6A" w:rsidRPr="00917737" w:rsidRDefault="00AB4E6A" w:rsidP="00AB4E6A">
            <w:pPr>
              <w:rPr>
                <w:rFonts w:asciiTheme="majorBidi" w:hAnsiTheme="majorBidi" w:cstheme="majorBidi"/>
              </w:rPr>
            </w:pPr>
            <w:r w:rsidRPr="00917737">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980BD" w14:textId="77777777" w:rsidR="00AB4E6A" w:rsidRPr="00917737" w:rsidRDefault="00AB4E6A" w:rsidP="00AB4E6A">
            <w:pPr>
              <w:rPr>
                <w:rFonts w:asciiTheme="majorBidi" w:hAnsiTheme="majorBidi" w:cstheme="majorBidi"/>
              </w:rPr>
            </w:pPr>
            <w:r w:rsidRPr="00917737">
              <w:rPr>
                <w:rFonts w:asciiTheme="majorBidi" w:hAnsiTheme="majorBidi" w:cstheme="majorBidi"/>
              </w:rPr>
              <w:t>exp Budgets/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CCA51" w14:textId="77777777" w:rsidR="00AB4E6A" w:rsidRPr="00917737" w:rsidRDefault="00AB4E6A" w:rsidP="00AB4E6A">
            <w:pPr>
              <w:rPr>
                <w:rFonts w:asciiTheme="majorBidi" w:hAnsiTheme="majorBidi" w:cstheme="majorBidi"/>
              </w:rPr>
            </w:pPr>
            <w:r w:rsidRPr="00917737">
              <w:rPr>
                <w:rFonts w:asciiTheme="majorBidi" w:hAnsiTheme="majorBidi" w:cstheme="majorBidi"/>
              </w:rPr>
              <w:t>13800</w:t>
            </w:r>
          </w:p>
        </w:tc>
      </w:tr>
      <w:tr w:rsidR="00AB4E6A" w:rsidRPr="00917737" w14:paraId="6BDED3D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DFDCD" w14:textId="77777777" w:rsidR="00AB4E6A" w:rsidRPr="00917737" w:rsidRDefault="00AB4E6A" w:rsidP="00AB4E6A">
            <w:pPr>
              <w:rPr>
                <w:rFonts w:asciiTheme="majorBidi" w:hAnsiTheme="majorBidi" w:cstheme="majorBidi"/>
              </w:rPr>
            </w:pPr>
            <w:r w:rsidRPr="00917737">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E9490" w14:textId="77777777" w:rsidR="00AB4E6A" w:rsidRPr="00917737" w:rsidRDefault="00AB4E6A" w:rsidP="00AB4E6A">
            <w:pPr>
              <w:rPr>
                <w:rFonts w:asciiTheme="majorBidi" w:hAnsiTheme="majorBidi" w:cstheme="majorBidi"/>
              </w:rPr>
            </w:pPr>
            <w:r w:rsidRPr="00917737">
              <w:rPr>
                <w:rFonts w:asciiTheme="majorBidi" w:hAnsiTheme="majorBidi" w:cstheme="majorBidi"/>
              </w:rPr>
              <w:t>budget*.</w:t>
            </w:r>
            <w:proofErr w:type="spellStart"/>
            <w:r w:rsidRPr="00917737">
              <w:rPr>
                <w:rFonts w:asciiTheme="majorBidi" w:hAnsiTheme="majorBidi" w:cstheme="majorBidi"/>
              </w:rPr>
              <w:t>tw</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63226" w14:textId="77777777" w:rsidR="00AB4E6A" w:rsidRPr="00917737" w:rsidRDefault="00AB4E6A" w:rsidP="00AB4E6A">
            <w:pPr>
              <w:rPr>
                <w:rFonts w:asciiTheme="majorBidi" w:hAnsiTheme="majorBidi" w:cstheme="majorBidi"/>
              </w:rPr>
            </w:pPr>
            <w:r w:rsidRPr="00917737">
              <w:rPr>
                <w:rFonts w:asciiTheme="majorBidi" w:hAnsiTheme="majorBidi" w:cstheme="majorBidi"/>
              </w:rPr>
              <w:t>30546</w:t>
            </w:r>
          </w:p>
        </w:tc>
      </w:tr>
      <w:tr w:rsidR="00AB4E6A" w:rsidRPr="00917737" w14:paraId="2F6E116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1B8A5" w14:textId="77777777" w:rsidR="00AB4E6A" w:rsidRPr="00917737" w:rsidRDefault="00AB4E6A" w:rsidP="00AB4E6A">
            <w:pPr>
              <w:rPr>
                <w:rFonts w:asciiTheme="majorBidi" w:hAnsiTheme="majorBidi" w:cstheme="majorBidi"/>
              </w:rPr>
            </w:pPr>
            <w:r w:rsidRPr="00917737">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56E2E" w14:textId="77777777" w:rsidR="00AB4E6A" w:rsidRPr="00917737" w:rsidRDefault="00AB4E6A" w:rsidP="00AB4E6A">
            <w:pPr>
              <w:rPr>
                <w:rFonts w:asciiTheme="majorBidi" w:hAnsiTheme="majorBidi" w:cstheme="majorBidi"/>
              </w:rPr>
            </w:pPr>
            <w:proofErr w:type="spellStart"/>
            <w:r w:rsidRPr="00917737">
              <w:rPr>
                <w:rFonts w:asciiTheme="majorBidi" w:hAnsiTheme="majorBidi" w:cstheme="majorBidi"/>
              </w:rPr>
              <w:t>ec.fs</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0A530" w14:textId="77777777" w:rsidR="00AB4E6A" w:rsidRPr="00917737" w:rsidRDefault="00AB4E6A" w:rsidP="00AB4E6A">
            <w:pPr>
              <w:rPr>
                <w:rFonts w:asciiTheme="majorBidi" w:hAnsiTheme="majorBidi" w:cstheme="majorBidi"/>
              </w:rPr>
            </w:pPr>
            <w:r w:rsidRPr="00917737">
              <w:rPr>
                <w:rFonts w:asciiTheme="majorBidi" w:hAnsiTheme="majorBidi" w:cstheme="majorBidi"/>
              </w:rPr>
              <w:t>431631</w:t>
            </w:r>
          </w:p>
        </w:tc>
      </w:tr>
      <w:tr w:rsidR="00AB4E6A" w:rsidRPr="00917737" w14:paraId="3E7963E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E9D12" w14:textId="77777777" w:rsidR="00AB4E6A" w:rsidRPr="00917737" w:rsidRDefault="00AB4E6A" w:rsidP="00AB4E6A">
            <w:pPr>
              <w:rPr>
                <w:rFonts w:asciiTheme="majorBidi" w:hAnsiTheme="majorBidi" w:cstheme="majorBidi"/>
              </w:rPr>
            </w:pPr>
            <w:r w:rsidRPr="00917737">
              <w:rPr>
                <w:rFonts w:asciiTheme="majorBidi" w:hAnsiTheme="majorBidi" w:cstheme="majorBidi"/>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90A8" w14:textId="77777777" w:rsidR="00AB4E6A" w:rsidRPr="00917737" w:rsidRDefault="00AB4E6A" w:rsidP="00AB4E6A">
            <w:pPr>
              <w:rPr>
                <w:rFonts w:asciiTheme="majorBidi" w:hAnsiTheme="majorBidi" w:cstheme="majorBidi"/>
              </w:rPr>
            </w:pPr>
            <w:r w:rsidRPr="00917737">
              <w:rPr>
                <w:rFonts w:asciiTheme="majorBidi" w:hAnsiTheme="majorBidi" w:cstheme="majorBidi"/>
              </w:rPr>
              <w:t>cost*.</w:t>
            </w:r>
            <w:proofErr w:type="spellStart"/>
            <w:r w:rsidRPr="00917737">
              <w:rPr>
                <w:rFonts w:asciiTheme="majorBidi" w:hAnsiTheme="majorBidi" w:cstheme="majorBidi"/>
              </w:rPr>
              <w:t>ti</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66410" w14:textId="77777777" w:rsidR="00AB4E6A" w:rsidRPr="00917737" w:rsidRDefault="00AB4E6A" w:rsidP="00AB4E6A">
            <w:pPr>
              <w:rPr>
                <w:rFonts w:asciiTheme="majorBidi" w:hAnsiTheme="majorBidi" w:cstheme="majorBidi"/>
              </w:rPr>
            </w:pPr>
            <w:r w:rsidRPr="00917737">
              <w:rPr>
                <w:rFonts w:asciiTheme="majorBidi" w:hAnsiTheme="majorBidi" w:cstheme="majorBidi"/>
              </w:rPr>
              <w:t>125579</w:t>
            </w:r>
          </w:p>
        </w:tc>
      </w:tr>
      <w:tr w:rsidR="00AB4E6A" w:rsidRPr="00917737" w14:paraId="3C97216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B31B9" w14:textId="77777777" w:rsidR="00AB4E6A" w:rsidRPr="00917737" w:rsidRDefault="00AB4E6A" w:rsidP="00AB4E6A">
            <w:pPr>
              <w:rPr>
                <w:rFonts w:asciiTheme="majorBidi" w:hAnsiTheme="majorBidi" w:cstheme="majorBidi"/>
              </w:rPr>
            </w:pPr>
            <w:r w:rsidRPr="00917737">
              <w:rPr>
                <w:rFonts w:asciiTheme="majorBidi" w:hAnsiTheme="majorBidi" w:cstheme="majorBidi"/>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F60A6" w14:textId="77777777" w:rsidR="00AB4E6A" w:rsidRPr="00917737" w:rsidRDefault="00AB4E6A" w:rsidP="00AB4E6A">
            <w:pPr>
              <w:rPr>
                <w:rFonts w:asciiTheme="majorBidi" w:hAnsiTheme="majorBidi" w:cstheme="majorBidi"/>
              </w:rPr>
            </w:pPr>
            <w:r w:rsidRPr="00917737">
              <w:rPr>
                <w:rFonts w:asciiTheme="majorBidi" w:hAnsiTheme="majorBidi" w:cstheme="majorBidi"/>
              </w:rPr>
              <w:t xml:space="preserve">(cost* adj2 (effective* or </w:t>
            </w:r>
            <w:proofErr w:type="spellStart"/>
            <w:r w:rsidRPr="00917737">
              <w:rPr>
                <w:rFonts w:asciiTheme="majorBidi" w:hAnsiTheme="majorBidi" w:cstheme="majorBidi"/>
              </w:rPr>
              <w:t>utilit</w:t>
            </w:r>
            <w:proofErr w:type="spellEnd"/>
            <w:r w:rsidRPr="00917737">
              <w:rPr>
                <w:rFonts w:asciiTheme="majorBidi" w:hAnsiTheme="majorBidi" w:cstheme="majorBidi"/>
              </w:rPr>
              <w:t xml:space="preserve">* or benefit* or </w:t>
            </w:r>
            <w:proofErr w:type="spellStart"/>
            <w:r w:rsidRPr="00917737">
              <w:rPr>
                <w:rFonts w:asciiTheme="majorBidi" w:hAnsiTheme="majorBidi" w:cstheme="majorBidi"/>
              </w:rPr>
              <w:t>minimi</w:t>
            </w:r>
            <w:proofErr w:type="spellEnd"/>
            <w:r w:rsidRPr="00917737">
              <w:rPr>
                <w:rFonts w:asciiTheme="majorBidi" w:hAnsiTheme="majorBidi" w:cstheme="majorBidi"/>
              </w:rPr>
              <w:t>*)</w:t>
            </w:r>
            <w:proofErr w:type="gramStart"/>
            <w:r w:rsidRPr="00917737">
              <w:rPr>
                <w:rFonts w:asciiTheme="majorBidi" w:hAnsiTheme="majorBidi" w:cstheme="majorBidi"/>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B7CFF" w14:textId="77777777" w:rsidR="00AB4E6A" w:rsidRPr="00917737" w:rsidRDefault="00AB4E6A" w:rsidP="00AB4E6A">
            <w:pPr>
              <w:rPr>
                <w:rFonts w:asciiTheme="majorBidi" w:hAnsiTheme="majorBidi" w:cstheme="majorBidi"/>
              </w:rPr>
            </w:pPr>
            <w:r w:rsidRPr="00917737">
              <w:rPr>
                <w:rFonts w:asciiTheme="majorBidi" w:hAnsiTheme="majorBidi" w:cstheme="majorBidi"/>
              </w:rPr>
              <w:t>157179</w:t>
            </w:r>
          </w:p>
        </w:tc>
      </w:tr>
      <w:tr w:rsidR="00AB4E6A" w:rsidRPr="00917737" w14:paraId="55DF2AA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9FD76" w14:textId="77777777" w:rsidR="00AB4E6A" w:rsidRPr="00917737" w:rsidRDefault="00AB4E6A" w:rsidP="00AB4E6A">
            <w:pPr>
              <w:rPr>
                <w:rFonts w:asciiTheme="majorBidi" w:hAnsiTheme="majorBidi" w:cstheme="majorBidi"/>
              </w:rPr>
            </w:pPr>
            <w:r w:rsidRPr="00917737">
              <w:rPr>
                <w:rFonts w:asciiTheme="majorBidi" w:hAnsiTheme="majorBidi" w:cstheme="majorBidi"/>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D4773" w14:textId="77777777" w:rsidR="00AB4E6A" w:rsidRPr="00917737" w:rsidRDefault="00AB4E6A" w:rsidP="00AB4E6A">
            <w:pPr>
              <w:rPr>
                <w:rFonts w:asciiTheme="majorBidi" w:hAnsiTheme="majorBidi" w:cstheme="majorBidi"/>
              </w:rPr>
            </w:pPr>
            <w:r w:rsidRPr="00917737">
              <w:rPr>
                <w:rFonts w:asciiTheme="majorBidi" w:hAnsiTheme="majorBidi" w:cstheme="majorBidi"/>
              </w:rPr>
              <w:t>(economic* or pharmacoeconomic* or pharmaco-economic*).</w:t>
            </w:r>
            <w:proofErr w:type="spellStart"/>
            <w:r w:rsidRPr="00917737">
              <w:rPr>
                <w:rFonts w:asciiTheme="majorBidi" w:hAnsiTheme="majorBidi" w:cstheme="majorBidi"/>
              </w:rPr>
              <w:t>ti</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AC75E" w14:textId="77777777" w:rsidR="00AB4E6A" w:rsidRPr="00917737" w:rsidRDefault="00AB4E6A" w:rsidP="00AB4E6A">
            <w:pPr>
              <w:rPr>
                <w:rFonts w:asciiTheme="majorBidi" w:hAnsiTheme="majorBidi" w:cstheme="majorBidi"/>
              </w:rPr>
            </w:pPr>
            <w:r w:rsidRPr="00917737">
              <w:rPr>
                <w:rFonts w:asciiTheme="majorBidi" w:hAnsiTheme="majorBidi" w:cstheme="majorBidi"/>
              </w:rPr>
              <w:t>50939</w:t>
            </w:r>
          </w:p>
        </w:tc>
      </w:tr>
      <w:tr w:rsidR="00AB4E6A" w:rsidRPr="00917737" w14:paraId="7D7ABBA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429C6" w14:textId="77777777" w:rsidR="00AB4E6A" w:rsidRPr="00917737" w:rsidRDefault="00AB4E6A" w:rsidP="00AB4E6A">
            <w:pPr>
              <w:rPr>
                <w:rFonts w:asciiTheme="majorBidi" w:hAnsiTheme="majorBidi" w:cstheme="majorBidi"/>
              </w:rPr>
            </w:pPr>
            <w:r w:rsidRPr="00917737">
              <w:rPr>
                <w:rFonts w:asciiTheme="majorBidi" w:hAnsiTheme="majorBidi" w:cstheme="majorBidi"/>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37A5B" w14:textId="77777777" w:rsidR="00AB4E6A" w:rsidRPr="00917737" w:rsidRDefault="00AB4E6A" w:rsidP="00AB4E6A">
            <w:pPr>
              <w:rPr>
                <w:rFonts w:asciiTheme="majorBidi" w:hAnsiTheme="majorBidi" w:cstheme="majorBidi"/>
              </w:rPr>
            </w:pPr>
            <w:r w:rsidRPr="00917737">
              <w:rPr>
                <w:rFonts w:asciiTheme="majorBidi" w:hAnsiTheme="majorBidi" w:cstheme="majorBidi"/>
              </w:rPr>
              <w:t>(price* or pricing*).</w:t>
            </w:r>
            <w:proofErr w:type="spellStart"/>
            <w:r w:rsidRPr="00917737">
              <w:rPr>
                <w:rFonts w:asciiTheme="majorBidi" w:hAnsiTheme="majorBidi" w:cstheme="majorBidi"/>
              </w:rPr>
              <w:t>tw</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9BE6B" w14:textId="77777777" w:rsidR="00AB4E6A" w:rsidRPr="00917737" w:rsidRDefault="00AB4E6A" w:rsidP="00AB4E6A">
            <w:pPr>
              <w:rPr>
                <w:rFonts w:asciiTheme="majorBidi" w:hAnsiTheme="majorBidi" w:cstheme="majorBidi"/>
              </w:rPr>
            </w:pPr>
            <w:r w:rsidRPr="00917737">
              <w:rPr>
                <w:rFonts w:asciiTheme="majorBidi" w:hAnsiTheme="majorBidi" w:cstheme="majorBidi"/>
              </w:rPr>
              <w:t>42703</w:t>
            </w:r>
          </w:p>
        </w:tc>
      </w:tr>
      <w:tr w:rsidR="00AB4E6A" w:rsidRPr="00917737" w14:paraId="65BA526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ECD83" w14:textId="77777777" w:rsidR="00AB4E6A" w:rsidRPr="00917737" w:rsidRDefault="00AB4E6A" w:rsidP="00AB4E6A">
            <w:pPr>
              <w:rPr>
                <w:rFonts w:asciiTheme="majorBidi" w:hAnsiTheme="majorBidi" w:cstheme="majorBidi"/>
              </w:rPr>
            </w:pPr>
            <w:r w:rsidRPr="00917737">
              <w:rPr>
                <w:rFonts w:asciiTheme="majorBidi" w:hAnsiTheme="majorBidi" w:cstheme="majorBid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F098F" w14:textId="77777777" w:rsidR="00AB4E6A" w:rsidRPr="00917737" w:rsidRDefault="00AB4E6A" w:rsidP="00AB4E6A">
            <w:pPr>
              <w:rPr>
                <w:rFonts w:asciiTheme="majorBidi" w:hAnsiTheme="majorBidi" w:cstheme="majorBidi"/>
              </w:rPr>
            </w:pPr>
            <w:r w:rsidRPr="00917737">
              <w:rPr>
                <w:rFonts w:asciiTheme="majorBidi" w:hAnsiTheme="majorBidi" w:cstheme="majorBidi"/>
              </w:rPr>
              <w:t>(</w:t>
            </w:r>
            <w:proofErr w:type="gramStart"/>
            <w:r w:rsidRPr="00917737">
              <w:rPr>
                <w:rFonts w:asciiTheme="majorBidi" w:hAnsiTheme="majorBidi" w:cstheme="majorBidi"/>
              </w:rPr>
              <w:t>financial</w:t>
            </w:r>
            <w:proofErr w:type="gramEnd"/>
            <w:r w:rsidRPr="00917737">
              <w:rPr>
                <w:rFonts w:asciiTheme="majorBidi" w:hAnsiTheme="majorBidi" w:cstheme="majorBidi"/>
              </w:rPr>
              <w:t xml:space="preserve"> or finance or finances or financed).</w:t>
            </w:r>
            <w:proofErr w:type="spellStart"/>
            <w:r w:rsidRPr="00917737">
              <w:rPr>
                <w:rFonts w:asciiTheme="majorBidi" w:hAnsiTheme="majorBidi" w:cstheme="majorBidi"/>
              </w:rPr>
              <w:t>tw</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E8D29" w14:textId="77777777" w:rsidR="00AB4E6A" w:rsidRPr="00917737" w:rsidRDefault="00AB4E6A" w:rsidP="00AB4E6A">
            <w:pPr>
              <w:rPr>
                <w:rFonts w:asciiTheme="majorBidi" w:hAnsiTheme="majorBidi" w:cstheme="majorBidi"/>
              </w:rPr>
            </w:pPr>
            <w:r w:rsidRPr="00917737">
              <w:rPr>
                <w:rFonts w:asciiTheme="majorBidi" w:hAnsiTheme="majorBidi" w:cstheme="majorBidi"/>
              </w:rPr>
              <w:t>97358</w:t>
            </w:r>
          </w:p>
        </w:tc>
      </w:tr>
      <w:tr w:rsidR="00AB4E6A" w:rsidRPr="00917737" w14:paraId="46F3F28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84AEE" w14:textId="77777777" w:rsidR="00AB4E6A" w:rsidRPr="00917737" w:rsidRDefault="00AB4E6A" w:rsidP="00AB4E6A">
            <w:pPr>
              <w:rPr>
                <w:rFonts w:asciiTheme="majorBidi" w:hAnsiTheme="majorBidi" w:cstheme="majorBidi"/>
              </w:rPr>
            </w:pPr>
            <w:r w:rsidRPr="00917737">
              <w:rPr>
                <w:rFonts w:asciiTheme="majorBidi" w:hAnsiTheme="majorBidi" w:cstheme="majorBidi"/>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F5C8F" w14:textId="77777777" w:rsidR="00AB4E6A" w:rsidRPr="00917737" w:rsidRDefault="00AB4E6A" w:rsidP="00AB4E6A">
            <w:pPr>
              <w:rPr>
                <w:rFonts w:asciiTheme="majorBidi" w:hAnsiTheme="majorBidi" w:cstheme="majorBidi"/>
              </w:rPr>
            </w:pPr>
            <w:r w:rsidRPr="00917737">
              <w:rPr>
                <w:rFonts w:asciiTheme="majorBidi" w:hAnsiTheme="majorBidi" w:cstheme="majorBidi"/>
              </w:rPr>
              <w:t>(</w:t>
            </w:r>
            <w:proofErr w:type="gramStart"/>
            <w:r w:rsidRPr="00917737">
              <w:rPr>
                <w:rFonts w:asciiTheme="majorBidi" w:hAnsiTheme="majorBidi" w:cstheme="majorBidi"/>
              </w:rPr>
              <w:t>fee</w:t>
            </w:r>
            <w:proofErr w:type="gramEnd"/>
            <w:r w:rsidRPr="00917737">
              <w:rPr>
                <w:rFonts w:asciiTheme="majorBidi" w:hAnsiTheme="majorBidi" w:cstheme="majorBidi"/>
              </w:rPr>
              <w:t xml:space="preserve"> or fees).</w:t>
            </w:r>
            <w:proofErr w:type="spellStart"/>
            <w:r w:rsidRPr="00917737">
              <w:rPr>
                <w:rFonts w:asciiTheme="majorBidi" w:hAnsiTheme="majorBidi" w:cstheme="majorBidi"/>
              </w:rPr>
              <w:t>tw</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EBA75" w14:textId="77777777" w:rsidR="00AB4E6A" w:rsidRPr="00917737" w:rsidRDefault="00AB4E6A" w:rsidP="00AB4E6A">
            <w:pPr>
              <w:rPr>
                <w:rFonts w:asciiTheme="majorBidi" w:hAnsiTheme="majorBidi" w:cstheme="majorBidi"/>
              </w:rPr>
            </w:pPr>
            <w:r w:rsidRPr="00917737">
              <w:rPr>
                <w:rFonts w:asciiTheme="majorBidi" w:hAnsiTheme="majorBidi" w:cstheme="majorBidi"/>
              </w:rPr>
              <w:t>18704</w:t>
            </w:r>
          </w:p>
        </w:tc>
      </w:tr>
      <w:tr w:rsidR="00AB4E6A" w:rsidRPr="00917737" w14:paraId="0CBA01B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CA8BF" w14:textId="77777777" w:rsidR="00AB4E6A" w:rsidRPr="00917737" w:rsidRDefault="00AB4E6A" w:rsidP="00AB4E6A">
            <w:pPr>
              <w:rPr>
                <w:rFonts w:asciiTheme="majorBidi" w:hAnsiTheme="majorBidi" w:cstheme="majorBidi"/>
              </w:rPr>
            </w:pPr>
            <w:r w:rsidRPr="00917737">
              <w:rPr>
                <w:rFonts w:asciiTheme="majorBidi" w:hAnsiTheme="majorBidi" w:cstheme="majorBid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27097" w14:textId="77777777" w:rsidR="00AB4E6A" w:rsidRPr="00917737" w:rsidRDefault="00AB4E6A" w:rsidP="00AB4E6A">
            <w:pPr>
              <w:rPr>
                <w:rFonts w:asciiTheme="majorBidi" w:hAnsiTheme="majorBidi" w:cstheme="majorBidi"/>
              </w:rPr>
            </w:pPr>
            <w:r w:rsidRPr="00917737">
              <w:rPr>
                <w:rFonts w:asciiTheme="majorBidi" w:hAnsiTheme="majorBidi" w:cstheme="majorBidi"/>
              </w:rPr>
              <w:t>(</w:t>
            </w:r>
            <w:proofErr w:type="gramStart"/>
            <w:r w:rsidRPr="00917737">
              <w:rPr>
                <w:rFonts w:asciiTheme="majorBidi" w:hAnsiTheme="majorBidi" w:cstheme="majorBidi"/>
              </w:rPr>
              <w:t>value</w:t>
            </w:r>
            <w:proofErr w:type="gramEnd"/>
            <w:r w:rsidRPr="00917737">
              <w:rPr>
                <w:rFonts w:asciiTheme="majorBidi" w:hAnsiTheme="majorBidi" w:cstheme="majorBidi"/>
              </w:rPr>
              <w:t xml:space="preserve"> adj2 (money or monetary)).</w:t>
            </w:r>
            <w:proofErr w:type="spellStart"/>
            <w:r w:rsidRPr="00917737">
              <w:rPr>
                <w:rFonts w:asciiTheme="majorBidi" w:hAnsiTheme="majorBidi" w:cstheme="majorBidi"/>
              </w:rPr>
              <w:t>tw</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63C75" w14:textId="77777777" w:rsidR="00AB4E6A" w:rsidRPr="00917737" w:rsidRDefault="00AB4E6A" w:rsidP="00AB4E6A">
            <w:pPr>
              <w:rPr>
                <w:rFonts w:asciiTheme="majorBidi" w:hAnsiTheme="majorBidi" w:cstheme="majorBidi"/>
              </w:rPr>
            </w:pPr>
            <w:r w:rsidRPr="00917737">
              <w:rPr>
                <w:rFonts w:asciiTheme="majorBidi" w:hAnsiTheme="majorBidi" w:cstheme="majorBidi"/>
              </w:rPr>
              <w:t>2515</w:t>
            </w:r>
          </w:p>
        </w:tc>
      </w:tr>
      <w:tr w:rsidR="00AB4E6A" w:rsidRPr="00917737" w14:paraId="3584249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F84B8" w14:textId="77777777" w:rsidR="00AB4E6A" w:rsidRPr="00917737" w:rsidRDefault="00AB4E6A" w:rsidP="00AB4E6A">
            <w:pPr>
              <w:rPr>
                <w:rFonts w:asciiTheme="majorBidi" w:hAnsiTheme="majorBidi" w:cstheme="majorBidi"/>
              </w:rPr>
            </w:pPr>
            <w:r w:rsidRPr="00917737">
              <w:rPr>
                <w:rFonts w:asciiTheme="majorBidi" w:hAnsiTheme="majorBidi" w:cstheme="majorBid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36122" w14:textId="77777777" w:rsidR="00AB4E6A" w:rsidRPr="00917737" w:rsidRDefault="00AB4E6A" w:rsidP="00AB4E6A">
            <w:pPr>
              <w:rPr>
                <w:rFonts w:asciiTheme="majorBidi" w:hAnsiTheme="majorBidi" w:cstheme="majorBidi"/>
              </w:rPr>
            </w:pPr>
            <w:r w:rsidRPr="00917737">
              <w:rPr>
                <w:rFonts w:asciiTheme="majorBidi" w:hAnsiTheme="majorBidi" w:cstheme="majorBidi"/>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22A79" w14:textId="77777777" w:rsidR="00AB4E6A" w:rsidRPr="00917737" w:rsidRDefault="00AB4E6A" w:rsidP="00AB4E6A">
            <w:pPr>
              <w:rPr>
                <w:rFonts w:asciiTheme="majorBidi" w:hAnsiTheme="majorBidi" w:cstheme="majorBidi"/>
              </w:rPr>
            </w:pPr>
            <w:r w:rsidRPr="00917737">
              <w:rPr>
                <w:rFonts w:asciiTheme="majorBidi" w:hAnsiTheme="majorBidi" w:cstheme="majorBidi"/>
              </w:rPr>
              <w:t>12949</w:t>
            </w:r>
          </w:p>
        </w:tc>
      </w:tr>
      <w:tr w:rsidR="00AB4E6A" w:rsidRPr="00917737" w14:paraId="128D2A4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DB83D" w14:textId="77777777" w:rsidR="00AB4E6A" w:rsidRPr="00917737" w:rsidRDefault="00AB4E6A" w:rsidP="00AB4E6A">
            <w:pPr>
              <w:rPr>
                <w:rFonts w:asciiTheme="majorBidi" w:hAnsiTheme="majorBidi" w:cstheme="majorBidi"/>
              </w:rPr>
            </w:pPr>
            <w:r w:rsidRPr="00917737">
              <w:rPr>
                <w:rFonts w:asciiTheme="majorBidi" w:hAnsiTheme="majorBidi" w:cstheme="majorBidi"/>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1B2C8" w14:textId="77777777" w:rsidR="00AB4E6A" w:rsidRPr="00917737" w:rsidRDefault="00AB4E6A" w:rsidP="00AB4E6A">
            <w:pPr>
              <w:rPr>
                <w:rFonts w:asciiTheme="majorBidi" w:hAnsiTheme="majorBidi" w:cstheme="majorBidi"/>
              </w:rPr>
            </w:pPr>
            <w:r w:rsidRPr="00917737">
              <w:rPr>
                <w:rFonts w:asciiTheme="majorBidi" w:hAnsiTheme="majorBidi" w:cstheme="majorBidi"/>
              </w:rPr>
              <w:t>(</w:t>
            </w:r>
            <w:proofErr w:type="spellStart"/>
            <w:proofErr w:type="gramStart"/>
            <w:r w:rsidRPr="00917737">
              <w:rPr>
                <w:rFonts w:asciiTheme="majorBidi" w:hAnsiTheme="majorBidi" w:cstheme="majorBidi"/>
              </w:rPr>
              <w:t>qaly</w:t>
            </w:r>
            <w:proofErr w:type="spellEnd"/>
            <w:proofErr w:type="gramEnd"/>
            <w:r w:rsidRPr="00917737">
              <w:rPr>
                <w:rFonts w:asciiTheme="majorBidi" w:hAnsiTheme="majorBidi" w:cstheme="majorBidi"/>
              </w:rPr>
              <w:t xml:space="preserve"> or </w:t>
            </w:r>
            <w:proofErr w:type="spellStart"/>
            <w:r w:rsidRPr="00917737">
              <w:rPr>
                <w:rFonts w:asciiTheme="majorBidi" w:hAnsiTheme="majorBidi" w:cstheme="majorBidi"/>
              </w:rPr>
              <w:t>qalys</w:t>
            </w:r>
            <w:proofErr w:type="spellEnd"/>
            <w:r w:rsidRPr="00917737">
              <w:rPr>
                <w:rFonts w:asciiTheme="majorBidi" w:hAnsiTheme="majorBidi" w:cstheme="majorBidi"/>
              </w:rPr>
              <w:t>).</w:t>
            </w:r>
            <w:proofErr w:type="spellStart"/>
            <w:r w:rsidRPr="00917737">
              <w:rPr>
                <w:rFonts w:asciiTheme="majorBidi" w:hAnsiTheme="majorBidi" w:cstheme="majorBidi"/>
              </w:rPr>
              <w:t>af</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48C74" w14:textId="77777777" w:rsidR="00AB4E6A" w:rsidRPr="00917737" w:rsidRDefault="00AB4E6A" w:rsidP="00AB4E6A">
            <w:pPr>
              <w:rPr>
                <w:rFonts w:asciiTheme="majorBidi" w:hAnsiTheme="majorBidi" w:cstheme="majorBidi"/>
              </w:rPr>
            </w:pPr>
            <w:r w:rsidRPr="00917737">
              <w:rPr>
                <w:rFonts w:asciiTheme="majorBidi" w:hAnsiTheme="majorBidi" w:cstheme="majorBidi"/>
              </w:rPr>
              <w:t>11325</w:t>
            </w:r>
          </w:p>
        </w:tc>
      </w:tr>
      <w:tr w:rsidR="00AB4E6A" w:rsidRPr="00917737" w14:paraId="605825A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B2A4D" w14:textId="77777777" w:rsidR="00AB4E6A" w:rsidRPr="00917737" w:rsidRDefault="00AB4E6A" w:rsidP="00AB4E6A">
            <w:pPr>
              <w:rPr>
                <w:rFonts w:asciiTheme="majorBidi" w:hAnsiTheme="majorBidi" w:cstheme="majorBidi"/>
              </w:rPr>
            </w:pPr>
            <w:r w:rsidRPr="00917737">
              <w:rPr>
                <w:rFonts w:asciiTheme="majorBidi" w:hAnsiTheme="majorBidi" w:cstheme="majorBidi"/>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29D44" w14:textId="77777777" w:rsidR="00AB4E6A" w:rsidRPr="00917737" w:rsidRDefault="00AB4E6A" w:rsidP="00AB4E6A">
            <w:pPr>
              <w:rPr>
                <w:rFonts w:asciiTheme="majorBidi" w:hAnsiTheme="majorBidi" w:cstheme="majorBidi"/>
              </w:rPr>
            </w:pPr>
            <w:r w:rsidRPr="00917737">
              <w:rPr>
                <w:rFonts w:asciiTheme="majorBidi" w:hAnsiTheme="majorBidi" w:cstheme="majorBidi"/>
              </w:rPr>
              <w:t>(</w:t>
            </w:r>
            <w:proofErr w:type="gramStart"/>
            <w:r w:rsidRPr="00917737">
              <w:rPr>
                <w:rFonts w:asciiTheme="majorBidi" w:hAnsiTheme="majorBidi" w:cstheme="majorBidi"/>
              </w:rPr>
              <w:t>quality</w:t>
            </w:r>
            <w:proofErr w:type="gramEnd"/>
            <w:r w:rsidRPr="00917737">
              <w:rPr>
                <w:rFonts w:asciiTheme="majorBidi" w:hAnsiTheme="majorBidi" w:cstheme="majorBidi"/>
              </w:rPr>
              <w:t xml:space="preserve"> adjusted life year or quality adjusted life years).</w:t>
            </w:r>
            <w:proofErr w:type="spellStart"/>
            <w:r w:rsidRPr="00917737">
              <w:rPr>
                <w:rFonts w:asciiTheme="majorBidi" w:hAnsiTheme="majorBidi" w:cstheme="majorBidi"/>
              </w:rPr>
              <w:t>af</w:t>
            </w:r>
            <w:proofErr w:type="spellEnd"/>
            <w:r w:rsidRPr="00917737">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83CFB" w14:textId="77777777" w:rsidR="00AB4E6A" w:rsidRPr="00917737" w:rsidRDefault="00AB4E6A" w:rsidP="00AB4E6A">
            <w:pPr>
              <w:rPr>
                <w:rFonts w:asciiTheme="majorBidi" w:hAnsiTheme="majorBidi" w:cstheme="majorBidi"/>
              </w:rPr>
            </w:pPr>
            <w:r w:rsidRPr="00917737">
              <w:rPr>
                <w:rFonts w:asciiTheme="majorBidi" w:hAnsiTheme="majorBidi" w:cstheme="majorBidi"/>
              </w:rPr>
              <w:t>19387</w:t>
            </w:r>
          </w:p>
        </w:tc>
      </w:tr>
      <w:tr w:rsidR="00AB4E6A" w:rsidRPr="00917737" w14:paraId="18D0A7F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9418C" w14:textId="77777777" w:rsidR="00AB4E6A" w:rsidRPr="00917737" w:rsidRDefault="00AB4E6A" w:rsidP="00AB4E6A">
            <w:pPr>
              <w:rPr>
                <w:rFonts w:asciiTheme="majorBidi" w:hAnsiTheme="majorBidi" w:cstheme="majorBidi"/>
              </w:rPr>
            </w:pPr>
            <w:r w:rsidRPr="00917737">
              <w:rPr>
                <w:rFonts w:asciiTheme="majorBidi" w:hAnsiTheme="majorBidi" w:cstheme="majorBidi"/>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7571" w14:textId="77777777" w:rsidR="00AB4E6A" w:rsidRPr="00917737" w:rsidRDefault="00AB4E6A" w:rsidP="00AB4E6A">
            <w:pPr>
              <w:rPr>
                <w:rFonts w:asciiTheme="majorBidi" w:hAnsiTheme="majorBidi" w:cstheme="majorBidi"/>
              </w:rPr>
            </w:pPr>
            <w:r w:rsidRPr="00917737">
              <w:rPr>
                <w:rFonts w:asciiTheme="majorBidi" w:hAnsiTheme="majorBidi" w:cstheme="majorBidi"/>
              </w:rPr>
              <w:t>or/6-26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A6B3C" w14:textId="77777777" w:rsidR="00AB4E6A" w:rsidRPr="00917737" w:rsidRDefault="00AB4E6A" w:rsidP="00AB4E6A">
            <w:pPr>
              <w:rPr>
                <w:rFonts w:asciiTheme="majorBidi" w:hAnsiTheme="majorBidi" w:cstheme="majorBidi"/>
              </w:rPr>
            </w:pPr>
            <w:r w:rsidRPr="00917737">
              <w:rPr>
                <w:rFonts w:asciiTheme="majorBidi" w:hAnsiTheme="majorBidi" w:cstheme="majorBidi"/>
              </w:rPr>
              <w:t>801858</w:t>
            </w:r>
          </w:p>
        </w:tc>
      </w:tr>
      <w:tr w:rsidR="00AB4E6A" w:rsidRPr="00917737" w14:paraId="36F01A7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7F63D" w14:textId="77777777" w:rsidR="00AB4E6A" w:rsidRPr="00917737" w:rsidRDefault="00AB4E6A" w:rsidP="00AB4E6A">
            <w:pPr>
              <w:rPr>
                <w:rFonts w:asciiTheme="majorBidi" w:hAnsiTheme="majorBidi" w:cstheme="majorBidi"/>
              </w:rPr>
            </w:pPr>
            <w:r w:rsidRPr="00917737">
              <w:rPr>
                <w:rFonts w:asciiTheme="majorBidi" w:hAnsiTheme="majorBidi" w:cstheme="majorBidi"/>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E3748" w14:textId="77777777" w:rsidR="00AB4E6A" w:rsidRPr="00917737" w:rsidRDefault="00AB4E6A" w:rsidP="00AB4E6A">
            <w:pPr>
              <w:rPr>
                <w:rFonts w:asciiTheme="majorBidi" w:hAnsiTheme="majorBidi" w:cstheme="majorBidi"/>
              </w:rPr>
            </w:pPr>
            <w:r w:rsidRPr="00917737">
              <w:rPr>
                <w:rFonts w:asciiTheme="majorBidi" w:hAnsiTheme="majorBidi" w:cstheme="majorBidi"/>
              </w:rPr>
              <w:t>5 and 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BBD0C" w14:textId="77777777" w:rsidR="00AB4E6A" w:rsidRPr="00917737" w:rsidRDefault="00AB4E6A" w:rsidP="00AB4E6A">
            <w:pPr>
              <w:rPr>
                <w:rFonts w:asciiTheme="majorBidi" w:hAnsiTheme="majorBidi" w:cstheme="majorBidi"/>
              </w:rPr>
            </w:pPr>
            <w:r w:rsidRPr="00917737">
              <w:rPr>
                <w:rFonts w:asciiTheme="majorBidi" w:hAnsiTheme="majorBidi" w:cstheme="majorBidi"/>
              </w:rPr>
              <w:t>0</w:t>
            </w:r>
          </w:p>
        </w:tc>
      </w:tr>
    </w:tbl>
    <w:p w14:paraId="3433843F" w14:textId="77777777" w:rsidR="00AB4E6A" w:rsidRPr="00AB4E6A" w:rsidRDefault="00AB4E6A" w:rsidP="00AB4E6A">
      <w:pPr>
        <w:rPr>
          <w:rFonts w:asciiTheme="majorBidi" w:hAnsiTheme="majorBidi" w:cstheme="majorBidi"/>
        </w:rPr>
      </w:pPr>
    </w:p>
    <w:p w14:paraId="37652FE4"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Embase 1974 to 2021 February 26 (searched via the Ovid SP platform)</w:t>
      </w:r>
    </w:p>
    <w:p w14:paraId="3FEB10D9"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37F23890"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885"/>
        <w:gridCol w:w="1096"/>
      </w:tblGrid>
      <w:tr w:rsidR="00AB4E6A" w:rsidRPr="00AB4E6A" w14:paraId="7442A9D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0BD15"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2C77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BDFB9"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6EFA8FB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9F9E4"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46B95" w14:textId="77777777" w:rsidR="00AB4E6A" w:rsidRPr="00AB4E6A" w:rsidRDefault="00AB4E6A" w:rsidP="00AB4E6A">
            <w:pPr>
              <w:rPr>
                <w:rFonts w:asciiTheme="majorBidi" w:hAnsiTheme="majorBidi" w:cstheme="majorBidi"/>
              </w:rPr>
            </w:pPr>
            <w:r w:rsidRPr="00AB4E6A">
              <w:rPr>
                <w:rFonts w:asciiTheme="majorBidi" w:hAnsiTheme="majorBidi" w:cstheme="majorBidi"/>
              </w:rPr>
              <w:t>cefiderocol.mp.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FFF1B" w14:textId="77777777" w:rsidR="00AB4E6A" w:rsidRPr="00AB4E6A" w:rsidRDefault="00AB4E6A" w:rsidP="00AB4E6A">
            <w:pPr>
              <w:rPr>
                <w:rFonts w:asciiTheme="majorBidi" w:hAnsiTheme="majorBidi" w:cstheme="majorBidi"/>
              </w:rPr>
            </w:pPr>
            <w:r w:rsidRPr="00AB4E6A">
              <w:rPr>
                <w:rFonts w:asciiTheme="majorBidi" w:hAnsiTheme="majorBidi" w:cstheme="majorBidi"/>
              </w:rPr>
              <w:t>278</w:t>
            </w:r>
          </w:p>
        </w:tc>
      </w:tr>
      <w:tr w:rsidR="00AB4E6A" w:rsidRPr="00AB4E6A" w14:paraId="6EA7BCE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74DD3"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146EF" w14:textId="77777777" w:rsidR="00AB4E6A" w:rsidRPr="00AB4E6A" w:rsidRDefault="00AB4E6A" w:rsidP="00AB4E6A">
            <w:pPr>
              <w:rPr>
                <w:rFonts w:asciiTheme="majorBidi" w:hAnsiTheme="majorBidi" w:cstheme="majorBidi"/>
              </w:rPr>
            </w:pPr>
            <w:r w:rsidRPr="00AB4E6A">
              <w:rPr>
                <w:rFonts w:asciiTheme="majorBidi" w:hAnsiTheme="majorBidi" w:cstheme="majorBidi"/>
              </w:rPr>
              <w:t>fetroja.mp.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B09E7"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r>
      <w:tr w:rsidR="00AB4E6A" w:rsidRPr="00AB4E6A" w14:paraId="2AB925D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6EFE4"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DCEFB" w14:textId="77777777" w:rsidR="00AB4E6A" w:rsidRPr="00AB4E6A" w:rsidRDefault="00AB4E6A" w:rsidP="00AB4E6A">
            <w:pPr>
              <w:rPr>
                <w:rFonts w:asciiTheme="majorBidi" w:hAnsiTheme="majorBidi" w:cstheme="majorBidi"/>
              </w:rPr>
            </w:pPr>
            <w:r w:rsidRPr="00AB4E6A">
              <w:rPr>
                <w:rFonts w:asciiTheme="majorBidi" w:hAnsiTheme="majorBidi" w:cstheme="majorBidi"/>
              </w:rPr>
              <w:t>fetcroja.mp.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A1BCC"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r>
      <w:tr w:rsidR="00AB4E6A" w:rsidRPr="00AB4E6A" w14:paraId="5AF7F60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CB26C"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5977F" w14:textId="77777777" w:rsidR="00AB4E6A" w:rsidRPr="00AB4E6A" w:rsidRDefault="00AB4E6A" w:rsidP="00AB4E6A">
            <w:pPr>
              <w:rPr>
                <w:rFonts w:asciiTheme="majorBidi" w:hAnsiTheme="majorBidi" w:cstheme="majorBidi"/>
              </w:rPr>
            </w:pPr>
            <w:r w:rsidRPr="00AB4E6A">
              <w:rPr>
                <w:rFonts w:asciiTheme="majorBidi" w:hAnsiTheme="majorBidi" w:cstheme="majorBidi"/>
              </w:rPr>
              <w:t>rsc-649266.mp.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1E12B"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2B6E9C2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6485A" w14:textId="77777777" w:rsidR="00AB4E6A" w:rsidRPr="00AB4E6A" w:rsidRDefault="00AB4E6A" w:rsidP="00AB4E6A">
            <w:pPr>
              <w:rPr>
                <w:rFonts w:asciiTheme="majorBidi" w:hAnsiTheme="majorBidi" w:cstheme="majorBidi"/>
              </w:rPr>
            </w:pPr>
            <w:r w:rsidRPr="00AB4E6A">
              <w:rPr>
                <w:rFonts w:asciiTheme="majorBidi" w:hAnsiTheme="majorBidi" w:cstheme="majorBidi"/>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28E6C" w14:textId="77777777" w:rsidR="00AB4E6A" w:rsidRPr="00AB4E6A" w:rsidRDefault="00AB4E6A" w:rsidP="00AB4E6A">
            <w:pPr>
              <w:rPr>
                <w:rFonts w:asciiTheme="majorBidi" w:hAnsiTheme="majorBidi" w:cstheme="majorBidi"/>
              </w:rPr>
            </w:pPr>
            <w:r w:rsidRPr="00AB4E6A">
              <w:rPr>
                <w:rFonts w:asciiTheme="majorBidi" w:hAnsiTheme="majorBidi" w:cstheme="majorBidi"/>
              </w:rPr>
              <w:t>or/1-4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E841A" w14:textId="77777777" w:rsidR="00AB4E6A" w:rsidRPr="00AB4E6A" w:rsidRDefault="00AB4E6A" w:rsidP="00AB4E6A">
            <w:pPr>
              <w:rPr>
                <w:rFonts w:asciiTheme="majorBidi" w:hAnsiTheme="majorBidi" w:cstheme="majorBidi"/>
              </w:rPr>
            </w:pPr>
            <w:r w:rsidRPr="00AB4E6A">
              <w:rPr>
                <w:rFonts w:asciiTheme="majorBidi" w:hAnsiTheme="majorBidi" w:cstheme="majorBidi"/>
              </w:rPr>
              <w:t>278</w:t>
            </w:r>
          </w:p>
        </w:tc>
      </w:tr>
      <w:tr w:rsidR="00AB4E6A" w:rsidRPr="00AB4E6A" w14:paraId="0553174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89127"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565FA"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cost</w:t>
            </w:r>
            <w:proofErr w:type="gramEnd"/>
            <w:r w:rsidRPr="00AB4E6A">
              <w:rPr>
                <w:rFonts w:asciiTheme="majorBidi" w:hAnsiTheme="majorBidi" w:cstheme="majorBidi"/>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5F55F" w14:textId="77777777" w:rsidR="00AB4E6A" w:rsidRPr="00AB4E6A" w:rsidRDefault="00AB4E6A" w:rsidP="00AB4E6A">
            <w:pPr>
              <w:rPr>
                <w:rFonts w:asciiTheme="majorBidi" w:hAnsiTheme="majorBidi" w:cstheme="majorBidi"/>
              </w:rPr>
            </w:pPr>
            <w:r w:rsidRPr="00AB4E6A">
              <w:rPr>
                <w:rFonts w:asciiTheme="majorBidi" w:hAnsiTheme="majorBidi" w:cstheme="majorBidi"/>
              </w:rPr>
              <w:t>87111</w:t>
            </w:r>
          </w:p>
        </w:tc>
      </w:tr>
      <w:tr w:rsidR="00AB4E6A" w:rsidRPr="00AB4E6A" w14:paraId="692EBDC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0C97F" w14:textId="77777777" w:rsidR="00AB4E6A" w:rsidRPr="00AB4E6A" w:rsidRDefault="00AB4E6A" w:rsidP="00AB4E6A">
            <w:pPr>
              <w:rPr>
                <w:rFonts w:asciiTheme="majorBidi" w:hAnsiTheme="majorBidi" w:cstheme="majorBidi"/>
              </w:rPr>
            </w:pPr>
            <w:r w:rsidRPr="00AB4E6A">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EEAA6"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cost</w:t>
            </w:r>
            <w:proofErr w:type="gramEnd"/>
            <w:r w:rsidRPr="00AB4E6A">
              <w:rPr>
                <w:rFonts w:asciiTheme="majorBidi" w:hAnsiTheme="majorBidi" w:cstheme="majorBidi"/>
              </w:rPr>
              <w:t xml:space="preserve"> effectiveness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CB028" w14:textId="77777777" w:rsidR="00AB4E6A" w:rsidRPr="00AB4E6A" w:rsidRDefault="00AB4E6A" w:rsidP="00AB4E6A">
            <w:pPr>
              <w:rPr>
                <w:rFonts w:asciiTheme="majorBidi" w:hAnsiTheme="majorBidi" w:cstheme="majorBidi"/>
              </w:rPr>
            </w:pPr>
            <w:r w:rsidRPr="00AB4E6A">
              <w:rPr>
                <w:rFonts w:asciiTheme="majorBidi" w:hAnsiTheme="majorBidi" w:cstheme="majorBidi"/>
              </w:rPr>
              <w:t>158540</w:t>
            </w:r>
          </w:p>
        </w:tc>
      </w:tr>
      <w:tr w:rsidR="00AB4E6A" w:rsidRPr="00AB4E6A" w14:paraId="4EED7E3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4686B"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6AFE2"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630DE" w14:textId="77777777" w:rsidR="00AB4E6A" w:rsidRPr="00AB4E6A" w:rsidRDefault="00AB4E6A" w:rsidP="00AB4E6A">
            <w:pPr>
              <w:rPr>
                <w:rFonts w:asciiTheme="majorBidi" w:hAnsiTheme="majorBidi" w:cstheme="majorBidi"/>
              </w:rPr>
            </w:pPr>
            <w:r w:rsidRPr="00AB4E6A">
              <w:rPr>
                <w:rFonts w:asciiTheme="majorBidi" w:hAnsiTheme="majorBidi" w:cstheme="majorBidi"/>
              </w:rPr>
              <w:t>241957</w:t>
            </w:r>
          </w:p>
        </w:tc>
      </w:tr>
      <w:tr w:rsidR="00AB4E6A" w:rsidRPr="00AB4E6A" w14:paraId="4C635EC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05F26"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EF3BE" w14:textId="77777777" w:rsidR="00AB4E6A" w:rsidRPr="00AB4E6A" w:rsidRDefault="00AB4E6A" w:rsidP="00AB4E6A">
            <w:pPr>
              <w:rPr>
                <w:rFonts w:asciiTheme="majorBidi" w:hAnsiTheme="majorBidi" w:cstheme="majorBidi"/>
              </w:rPr>
            </w:pPr>
            <w:r w:rsidRPr="00AB4E6A">
              <w:rPr>
                <w:rFonts w:asciiTheme="majorBidi" w:hAnsiTheme="majorBidi" w:cstheme="majorBidi"/>
              </w:rPr>
              <w:t>health 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9B00A" w14:textId="77777777" w:rsidR="00AB4E6A" w:rsidRPr="00AB4E6A" w:rsidRDefault="00AB4E6A" w:rsidP="00AB4E6A">
            <w:pPr>
              <w:rPr>
                <w:rFonts w:asciiTheme="majorBidi" w:hAnsiTheme="majorBidi" w:cstheme="majorBidi"/>
              </w:rPr>
            </w:pPr>
            <w:r w:rsidRPr="00AB4E6A">
              <w:rPr>
                <w:rFonts w:asciiTheme="majorBidi" w:hAnsiTheme="majorBidi" w:cstheme="majorBidi"/>
              </w:rPr>
              <w:t>33700</w:t>
            </w:r>
          </w:p>
        </w:tc>
      </w:tr>
      <w:tr w:rsidR="00AB4E6A" w:rsidRPr="00AB4E6A" w14:paraId="114E367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6D3FA" w14:textId="77777777" w:rsidR="00AB4E6A" w:rsidRPr="00AB4E6A" w:rsidRDefault="00AB4E6A" w:rsidP="00AB4E6A">
            <w:pPr>
              <w:rPr>
                <w:rFonts w:asciiTheme="majorBidi" w:hAnsiTheme="majorBidi" w:cstheme="majorBidi"/>
              </w:rPr>
            </w:pPr>
            <w:r w:rsidRPr="00AB4E6A">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EEAB3" w14:textId="77777777" w:rsidR="00AB4E6A" w:rsidRPr="00AB4E6A" w:rsidRDefault="00AB4E6A" w:rsidP="00AB4E6A">
            <w:pPr>
              <w:rPr>
                <w:rFonts w:asciiTheme="majorBidi" w:hAnsiTheme="majorBidi" w:cstheme="majorBidi"/>
              </w:rPr>
            </w:pPr>
            <w:proofErr w:type="spellStart"/>
            <w:r w:rsidRPr="00AB4E6A">
              <w:rPr>
                <w:rFonts w:asciiTheme="majorBidi" w:hAnsiTheme="majorBidi" w:cstheme="majorBidi"/>
              </w:rPr>
              <w:t>pharmacoeconomics</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E9671" w14:textId="77777777" w:rsidR="00AB4E6A" w:rsidRPr="00AB4E6A" w:rsidRDefault="00AB4E6A" w:rsidP="00AB4E6A">
            <w:pPr>
              <w:rPr>
                <w:rFonts w:asciiTheme="majorBidi" w:hAnsiTheme="majorBidi" w:cstheme="majorBidi"/>
              </w:rPr>
            </w:pPr>
            <w:r w:rsidRPr="00AB4E6A">
              <w:rPr>
                <w:rFonts w:asciiTheme="majorBidi" w:hAnsiTheme="majorBidi" w:cstheme="majorBidi"/>
              </w:rPr>
              <w:t>7505</w:t>
            </w:r>
          </w:p>
        </w:tc>
      </w:tr>
      <w:tr w:rsidR="00AB4E6A" w:rsidRPr="00AB4E6A" w14:paraId="42A9B87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CE6D4" w14:textId="77777777" w:rsidR="00AB4E6A" w:rsidRPr="00AB4E6A" w:rsidRDefault="00AB4E6A" w:rsidP="00AB4E6A">
            <w:pPr>
              <w:rPr>
                <w:rFonts w:asciiTheme="majorBidi" w:hAnsiTheme="majorBidi" w:cstheme="majorBidi"/>
              </w:rPr>
            </w:pPr>
            <w:r w:rsidRPr="00AB4E6A">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FF3D6" w14:textId="77777777" w:rsidR="00AB4E6A" w:rsidRPr="00AB4E6A" w:rsidRDefault="00AB4E6A" w:rsidP="00AB4E6A">
            <w:pPr>
              <w:rPr>
                <w:rFonts w:asciiTheme="majorBidi" w:hAnsiTheme="majorBidi" w:cstheme="majorBidi"/>
              </w:rPr>
            </w:pPr>
            <w:r w:rsidRPr="00AB4E6A">
              <w:rPr>
                <w:rFonts w:asciiTheme="majorBidi" w:hAnsiTheme="majorBidi" w:cstheme="majorBidi"/>
              </w:rPr>
              <w:t>fee/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A21A7" w14:textId="77777777" w:rsidR="00AB4E6A" w:rsidRPr="00AB4E6A" w:rsidRDefault="00AB4E6A" w:rsidP="00AB4E6A">
            <w:pPr>
              <w:rPr>
                <w:rFonts w:asciiTheme="majorBidi" w:hAnsiTheme="majorBidi" w:cstheme="majorBidi"/>
              </w:rPr>
            </w:pPr>
            <w:r w:rsidRPr="00AB4E6A">
              <w:rPr>
                <w:rFonts w:asciiTheme="majorBidi" w:hAnsiTheme="majorBidi" w:cstheme="majorBidi"/>
              </w:rPr>
              <w:t>14329</w:t>
            </w:r>
          </w:p>
        </w:tc>
      </w:tr>
      <w:tr w:rsidR="00AB4E6A" w:rsidRPr="00AB4E6A" w14:paraId="3C01DB8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795CA" w14:textId="77777777" w:rsidR="00AB4E6A" w:rsidRPr="00AB4E6A" w:rsidRDefault="00AB4E6A" w:rsidP="00AB4E6A">
            <w:pPr>
              <w:rPr>
                <w:rFonts w:asciiTheme="majorBidi" w:hAnsiTheme="majorBidi" w:cstheme="majorBidi"/>
              </w:rPr>
            </w:pPr>
            <w:r w:rsidRPr="00AB4E6A">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A1BF6" w14:textId="77777777" w:rsidR="00AB4E6A" w:rsidRPr="00AB4E6A" w:rsidRDefault="00AB4E6A" w:rsidP="00AB4E6A">
            <w:pPr>
              <w:rPr>
                <w:rFonts w:asciiTheme="majorBidi" w:hAnsiTheme="majorBidi" w:cstheme="majorBidi"/>
              </w:rPr>
            </w:pPr>
            <w:r w:rsidRPr="00AB4E6A">
              <w:rPr>
                <w:rFonts w:asciiTheme="majorBidi" w:hAnsiTheme="majorBidi" w:cstheme="majorBidi"/>
              </w:rPr>
              <w:t>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F5AF9" w14:textId="77777777" w:rsidR="00AB4E6A" w:rsidRPr="00AB4E6A" w:rsidRDefault="00AB4E6A" w:rsidP="00AB4E6A">
            <w:pPr>
              <w:rPr>
                <w:rFonts w:asciiTheme="majorBidi" w:hAnsiTheme="majorBidi" w:cstheme="majorBidi"/>
              </w:rPr>
            </w:pPr>
            <w:r w:rsidRPr="00AB4E6A">
              <w:rPr>
                <w:rFonts w:asciiTheme="majorBidi" w:hAnsiTheme="majorBidi" w:cstheme="majorBidi"/>
              </w:rPr>
              <w:t>30564</w:t>
            </w:r>
          </w:p>
        </w:tc>
      </w:tr>
      <w:tr w:rsidR="00AB4E6A" w:rsidRPr="00AB4E6A" w14:paraId="6AB3530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06293" w14:textId="77777777" w:rsidR="00AB4E6A" w:rsidRPr="00AB4E6A" w:rsidRDefault="00AB4E6A" w:rsidP="00AB4E6A">
            <w:pPr>
              <w:rPr>
                <w:rFonts w:asciiTheme="majorBidi" w:hAnsiTheme="majorBidi" w:cstheme="majorBidi"/>
              </w:rPr>
            </w:pPr>
            <w:r w:rsidRPr="00AB4E6A">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27DA3" w14:textId="77777777" w:rsidR="00AB4E6A" w:rsidRPr="00AB4E6A" w:rsidRDefault="00AB4E6A" w:rsidP="00AB4E6A">
            <w:pPr>
              <w:rPr>
                <w:rFonts w:asciiTheme="majorBidi" w:hAnsiTheme="majorBidi" w:cstheme="majorBidi"/>
              </w:rPr>
            </w:pPr>
            <w:r w:rsidRPr="00AB4E6A">
              <w:rPr>
                <w:rFonts w:asciiTheme="majorBidi" w:hAnsiTheme="majorBidi" w:cstheme="majorBidi"/>
              </w:rPr>
              <w:t>budget$.tw.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AC70E" w14:textId="77777777" w:rsidR="00AB4E6A" w:rsidRPr="00AB4E6A" w:rsidRDefault="00AB4E6A" w:rsidP="00AB4E6A">
            <w:pPr>
              <w:rPr>
                <w:rFonts w:asciiTheme="majorBidi" w:hAnsiTheme="majorBidi" w:cstheme="majorBidi"/>
              </w:rPr>
            </w:pPr>
            <w:r w:rsidRPr="00AB4E6A">
              <w:rPr>
                <w:rFonts w:asciiTheme="majorBidi" w:hAnsiTheme="majorBidi" w:cstheme="majorBidi"/>
              </w:rPr>
              <w:t>40639</w:t>
            </w:r>
          </w:p>
        </w:tc>
      </w:tr>
      <w:tr w:rsidR="00AB4E6A" w:rsidRPr="00AB4E6A" w14:paraId="172DC67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61A5F"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EA9FE"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C5C4D" w14:textId="77777777" w:rsidR="00AB4E6A" w:rsidRPr="00AB4E6A" w:rsidRDefault="00AB4E6A" w:rsidP="00AB4E6A">
            <w:pPr>
              <w:rPr>
                <w:rFonts w:asciiTheme="majorBidi" w:hAnsiTheme="majorBidi" w:cstheme="majorBidi"/>
              </w:rPr>
            </w:pPr>
            <w:r w:rsidRPr="00AB4E6A">
              <w:rPr>
                <w:rFonts w:asciiTheme="majorBidi" w:hAnsiTheme="majorBidi" w:cstheme="majorBidi"/>
              </w:rPr>
              <w:t>168111</w:t>
            </w:r>
          </w:p>
        </w:tc>
      </w:tr>
      <w:tr w:rsidR="00AB4E6A" w:rsidRPr="00AB4E6A" w14:paraId="20CE7E6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2E066" w14:textId="77777777" w:rsidR="00AB4E6A" w:rsidRPr="00AB4E6A" w:rsidRDefault="00AB4E6A" w:rsidP="00AB4E6A">
            <w:pPr>
              <w:rPr>
                <w:rFonts w:asciiTheme="majorBidi" w:hAnsiTheme="majorBidi" w:cstheme="majorBidi"/>
              </w:rPr>
            </w:pPr>
            <w:r w:rsidRPr="00AB4E6A">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92DB"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(cost$ adj2 (effective$ or </w:t>
            </w:r>
            <w:proofErr w:type="spellStart"/>
            <w:r w:rsidRPr="00AB4E6A">
              <w:rPr>
                <w:rFonts w:asciiTheme="majorBidi" w:hAnsiTheme="majorBidi" w:cstheme="majorBidi"/>
              </w:rPr>
              <w:t>utilit</w:t>
            </w:r>
            <w:proofErr w:type="spellEnd"/>
            <w:r w:rsidRPr="00AB4E6A">
              <w:rPr>
                <w:rFonts w:asciiTheme="majorBidi" w:hAnsiTheme="majorBidi" w:cstheme="majorBidi"/>
              </w:rPr>
              <w:t xml:space="preserve">$ or benefit$ or </w:t>
            </w:r>
            <w:proofErr w:type="spellStart"/>
            <w:r w:rsidRPr="00AB4E6A">
              <w:rPr>
                <w:rFonts w:asciiTheme="majorBidi" w:hAnsiTheme="majorBidi" w:cstheme="majorBidi"/>
              </w:rPr>
              <w:t>minimi</w:t>
            </w:r>
            <w:proofErr w:type="spellEnd"/>
            <w:r w:rsidRPr="00AB4E6A">
              <w:rPr>
                <w:rFonts w:asciiTheme="majorBidi" w:hAnsiTheme="majorBidi" w:cstheme="majorBidi"/>
              </w:rPr>
              <w:t>$)</w:t>
            </w:r>
            <w:proofErr w:type="gramStart"/>
            <w:r w:rsidRPr="00AB4E6A">
              <w:rPr>
                <w:rFonts w:asciiTheme="majorBidi" w:hAnsiTheme="majorBidi" w:cstheme="majorBidi"/>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9A152" w14:textId="77777777" w:rsidR="00AB4E6A" w:rsidRPr="00AB4E6A" w:rsidRDefault="00AB4E6A" w:rsidP="00AB4E6A">
            <w:pPr>
              <w:rPr>
                <w:rFonts w:asciiTheme="majorBidi" w:hAnsiTheme="majorBidi" w:cstheme="majorBidi"/>
              </w:rPr>
            </w:pPr>
            <w:r w:rsidRPr="00AB4E6A">
              <w:rPr>
                <w:rFonts w:asciiTheme="majorBidi" w:hAnsiTheme="majorBidi" w:cstheme="majorBidi"/>
              </w:rPr>
              <w:t>218259</w:t>
            </w:r>
          </w:p>
        </w:tc>
      </w:tr>
      <w:tr w:rsidR="00AB4E6A" w:rsidRPr="00AB4E6A" w14:paraId="525E3FC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36D44"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38BC1"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or pharmacoeconomic$ or pharmaco-economic$).</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5363A" w14:textId="77777777" w:rsidR="00AB4E6A" w:rsidRPr="00AB4E6A" w:rsidRDefault="00AB4E6A" w:rsidP="00AB4E6A">
            <w:pPr>
              <w:rPr>
                <w:rFonts w:asciiTheme="majorBidi" w:hAnsiTheme="majorBidi" w:cstheme="majorBidi"/>
              </w:rPr>
            </w:pPr>
            <w:r w:rsidRPr="00AB4E6A">
              <w:rPr>
                <w:rFonts w:asciiTheme="majorBidi" w:hAnsiTheme="majorBidi" w:cstheme="majorBidi"/>
              </w:rPr>
              <w:t>64563</w:t>
            </w:r>
          </w:p>
        </w:tc>
      </w:tr>
      <w:tr w:rsidR="00AB4E6A" w:rsidRPr="00AB4E6A" w14:paraId="10EA0B8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0FCE0" w14:textId="77777777" w:rsidR="00AB4E6A" w:rsidRPr="00AB4E6A" w:rsidRDefault="00AB4E6A" w:rsidP="00AB4E6A">
            <w:pPr>
              <w:rPr>
                <w:rFonts w:asciiTheme="majorBidi" w:hAnsiTheme="majorBidi" w:cstheme="majorBidi"/>
              </w:rPr>
            </w:pPr>
            <w:r w:rsidRPr="00AB4E6A">
              <w:rPr>
                <w:rFonts w:asciiTheme="majorBidi" w:hAnsiTheme="majorBidi" w:cstheme="majorBidi"/>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1D977" w14:textId="77777777" w:rsidR="00AB4E6A" w:rsidRPr="00AB4E6A" w:rsidRDefault="00AB4E6A" w:rsidP="00AB4E6A">
            <w:pPr>
              <w:rPr>
                <w:rFonts w:asciiTheme="majorBidi" w:hAnsiTheme="majorBidi" w:cstheme="majorBidi"/>
              </w:rPr>
            </w:pPr>
            <w:r w:rsidRPr="00AB4E6A">
              <w:rPr>
                <w:rFonts w:asciiTheme="majorBidi" w:hAnsiTheme="majorBidi" w:cstheme="majorBidi"/>
              </w:rPr>
              <w:t>(price$ or pricing$).</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09DFF" w14:textId="77777777" w:rsidR="00AB4E6A" w:rsidRPr="00AB4E6A" w:rsidRDefault="00AB4E6A" w:rsidP="00AB4E6A">
            <w:pPr>
              <w:rPr>
                <w:rFonts w:asciiTheme="majorBidi" w:hAnsiTheme="majorBidi" w:cstheme="majorBidi"/>
              </w:rPr>
            </w:pPr>
            <w:r w:rsidRPr="00AB4E6A">
              <w:rPr>
                <w:rFonts w:asciiTheme="majorBidi" w:hAnsiTheme="majorBidi" w:cstheme="majorBidi"/>
              </w:rPr>
              <w:t>60859</w:t>
            </w:r>
          </w:p>
        </w:tc>
      </w:tr>
      <w:tr w:rsidR="00AB4E6A" w:rsidRPr="00AB4E6A" w14:paraId="2B19968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9870B" w14:textId="77777777" w:rsidR="00AB4E6A" w:rsidRPr="00AB4E6A" w:rsidRDefault="00AB4E6A" w:rsidP="00AB4E6A">
            <w:pPr>
              <w:rPr>
                <w:rFonts w:asciiTheme="majorBidi" w:hAnsiTheme="majorBidi" w:cstheme="majorBidi"/>
              </w:rPr>
            </w:pPr>
            <w:r w:rsidRPr="00AB4E6A">
              <w:rPr>
                <w:rFonts w:asciiTheme="majorBidi" w:hAnsiTheme="majorBidi" w:cstheme="majorBidi"/>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EB000"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financial</w:t>
            </w:r>
            <w:proofErr w:type="gramEnd"/>
            <w:r w:rsidRPr="00AB4E6A">
              <w:rPr>
                <w:rFonts w:asciiTheme="majorBidi" w:hAnsiTheme="majorBidi" w:cstheme="majorBidi"/>
              </w:rPr>
              <w:t xml:space="preserve"> or finance or finances or financed).</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2C557" w14:textId="77777777" w:rsidR="00AB4E6A" w:rsidRPr="00AB4E6A" w:rsidRDefault="00AB4E6A" w:rsidP="00AB4E6A">
            <w:pPr>
              <w:rPr>
                <w:rFonts w:asciiTheme="majorBidi" w:hAnsiTheme="majorBidi" w:cstheme="majorBidi"/>
              </w:rPr>
            </w:pPr>
            <w:r w:rsidRPr="00AB4E6A">
              <w:rPr>
                <w:rFonts w:asciiTheme="majorBidi" w:hAnsiTheme="majorBidi" w:cstheme="majorBidi"/>
              </w:rPr>
              <w:t>135326</w:t>
            </w:r>
          </w:p>
        </w:tc>
      </w:tr>
      <w:tr w:rsidR="00AB4E6A" w:rsidRPr="00AB4E6A" w14:paraId="4D1506A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0F03F" w14:textId="77777777" w:rsidR="00AB4E6A" w:rsidRPr="00AB4E6A" w:rsidRDefault="00AB4E6A" w:rsidP="00AB4E6A">
            <w:pPr>
              <w:rPr>
                <w:rFonts w:asciiTheme="majorBidi" w:hAnsiTheme="majorBidi" w:cstheme="majorBidi"/>
              </w:rPr>
            </w:pPr>
            <w:r w:rsidRPr="00AB4E6A">
              <w:rPr>
                <w:rFonts w:asciiTheme="majorBidi" w:hAnsiTheme="majorBidi" w:cstheme="majorBidi"/>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D58A3"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fee</w:t>
            </w:r>
            <w:proofErr w:type="gramEnd"/>
            <w:r w:rsidRPr="00AB4E6A">
              <w:rPr>
                <w:rFonts w:asciiTheme="majorBidi" w:hAnsiTheme="majorBidi" w:cstheme="majorBidi"/>
              </w:rPr>
              <w:t xml:space="preserve"> or fees).</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1E16" w14:textId="77777777" w:rsidR="00AB4E6A" w:rsidRPr="00AB4E6A" w:rsidRDefault="00AB4E6A" w:rsidP="00AB4E6A">
            <w:pPr>
              <w:rPr>
                <w:rFonts w:asciiTheme="majorBidi" w:hAnsiTheme="majorBidi" w:cstheme="majorBidi"/>
              </w:rPr>
            </w:pPr>
            <w:r w:rsidRPr="00AB4E6A">
              <w:rPr>
                <w:rFonts w:asciiTheme="majorBidi" w:hAnsiTheme="majorBidi" w:cstheme="majorBidi"/>
              </w:rPr>
              <w:t>25728</w:t>
            </w:r>
          </w:p>
        </w:tc>
      </w:tr>
      <w:tr w:rsidR="00AB4E6A" w:rsidRPr="00AB4E6A" w14:paraId="1A0B9E2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D64FA" w14:textId="77777777" w:rsidR="00AB4E6A" w:rsidRPr="00AB4E6A" w:rsidRDefault="00AB4E6A" w:rsidP="00AB4E6A">
            <w:pPr>
              <w:rPr>
                <w:rFonts w:asciiTheme="majorBidi" w:hAnsiTheme="majorBidi" w:cstheme="majorBidi"/>
              </w:rPr>
            </w:pPr>
            <w:r w:rsidRPr="00AB4E6A">
              <w:rPr>
                <w:rFonts w:asciiTheme="majorBidi" w:hAnsiTheme="majorBidi" w:cstheme="majorBidi"/>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78DA8"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value</w:t>
            </w:r>
            <w:proofErr w:type="gramEnd"/>
            <w:r w:rsidRPr="00AB4E6A">
              <w:rPr>
                <w:rFonts w:asciiTheme="majorBidi" w:hAnsiTheme="majorBidi" w:cstheme="majorBidi"/>
              </w:rPr>
              <w:t xml:space="preserve"> adj2 (money or monetary)).</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240C6" w14:textId="77777777" w:rsidR="00AB4E6A" w:rsidRPr="00AB4E6A" w:rsidRDefault="00AB4E6A" w:rsidP="00AB4E6A">
            <w:pPr>
              <w:rPr>
                <w:rFonts w:asciiTheme="majorBidi" w:hAnsiTheme="majorBidi" w:cstheme="majorBidi"/>
              </w:rPr>
            </w:pPr>
            <w:r w:rsidRPr="00AB4E6A">
              <w:rPr>
                <w:rFonts w:asciiTheme="majorBidi" w:hAnsiTheme="majorBidi" w:cstheme="majorBidi"/>
              </w:rPr>
              <w:t>3455</w:t>
            </w:r>
          </w:p>
        </w:tc>
      </w:tr>
      <w:tr w:rsidR="00AB4E6A" w:rsidRPr="00AB4E6A" w14:paraId="0145FD5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E4CA7" w14:textId="77777777" w:rsidR="00AB4E6A" w:rsidRPr="00AB4E6A" w:rsidRDefault="00AB4E6A" w:rsidP="00AB4E6A">
            <w:pPr>
              <w:rPr>
                <w:rFonts w:asciiTheme="majorBidi" w:hAnsiTheme="majorBidi" w:cstheme="majorBidi"/>
              </w:rPr>
            </w:pPr>
            <w:r w:rsidRPr="00AB4E6A">
              <w:rPr>
                <w:rFonts w:asciiTheme="majorBidi" w:hAnsiTheme="majorBidi" w:cstheme="majorBid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F7565" w14:textId="77777777" w:rsidR="00AB4E6A" w:rsidRPr="00AB4E6A" w:rsidRDefault="00AB4E6A" w:rsidP="00AB4E6A">
            <w:pPr>
              <w:rPr>
                <w:rFonts w:asciiTheme="majorBidi" w:hAnsiTheme="majorBidi" w:cstheme="majorBidi"/>
              </w:rPr>
            </w:pPr>
            <w:r w:rsidRPr="00AB4E6A">
              <w:rPr>
                <w:rFonts w:asciiTheme="majorBidi" w:hAnsiTheme="majorBidi" w:cstheme="majorBidi"/>
              </w:rPr>
              <w:t>health care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7452E" w14:textId="77777777" w:rsidR="00AB4E6A" w:rsidRPr="00AB4E6A" w:rsidRDefault="00AB4E6A" w:rsidP="00AB4E6A">
            <w:pPr>
              <w:rPr>
                <w:rFonts w:asciiTheme="majorBidi" w:hAnsiTheme="majorBidi" w:cstheme="majorBidi"/>
              </w:rPr>
            </w:pPr>
            <w:r w:rsidRPr="00AB4E6A">
              <w:rPr>
                <w:rFonts w:asciiTheme="majorBidi" w:hAnsiTheme="majorBidi" w:cstheme="majorBidi"/>
              </w:rPr>
              <w:t>247699</w:t>
            </w:r>
          </w:p>
        </w:tc>
      </w:tr>
      <w:tr w:rsidR="00AB4E6A" w:rsidRPr="00AB4E6A" w14:paraId="00796D9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4826A" w14:textId="77777777" w:rsidR="00AB4E6A" w:rsidRPr="00AB4E6A" w:rsidRDefault="00AB4E6A" w:rsidP="00AB4E6A">
            <w:pPr>
              <w:rPr>
                <w:rFonts w:asciiTheme="majorBidi" w:hAnsiTheme="majorBidi" w:cstheme="majorBidi"/>
              </w:rPr>
            </w:pPr>
            <w:r w:rsidRPr="00AB4E6A">
              <w:rPr>
                <w:rFonts w:asciiTheme="majorBidi" w:hAnsiTheme="majorBidi" w:cstheme="majorBidi"/>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C02DD" w14:textId="77777777" w:rsidR="00AB4E6A" w:rsidRPr="00AB4E6A" w:rsidRDefault="00AB4E6A" w:rsidP="00AB4E6A">
            <w:pPr>
              <w:rPr>
                <w:rFonts w:asciiTheme="majorBidi" w:hAnsiTheme="majorBidi" w:cstheme="majorBidi"/>
              </w:rPr>
            </w:pPr>
            <w:r w:rsidRPr="00AB4E6A">
              <w:rPr>
                <w:rFonts w:asciiTheme="majorBidi" w:hAnsiTheme="majorBidi" w:cstheme="majorBidi"/>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69BF2" w14:textId="77777777" w:rsidR="00AB4E6A" w:rsidRPr="00AB4E6A" w:rsidRDefault="00AB4E6A" w:rsidP="00AB4E6A">
            <w:pPr>
              <w:rPr>
                <w:rFonts w:asciiTheme="majorBidi" w:hAnsiTheme="majorBidi" w:cstheme="majorBidi"/>
              </w:rPr>
            </w:pPr>
            <w:r w:rsidRPr="00AB4E6A">
              <w:rPr>
                <w:rFonts w:asciiTheme="majorBidi" w:hAnsiTheme="majorBidi" w:cstheme="majorBidi"/>
              </w:rPr>
              <w:t>28517</w:t>
            </w:r>
          </w:p>
        </w:tc>
      </w:tr>
      <w:tr w:rsidR="00AB4E6A" w:rsidRPr="00AB4E6A" w14:paraId="3978CC8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D985D" w14:textId="77777777" w:rsidR="00AB4E6A" w:rsidRPr="00AB4E6A" w:rsidRDefault="00AB4E6A" w:rsidP="00AB4E6A">
            <w:pPr>
              <w:rPr>
                <w:rFonts w:asciiTheme="majorBidi" w:hAnsiTheme="majorBidi" w:cstheme="majorBidi"/>
              </w:rPr>
            </w:pPr>
            <w:r w:rsidRPr="00AB4E6A">
              <w:rPr>
                <w:rFonts w:asciiTheme="majorBidi" w:hAnsiTheme="majorBidi" w:cstheme="majorBid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AFA36"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proofErr w:type="gramStart"/>
            <w:r w:rsidRPr="00AB4E6A">
              <w:rPr>
                <w:rFonts w:asciiTheme="majorBidi" w:hAnsiTheme="majorBidi" w:cstheme="majorBidi"/>
              </w:rPr>
              <w:t>qaly</w:t>
            </w:r>
            <w:proofErr w:type="spellEnd"/>
            <w:proofErr w:type="gramEnd"/>
            <w:r w:rsidRPr="00AB4E6A">
              <w:rPr>
                <w:rFonts w:asciiTheme="majorBidi" w:hAnsiTheme="majorBidi" w:cstheme="majorBidi"/>
              </w:rPr>
              <w:t xml:space="preserve"> or </w:t>
            </w:r>
            <w:proofErr w:type="spellStart"/>
            <w:r w:rsidRPr="00AB4E6A">
              <w:rPr>
                <w:rFonts w:asciiTheme="majorBidi" w:hAnsiTheme="majorBidi" w:cstheme="majorBidi"/>
              </w:rPr>
              <w:t>qalys</w:t>
            </w:r>
            <w:proofErr w:type="spellEnd"/>
            <w:r w:rsidRPr="00AB4E6A">
              <w:rPr>
                <w:rFonts w:asciiTheme="majorBidi" w:hAnsiTheme="majorBidi" w:cstheme="majorBidi"/>
              </w:rPr>
              <w:t>).</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DA111" w14:textId="77777777" w:rsidR="00AB4E6A" w:rsidRPr="00AB4E6A" w:rsidRDefault="00AB4E6A" w:rsidP="00AB4E6A">
            <w:pPr>
              <w:rPr>
                <w:rFonts w:asciiTheme="majorBidi" w:hAnsiTheme="majorBidi" w:cstheme="majorBidi"/>
              </w:rPr>
            </w:pPr>
            <w:r w:rsidRPr="00AB4E6A">
              <w:rPr>
                <w:rFonts w:asciiTheme="majorBidi" w:hAnsiTheme="majorBidi" w:cstheme="majorBidi"/>
              </w:rPr>
              <w:t>21188</w:t>
            </w:r>
          </w:p>
        </w:tc>
      </w:tr>
      <w:tr w:rsidR="00AB4E6A" w:rsidRPr="00AB4E6A" w14:paraId="307EC08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B946C" w14:textId="77777777" w:rsidR="00AB4E6A" w:rsidRPr="00AB4E6A" w:rsidRDefault="00AB4E6A" w:rsidP="00AB4E6A">
            <w:pPr>
              <w:rPr>
                <w:rFonts w:asciiTheme="majorBidi" w:hAnsiTheme="majorBidi" w:cstheme="majorBidi"/>
              </w:rPr>
            </w:pPr>
            <w:r w:rsidRPr="00AB4E6A">
              <w:rPr>
                <w:rFonts w:asciiTheme="majorBidi" w:hAnsiTheme="majorBidi" w:cstheme="majorBid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9E3ED"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quality</w:t>
            </w:r>
            <w:proofErr w:type="gramEnd"/>
            <w:r w:rsidRPr="00AB4E6A">
              <w:rPr>
                <w:rFonts w:asciiTheme="majorBidi" w:hAnsiTheme="majorBidi" w:cstheme="majorBidi"/>
              </w:rPr>
              <w:t xml:space="preserve"> adjusted life year or quality adjusted life years).</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9DC20" w14:textId="77777777" w:rsidR="00AB4E6A" w:rsidRPr="00AB4E6A" w:rsidRDefault="00AB4E6A" w:rsidP="00AB4E6A">
            <w:pPr>
              <w:rPr>
                <w:rFonts w:asciiTheme="majorBidi" w:hAnsiTheme="majorBidi" w:cstheme="majorBidi"/>
              </w:rPr>
            </w:pPr>
            <w:r w:rsidRPr="00AB4E6A">
              <w:rPr>
                <w:rFonts w:asciiTheme="majorBidi" w:hAnsiTheme="majorBidi" w:cstheme="majorBidi"/>
              </w:rPr>
              <w:t>20472</w:t>
            </w:r>
          </w:p>
        </w:tc>
      </w:tr>
      <w:tr w:rsidR="00AB4E6A" w:rsidRPr="00AB4E6A" w14:paraId="7C6C95C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C82C4" w14:textId="77777777" w:rsidR="00AB4E6A" w:rsidRPr="00AB4E6A" w:rsidRDefault="00AB4E6A" w:rsidP="00AB4E6A">
            <w:pPr>
              <w:rPr>
                <w:rFonts w:asciiTheme="majorBidi" w:hAnsiTheme="majorBidi" w:cstheme="majorBidi"/>
              </w:rPr>
            </w:pPr>
            <w:r w:rsidRPr="00AB4E6A">
              <w:rPr>
                <w:rFonts w:asciiTheme="majorBidi" w:hAnsiTheme="majorBidi" w:cstheme="majorBidi"/>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14184" w14:textId="77777777" w:rsidR="00AB4E6A" w:rsidRPr="00AB4E6A" w:rsidRDefault="00AB4E6A" w:rsidP="00AB4E6A">
            <w:pPr>
              <w:rPr>
                <w:rFonts w:asciiTheme="majorBidi" w:hAnsiTheme="majorBidi" w:cstheme="majorBidi"/>
              </w:rPr>
            </w:pPr>
            <w:r w:rsidRPr="00AB4E6A">
              <w:rPr>
                <w:rFonts w:asciiTheme="majorBidi" w:hAnsiTheme="majorBidi" w:cstheme="majorBidi"/>
              </w:rPr>
              <w:t>or/6-24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B3427" w14:textId="77777777" w:rsidR="00AB4E6A" w:rsidRPr="00AB4E6A" w:rsidRDefault="00AB4E6A" w:rsidP="00AB4E6A">
            <w:pPr>
              <w:rPr>
                <w:rFonts w:asciiTheme="majorBidi" w:hAnsiTheme="majorBidi" w:cstheme="majorBidi"/>
              </w:rPr>
            </w:pPr>
            <w:r w:rsidRPr="00AB4E6A">
              <w:rPr>
                <w:rFonts w:asciiTheme="majorBidi" w:hAnsiTheme="majorBidi" w:cstheme="majorBidi"/>
              </w:rPr>
              <w:t>1102354</w:t>
            </w:r>
          </w:p>
        </w:tc>
      </w:tr>
      <w:tr w:rsidR="00AB4E6A" w:rsidRPr="00AB4E6A" w14:paraId="30FC57F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AFCC9" w14:textId="77777777" w:rsidR="00AB4E6A" w:rsidRPr="00AB4E6A" w:rsidRDefault="00AB4E6A" w:rsidP="00AB4E6A">
            <w:pPr>
              <w:rPr>
                <w:rFonts w:asciiTheme="majorBidi" w:hAnsiTheme="majorBidi" w:cstheme="majorBidi"/>
              </w:rPr>
            </w:pPr>
            <w:r w:rsidRPr="00AB4E6A">
              <w:rPr>
                <w:rFonts w:asciiTheme="majorBidi" w:hAnsiTheme="majorBidi" w:cstheme="majorBidi"/>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090D8" w14:textId="77777777" w:rsidR="00AB4E6A" w:rsidRPr="00AB4E6A" w:rsidRDefault="00AB4E6A" w:rsidP="00AB4E6A">
            <w:pPr>
              <w:rPr>
                <w:rFonts w:asciiTheme="majorBidi" w:hAnsiTheme="majorBidi" w:cstheme="majorBidi"/>
              </w:rPr>
            </w:pPr>
            <w:r w:rsidRPr="00AB4E6A">
              <w:rPr>
                <w:rFonts w:asciiTheme="majorBidi" w:hAnsiTheme="majorBidi" w:cstheme="majorBidi"/>
              </w:rPr>
              <w:t>letter.pt.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1A8FA" w14:textId="77777777" w:rsidR="00AB4E6A" w:rsidRPr="00AB4E6A" w:rsidRDefault="00AB4E6A" w:rsidP="00AB4E6A">
            <w:pPr>
              <w:rPr>
                <w:rFonts w:asciiTheme="majorBidi" w:hAnsiTheme="majorBidi" w:cstheme="majorBidi"/>
              </w:rPr>
            </w:pPr>
            <w:r w:rsidRPr="00AB4E6A">
              <w:rPr>
                <w:rFonts w:asciiTheme="majorBidi" w:hAnsiTheme="majorBidi" w:cstheme="majorBidi"/>
              </w:rPr>
              <w:t>1185036</w:t>
            </w:r>
          </w:p>
        </w:tc>
      </w:tr>
      <w:tr w:rsidR="00AB4E6A" w:rsidRPr="00AB4E6A" w14:paraId="2BFD1D5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83E3B" w14:textId="77777777" w:rsidR="00AB4E6A" w:rsidRPr="00AB4E6A" w:rsidRDefault="00AB4E6A" w:rsidP="00AB4E6A">
            <w:pPr>
              <w:rPr>
                <w:rFonts w:asciiTheme="majorBidi" w:hAnsiTheme="majorBidi" w:cstheme="majorBidi"/>
              </w:rPr>
            </w:pPr>
            <w:r w:rsidRPr="00AB4E6A">
              <w:rPr>
                <w:rFonts w:asciiTheme="majorBidi" w:hAnsiTheme="majorBidi" w:cstheme="majorBidi"/>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8358D" w14:textId="77777777" w:rsidR="00AB4E6A" w:rsidRPr="00AB4E6A" w:rsidRDefault="00AB4E6A" w:rsidP="00AB4E6A">
            <w:pPr>
              <w:rPr>
                <w:rFonts w:asciiTheme="majorBidi" w:hAnsiTheme="majorBidi" w:cstheme="majorBidi"/>
              </w:rPr>
            </w:pPr>
            <w:r w:rsidRPr="00AB4E6A">
              <w:rPr>
                <w:rFonts w:asciiTheme="majorBidi" w:hAnsiTheme="majorBidi" w:cstheme="majorBidi"/>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B2D13" w14:textId="77777777" w:rsidR="00AB4E6A" w:rsidRPr="00AB4E6A" w:rsidRDefault="00AB4E6A" w:rsidP="00AB4E6A">
            <w:pPr>
              <w:rPr>
                <w:rFonts w:asciiTheme="majorBidi" w:hAnsiTheme="majorBidi" w:cstheme="majorBidi"/>
              </w:rPr>
            </w:pPr>
            <w:r w:rsidRPr="00AB4E6A">
              <w:rPr>
                <w:rFonts w:asciiTheme="majorBidi" w:hAnsiTheme="majorBidi" w:cstheme="majorBidi"/>
              </w:rPr>
              <w:t>691062</w:t>
            </w:r>
          </w:p>
        </w:tc>
      </w:tr>
      <w:tr w:rsidR="00AB4E6A" w:rsidRPr="00AB4E6A" w14:paraId="160A0A8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BCB4E" w14:textId="77777777" w:rsidR="00AB4E6A" w:rsidRPr="00AB4E6A" w:rsidRDefault="00AB4E6A" w:rsidP="00AB4E6A">
            <w:pPr>
              <w:rPr>
                <w:rFonts w:asciiTheme="majorBidi" w:hAnsiTheme="majorBidi" w:cstheme="majorBidi"/>
              </w:rPr>
            </w:pPr>
            <w:r w:rsidRPr="00AB4E6A">
              <w:rPr>
                <w:rFonts w:asciiTheme="majorBidi" w:hAnsiTheme="majorBidi" w:cstheme="majorBidi"/>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33F5C" w14:textId="77777777" w:rsidR="00AB4E6A" w:rsidRPr="00AB4E6A" w:rsidRDefault="00AB4E6A" w:rsidP="00AB4E6A">
            <w:pPr>
              <w:rPr>
                <w:rFonts w:asciiTheme="majorBidi" w:hAnsiTheme="majorBidi" w:cstheme="majorBidi"/>
              </w:rPr>
            </w:pPr>
            <w:r w:rsidRPr="00AB4E6A">
              <w:rPr>
                <w:rFonts w:asciiTheme="majorBidi" w:hAnsiTheme="majorBidi" w:cstheme="majorBidi"/>
              </w:rPr>
              <w:t>historical article.pt.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285F5"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150509D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2C712" w14:textId="77777777" w:rsidR="00AB4E6A" w:rsidRPr="00AB4E6A" w:rsidRDefault="00AB4E6A" w:rsidP="00AB4E6A">
            <w:pPr>
              <w:rPr>
                <w:rFonts w:asciiTheme="majorBidi" w:hAnsiTheme="majorBidi" w:cstheme="majorBidi"/>
              </w:rPr>
            </w:pPr>
            <w:r w:rsidRPr="00AB4E6A">
              <w:rPr>
                <w:rFonts w:asciiTheme="majorBidi" w:hAnsiTheme="majorBidi" w:cstheme="majorBidi"/>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BB1D8" w14:textId="77777777" w:rsidR="00AB4E6A" w:rsidRPr="00AB4E6A" w:rsidRDefault="00AB4E6A" w:rsidP="00AB4E6A">
            <w:pPr>
              <w:rPr>
                <w:rFonts w:asciiTheme="majorBidi" w:hAnsiTheme="majorBidi" w:cstheme="majorBidi"/>
              </w:rPr>
            </w:pPr>
            <w:r w:rsidRPr="00AB4E6A">
              <w:rPr>
                <w:rFonts w:asciiTheme="majorBidi" w:hAnsiTheme="majorBidi" w:cstheme="majorBidi"/>
              </w:rPr>
              <w:t>or/26-28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256B4" w14:textId="77777777" w:rsidR="00AB4E6A" w:rsidRPr="00AB4E6A" w:rsidRDefault="00AB4E6A" w:rsidP="00AB4E6A">
            <w:pPr>
              <w:rPr>
                <w:rFonts w:asciiTheme="majorBidi" w:hAnsiTheme="majorBidi" w:cstheme="majorBidi"/>
              </w:rPr>
            </w:pPr>
            <w:r w:rsidRPr="00AB4E6A">
              <w:rPr>
                <w:rFonts w:asciiTheme="majorBidi" w:hAnsiTheme="majorBidi" w:cstheme="majorBidi"/>
              </w:rPr>
              <w:t>1876098</w:t>
            </w:r>
          </w:p>
        </w:tc>
      </w:tr>
      <w:tr w:rsidR="00AB4E6A" w:rsidRPr="00AB4E6A" w14:paraId="1018932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642E8" w14:textId="77777777" w:rsidR="00AB4E6A" w:rsidRPr="00AB4E6A" w:rsidRDefault="00AB4E6A" w:rsidP="00AB4E6A">
            <w:pPr>
              <w:rPr>
                <w:rFonts w:asciiTheme="majorBidi" w:hAnsiTheme="majorBidi" w:cstheme="majorBidi"/>
              </w:rPr>
            </w:pPr>
            <w:r w:rsidRPr="00AB4E6A">
              <w:rPr>
                <w:rFonts w:asciiTheme="majorBidi" w:hAnsiTheme="majorBidi" w:cstheme="majorBidi"/>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1B005" w14:textId="77777777" w:rsidR="00AB4E6A" w:rsidRPr="00AB4E6A" w:rsidRDefault="00AB4E6A" w:rsidP="00AB4E6A">
            <w:pPr>
              <w:rPr>
                <w:rFonts w:asciiTheme="majorBidi" w:hAnsiTheme="majorBidi" w:cstheme="majorBidi"/>
              </w:rPr>
            </w:pPr>
            <w:r w:rsidRPr="00AB4E6A">
              <w:rPr>
                <w:rFonts w:asciiTheme="majorBidi" w:hAnsiTheme="majorBidi" w:cstheme="majorBidi"/>
              </w:rPr>
              <w:t>25 not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AA5D4" w14:textId="77777777" w:rsidR="00AB4E6A" w:rsidRPr="00AB4E6A" w:rsidRDefault="00AB4E6A" w:rsidP="00AB4E6A">
            <w:pPr>
              <w:rPr>
                <w:rFonts w:asciiTheme="majorBidi" w:hAnsiTheme="majorBidi" w:cstheme="majorBidi"/>
              </w:rPr>
            </w:pPr>
            <w:r w:rsidRPr="00AB4E6A">
              <w:rPr>
                <w:rFonts w:asciiTheme="majorBidi" w:hAnsiTheme="majorBidi" w:cstheme="majorBidi"/>
              </w:rPr>
              <w:t>1021484</w:t>
            </w:r>
          </w:p>
        </w:tc>
      </w:tr>
      <w:tr w:rsidR="00AB4E6A" w:rsidRPr="00AB4E6A" w14:paraId="3AC7E1B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2108B" w14:textId="77777777" w:rsidR="00AB4E6A" w:rsidRPr="00AB4E6A" w:rsidRDefault="00AB4E6A" w:rsidP="00AB4E6A">
            <w:pPr>
              <w:rPr>
                <w:rFonts w:asciiTheme="majorBidi" w:hAnsiTheme="majorBidi" w:cstheme="majorBidi"/>
              </w:rPr>
            </w:pPr>
            <w:r w:rsidRPr="00AB4E6A">
              <w:rPr>
                <w:rFonts w:asciiTheme="majorBidi" w:hAnsiTheme="majorBidi" w:cstheme="majorBidi"/>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16204" w14:textId="77777777" w:rsidR="00AB4E6A" w:rsidRPr="00AB4E6A" w:rsidRDefault="00AB4E6A" w:rsidP="00AB4E6A">
            <w:pPr>
              <w:rPr>
                <w:rFonts w:asciiTheme="majorBidi" w:hAnsiTheme="majorBidi" w:cstheme="majorBidi"/>
              </w:rPr>
            </w:pPr>
            <w:r w:rsidRPr="00AB4E6A">
              <w:rPr>
                <w:rFonts w:asciiTheme="majorBidi" w:hAnsiTheme="majorBidi" w:cstheme="majorBidi"/>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9EBCD" w14:textId="77777777" w:rsidR="00AB4E6A" w:rsidRPr="00AB4E6A" w:rsidRDefault="00AB4E6A" w:rsidP="00AB4E6A">
            <w:pPr>
              <w:rPr>
                <w:rFonts w:asciiTheme="majorBidi" w:hAnsiTheme="majorBidi" w:cstheme="majorBidi"/>
              </w:rPr>
            </w:pPr>
            <w:r w:rsidRPr="00AB4E6A">
              <w:rPr>
                <w:rFonts w:asciiTheme="majorBidi" w:hAnsiTheme="majorBidi" w:cstheme="majorBidi"/>
              </w:rPr>
              <w:t>1253461</w:t>
            </w:r>
          </w:p>
        </w:tc>
      </w:tr>
      <w:tr w:rsidR="00AB4E6A" w:rsidRPr="00AB4E6A" w14:paraId="7EF8844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B76A3" w14:textId="77777777" w:rsidR="00AB4E6A" w:rsidRPr="00AB4E6A" w:rsidRDefault="00AB4E6A" w:rsidP="00AB4E6A">
            <w:pPr>
              <w:rPr>
                <w:rFonts w:asciiTheme="majorBidi" w:hAnsiTheme="majorBidi" w:cstheme="majorBidi"/>
              </w:rPr>
            </w:pPr>
            <w:r w:rsidRPr="00AB4E6A">
              <w:rPr>
                <w:rFonts w:asciiTheme="majorBidi" w:hAnsiTheme="majorBidi" w:cstheme="majorBidi"/>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30B6E" w14:textId="77777777" w:rsidR="00AB4E6A" w:rsidRPr="00AB4E6A" w:rsidRDefault="00AB4E6A" w:rsidP="00AB4E6A">
            <w:pPr>
              <w:rPr>
                <w:rFonts w:asciiTheme="majorBidi" w:hAnsiTheme="majorBidi" w:cstheme="majorBidi"/>
              </w:rPr>
            </w:pPr>
            <w:r w:rsidRPr="00AB4E6A">
              <w:rPr>
                <w:rFonts w:asciiTheme="majorBidi" w:hAnsiTheme="majorBidi" w:cstheme="majorBidi"/>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A47FD" w14:textId="77777777" w:rsidR="00AB4E6A" w:rsidRPr="00AB4E6A" w:rsidRDefault="00AB4E6A" w:rsidP="00AB4E6A">
            <w:pPr>
              <w:rPr>
                <w:rFonts w:asciiTheme="majorBidi" w:hAnsiTheme="majorBidi" w:cstheme="majorBidi"/>
              </w:rPr>
            </w:pPr>
            <w:r w:rsidRPr="00AB4E6A">
              <w:rPr>
                <w:rFonts w:asciiTheme="majorBidi" w:hAnsiTheme="majorBidi" w:cstheme="majorBidi"/>
              </w:rPr>
              <w:t>13458185</w:t>
            </w:r>
          </w:p>
        </w:tc>
      </w:tr>
      <w:tr w:rsidR="00AB4E6A" w:rsidRPr="00AB4E6A" w14:paraId="3F4725B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6BF88" w14:textId="77777777" w:rsidR="00AB4E6A" w:rsidRPr="00AB4E6A" w:rsidRDefault="00AB4E6A" w:rsidP="00AB4E6A">
            <w:pPr>
              <w:rPr>
                <w:rFonts w:asciiTheme="majorBidi" w:hAnsiTheme="majorBidi" w:cstheme="majorBidi"/>
              </w:rPr>
            </w:pPr>
            <w:r w:rsidRPr="00AB4E6A">
              <w:rPr>
                <w:rFonts w:asciiTheme="majorBidi" w:hAnsiTheme="majorBidi" w:cstheme="majorBidi"/>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7914" w14:textId="77777777" w:rsidR="00AB4E6A" w:rsidRPr="00AB4E6A" w:rsidRDefault="00AB4E6A" w:rsidP="00AB4E6A">
            <w:pPr>
              <w:rPr>
                <w:rFonts w:asciiTheme="majorBidi" w:hAnsiTheme="majorBidi" w:cstheme="majorBidi"/>
              </w:rPr>
            </w:pPr>
            <w:r w:rsidRPr="00AB4E6A">
              <w:rPr>
                <w:rFonts w:asciiTheme="majorBidi" w:hAnsiTheme="majorBidi" w:cstheme="majorBidi"/>
              </w:rPr>
              <w:t>31 not (31 and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7E8B4" w14:textId="77777777" w:rsidR="00AB4E6A" w:rsidRPr="00AB4E6A" w:rsidRDefault="00AB4E6A" w:rsidP="00AB4E6A">
            <w:pPr>
              <w:rPr>
                <w:rFonts w:asciiTheme="majorBidi" w:hAnsiTheme="majorBidi" w:cstheme="majorBidi"/>
              </w:rPr>
            </w:pPr>
            <w:r w:rsidRPr="00AB4E6A">
              <w:rPr>
                <w:rFonts w:asciiTheme="majorBidi" w:hAnsiTheme="majorBidi" w:cstheme="majorBidi"/>
              </w:rPr>
              <w:t>965742</w:t>
            </w:r>
          </w:p>
        </w:tc>
      </w:tr>
      <w:tr w:rsidR="00AB4E6A" w:rsidRPr="00AB4E6A" w14:paraId="122C0E8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EE600" w14:textId="77777777" w:rsidR="00AB4E6A" w:rsidRPr="00AB4E6A" w:rsidRDefault="00AB4E6A" w:rsidP="00AB4E6A">
            <w:pPr>
              <w:rPr>
                <w:rFonts w:asciiTheme="majorBidi" w:hAnsiTheme="majorBidi" w:cstheme="majorBidi"/>
              </w:rPr>
            </w:pPr>
            <w:r w:rsidRPr="00AB4E6A">
              <w:rPr>
                <w:rFonts w:asciiTheme="majorBidi" w:hAnsiTheme="majorBidi" w:cstheme="majorBidi"/>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A65E4" w14:textId="77777777" w:rsidR="00AB4E6A" w:rsidRPr="00AB4E6A" w:rsidRDefault="00AB4E6A" w:rsidP="00AB4E6A">
            <w:pPr>
              <w:rPr>
                <w:rFonts w:asciiTheme="majorBidi" w:hAnsiTheme="majorBidi" w:cstheme="majorBidi"/>
              </w:rPr>
            </w:pPr>
            <w:r w:rsidRPr="00AB4E6A">
              <w:rPr>
                <w:rFonts w:asciiTheme="majorBidi" w:hAnsiTheme="majorBidi" w:cstheme="majorBidi"/>
              </w:rPr>
              <w:t>30 not 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3B824" w14:textId="77777777" w:rsidR="00AB4E6A" w:rsidRPr="00AB4E6A" w:rsidRDefault="00AB4E6A" w:rsidP="00AB4E6A">
            <w:pPr>
              <w:rPr>
                <w:rFonts w:asciiTheme="majorBidi" w:hAnsiTheme="majorBidi" w:cstheme="majorBidi"/>
              </w:rPr>
            </w:pPr>
            <w:r w:rsidRPr="00AB4E6A">
              <w:rPr>
                <w:rFonts w:asciiTheme="majorBidi" w:hAnsiTheme="majorBidi" w:cstheme="majorBidi"/>
              </w:rPr>
              <w:t>1010813</w:t>
            </w:r>
          </w:p>
        </w:tc>
      </w:tr>
      <w:tr w:rsidR="00AB4E6A" w:rsidRPr="00AB4E6A" w14:paraId="280D583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61587" w14:textId="77777777" w:rsidR="00AB4E6A" w:rsidRPr="00AB4E6A" w:rsidRDefault="00AB4E6A" w:rsidP="00AB4E6A">
            <w:pPr>
              <w:rPr>
                <w:rFonts w:asciiTheme="majorBidi" w:hAnsiTheme="majorBidi" w:cstheme="majorBidi"/>
              </w:rPr>
            </w:pPr>
            <w:r w:rsidRPr="00AB4E6A">
              <w:rPr>
                <w:rFonts w:asciiTheme="majorBidi" w:hAnsiTheme="majorBidi" w:cstheme="majorBidi"/>
              </w:rPr>
              <w:lastRenderedPageBreak/>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4B6A2" w14:textId="77777777" w:rsidR="00AB4E6A" w:rsidRPr="00AB4E6A" w:rsidRDefault="00AB4E6A" w:rsidP="00AB4E6A">
            <w:pPr>
              <w:rPr>
                <w:rFonts w:asciiTheme="majorBidi" w:hAnsiTheme="majorBidi" w:cstheme="majorBidi"/>
              </w:rPr>
            </w:pPr>
            <w:r w:rsidRPr="00AB4E6A">
              <w:rPr>
                <w:rFonts w:asciiTheme="majorBidi" w:hAnsiTheme="majorBidi" w:cstheme="majorBidi"/>
              </w:rPr>
              <w:t>5 and 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F2F7C"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r>
    </w:tbl>
    <w:p w14:paraId="22FE7B0B" w14:textId="77777777" w:rsidR="00AB4E6A" w:rsidRPr="00AB4E6A" w:rsidRDefault="00AB4E6A" w:rsidP="00AB4E6A">
      <w:pPr>
        <w:rPr>
          <w:rFonts w:asciiTheme="majorBidi" w:hAnsiTheme="majorBidi" w:cstheme="majorBidi"/>
        </w:rPr>
      </w:pPr>
    </w:p>
    <w:p w14:paraId="17C323E6"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CRD database (searched via the University of York CRD platform)</w:t>
      </w:r>
    </w:p>
    <w:p w14:paraId="3444EC4C"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r w:rsidRPr="00AB4E6A">
        <w:rPr>
          <w:rFonts w:asciiTheme="majorBidi" w:hAnsiTheme="majorBidi" w:cstheme="majorBidi"/>
          <w:vertAlign w:val="superscript"/>
        </w:rPr>
        <w:t>st</w:t>
      </w:r>
      <w:r w:rsidRPr="00AB4E6A">
        <w:rPr>
          <w:rFonts w:asciiTheme="majorBidi" w:hAnsiTheme="majorBidi" w:cstheme="majorBidi"/>
        </w:rPr>
        <w:t xml:space="preserve"> March 2021</w:t>
      </w:r>
    </w:p>
    <w:p w14:paraId="5329ECDC"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326"/>
        <w:gridCol w:w="1353"/>
        <w:gridCol w:w="901"/>
      </w:tblGrid>
      <w:tr w:rsidR="00AB4E6A" w:rsidRPr="00AB4E6A" w14:paraId="3F48E49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982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AD18A"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550C9"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4EEDDFB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6702F"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ABA87"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r w:rsidRPr="00AB4E6A">
              <w:rPr>
                <w:rFonts w:asciiTheme="majorBidi" w:hAnsiTheme="majorBidi" w:cstheme="majorBidi"/>
              </w:rPr>
              <w:t>cefiderocol</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2A5C3"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41BD7D1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C39F7"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871F9"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r w:rsidRPr="00AB4E6A">
              <w:rPr>
                <w:rFonts w:asciiTheme="majorBidi" w:hAnsiTheme="majorBidi" w:cstheme="majorBidi"/>
              </w:rPr>
              <w:t>fetroja</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954F7"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2A07755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3E040"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EC062"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r w:rsidRPr="00AB4E6A">
              <w:rPr>
                <w:rFonts w:asciiTheme="majorBidi" w:hAnsiTheme="majorBidi" w:cstheme="majorBidi"/>
              </w:rPr>
              <w:t>fetcroja</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72DDF"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51AB482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C7755"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AE456"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rsc</w:t>
            </w:r>
            <w:proofErr w:type="gramEnd"/>
            <w:r w:rsidRPr="00AB4E6A">
              <w:rPr>
                <w:rFonts w:asciiTheme="majorBidi" w:hAnsiTheme="majorBidi" w:cstheme="majorBidi"/>
              </w:rPr>
              <w:t>-649266)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6A16B"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bl>
    <w:p w14:paraId="32FD0366" w14:textId="77777777" w:rsidR="00AB4E6A" w:rsidRPr="00AB4E6A" w:rsidRDefault="00AB4E6A" w:rsidP="00AB4E6A">
      <w:pPr>
        <w:rPr>
          <w:rFonts w:asciiTheme="majorBidi" w:hAnsiTheme="majorBidi" w:cstheme="majorBidi"/>
        </w:rPr>
      </w:pPr>
    </w:p>
    <w:p w14:paraId="2F782F1B"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Web of Science - Conference proceedings index (searched via the Clarivate Analytics platform)</w:t>
      </w:r>
    </w:p>
    <w:p w14:paraId="30B3EA7D"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0137826C"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2783"/>
        <w:gridCol w:w="901"/>
      </w:tblGrid>
      <w:tr w:rsidR="00AB4E6A" w:rsidRPr="00AB4E6A" w14:paraId="539F759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327E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D9086"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E22F2"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3F1B549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E9C8A" w14:textId="77777777" w:rsidR="00AB4E6A" w:rsidRPr="00AB4E6A" w:rsidRDefault="00AB4E6A" w:rsidP="00AB4E6A">
            <w:pPr>
              <w:rPr>
                <w:rFonts w:asciiTheme="majorBidi" w:hAnsiTheme="majorBidi" w:cstheme="majorBidi"/>
              </w:rPr>
            </w:pPr>
            <w:r w:rsidRPr="00AB4E6A">
              <w:rPr>
                <w:rFonts w:asciiTheme="majorBidi" w:hAnsiTheme="majorBidi" w:cstheme="majorBidi"/>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81194"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spellStart"/>
            <w:proofErr w:type="gramEnd"/>
            <w:r w:rsidRPr="00AB4E6A">
              <w:rPr>
                <w:rFonts w:asciiTheme="majorBidi" w:hAnsiTheme="majorBidi" w:cstheme="majorBidi"/>
              </w:rPr>
              <w:t>cefiderocol</w:t>
            </w:r>
            <w:proofErr w:type="spellEnd"/>
            <w:r w:rsidRPr="00AB4E6A">
              <w:rPr>
                <w:rFonts w:asciiTheme="majorBidi" w:hAnsiTheme="majorBidi" w:cstheme="majorBid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7447D"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r>
      <w:tr w:rsidR="00AB4E6A" w:rsidRPr="00AB4E6A" w14:paraId="578B852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7FA8C" w14:textId="77777777" w:rsidR="00AB4E6A" w:rsidRPr="00AB4E6A" w:rsidRDefault="00AB4E6A" w:rsidP="00AB4E6A">
            <w:pPr>
              <w:rPr>
                <w:rFonts w:asciiTheme="majorBidi" w:hAnsiTheme="majorBidi" w:cstheme="majorBidi"/>
              </w:rPr>
            </w:pPr>
            <w:r w:rsidRPr="00AB4E6A">
              <w:rPr>
                <w:rFonts w:asciiTheme="majorBidi" w:hAnsiTheme="majorBidi" w:cstheme="majorBidi"/>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855A"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spellStart"/>
            <w:proofErr w:type="gramEnd"/>
            <w:r w:rsidRPr="00AB4E6A">
              <w:rPr>
                <w:rFonts w:asciiTheme="majorBidi" w:hAnsiTheme="majorBidi" w:cstheme="majorBidi"/>
              </w:rPr>
              <w:t>fetroja</w:t>
            </w:r>
            <w:proofErr w:type="spellEnd"/>
            <w:r w:rsidRPr="00AB4E6A">
              <w:rPr>
                <w:rFonts w:asciiTheme="majorBidi" w:hAnsiTheme="majorBidi" w:cstheme="majorBid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FCC41"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56CD925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FCABD" w14:textId="77777777" w:rsidR="00AB4E6A" w:rsidRPr="00AB4E6A" w:rsidRDefault="00AB4E6A" w:rsidP="00AB4E6A">
            <w:pPr>
              <w:rPr>
                <w:rFonts w:asciiTheme="majorBidi" w:hAnsiTheme="majorBidi" w:cstheme="majorBidi"/>
              </w:rPr>
            </w:pPr>
            <w:r w:rsidRPr="00AB4E6A">
              <w:rPr>
                <w:rFonts w:asciiTheme="majorBidi" w:hAnsiTheme="majorBidi" w:cstheme="majorBidi"/>
              </w:rPr>
              <w: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17686"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spellStart"/>
            <w:proofErr w:type="gramEnd"/>
            <w:r w:rsidRPr="00AB4E6A">
              <w:rPr>
                <w:rFonts w:asciiTheme="majorBidi" w:hAnsiTheme="majorBidi" w:cstheme="majorBidi"/>
              </w:rPr>
              <w:t>fetcroja</w:t>
            </w:r>
            <w:proofErr w:type="spellEnd"/>
            <w:r w:rsidRPr="00AB4E6A">
              <w:rPr>
                <w:rFonts w:asciiTheme="majorBidi" w:hAnsiTheme="majorBidi" w:cstheme="majorBid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CBF8F"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7B61C15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4C337" w14:textId="77777777" w:rsidR="00AB4E6A" w:rsidRPr="00AB4E6A" w:rsidRDefault="00AB4E6A" w:rsidP="00AB4E6A">
            <w:pPr>
              <w:rPr>
                <w:rFonts w:asciiTheme="majorBidi" w:hAnsiTheme="majorBidi" w:cstheme="majorBidi"/>
              </w:rPr>
            </w:pPr>
            <w:r w:rsidRPr="00AB4E6A">
              <w:rPr>
                <w:rFonts w:asciiTheme="majorBidi" w:hAnsiTheme="majorBidi" w:cstheme="majorBidi"/>
              </w:rPr>
              <w: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1EF1F"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gramEnd"/>
            <w:r w:rsidRPr="00AB4E6A">
              <w:rPr>
                <w:rFonts w:asciiTheme="majorBidi" w:hAnsiTheme="majorBidi" w:cstheme="majorBidi"/>
              </w:rPr>
              <w:t>rsc-649266)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F3F72"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5D6DDB3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23683" w14:textId="77777777" w:rsidR="00AB4E6A" w:rsidRPr="00AB4E6A" w:rsidRDefault="00AB4E6A" w:rsidP="00AB4E6A">
            <w:pPr>
              <w:rPr>
                <w:rFonts w:asciiTheme="majorBidi" w:hAnsiTheme="majorBidi" w:cstheme="majorBidi"/>
              </w:rPr>
            </w:pPr>
            <w:r w:rsidRPr="00AB4E6A">
              <w:rPr>
                <w:rFonts w:asciiTheme="majorBidi" w:hAnsiTheme="majorBidi" w:cstheme="majorBidi"/>
              </w:rPr>
              <w:t>#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2239F"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4  OR</w:t>
            </w:r>
            <w:proofErr w:type="gramEnd"/>
            <w:r w:rsidRPr="00AB4E6A">
              <w:rPr>
                <w:rFonts w:asciiTheme="majorBidi" w:hAnsiTheme="majorBidi" w:cstheme="majorBidi"/>
              </w:rPr>
              <w:t>  #3  OR  #2  OR  #1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D511F"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r>
    </w:tbl>
    <w:p w14:paraId="5A80B037" w14:textId="77777777" w:rsidR="00AB4E6A" w:rsidRPr="00AB4E6A" w:rsidRDefault="00AB4E6A" w:rsidP="00AB4E6A">
      <w:pPr>
        <w:rPr>
          <w:rFonts w:asciiTheme="majorBidi" w:hAnsiTheme="majorBidi" w:cstheme="majorBidi"/>
        </w:rPr>
      </w:pPr>
      <w:r w:rsidRPr="00AB4E6A">
        <w:rPr>
          <w:rFonts w:asciiTheme="majorBidi" w:hAnsiTheme="majorBidi" w:cstheme="majorBidi"/>
        </w:rPr>
        <w:br/>
      </w:r>
    </w:p>
    <w:p w14:paraId="15F50DE4" w14:textId="77777777" w:rsidR="00AB4E6A" w:rsidRPr="00886459" w:rsidRDefault="00AB4E6A" w:rsidP="00886459">
      <w:pPr>
        <w:pStyle w:val="EEPRUnumberedstylelevel3"/>
      </w:pPr>
      <w:bookmarkStart w:id="811" w:name="_Toc87463132"/>
      <w:r w:rsidRPr="00886459">
        <w:t>CAZ/AVI CEA models</w:t>
      </w:r>
      <w:bookmarkEnd w:id="811"/>
    </w:p>
    <w:p w14:paraId="7522AA7C" w14:textId="77777777" w:rsidR="00AB4E6A" w:rsidRPr="00AB4E6A" w:rsidRDefault="00AB4E6A" w:rsidP="00AB4E6A">
      <w:pPr>
        <w:rPr>
          <w:rFonts w:asciiTheme="majorBidi" w:hAnsiTheme="majorBidi" w:cstheme="majorBidi"/>
        </w:rPr>
      </w:pPr>
      <w:r w:rsidRPr="00AB4E6A">
        <w:rPr>
          <w:rFonts w:asciiTheme="majorBidi" w:hAnsiTheme="majorBidi" w:cstheme="majorBidi"/>
        </w:rPr>
        <w:t>Term group(s): CAZ/AVI AND filters</w:t>
      </w:r>
    </w:p>
    <w:p w14:paraId="4DF33BE6" w14:textId="77777777" w:rsidR="00AB4E6A" w:rsidRPr="00AB4E6A" w:rsidRDefault="00AB4E6A" w:rsidP="00AB4E6A">
      <w:pPr>
        <w:rPr>
          <w:rFonts w:asciiTheme="majorBidi" w:hAnsiTheme="majorBidi" w:cstheme="majorBidi"/>
        </w:rPr>
      </w:pPr>
      <w:r w:rsidRPr="00AB4E6A">
        <w:rPr>
          <w:rFonts w:asciiTheme="majorBidi" w:hAnsiTheme="majorBidi" w:cstheme="majorBidi"/>
        </w:rPr>
        <w:t>Filters: Economic (MEDLINE, Embase), Exclusion (Embase)</w:t>
      </w:r>
    </w:p>
    <w:p w14:paraId="074DD348" w14:textId="77777777" w:rsidR="00AB4E6A" w:rsidRPr="00AB4E6A" w:rsidRDefault="00AB4E6A" w:rsidP="00AB4E6A">
      <w:pPr>
        <w:rPr>
          <w:rFonts w:asciiTheme="majorBidi" w:hAnsiTheme="majorBidi" w:cstheme="majorBidi"/>
        </w:rPr>
      </w:pPr>
      <w:r w:rsidRPr="00AB4E6A">
        <w:rPr>
          <w:rFonts w:asciiTheme="majorBidi" w:hAnsiTheme="majorBidi" w:cstheme="majorBidi"/>
        </w:rPr>
        <w:t>Limits: None</w:t>
      </w:r>
    </w:p>
    <w:p w14:paraId="4FAF13C6" w14:textId="77777777" w:rsidR="00AB4E6A" w:rsidRPr="00AB4E6A" w:rsidRDefault="00AB4E6A" w:rsidP="00AB4E6A">
      <w:pPr>
        <w:rPr>
          <w:rFonts w:asciiTheme="majorBidi" w:hAnsiTheme="majorBidi" w:cstheme="majorBidi"/>
        </w:rPr>
      </w:pPr>
    </w:p>
    <w:p w14:paraId="0A9669A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 xml:space="preserve">Ovid MEDLINE(R) and </w:t>
      </w:r>
      <w:proofErr w:type="spellStart"/>
      <w:r w:rsidRPr="00AB4E6A">
        <w:rPr>
          <w:rFonts w:asciiTheme="majorBidi" w:hAnsiTheme="majorBidi" w:cstheme="majorBidi"/>
          <w:b/>
          <w:bCs/>
        </w:rPr>
        <w:t>Epub</w:t>
      </w:r>
      <w:proofErr w:type="spellEnd"/>
      <w:r w:rsidRPr="00AB4E6A">
        <w:rPr>
          <w:rFonts w:asciiTheme="majorBidi" w:hAnsiTheme="majorBidi" w:cstheme="majorBidi"/>
          <w:b/>
          <w:bCs/>
        </w:rPr>
        <w:t xml:space="preserve"> Ahead of Print, In-Process, In-Data-Review &amp; Other Non-Indexed Citations, Daily and Versions(R) 1946 to February 26, 2021 (searched via the Ovid SP platform)</w:t>
      </w:r>
    </w:p>
    <w:p w14:paraId="475ED8AB"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1CAB0525"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885"/>
        <w:gridCol w:w="901"/>
      </w:tblGrid>
      <w:tr w:rsidR="00AB4E6A" w:rsidRPr="00AB4E6A" w14:paraId="39D530F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11AE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lastRenderedPageBreak/>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30909"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E595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77204C6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85CC"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AB0D0"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DDCE6" w14:textId="77777777" w:rsidR="00AB4E6A" w:rsidRPr="00AB4E6A" w:rsidRDefault="00AB4E6A" w:rsidP="00AB4E6A">
            <w:pPr>
              <w:rPr>
                <w:rFonts w:asciiTheme="majorBidi" w:hAnsiTheme="majorBidi" w:cstheme="majorBidi"/>
              </w:rPr>
            </w:pPr>
            <w:r w:rsidRPr="00AB4E6A">
              <w:rPr>
                <w:rFonts w:asciiTheme="majorBidi" w:hAnsiTheme="majorBidi" w:cstheme="majorBidi"/>
              </w:rPr>
              <w:t>10210</w:t>
            </w:r>
          </w:p>
        </w:tc>
      </w:tr>
      <w:tr w:rsidR="00AB4E6A" w:rsidRPr="00AB4E6A" w14:paraId="3BAF26B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F0380"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60C76"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8BEDE" w14:textId="77777777" w:rsidR="00AB4E6A" w:rsidRPr="00AB4E6A" w:rsidRDefault="00AB4E6A" w:rsidP="00AB4E6A">
            <w:pPr>
              <w:rPr>
                <w:rFonts w:asciiTheme="majorBidi" w:hAnsiTheme="majorBidi" w:cstheme="majorBidi"/>
              </w:rPr>
            </w:pPr>
            <w:r w:rsidRPr="00AB4E6A">
              <w:rPr>
                <w:rFonts w:asciiTheme="majorBidi" w:hAnsiTheme="majorBidi" w:cstheme="majorBidi"/>
              </w:rPr>
              <w:t>4047</w:t>
            </w:r>
          </w:p>
        </w:tc>
      </w:tr>
      <w:tr w:rsidR="00AB4E6A" w:rsidRPr="00AB4E6A" w14:paraId="1EF8A0D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DDD34"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BE4BE" w14:textId="77777777" w:rsidR="00AB4E6A" w:rsidRPr="00AB4E6A" w:rsidRDefault="00AB4E6A" w:rsidP="00AB4E6A">
            <w:pPr>
              <w:rPr>
                <w:rFonts w:asciiTheme="majorBidi" w:hAnsiTheme="majorBidi" w:cstheme="majorBidi"/>
              </w:rPr>
            </w:pPr>
            <w:r w:rsidRPr="00AB4E6A">
              <w:rPr>
                <w:rFonts w:asciiTheme="majorBidi" w:hAnsiTheme="majorBidi" w:cstheme="majorBidi"/>
              </w:rPr>
              <w:t>1 or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30020" w14:textId="77777777" w:rsidR="00AB4E6A" w:rsidRPr="00AB4E6A" w:rsidRDefault="00AB4E6A" w:rsidP="00AB4E6A">
            <w:pPr>
              <w:rPr>
                <w:rFonts w:asciiTheme="majorBidi" w:hAnsiTheme="majorBidi" w:cstheme="majorBidi"/>
              </w:rPr>
            </w:pPr>
            <w:r w:rsidRPr="00AB4E6A">
              <w:rPr>
                <w:rFonts w:asciiTheme="majorBidi" w:hAnsiTheme="majorBidi" w:cstheme="majorBidi"/>
              </w:rPr>
              <w:t>10210</w:t>
            </w:r>
          </w:p>
        </w:tc>
      </w:tr>
      <w:tr w:rsidR="00AB4E6A" w:rsidRPr="00AB4E6A" w14:paraId="6B521CF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E5FEC"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2AD16" w14:textId="77777777" w:rsidR="00AB4E6A" w:rsidRPr="00AB4E6A" w:rsidRDefault="00AB4E6A" w:rsidP="00AB4E6A">
            <w:pPr>
              <w:rPr>
                <w:rFonts w:asciiTheme="majorBidi" w:hAnsiTheme="majorBidi" w:cstheme="majorBidi"/>
              </w:rPr>
            </w:pPr>
            <w:r w:rsidRPr="00AB4E6A">
              <w:rPr>
                <w:rFonts w:asciiTheme="majorBidi" w:hAnsiTheme="majorBidi" w:cstheme="majorBidi"/>
              </w:rPr>
              <w:t>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7025A" w14:textId="77777777" w:rsidR="00AB4E6A" w:rsidRPr="00AB4E6A" w:rsidRDefault="00AB4E6A" w:rsidP="00AB4E6A">
            <w:pPr>
              <w:rPr>
                <w:rFonts w:asciiTheme="majorBidi" w:hAnsiTheme="majorBidi" w:cstheme="majorBidi"/>
              </w:rPr>
            </w:pPr>
            <w:r w:rsidRPr="00AB4E6A">
              <w:rPr>
                <w:rFonts w:asciiTheme="majorBidi" w:hAnsiTheme="majorBidi" w:cstheme="majorBidi"/>
              </w:rPr>
              <w:t>964</w:t>
            </w:r>
          </w:p>
        </w:tc>
      </w:tr>
      <w:tr w:rsidR="00AB4E6A" w:rsidRPr="00AB4E6A" w14:paraId="3CE694C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E53F9"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8574B" w14:textId="77777777" w:rsidR="00AB4E6A" w:rsidRPr="00AB4E6A" w:rsidRDefault="00AB4E6A" w:rsidP="00AB4E6A">
            <w:pPr>
              <w:rPr>
                <w:rFonts w:asciiTheme="majorBidi" w:hAnsiTheme="majorBidi" w:cstheme="majorBidi"/>
              </w:rPr>
            </w:pPr>
            <w:r w:rsidRPr="00AB4E6A">
              <w:rPr>
                <w:rFonts w:asciiTheme="majorBidi" w:hAnsiTheme="majorBidi" w:cstheme="majorBidi"/>
              </w:rPr>
              <w:t>3 and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997F0" w14:textId="77777777" w:rsidR="00AB4E6A" w:rsidRPr="00AB4E6A" w:rsidRDefault="00AB4E6A" w:rsidP="00AB4E6A">
            <w:pPr>
              <w:rPr>
                <w:rFonts w:asciiTheme="majorBidi" w:hAnsiTheme="majorBidi" w:cstheme="majorBidi"/>
              </w:rPr>
            </w:pPr>
            <w:r w:rsidRPr="00AB4E6A">
              <w:rPr>
                <w:rFonts w:asciiTheme="majorBidi" w:hAnsiTheme="majorBidi" w:cstheme="majorBidi"/>
              </w:rPr>
              <w:t>789</w:t>
            </w:r>
          </w:p>
        </w:tc>
      </w:tr>
      <w:tr w:rsidR="00AB4E6A" w:rsidRPr="00AB4E6A" w14:paraId="4D7BA4E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7424E"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78F43"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FF0F4" w14:textId="77777777" w:rsidR="00AB4E6A" w:rsidRPr="00AB4E6A" w:rsidRDefault="00AB4E6A" w:rsidP="00AB4E6A">
            <w:pPr>
              <w:rPr>
                <w:rFonts w:asciiTheme="majorBidi" w:hAnsiTheme="majorBidi" w:cstheme="majorBidi"/>
              </w:rPr>
            </w:pPr>
            <w:r w:rsidRPr="00AB4E6A">
              <w:rPr>
                <w:rFonts w:asciiTheme="majorBidi" w:hAnsiTheme="majorBidi" w:cstheme="majorBidi"/>
              </w:rPr>
              <w:t>711</w:t>
            </w:r>
          </w:p>
        </w:tc>
      </w:tr>
      <w:tr w:rsidR="00AB4E6A" w:rsidRPr="00AB4E6A" w14:paraId="4B99DA7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1C062" w14:textId="77777777" w:rsidR="00AB4E6A" w:rsidRPr="00AB4E6A" w:rsidRDefault="00AB4E6A" w:rsidP="00AB4E6A">
            <w:pPr>
              <w:rPr>
                <w:rFonts w:asciiTheme="majorBidi" w:hAnsiTheme="majorBidi" w:cstheme="majorBidi"/>
              </w:rPr>
            </w:pPr>
            <w:r w:rsidRPr="00AB4E6A">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E253F" w14:textId="77777777" w:rsidR="00AB4E6A" w:rsidRPr="00AB4E6A" w:rsidRDefault="00AB4E6A" w:rsidP="00AB4E6A">
            <w:pPr>
              <w:rPr>
                <w:rFonts w:asciiTheme="majorBidi" w:hAnsiTheme="majorBidi" w:cstheme="majorBidi"/>
              </w:rPr>
            </w:pPr>
            <w:r w:rsidRPr="00AB4E6A">
              <w:rPr>
                <w:rFonts w:asciiTheme="majorBidi" w:hAnsiTheme="majorBidi" w:cstheme="majorBidi"/>
              </w:rPr>
              <w:t>zavicefta.mp.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7E430"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r>
      <w:tr w:rsidR="00AB4E6A" w:rsidRPr="00AB4E6A" w14:paraId="4DF3510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80BD"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ACD9E" w14:textId="77777777" w:rsidR="00AB4E6A" w:rsidRPr="00AB4E6A" w:rsidRDefault="00AB4E6A" w:rsidP="00AB4E6A">
            <w:pPr>
              <w:rPr>
                <w:rFonts w:asciiTheme="majorBidi" w:hAnsiTheme="majorBidi" w:cstheme="majorBidi"/>
              </w:rPr>
            </w:pPr>
            <w:r w:rsidRPr="00AB4E6A">
              <w:rPr>
                <w:rFonts w:asciiTheme="majorBidi" w:hAnsiTheme="majorBidi" w:cstheme="majorBidi"/>
              </w:rPr>
              <w:t>avycaz.mp.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F0303"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r>
      <w:tr w:rsidR="00AB4E6A" w:rsidRPr="00AB4E6A" w14:paraId="6FA9A50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913BA"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7C4B" w14:textId="77777777" w:rsidR="00AB4E6A" w:rsidRPr="00454CF5" w:rsidRDefault="00AB4E6A" w:rsidP="00AB4E6A">
            <w:pPr>
              <w:rPr>
                <w:rFonts w:asciiTheme="majorBidi" w:hAnsiTheme="majorBidi" w:cstheme="majorBidi"/>
                <w:lang w:val="fr-FR"/>
              </w:rPr>
            </w:pPr>
            <w:r w:rsidRPr="00454CF5">
              <w:rPr>
                <w:rFonts w:asciiTheme="majorBidi" w:hAnsiTheme="majorBidi" w:cstheme="majorBidi"/>
                <w:lang w:val="fr-FR"/>
              </w:rPr>
              <w:t>(</w:t>
            </w:r>
            <w:proofErr w:type="spellStart"/>
            <w:proofErr w:type="gramStart"/>
            <w:r w:rsidRPr="00454CF5">
              <w:rPr>
                <w:rFonts w:asciiTheme="majorBidi" w:hAnsiTheme="majorBidi" w:cstheme="majorBidi"/>
                <w:lang w:val="fr-FR"/>
              </w:rPr>
              <w:t>ctz</w:t>
            </w:r>
            <w:proofErr w:type="gramEnd"/>
            <w:r w:rsidRPr="00454CF5">
              <w:rPr>
                <w:rFonts w:asciiTheme="majorBidi" w:hAnsiTheme="majorBidi" w:cstheme="majorBidi"/>
                <w:lang w:val="fr-FR"/>
              </w:rPr>
              <w:t>-avi</w:t>
            </w:r>
            <w:proofErr w:type="spellEnd"/>
            <w:r w:rsidRPr="00454CF5">
              <w:rPr>
                <w:rFonts w:asciiTheme="majorBidi" w:hAnsiTheme="majorBidi" w:cstheme="majorBidi"/>
                <w:lang w:val="fr-FR"/>
              </w:rPr>
              <w:t xml:space="preserve"> or </w:t>
            </w:r>
            <w:proofErr w:type="spellStart"/>
            <w:r w:rsidRPr="00454CF5">
              <w:rPr>
                <w:rFonts w:asciiTheme="majorBidi" w:hAnsiTheme="majorBidi" w:cstheme="majorBidi"/>
                <w:lang w:val="fr-FR"/>
              </w:rPr>
              <w:t>caz-avi</w:t>
            </w:r>
            <w:proofErr w:type="spellEnd"/>
            <w:r w:rsidRPr="00454CF5">
              <w:rPr>
                <w:rFonts w:asciiTheme="majorBidi" w:hAnsiTheme="majorBidi" w:cstheme="majorBidi"/>
                <w:lang w:val="fr-FR"/>
              </w:rPr>
              <w:t>).</w:t>
            </w:r>
            <w:proofErr w:type="spellStart"/>
            <w:r w:rsidRPr="00454CF5">
              <w:rPr>
                <w:rFonts w:asciiTheme="majorBidi" w:hAnsiTheme="majorBidi" w:cstheme="majorBidi"/>
                <w:lang w:val="fr-FR"/>
              </w:rPr>
              <w:t>mp</w:t>
            </w:r>
            <w:proofErr w:type="spellEnd"/>
            <w:r w:rsidRPr="00454CF5">
              <w:rPr>
                <w:rFonts w:asciiTheme="majorBidi" w:hAnsiTheme="majorBidi" w:cstheme="majorBidi"/>
                <w:lang w:val="fr-F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B2C27" w14:textId="77777777" w:rsidR="00AB4E6A" w:rsidRPr="00AB4E6A" w:rsidRDefault="00AB4E6A" w:rsidP="00AB4E6A">
            <w:pPr>
              <w:rPr>
                <w:rFonts w:asciiTheme="majorBidi" w:hAnsiTheme="majorBidi" w:cstheme="majorBidi"/>
              </w:rPr>
            </w:pPr>
            <w:r w:rsidRPr="00AB4E6A">
              <w:rPr>
                <w:rFonts w:asciiTheme="majorBidi" w:hAnsiTheme="majorBidi" w:cstheme="majorBidi"/>
              </w:rPr>
              <w:t>65</w:t>
            </w:r>
          </w:p>
        </w:tc>
      </w:tr>
      <w:tr w:rsidR="00AB4E6A" w:rsidRPr="00AB4E6A" w14:paraId="41460BF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C63EB" w14:textId="77777777" w:rsidR="00AB4E6A" w:rsidRPr="00AB4E6A" w:rsidRDefault="00AB4E6A" w:rsidP="00AB4E6A">
            <w:pPr>
              <w:rPr>
                <w:rFonts w:asciiTheme="majorBidi" w:hAnsiTheme="majorBidi" w:cstheme="majorBidi"/>
              </w:rPr>
            </w:pPr>
            <w:r w:rsidRPr="00AB4E6A">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203B6" w14:textId="77777777" w:rsidR="00AB4E6A" w:rsidRPr="00AB4E6A" w:rsidRDefault="00AB4E6A" w:rsidP="00AB4E6A">
            <w:pPr>
              <w:rPr>
                <w:rFonts w:asciiTheme="majorBidi" w:hAnsiTheme="majorBidi" w:cstheme="majorBidi"/>
              </w:rPr>
            </w:pPr>
            <w:r w:rsidRPr="00AB4E6A">
              <w:rPr>
                <w:rFonts w:asciiTheme="majorBidi" w:hAnsiTheme="majorBidi" w:cstheme="majorBidi"/>
              </w:rPr>
              <w:t>or/5-9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5590D" w14:textId="77777777" w:rsidR="00AB4E6A" w:rsidRPr="00AB4E6A" w:rsidRDefault="00AB4E6A" w:rsidP="00AB4E6A">
            <w:pPr>
              <w:rPr>
                <w:rFonts w:asciiTheme="majorBidi" w:hAnsiTheme="majorBidi" w:cstheme="majorBidi"/>
              </w:rPr>
            </w:pPr>
            <w:r w:rsidRPr="00AB4E6A">
              <w:rPr>
                <w:rFonts w:asciiTheme="majorBidi" w:hAnsiTheme="majorBidi" w:cstheme="majorBidi"/>
              </w:rPr>
              <w:t>792</w:t>
            </w:r>
          </w:p>
        </w:tc>
      </w:tr>
      <w:tr w:rsidR="00AB4E6A" w:rsidRPr="00AB4E6A" w14:paraId="27245AF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6883B" w14:textId="77777777" w:rsidR="00AB4E6A" w:rsidRPr="00AB4E6A" w:rsidRDefault="00AB4E6A" w:rsidP="00AB4E6A">
            <w:pPr>
              <w:rPr>
                <w:rFonts w:asciiTheme="majorBidi" w:hAnsiTheme="majorBidi" w:cstheme="majorBidi"/>
              </w:rPr>
            </w:pPr>
            <w:r w:rsidRPr="00AB4E6A">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5166D"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"Costs and Cost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A2905" w14:textId="77777777" w:rsidR="00AB4E6A" w:rsidRPr="00AB4E6A" w:rsidRDefault="00AB4E6A" w:rsidP="00AB4E6A">
            <w:pPr>
              <w:rPr>
                <w:rFonts w:asciiTheme="majorBidi" w:hAnsiTheme="majorBidi" w:cstheme="majorBidi"/>
              </w:rPr>
            </w:pPr>
            <w:r w:rsidRPr="00AB4E6A">
              <w:rPr>
                <w:rFonts w:asciiTheme="majorBidi" w:hAnsiTheme="majorBidi" w:cstheme="majorBidi"/>
              </w:rPr>
              <w:t>242835</w:t>
            </w:r>
          </w:p>
        </w:tc>
      </w:tr>
      <w:tr w:rsidR="00AB4E6A" w:rsidRPr="00AB4E6A" w14:paraId="5A04DA3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38243" w14:textId="77777777" w:rsidR="00AB4E6A" w:rsidRPr="00AB4E6A" w:rsidRDefault="00AB4E6A" w:rsidP="00AB4E6A">
            <w:pPr>
              <w:rPr>
                <w:rFonts w:asciiTheme="majorBidi" w:hAnsiTheme="majorBidi" w:cstheme="majorBidi"/>
              </w:rPr>
            </w:pPr>
            <w:r w:rsidRPr="00AB4E6A">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922D3"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9D45D" w14:textId="77777777" w:rsidR="00AB4E6A" w:rsidRPr="00AB4E6A" w:rsidRDefault="00AB4E6A" w:rsidP="00AB4E6A">
            <w:pPr>
              <w:rPr>
                <w:rFonts w:asciiTheme="majorBidi" w:hAnsiTheme="majorBidi" w:cstheme="majorBidi"/>
              </w:rPr>
            </w:pPr>
            <w:r w:rsidRPr="00AB4E6A">
              <w:rPr>
                <w:rFonts w:asciiTheme="majorBidi" w:hAnsiTheme="majorBidi" w:cstheme="majorBidi"/>
              </w:rPr>
              <w:t>27294</w:t>
            </w:r>
          </w:p>
        </w:tc>
      </w:tr>
      <w:tr w:rsidR="00AB4E6A" w:rsidRPr="00AB4E6A" w14:paraId="6A88E45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42F13" w14:textId="77777777" w:rsidR="00AB4E6A" w:rsidRPr="00AB4E6A" w:rsidRDefault="00AB4E6A" w:rsidP="00AB4E6A">
            <w:pPr>
              <w:rPr>
                <w:rFonts w:asciiTheme="majorBidi" w:hAnsiTheme="majorBidi" w:cstheme="majorBidi"/>
              </w:rPr>
            </w:pPr>
            <w:r w:rsidRPr="00AB4E6A">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E9D21"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Economics,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EE1C9" w14:textId="77777777" w:rsidR="00AB4E6A" w:rsidRPr="00AB4E6A" w:rsidRDefault="00AB4E6A" w:rsidP="00AB4E6A">
            <w:pPr>
              <w:rPr>
                <w:rFonts w:asciiTheme="majorBidi" w:hAnsiTheme="majorBidi" w:cstheme="majorBidi"/>
              </w:rPr>
            </w:pPr>
            <w:r w:rsidRPr="00AB4E6A">
              <w:rPr>
                <w:rFonts w:asciiTheme="majorBidi" w:hAnsiTheme="majorBidi" w:cstheme="majorBidi"/>
              </w:rPr>
              <w:t>24969</w:t>
            </w:r>
          </w:p>
        </w:tc>
      </w:tr>
      <w:tr w:rsidR="00AB4E6A" w:rsidRPr="00AB4E6A" w14:paraId="7572345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BBA7D"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E16B0"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Economics, Medical/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95080" w14:textId="77777777" w:rsidR="00AB4E6A" w:rsidRPr="00AB4E6A" w:rsidRDefault="00AB4E6A" w:rsidP="00AB4E6A">
            <w:pPr>
              <w:rPr>
                <w:rFonts w:asciiTheme="majorBidi" w:hAnsiTheme="majorBidi" w:cstheme="majorBidi"/>
              </w:rPr>
            </w:pPr>
            <w:r w:rsidRPr="00AB4E6A">
              <w:rPr>
                <w:rFonts w:asciiTheme="majorBidi" w:hAnsiTheme="majorBidi" w:cstheme="majorBidi"/>
              </w:rPr>
              <w:t>14242</w:t>
            </w:r>
          </w:p>
        </w:tc>
      </w:tr>
      <w:tr w:rsidR="00AB4E6A" w:rsidRPr="00AB4E6A" w14:paraId="779FD2B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FA2E9" w14:textId="77777777" w:rsidR="00AB4E6A" w:rsidRPr="00AB4E6A" w:rsidRDefault="00AB4E6A" w:rsidP="00AB4E6A">
            <w:pPr>
              <w:rPr>
                <w:rFonts w:asciiTheme="majorBidi" w:hAnsiTheme="majorBidi" w:cstheme="majorBidi"/>
              </w:rPr>
            </w:pPr>
            <w:r w:rsidRPr="00AB4E6A">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9974A"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Economics,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DD922" w14:textId="77777777" w:rsidR="00AB4E6A" w:rsidRPr="00AB4E6A" w:rsidRDefault="00AB4E6A" w:rsidP="00AB4E6A">
            <w:pPr>
              <w:rPr>
                <w:rFonts w:asciiTheme="majorBidi" w:hAnsiTheme="majorBidi" w:cstheme="majorBidi"/>
              </w:rPr>
            </w:pPr>
            <w:r w:rsidRPr="00AB4E6A">
              <w:rPr>
                <w:rFonts w:asciiTheme="majorBidi" w:hAnsiTheme="majorBidi" w:cstheme="majorBidi"/>
              </w:rPr>
              <w:t>4002</w:t>
            </w:r>
          </w:p>
        </w:tc>
      </w:tr>
      <w:tr w:rsidR="00AB4E6A" w:rsidRPr="00AB4E6A" w14:paraId="264C338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4208E"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1D283"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5A6C8" w14:textId="77777777" w:rsidR="00AB4E6A" w:rsidRPr="00AB4E6A" w:rsidRDefault="00AB4E6A" w:rsidP="00AB4E6A">
            <w:pPr>
              <w:rPr>
                <w:rFonts w:asciiTheme="majorBidi" w:hAnsiTheme="majorBidi" w:cstheme="majorBidi"/>
              </w:rPr>
            </w:pPr>
            <w:r w:rsidRPr="00AB4E6A">
              <w:rPr>
                <w:rFonts w:asciiTheme="majorBidi" w:hAnsiTheme="majorBidi" w:cstheme="majorBidi"/>
              </w:rPr>
              <w:t>15443</w:t>
            </w:r>
          </w:p>
        </w:tc>
      </w:tr>
      <w:tr w:rsidR="00AB4E6A" w:rsidRPr="00AB4E6A" w14:paraId="53CFEF4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19909" w14:textId="77777777" w:rsidR="00AB4E6A" w:rsidRPr="00AB4E6A" w:rsidRDefault="00AB4E6A" w:rsidP="00AB4E6A">
            <w:pPr>
              <w:rPr>
                <w:rFonts w:asciiTheme="majorBidi" w:hAnsiTheme="majorBidi" w:cstheme="majorBidi"/>
              </w:rPr>
            </w:pPr>
            <w:r w:rsidRPr="00AB4E6A">
              <w:rPr>
                <w:rFonts w:asciiTheme="majorBidi" w:hAnsiTheme="majorBidi" w:cstheme="majorBidi"/>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8C3B0"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Economics, Pharmaceutical/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81378" w14:textId="77777777" w:rsidR="00AB4E6A" w:rsidRPr="00AB4E6A" w:rsidRDefault="00AB4E6A" w:rsidP="00AB4E6A">
            <w:pPr>
              <w:rPr>
                <w:rFonts w:asciiTheme="majorBidi" w:hAnsiTheme="majorBidi" w:cstheme="majorBidi"/>
              </w:rPr>
            </w:pPr>
            <w:r w:rsidRPr="00AB4E6A">
              <w:rPr>
                <w:rFonts w:asciiTheme="majorBidi" w:hAnsiTheme="majorBidi" w:cstheme="majorBidi"/>
              </w:rPr>
              <w:t>2971</w:t>
            </w:r>
          </w:p>
        </w:tc>
      </w:tr>
      <w:tr w:rsidR="00AB4E6A" w:rsidRPr="00AB4E6A" w14:paraId="6A576A0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C8855" w14:textId="77777777" w:rsidR="00AB4E6A" w:rsidRPr="00AB4E6A" w:rsidRDefault="00AB4E6A" w:rsidP="00AB4E6A">
            <w:pPr>
              <w:rPr>
                <w:rFonts w:asciiTheme="majorBidi" w:hAnsiTheme="majorBidi" w:cstheme="majorBidi"/>
              </w:rPr>
            </w:pPr>
            <w:r w:rsidRPr="00AB4E6A">
              <w:rPr>
                <w:rFonts w:asciiTheme="majorBidi" w:hAnsiTheme="majorBidi" w:cstheme="majorBidi"/>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70E87"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"Fees and Charges"/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2F60" w14:textId="77777777" w:rsidR="00AB4E6A" w:rsidRPr="00AB4E6A" w:rsidRDefault="00AB4E6A" w:rsidP="00AB4E6A">
            <w:pPr>
              <w:rPr>
                <w:rFonts w:asciiTheme="majorBidi" w:hAnsiTheme="majorBidi" w:cstheme="majorBidi"/>
              </w:rPr>
            </w:pPr>
            <w:r w:rsidRPr="00AB4E6A">
              <w:rPr>
                <w:rFonts w:asciiTheme="majorBidi" w:hAnsiTheme="majorBidi" w:cstheme="majorBidi"/>
              </w:rPr>
              <w:t>30592</w:t>
            </w:r>
          </w:p>
        </w:tc>
      </w:tr>
      <w:tr w:rsidR="00AB4E6A" w:rsidRPr="00AB4E6A" w14:paraId="23964E9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AE3C3" w14:textId="77777777" w:rsidR="00AB4E6A" w:rsidRPr="00AB4E6A" w:rsidRDefault="00AB4E6A" w:rsidP="00AB4E6A">
            <w:pPr>
              <w:rPr>
                <w:rFonts w:asciiTheme="majorBidi" w:hAnsiTheme="majorBidi" w:cstheme="majorBidi"/>
              </w:rPr>
            </w:pPr>
            <w:r w:rsidRPr="00AB4E6A">
              <w:rPr>
                <w:rFonts w:asciiTheme="majorBidi" w:hAnsiTheme="majorBidi" w:cstheme="majorBidi"/>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06E2F"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Budgets/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FB958" w14:textId="77777777" w:rsidR="00AB4E6A" w:rsidRPr="00AB4E6A" w:rsidRDefault="00AB4E6A" w:rsidP="00AB4E6A">
            <w:pPr>
              <w:rPr>
                <w:rFonts w:asciiTheme="majorBidi" w:hAnsiTheme="majorBidi" w:cstheme="majorBidi"/>
              </w:rPr>
            </w:pPr>
            <w:r w:rsidRPr="00AB4E6A">
              <w:rPr>
                <w:rFonts w:asciiTheme="majorBidi" w:hAnsiTheme="majorBidi" w:cstheme="majorBidi"/>
              </w:rPr>
              <w:t>13800</w:t>
            </w:r>
          </w:p>
        </w:tc>
      </w:tr>
      <w:tr w:rsidR="00AB4E6A" w:rsidRPr="00AB4E6A" w14:paraId="47CD020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2E1BB" w14:textId="77777777" w:rsidR="00AB4E6A" w:rsidRPr="00AB4E6A" w:rsidRDefault="00AB4E6A" w:rsidP="00AB4E6A">
            <w:pPr>
              <w:rPr>
                <w:rFonts w:asciiTheme="majorBidi" w:hAnsiTheme="majorBidi" w:cstheme="majorBidi"/>
              </w:rPr>
            </w:pPr>
            <w:r w:rsidRPr="00AB4E6A">
              <w:rPr>
                <w:rFonts w:asciiTheme="majorBidi" w:hAnsiTheme="majorBidi" w:cstheme="majorBidi"/>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AB712" w14:textId="77777777" w:rsidR="00AB4E6A" w:rsidRPr="00AB4E6A" w:rsidRDefault="00AB4E6A" w:rsidP="00AB4E6A">
            <w:pPr>
              <w:rPr>
                <w:rFonts w:asciiTheme="majorBidi" w:hAnsiTheme="majorBidi" w:cstheme="majorBidi"/>
              </w:rPr>
            </w:pPr>
            <w:r w:rsidRPr="00AB4E6A">
              <w:rPr>
                <w:rFonts w:asciiTheme="majorBidi" w:hAnsiTheme="majorBidi" w:cstheme="majorBidi"/>
              </w:rPr>
              <w:t>budget*.</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1C35" w14:textId="77777777" w:rsidR="00AB4E6A" w:rsidRPr="00AB4E6A" w:rsidRDefault="00AB4E6A" w:rsidP="00AB4E6A">
            <w:pPr>
              <w:rPr>
                <w:rFonts w:asciiTheme="majorBidi" w:hAnsiTheme="majorBidi" w:cstheme="majorBidi"/>
              </w:rPr>
            </w:pPr>
            <w:r w:rsidRPr="00AB4E6A">
              <w:rPr>
                <w:rFonts w:asciiTheme="majorBidi" w:hAnsiTheme="majorBidi" w:cstheme="majorBidi"/>
              </w:rPr>
              <w:t>30546</w:t>
            </w:r>
          </w:p>
        </w:tc>
      </w:tr>
      <w:tr w:rsidR="00AB4E6A" w:rsidRPr="00AB4E6A" w14:paraId="301BD55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3D296" w14:textId="77777777" w:rsidR="00AB4E6A" w:rsidRPr="00AB4E6A" w:rsidRDefault="00AB4E6A" w:rsidP="00AB4E6A">
            <w:pPr>
              <w:rPr>
                <w:rFonts w:asciiTheme="majorBidi" w:hAnsiTheme="majorBidi" w:cstheme="majorBidi"/>
              </w:rPr>
            </w:pPr>
            <w:r w:rsidRPr="00AB4E6A">
              <w:rPr>
                <w:rFonts w:asciiTheme="majorBidi" w:hAnsiTheme="majorBidi" w:cstheme="majorBid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28AA0" w14:textId="77777777" w:rsidR="00AB4E6A" w:rsidRPr="00AB4E6A" w:rsidRDefault="00AB4E6A" w:rsidP="00AB4E6A">
            <w:pPr>
              <w:rPr>
                <w:rFonts w:asciiTheme="majorBidi" w:hAnsiTheme="majorBidi" w:cstheme="majorBidi"/>
              </w:rPr>
            </w:pPr>
            <w:proofErr w:type="spellStart"/>
            <w:r w:rsidRPr="00AB4E6A">
              <w:rPr>
                <w:rFonts w:asciiTheme="majorBidi" w:hAnsiTheme="majorBidi" w:cstheme="majorBidi"/>
              </w:rPr>
              <w:t>ec.fs</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CF68F" w14:textId="77777777" w:rsidR="00AB4E6A" w:rsidRPr="00AB4E6A" w:rsidRDefault="00AB4E6A" w:rsidP="00AB4E6A">
            <w:pPr>
              <w:rPr>
                <w:rFonts w:asciiTheme="majorBidi" w:hAnsiTheme="majorBidi" w:cstheme="majorBidi"/>
              </w:rPr>
            </w:pPr>
            <w:r w:rsidRPr="00AB4E6A">
              <w:rPr>
                <w:rFonts w:asciiTheme="majorBidi" w:hAnsiTheme="majorBidi" w:cstheme="majorBidi"/>
              </w:rPr>
              <w:t>431631</w:t>
            </w:r>
          </w:p>
        </w:tc>
      </w:tr>
      <w:tr w:rsidR="00AB4E6A" w:rsidRPr="00AB4E6A" w14:paraId="0C69C65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55615" w14:textId="77777777" w:rsidR="00AB4E6A" w:rsidRPr="00AB4E6A" w:rsidRDefault="00AB4E6A" w:rsidP="00AB4E6A">
            <w:pPr>
              <w:rPr>
                <w:rFonts w:asciiTheme="majorBidi" w:hAnsiTheme="majorBidi" w:cstheme="majorBidi"/>
              </w:rPr>
            </w:pPr>
            <w:r w:rsidRPr="00AB4E6A">
              <w:rPr>
                <w:rFonts w:asciiTheme="majorBidi" w:hAnsiTheme="majorBidi" w:cstheme="majorBidi"/>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442CA"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30D16" w14:textId="77777777" w:rsidR="00AB4E6A" w:rsidRPr="00AB4E6A" w:rsidRDefault="00AB4E6A" w:rsidP="00AB4E6A">
            <w:pPr>
              <w:rPr>
                <w:rFonts w:asciiTheme="majorBidi" w:hAnsiTheme="majorBidi" w:cstheme="majorBidi"/>
              </w:rPr>
            </w:pPr>
            <w:r w:rsidRPr="00AB4E6A">
              <w:rPr>
                <w:rFonts w:asciiTheme="majorBidi" w:hAnsiTheme="majorBidi" w:cstheme="majorBidi"/>
              </w:rPr>
              <w:t>125579</w:t>
            </w:r>
          </w:p>
        </w:tc>
      </w:tr>
      <w:tr w:rsidR="00AB4E6A" w:rsidRPr="00AB4E6A" w14:paraId="2117D3E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A6D57" w14:textId="77777777" w:rsidR="00AB4E6A" w:rsidRPr="00AB4E6A" w:rsidRDefault="00AB4E6A" w:rsidP="00AB4E6A">
            <w:pPr>
              <w:rPr>
                <w:rFonts w:asciiTheme="majorBidi" w:hAnsiTheme="majorBidi" w:cstheme="majorBidi"/>
              </w:rPr>
            </w:pPr>
            <w:r w:rsidRPr="00AB4E6A">
              <w:rPr>
                <w:rFonts w:asciiTheme="majorBidi" w:hAnsiTheme="majorBidi" w:cstheme="majorBid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180DD"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(cost* adj2 (effective* or </w:t>
            </w:r>
            <w:proofErr w:type="spellStart"/>
            <w:r w:rsidRPr="00AB4E6A">
              <w:rPr>
                <w:rFonts w:asciiTheme="majorBidi" w:hAnsiTheme="majorBidi" w:cstheme="majorBidi"/>
              </w:rPr>
              <w:t>utilit</w:t>
            </w:r>
            <w:proofErr w:type="spellEnd"/>
            <w:r w:rsidRPr="00AB4E6A">
              <w:rPr>
                <w:rFonts w:asciiTheme="majorBidi" w:hAnsiTheme="majorBidi" w:cstheme="majorBidi"/>
              </w:rPr>
              <w:t xml:space="preserve">* or benefit* or </w:t>
            </w:r>
            <w:proofErr w:type="spellStart"/>
            <w:r w:rsidRPr="00AB4E6A">
              <w:rPr>
                <w:rFonts w:asciiTheme="majorBidi" w:hAnsiTheme="majorBidi" w:cstheme="majorBidi"/>
              </w:rPr>
              <w:t>minimi</w:t>
            </w:r>
            <w:proofErr w:type="spellEnd"/>
            <w:r w:rsidRPr="00AB4E6A">
              <w:rPr>
                <w:rFonts w:asciiTheme="majorBidi" w:hAnsiTheme="majorBidi" w:cstheme="majorBidi"/>
              </w:rPr>
              <w:t>*)</w:t>
            </w:r>
            <w:proofErr w:type="gramStart"/>
            <w:r w:rsidRPr="00AB4E6A">
              <w:rPr>
                <w:rFonts w:asciiTheme="majorBidi" w:hAnsiTheme="majorBidi" w:cstheme="majorBidi"/>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98B75" w14:textId="77777777" w:rsidR="00AB4E6A" w:rsidRPr="00AB4E6A" w:rsidRDefault="00AB4E6A" w:rsidP="00AB4E6A">
            <w:pPr>
              <w:rPr>
                <w:rFonts w:asciiTheme="majorBidi" w:hAnsiTheme="majorBidi" w:cstheme="majorBidi"/>
              </w:rPr>
            </w:pPr>
            <w:r w:rsidRPr="00AB4E6A">
              <w:rPr>
                <w:rFonts w:asciiTheme="majorBidi" w:hAnsiTheme="majorBidi" w:cstheme="majorBidi"/>
              </w:rPr>
              <w:t>157179</w:t>
            </w:r>
          </w:p>
        </w:tc>
      </w:tr>
      <w:tr w:rsidR="00AB4E6A" w:rsidRPr="00AB4E6A" w14:paraId="3507187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35CB" w14:textId="77777777" w:rsidR="00AB4E6A" w:rsidRPr="00AB4E6A" w:rsidRDefault="00AB4E6A" w:rsidP="00AB4E6A">
            <w:pPr>
              <w:rPr>
                <w:rFonts w:asciiTheme="majorBidi" w:hAnsiTheme="majorBidi" w:cstheme="majorBidi"/>
              </w:rPr>
            </w:pPr>
            <w:r w:rsidRPr="00AB4E6A">
              <w:rPr>
                <w:rFonts w:asciiTheme="majorBidi" w:hAnsiTheme="majorBidi" w:cstheme="majorBid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E688A"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or pharmacoeconomic* or pharmaco-economic*).</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D4E06" w14:textId="77777777" w:rsidR="00AB4E6A" w:rsidRPr="00AB4E6A" w:rsidRDefault="00AB4E6A" w:rsidP="00AB4E6A">
            <w:pPr>
              <w:rPr>
                <w:rFonts w:asciiTheme="majorBidi" w:hAnsiTheme="majorBidi" w:cstheme="majorBidi"/>
              </w:rPr>
            </w:pPr>
            <w:r w:rsidRPr="00AB4E6A">
              <w:rPr>
                <w:rFonts w:asciiTheme="majorBidi" w:hAnsiTheme="majorBidi" w:cstheme="majorBidi"/>
              </w:rPr>
              <w:t>50939</w:t>
            </w:r>
          </w:p>
        </w:tc>
      </w:tr>
      <w:tr w:rsidR="00AB4E6A" w:rsidRPr="00AB4E6A" w14:paraId="5ADACEC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36B38" w14:textId="77777777" w:rsidR="00AB4E6A" w:rsidRPr="00AB4E6A" w:rsidRDefault="00AB4E6A" w:rsidP="00AB4E6A">
            <w:pPr>
              <w:rPr>
                <w:rFonts w:asciiTheme="majorBidi" w:hAnsiTheme="majorBidi" w:cstheme="majorBidi"/>
              </w:rPr>
            </w:pPr>
            <w:r w:rsidRPr="00AB4E6A">
              <w:rPr>
                <w:rFonts w:asciiTheme="majorBidi" w:hAnsiTheme="majorBidi" w:cstheme="majorBidi"/>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52E30" w14:textId="77777777" w:rsidR="00AB4E6A" w:rsidRPr="00AB4E6A" w:rsidRDefault="00AB4E6A" w:rsidP="00AB4E6A">
            <w:pPr>
              <w:rPr>
                <w:rFonts w:asciiTheme="majorBidi" w:hAnsiTheme="majorBidi" w:cstheme="majorBidi"/>
              </w:rPr>
            </w:pPr>
            <w:r w:rsidRPr="00AB4E6A">
              <w:rPr>
                <w:rFonts w:asciiTheme="majorBidi" w:hAnsiTheme="majorBidi" w:cstheme="majorBidi"/>
              </w:rPr>
              <w:t>(price* or pricing*).</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9E88A" w14:textId="77777777" w:rsidR="00AB4E6A" w:rsidRPr="00AB4E6A" w:rsidRDefault="00AB4E6A" w:rsidP="00AB4E6A">
            <w:pPr>
              <w:rPr>
                <w:rFonts w:asciiTheme="majorBidi" w:hAnsiTheme="majorBidi" w:cstheme="majorBidi"/>
              </w:rPr>
            </w:pPr>
            <w:r w:rsidRPr="00AB4E6A">
              <w:rPr>
                <w:rFonts w:asciiTheme="majorBidi" w:hAnsiTheme="majorBidi" w:cstheme="majorBidi"/>
              </w:rPr>
              <w:t>42703</w:t>
            </w:r>
          </w:p>
        </w:tc>
      </w:tr>
      <w:tr w:rsidR="00AB4E6A" w:rsidRPr="00AB4E6A" w14:paraId="4037D21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B5733" w14:textId="77777777" w:rsidR="00AB4E6A" w:rsidRPr="00AB4E6A" w:rsidRDefault="00AB4E6A" w:rsidP="00AB4E6A">
            <w:pPr>
              <w:rPr>
                <w:rFonts w:asciiTheme="majorBidi" w:hAnsiTheme="majorBidi" w:cstheme="majorBidi"/>
              </w:rPr>
            </w:pPr>
            <w:r w:rsidRPr="00AB4E6A">
              <w:rPr>
                <w:rFonts w:asciiTheme="majorBidi" w:hAnsiTheme="majorBidi" w:cstheme="majorBidi"/>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D0E20"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financial</w:t>
            </w:r>
            <w:proofErr w:type="gramEnd"/>
            <w:r w:rsidRPr="00AB4E6A">
              <w:rPr>
                <w:rFonts w:asciiTheme="majorBidi" w:hAnsiTheme="majorBidi" w:cstheme="majorBidi"/>
              </w:rPr>
              <w:t xml:space="preserve"> or finance or finances or financed).</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3D037" w14:textId="77777777" w:rsidR="00AB4E6A" w:rsidRPr="00AB4E6A" w:rsidRDefault="00AB4E6A" w:rsidP="00AB4E6A">
            <w:pPr>
              <w:rPr>
                <w:rFonts w:asciiTheme="majorBidi" w:hAnsiTheme="majorBidi" w:cstheme="majorBidi"/>
              </w:rPr>
            </w:pPr>
            <w:r w:rsidRPr="00AB4E6A">
              <w:rPr>
                <w:rFonts w:asciiTheme="majorBidi" w:hAnsiTheme="majorBidi" w:cstheme="majorBidi"/>
              </w:rPr>
              <w:t>97358</w:t>
            </w:r>
          </w:p>
        </w:tc>
      </w:tr>
      <w:tr w:rsidR="00AB4E6A" w:rsidRPr="00AB4E6A" w14:paraId="23309B7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2C19" w14:textId="77777777" w:rsidR="00AB4E6A" w:rsidRPr="00AB4E6A" w:rsidRDefault="00AB4E6A" w:rsidP="00AB4E6A">
            <w:pPr>
              <w:rPr>
                <w:rFonts w:asciiTheme="majorBidi" w:hAnsiTheme="majorBidi" w:cstheme="majorBidi"/>
              </w:rPr>
            </w:pPr>
            <w:r w:rsidRPr="00AB4E6A">
              <w:rPr>
                <w:rFonts w:asciiTheme="majorBidi" w:hAnsiTheme="majorBidi" w:cstheme="majorBidi"/>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F84F7"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fee</w:t>
            </w:r>
            <w:proofErr w:type="gramEnd"/>
            <w:r w:rsidRPr="00AB4E6A">
              <w:rPr>
                <w:rFonts w:asciiTheme="majorBidi" w:hAnsiTheme="majorBidi" w:cstheme="majorBidi"/>
              </w:rPr>
              <w:t xml:space="preserve"> or fees).</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CAEF3" w14:textId="77777777" w:rsidR="00AB4E6A" w:rsidRPr="00AB4E6A" w:rsidRDefault="00AB4E6A" w:rsidP="00AB4E6A">
            <w:pPr>
              <w:rPr>
                <w:rFonts w:asciiTheme="majorBidi" w:hAnsiTheme="majorBidi" w:cstheme="majorBidi"/>
              </w:rPr>
            </w:pPr>
            <w:r w:rsidRPr="00AB4E6A">
              <w:rPr>
                <w:rFonts w:asciiTheme="majorBidi" w:hAnsiTheme="majorBidi" w:cstheme="majorBidi"/>
              </w:rPr>
              <w:t>18704</w:t>
            </w:r>
          </w:p>
        </w:tc>
      </w:tr>
      <w:tr w:rsidR="00AB4E6A" w:rsidRPr="00AB4E6A" w14:paraId="0460726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8C906" w14:textId="77777777" w:rsidR="00AB4E6A" w:rsidRPr="00AB4E6A" w:rsidRDefault="00AB4E6A" w:rsidP="00AB4E6A">
            <w:pPr>
              <w:rPr>
                <w:rFonts w:asciiTheme="majorBidi" w:hAnsiTheme="majorBidi" w:cstheme="majorBidi"/>
              </w:rPr>
            </w:pPr>
            <w:r w:rsidRPr="00AB4E6A">
              <w:rPr>
                <w:rFonts w:asciiTheme="majorBidi" w:hAnsiTheme="majorBidi" w:cstheme="majorBidi"/>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4A5C7"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value</w:t>
            </w:r>
            <w:proofErr w:type="gramEnd"/>
            <w:r w:rsidRPr="00AB4E6A">
              <w:rPr>
                <w:rFonts w:asciiTheme="majorBidi" w:hAnsiTheme="majorBidi" w:cstheme="majorBidi"/>
              </w:rPr>
              <w:t xml:space="preserve"> adj2 (money or monetary)).</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8786B" w14:textId="77777777" w:rsidR="00AB4E6A" w:rsidRPr="00AB4E6A" w:rsidRDefault="00AB4E6A" w:rsidP="00AB4E6A">
            <w:pPr>
              <w:rPr>
                <w:rFonts w:asciiTheme="majorBidi" w:hAnsiTheme="majorBidi" w:cstheme="majorBidi"/>
              </w:rPr>
            </w:pPr>
            <w:r w:rsidRPr="00AB4E6A">
              <w:rPr>
                <w:rFonts w:asciiTheme="majorBidi" w:hAnsiTheme="majorBidi" w:cstheme="majorBidi"/>
              </w:rPr>
              <w:t>2515</w:t>
            </w:r>
          </w:p>
        </w:tc>
      </w:tr>
      <w:tr w:rsidR="00AB4E6A" w:rsidRPr="00AB4E6A" w14:paraId="667A6C5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15826" w14:textId="77777777" w:rsidR="00AB4E6A" w:rsidRPr="00AB4E6A" w:rsidRDefault="00AB4E6A" w:rsidP="00AB4E6A">
            <w:pPr>
              <w:rPr>
                <w:rFonts w:asciiTheme="majorBidi" w:hAnsiTheme="majorBidi" w:cstheme="majorBidi"/>
              </w:rPr>
            </w:pPr>
            <w:r w:rsidRPr="00AB4E6A">
              <w:rPr>
                <w:rFonts w:asciiTheme="majorBidi" w:hAnsiTheme="majorBidi" w:cstheme="majorBidi"/>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F59E9" w14:textId="77777777" w:rsidR="00AB4E6A" w:rsidRPr="00AB4E6A" w:rsidRDefault="00AB4E6A" w:rsidP="00AB4E6A">
            <w:pPr>
              <w:rPr>
                <w:rFonts w:asciiTheme="majorBidi" w:hAnsiTheme="majorBidi" w:cstheme="majorBidi"/>
              </w:rPr>
            </w:pPr>
            <w:r w:rsidRPr="00AB4E6A">
              <w:rPr>
                <w:rFonts w:asciiTheme="majorBidi" w:hAnsiTheme="majorBidi" w:cstheme="majorBidi"/>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90AA7" w14:textId="77777777" w:rsidR="00AB4E6A" w:rsidRPr="00AB4E6A" w:rsidRDefault="00AB4E6A" w:rsidP="00AB4E6A">
            <w:pPr>
              <w:rPr>
                <w:rFonts w:asciiTheme="majorBidi" w:hAnsiTheme="majorBidi" w:cstheme="majorBidi"/>
              </w:rPr>
            </w:pPr>
            <w:r w:rsidRPr="00AB4E6A">
              <w:rPr>
                <w:rFonts w:asciiTheme="majorBidi" w:hAnsiTheme="majorBidi" w:cstheme="majorBidi"/>
              </w:rPr>
              <w:t>12949</w:t>
            </w:r>
          </w:p>
        </w:tc>
      </w:tr>
      <w:tr w:rsidR="00AB4E6A" w:rsidRPr="00AB4E6A" w14:paraId="2C222F1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AAD2F" w14:textId="77777777" w:rsidR="00AB4E6A" w:rsidRPr="00AB4E6A" w:rsidRDefault="00AB4E6A" w:rsidP="00AB4E6A">
            <w:pPr>
              <w:rPr>
                <w:rFonts w:asciiTheme="majorBidi" w:hAnsiTheme="majorBidi" w:cstheme="majorBidi"/>
              </w:rPr>
            </w:pPr>
            <w:r w:rsidRPr="00AB4E6A">
              <w:rPr>
                <w:rFonts w:asciiTheme="majorBidi" w:hAnsiTheme="majorBidi" w:cstheme="majorBidi"/>
              </w:rPr>
              <w:lastRenderedPageBreak/>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28F4F"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proofErr w:type="gramStart"/>
            <w:r w:rsidRPr="00AB4E6A">
              <w:rPr>
                <w:rFonts w:asciiTheme="majorBidi" w:hAnsiTheme="majorBidi" w:cstheme="majorBidi"/>
              </w:rPr>
              <w:t>qaly</w:t>
            </w:r>
            <w:proofErr w:type="spellEnd"/>
            <w:proofErr w:type="gramEnd"/>
            <w:r w:rsidRPr="00AB4E6A">
              <w:rPr>
                <w:rFonts w:asciiTheme="majorBidi" w:hAnsiTheme="majorBidi" w:cstheme="majorBidi"/>
              </w:rPr>
              <w:t xml:space="preserve"> or </w:t>
            </w:r>
            <w:proofErr w:type="spellStart"/>
            <w:r w:rsidRPr="00AB4E6A">
              <w:rPr>
                <w:rFonts w:asciiTheme="majorBidi" w:hAnsiTheme="majorBidi" w:cstheme="majorBidi"/>
              </w:rPr>
              <w:t>qalys</w:t>
            </w:r>
            <w:proofErr w:type="spellEnd"/>
            <w:r w:rsidRPr="00AB4E6A">
              <w:rPr>
                <w:rFonts w:asciiTheme="majorBidi" w:hAnsiTheme="majorBidi" w:cstheme="majorBidi"/>
              </w:rPr>
              <w:t>).</w:t>
            </w:r>
            <w:proofErr w:type="spellStart"/>
            <w:r w:rsidRPr="00AB4E6A">
              <w:rPr>
                <w:rFonts w:asciiTheme="majorBidi" w:hAnsiTheme="majorBidi" w:cstheme="majorBidi"/>
              </w:rPr>
              <w:t>af</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09C1F" w14:textId="77777777" w:rsidR="00AB4E6A" w:rsidRPr="00AB4E6A" w:rsidRDefault="00AB4E6A" w:rsidP="00AB4E6A">
            <w:pPr>
              <w:rPr>
                <w:rFonts w:asciiTheme="majorBidi" w:hAnsiTheme="majorBidi" w:cstheme="majorBidi"/>
              </w:rPr>
            </w:pPr>
            <w:r w:rsidRPr="00AB4E6A">
              <w:rPr>
                <w:rFonts w:asciiTheme="majorBidi" w:hAnsiTheme="majorBidi" w:cstheme="majorBidi"/>
              </w:rPr>
              <w:t>11325</w:t>
            </w:r>
          </w:p>
        </w:tc>
      </w:tr>
      <w:tr w:rsidR="00AB4E6A" w:rsidRPr="00AB4E6A" w14:paraId="6C141F4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61F3D" w14:textId="77777777" w:rsidR="00AB4E6A" w:rsidRPr="00AB4E6A" w:rsidRDefault="00AB4E6A" w:rsidP="00AB4E6A">
            <w:pPr>
              <w:rPr>
                <w:rFonts w:asciiTheme="majorBidi" w:hAnsiTheme="majorBidi" w:cstheme="majorBidi"/>
              </w:rPr>
            </w:pPr>
            <w:r w:rsidRPr="00AB4E6A">
              <w:rPr>
                <w:rFonts w:asciiTheme="majorBidi" w:hAnsiTheme="majorBidi" w:cstheme="majorBidi"/>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9275F"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quality</w:t>
            </w:r>
            <w:proofErr w:type="gramEnd"/>
            <w:r w:rsidRPr="00AB4E6A">
              <w:rPr>
                <w:rFonts w:asciiTheme="majorBidi" w:hAnsiTheme="majorBidi" w:cstheme="majorBidi"/>
              </w:rPr>
              <w:t xml:space="preserve"> adjusted life year or quality adjusted life years).</w:t>
            </w:r>
            <w:proofErr w:type="spellStart"/>
            <w:r w:rsidRPr="00AB4E6A">
              <w:rPr>
                <w:rFonts w:asciiTheme="majorBidi" w:hAnsiTheme="majorBidi" w:cstheme="majorBidi"/>
              </w:rPr>
              <w:t>af</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85AE7" w14:textId="77777777" w:rsidR="00AB4E6A" w:rsidRPr="00AB4E6A" w:rsidRDefault="00AB4E6A" w:rsidP="00AB4E6A">
            <w:pPr>
              <w:rPr>
                <w:rFonts w:asciiTheme="majorBidi" w:hAnsiTheme="majorBidi" w:cstheme="majorBidi"/>
              </w:rPr>
            </w:pPr>
            <w:r w:rsidRPr="00AB4E6A">
              <w:rPr>
                <w:rFonts w:asciiTheme="majorBidi" w:hAnsiTheme="majorBidi" w:cstheme="majorBidi"/>
              </w:rPr>
              <w:t>19387</w:t>
            </w:r>
          </w:p>
        </w:tc>
      </w:tr>
      <w:tr w:rsidR="00AB4E6A" w:rsidRPr="00AB4E6A" w14:paraId="7F6E803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05B41" w14:textId="77777777" w:rsidR="00AB4E6A" w:rsidRPr="00AB4E6A" w:rsidRDefault="00AB4E6A" w:rsidP="00AB4E6A">
            <w:pPr>
              <w:rPr>
                <w:rFonts w:asciiTheme="majorBidi" w:hAnsiTheme="majorBidi" w:cstheme="majorBidi"/>
              </w:rPr>
            </w:pPr>
            <w:r w:rsidRPr="00AB4E6A">
              <w:rPr>
                <w:rFonts w:asciiTheme="majorBidi" w:hAnsiTheme="majorBidi" w:cstheme="majorBidi"/>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9A7A7" w14:textId="77777777" w:rsidR="00AB4E6A" w:rsidRPr="00AB4E6A" w:rsidRDefault="00AB4E6A" w:rsidP="00AB4E6A">
            <w:pPr>
              <w:rPr>
                <w:rFonts w:asciiTheme="majorBidi" w:hAnsiTheme="majorBidi" w:cstheme="majorBidi"/>
              </w:rPr>
            </w:pPr>
            <w:r w:rsidRPr="00AB4E6A">
              <w:rPr>
                <w:rFonts w:asciiTheme="majorBidi" w:hAnsiTheme="majorBidi" w:cstheme="majorBidi"/>
              </w:rPr>
              <w:t>or/11-31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17FBE" w14:textId="77777777" w:rsidR="00AB4E6A" w:rsidRPr="00AB4E6A" w:rsidRDefault="00AB4E6A" w:rsidP="00AB4E6A">
            <w:pPr>
              <w:rPr>
                <w:rFonts w:asciiTheme="majorBidi" w:hAnsiTheme="majorBidi" w:cstheme="majorBidi"/>
              </w:rPr>
            </w:pPr>
            <w:r w:rsidRPr="00AB4E6A">
              <w:rPr>
                <w:rFonts w:asciiTheme="majorBidi" w:hAnsiTheme="majorBidi" w:cstheme="majorBidi"/>
              </w:rPr>
              <w:t>801858</w:t>
            </w:r>
          </w:p>
        </w:tc>
      </w:tr>
      <w:tr w:rsidR="00AB4E6A" w:rsidRPr="00AB4E6A" w14:paraId="0FC28C0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91F1C" w14:textId="77777777" w:rsidR="00AB4E6A" w:rsidRPr="00AB4E6A" w:rsidRDefault="00AB4E6A" w:rsidP="00AB4E6A">
            <w:pPr>
              <w:rPr>
                <w:rFonts w:asciiTheme="majorBidi" w:hAnsiTheme="majorBidi" w:cstheme="majorBidi"/>
              </w:rPr>
            </w:pPr>
            <w:r w:rsidRPr="00AB4E6A">
              <w:rPr>
                <w:rFonts w:asciiTheme="majorBidi" w:hAnsiTheme="majorBidi" w:cstheme="majorBidi"/>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B554F" w14:textId="77777777" w:rsidR="00AB4E6A" w:rsidRPr="00AB4E6A" w:rsidRDefault="00AB4E6A" w:rsidP="00AB4E6A">
            <w:pPr>
              <w:rPr>
                <w:rFonts w:asciiTheme="majorBidi" w:hAnsiTheme="majorBidi" w:cstheme="majorBidi"/>
              </w:rPr>
            </w:pPr>
            <w:r w:rsidRPr="00AB4E6A">
              <w:rPr>
                <w:rFonts w:asciiTheme="majorBidi" w:hAnsiTheme="majorBidi" w:cstheme="majorBidi"/>
              </w:rPr>
              <w:t>10 and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46CE5"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r>
    </w:tbl>
    <w:p w14:paraId="35836FB1" w14:textId="77777777" w:rsidR="00AB4E6A" w:rsidRPr="00AB4E6A" w:rsidRDefault="00AB4E6A" w:rsidP="00AB4E6A">
      <w:pPr>
        <w:rPr>
          <w:rFonts w:asciiTheme="majorBidi" w:hAnsiTheme="majorBidi" w:cstheme="majorBidi"/>
        </w:rPr>
      </w:pPr>
    </w:p>
    <w:p w14:paraId="0E60B025"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Embase 1974 to 2021 February 26 (searched via the Ovid SP platform)</w:t>
      </w:r>
    </w:p>
    <w:p w14:paraId="2E5242ED"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24DE3C84"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885"/>
        <w:gridCol w:w="1096"/>
      </w:tblGrid>
      <w:tr w:rsidR="00AB4E6A" w:rsidRPr="00AB4E6A" w14:paraId="2B4AA07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4533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86455"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DC926"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4E184B4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A6053"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E365A"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8119C" w14:textId="77777777" w:rsidR="00AB4E6A" w:rsidRPr="00AB4E6A" w:rsidRDefault="00AB4E6A" w:rsidP="00AB4E6A">
            <w:pPr>
              <w:rPr>
                <w:rFonts w:asciiTheme="majorBidi" w:hAnsiTheme="majorBidi" w:cstheme="majorBidi"/>
              </w:rPr>
            </w:pPr>
            <w:r w:rsidRPr="00AB4E6A">
              <w:rPr>
                <w:rFonts w:asciiTheme="majorBidi" w:hAnsiTheme="majorBidi" w:cstheme="majorBidi"/>
              </w:rPr>
              <w:t>45327</w:t>
            </w:r>
          </w:p>
        </w:tc>
      </w:tr>
      <w:tr w:rsidR="00AB4E6A" w:rsidRPr="00AB4E6A" w14:paraId="6AE95B8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C2F05"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498F4"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C7CB8" w14:textId="77777777" w:rsidR="00AB4E6A" w:rsidRPr="00AB4E6A" w:rsidRDefault="00AB4E6A" w:rsidP="00AB4E6A">
            <w:pPr>
              <w:rPr>
                <w:rFonts w:asciiTheme="majorBidi" w:hAnsiTheme="majorBidi" w:cstheme="majorBidi"/>
              </w:rPr>
            </w:pPr>
            <w:r w:rsidRPr="00AB4E6A">
              <w:rPr>
                <w:rFonts w:asciiTheme="majorBidi" w:hAnsiTheme="majorBidi" w:cstheme="majorBidi"/>
              </w:rPr>
              <w:t>43189</w:t>
            </w:r>
          </w:p>
        </w:tc>
      </w:tr>
      <w:tr w:rsidR="00AB4E6A" w:rsidRPr="00AB4E6A" w14:paraId="09BD65E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9758F"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F99E3" w14:textId="77777777" w:rsidR="00AB4E6A" w:rsidRPr="00AB4E6A" w:rsidRDefault="00AB4E6A" w:rsidP="00AB4E6A">
            <w:pPr>
              <w:rPr>
                <w:rFonts w:asciiTheme="majorBidi" w:hAnsiTheme="majorBidi" w:cstheme="majorBidi"/>
              </w:rPr>
            </w:pPr>
            <w:r w:rsidRPr="00AB4E6A">
              <w:rPr>
                <w:rFonts w:asciiTheme="majorBidi" w:hAnsiTheme="majorBidi" w:cstheme="majorBidi"/>
              </w:rPr>
              <w:t>1 or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F5002" w14:textId="77777777" w:rsidR="00AB4E6A" w:rsidRPr="00AB4E6A" w:rsidRDefault="00AB4E6A" w:rsidP="00AB4E6A">
            <w:pPr>
              <w:rPr>
                <w:rFonts w:asciiTheme="majorBidi" w:hAnsiTheme="majorBidi" w:cstheme="majorBidi"/>
              </w:rPr>
            </w:pPr>
            <w:r w:rsidRPr="00AB4E6A">
              <w:rPr>
                <w:rFonts w:asciiTheme="majorBidi" w:hAnsiTheme="majorBidi" w:cstheme="majorBidi"/>
              </w:rPr>
              <w:t>45327</w:t>
            </w:r>
          </w:p>
        </w:tc>
      </w:tr>
      <w:tr w:rsidR="00AB4E6A" w:rsidRPr="00AB4E6A" w14:paraId="47C2338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BD8B0"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4BC7D" w14:textId="77777777" w:rsidR="00AB4E6A" w:rsidRPr="00AB4E6A" w:rsidRDefault="00AB4E6A" w:rsidP="00AB4E6A">
            <w:pPr>
              <w:rPr>
                <w:rFonts w:asciiTheme="majorBidi" w:hAnsiTheme="majorBidi" w:cstheme="majorBidi"/>
              </w:rPr>
            </w:pPr>
            <w:r w:rsidRPr="00AB4E6A">
              <w:rPr>
                <w:rFonts w:asciiTheme="majorBidi" w:hAnsiTheme="majorBidi" w:cstheme="majorBidi"/>
              </w:rPr>
              <w:t>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FFE79" w14:textId="77777777" w:rsidR="00AB4E6A" w:rsidRPr="00AB4E6A" w:rsidRDefault="00AB4E6A" w:rsidP="00AB4E6A">
            <w:pPr>
              <w:rPr>
                <w:rFonts w:asciiTheme="majorBidi" w:hAnsiTheme="majorBidi" w:cstheme="majorBidi"/>
              </w:rPr>
            </w:pPr>
            <w:r w:rsidRPr="00AB4E6A">
              <w:rPr>
                <w:rFonts w:asciiTheme="majorBidi" w:hAnsiTheme="majorBidi" w:cstheme="majorBidi"/>
              </w:rPr>
              <w:t>1893</w:t>
            </w:r>
          </w:p>
        </w:tc>
      </w:tr>
      <w:tr w:rsidR="00AB4E6A" w:rsidRPr="00AB4E6A" w14:paraId="3285508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0D95B"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F3AD2" w14:textId="77777777" w:rsidR="00AB4E6A" w:rsidRPr="00AB4E6A" w:rsidRDefault="00AB4E6A" w:rsidP="00AB4E6A">
            <w:pPr>
              <w:rPr>
                <w:rFonts w:asciiTheme="majorBidi" w:hAnsiTheme="majorBidi" w:cstheme="majorBidi"/>
              </w:rPr>
            </w:pPr>
            <w:r w:rsidRPr="00AB4E6A">
              <w:rPr>
                <w:rFonts w:asciiTheme="majorBidi" w:hAnsiTheme="majorBidi" w:cstheme="majorBidi"/>
              </w:rPr>
              <w:t>3 and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05E0F" w14:textId="77777777" w:rsidR="00AB4E6A" w:rsidRPr="00AB4E6A" w:rsidRDefault="00AB4E6A" w:rsidP="00AB4E6A">
            <w:pPr>
              <w:rPr>
                <w:rFonts w:asciiTheme="majorBidi" w:hAnsiTheme="majorBidi" w:cstheme="majorBidi"/>
              </w:rPr>
            </w:pPr>
            <w:r w:rsidRPr="00AB4E6A">
              <w:rPr>
                <w:rFonts w:asciiTheme="majorBidi" w:hAnsiTheme="majorBidi" w:cstheme="majorBidi"/>
              </w:rPr>
              <w:t>1609</w:t>
            </w:r>
          </w:p>
        </w:tc>
      </w:tr>
      <w:tr w:rsidR="00AB4E6A" w:rsidRPr="00AB4E6A" w14:paraId="6E553EF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EEDCF"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602D5"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ceftazidime-avibactam.mp.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756B0" w14:textId="77777777" w:rsidR="00AB4E6A" w:rsidRPr="00AB4E6A" w:rsidRDefault="00AB4E6A" w:rsidP="00AB4E6A">
            <w:pPr>
              <w:rPr>
                <w:rFonts w:asciiTheme="majorBidi" w:hAnsiTheme="majorBidi" w:cstheme="majorBidi"/>
              </w:rPr>
            </w:pPr>
            <w:r w:rsidRPr="00AB4E6A">
              <w:rPr>
                <w:rFonts w:asciiTheme="majorBidi" w:hAnsiTheme="majorBidi" w:cstheme="majorBidi"/>
              </w:rPr>
              <w:t>955</w:t>
            </w:r>
          </w:p>
        </w:tc>
      </w:tr>
      <w:tr w:rsidR="00AB4E6A" w:rsidRPr="00AB4E6A" w14:paraId="7B6E777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E00FE" w14:textId="77777777" w:rsidR="00AB4E6A" w:rsidRPr="00AB4E6A" w:rsidRDefault="00AB4E6A" w:rsidP="00AB4E6A">
            <w:pPr>
              <w:rPr>
                <w:rFonts w:asciiTheme="majorBidi" w:hAnsiTheme="majorBidi" w:cstheme="majorBidi"/>
              </w:rPr>
            </w:pPr>
            <w:r w:rsidRPr="00AB4E6A">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8F9FF" w14:textId="77777777" w:rsidR="00AB4E6A" w:rsidRPr="00AB4E6A" w:rsidRDefault="00AB4E6A" w:rsidP="00AB4E6A">
            <w:pPr>
              <w:rPr>
                <w:rFonts w:asciiTheme="majorBidi" w:hAnsiTheme="majorBidi" w:cstheme="majorBidi"/>
              </w:rPr>
            </w:pPr>
            <w:r w:rsidRPr="00AB4E6A">
              <w:rPr>
                <w:rFonts w:asciiTheme="majorBidi" w:hAnsiTheme="majorBidi" w:cstheme="majorBidi"/>
              </w:rPr>
              <w:t>zavicefta.mp.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B90CB" w14:textId="77777777" w:rsidR="00AB4E6A" w:rsidRPr="00AB4E6A" w:rsidRDefault="00AB4E6A" w:rsidP="00AB4E6A">
            <w:pPr>
              <w:rPr>
                <w:rFonts w:asciiTheme="majorBidi" w:hAnsiTheme="majorBidi" w:cstheme="majorBidi"/>
              </w:rPr>
            </w:pPr>
            <w:r w:rsidRPr="00AB4E6A">
              <w:rPr>
                <w:rFonts w:asciiTheme="majorBidi" w:hAnsiTheme="majorBidi" w:cstheme="majorBidi"/>
              </w:rPr>
              <w:t>18</w:t>
            </w:r>
          </w:p>
        </w:tc>
      </w:tr>
      <w:tr w:rsidR="00AB4E6A" w:rsidRPr="00AB4E6A" w14:paraId="08F995D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9E127"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F759A" w14:textId="77777777" w:rsidR="00AB4E6A" w:rsidRPr="00AB4E6A" w:rsidRDefault="00AB4E6A" w:rsidP="00AB4E6A">
            <w:pPr>
              <w:rPr>
                <w:rFonts w:asciiTheme="majorBidi" w:hAnsiTheme="majorBidi" w:cstheme="majorBidi"/>
              </w:rPr>
            </w:pPr>
            <w:r w:rsidRPr="00AB4E6A">
              <w:rPr>
                <w:rFonts w:asciiTheme="majorBidi" w:hAnsiTheme="majorBidi" w:cstheme="majorBidi"/>
              </w:rPr>
              <w:t>avycaz.mp.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F6604" w14:textId="77777777" w:rsidR="00AB4E6A" w:rsidRPr="00AB4E6A" w:rsidRDefault="00AB4E6A" w:rsidP="00AB4E6A">
            <w:pPr>
              <w:rPr>
                <w:rFonts w:asciiTheme="majorBidi" w:hAnsiTheme="majorBidi" w:cstheme="majorBidi"/>
              </w:rPr>
            </w:pPr>
            <w:r w:rsidRPr="00AB4E6A">
              <w:rPr>
                <w:rFonts w:asciiTheme="majorBidi" w:hAnsiTheme="majorBidi" w:cstheme="majorBidi"/>
              </w:rPr>
              <w:t>62</w:t>
            </w:r>
          </w:p>
        </w:tc>
      </w:tr>
      <w:tr w:rsidR="00AB4E6A" w:rsidRPr="00AB4E6A" w14:paraId="46128D0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5887B"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1C5CE" w14:textId="77777777" w:rsidR="00AB4E6A" w:rsidRPr="00454CF5" w:rsidRDefault="00AB4E6A" w:rsidP="00AB4E6A">
            <w:pPr>
              <w:rPr>
                <w:rFonts w:asciiTheme="majorBidi" w:hAnsiTheme="majorBidi" w:cstheme="majorBidi"/>
                <w:lang w:val="fr-FR"/>
              </w:rPr>
            </w:pPr>
            <w:r w:rsidRPr="00454CF5">
              <w:rPr>
                <w:rFonts w:asciiTheme="majorBidi" w:hAnsiTheme="majorBidi" w:cstheme="majorBidi"/>
                <w:lang w:val="fr-FR"/>
              </w:rPr>
              <w:t>(</w:t>
            </w:r>
            <w:proofErr w:type="spellStart"/>
            <w:proofErr w:type="gramStart"/>
            <w:r w:rsidRPr="00454CF5">
              <w:rPr>
                <w:rFonts w:asciiTheme="majorBidi" w:hAnsiTheme="majorBidi" w:cstheme="majorBidi"/>
                <w:lang w:val="fr-FR"/>
              </w:rPr>
              <w:t>ctz</w:t>
            </w:r>
            <w:proofErr w:type="gramEnd"/>
            <w:r w:rsidRPr="00454CF5">
              <w:rPr>
                <w:rFonts w:asciiTheme="majorBidi" w:hAnsiTheme="majorBidi" w:cstheme="majorBidi"/>
                <w:lang w:val="fr-FR"/>
              </w:rPr>
              <w:t>-avi</w:t>
            </w:r>
            <w:proofErr w:type="spellEnd"/>
            <w:r w:rsidRPr="00454CF5">
              <w:rPr>
                <w:rFonts w:asciiTheme="majorBidi" w:hAnsiTheme="majorBidi" w:cstheme="majorBidi"/>
                <w:lang w:val="fr-FR"/>
              </w:rPr>
              <w:t xml:space="preserve"> or </w:t>
            </w:r>
            <w:proofErr w:type="spellStart"/>
            <w:r w:rsidRPr="00454CF5">
              <w:rPr>
                <w:rFonts w:asciiTheme="majorBidi" w:hAnsiTheme="majorBidi" w:cstheme="majorBidi"/>
                <w:lang w:val="fr-FR"/>
              </w:rPr>
              <w:t>caz-avi</w:t>
            </w:r>
            <w:proofErr w:type="spellEnd"/>
            <w:r w:rsidRPr="00454CF5">
              <w:rPr>
                <w:rFonts w:asciiTheme="majorBidi" w:hAnsiTheme="majorBidi" w:cstheme="majorBidi"/>
                <w:lang w:val="fr-FR"/>
              </w:rPr>
              <w:t>).</w:t>
            </w:r>
            <w:proofErr w:type="spellStart"/>
            <w:r w:rsidRPr="00454CF5">
              <w:rPr>
                <w:rFonts w:asciiTheme="majorBidi" w:hAnsiTheme="majorBidi" w:cstheme="majorBidi"/>
                <w:lang w:val="fr-FR"/>
              </w:rPr>
              <w:t>mp</w:t>
            </w:r>
            <w:proofErr w:type="spellEnd"/>
            <w:r w:rsidRPr="00454CF5">
              <w:rPr>
                <w:rFonts w:asciiTheme="majorBidi" w:hAnsiTheme="majorBidi" w:cstheme="majorBidi"/>
                <w:lang w:val="fr-F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31A0" w14:textId="77777777" w:rsidR="00AB4E6A" w:rsidRPr="00AB4E6A" w:rsidRDefault="00AB4E6A" w:rsidP="00AB4E6A">
            <w:pPr>
              <w:rPr>
                <w:rFonts w:asciiTheme="majorBidi" w:hAnsiTheme="majorBidi" w:cstheme="majorBidi"/>
              </w:rPr>
            </w:pPr>
            <w:r w:rsidRPr="00AB4E6A">
              <w:rPr>
                <w:rFonts w:asciiTheme="majorBidi" w:hAnsiTheme="majorBidi" w:cstheme="majorBidi"/>
              </w:rPr>
              <w:t>156</w:t>
            </w:r>
          </w:p>
        </w:tc>
      </w:tr>
      <w:tr w:rsidR="00AB4E6A" w:rsidRPr="00AB4E6A" w14:paraId="338D515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957CD" w14:textId="77777777" w:rsidR="00AB4E6A" w:rsidRPr="00AB4E6A" w:rsidRDefault="00AB4E6A" w:rsidP="00AB4E6A">
            <w:pPr>
              <w:rPr>
                <w:rFonts w:asciiTheme="majorBidi" w:hAnsiTheme="majorBidi" w:cstheme="majorBidi"/>
              </w:rPr>
            </w:pPr>
            <w:r w:rsidRPr="00AB4E6A">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A42E3" w14:textId="77777777" w:rsidR="00AB4E6A" w:rsidRPr="00AB4E6A" w:rsidRDefault="00AB4E6A" w:rsidP="00AB4E6A">
            <w:pPr>
              <w:rPr>
                <w:rFonts w:asciiTheme="majorBidi" w:hAnsiTheme="majorBidi" w:cstheme="majorBidi"/>
              </w:rPr>
            </w:pPr>
            <w:r w:rsidRPr="00AB4E6A">
              <w:rPr>
                <w:rFonts w:asciiTheme="majorBidi" w:hAnsiTheme="majorBidi" w:cstheme="majorBidi"/>
              </w:rPr>
              <w:t>or/5-9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5027E" w14:textId="77777777" w:rsidR="00AB4E6A" w:rsidRPr="00AB4E6A" w:rsidRDefault="00AB4E6A" w:rsidP="00AB4E6A">
            <w:pPr>
              <w:rPr>
                <w:rFonts w:asciiTheme="majorBidi" w:hAnsiTheme="majorBidi" w:cstheme="majorBidi"/>
              </w:rPr>
            </w:pPr>
            <w:r w:rsidRPr="00AB4E6A">
              <w:rPr>
                <w:rFonts w:asciiTheme="majorBidi" w:hAnsiTheme="majorBidi" w:cstheme="majorBidi"/>
              </w:rPr>
              <w:t>1618</w:t>
            </w:r>
          </w:p>
        </w:tc>
      </w:tr>
      <w:tr w:rsidR="00AB4E6A" w:rsidRPr="00AB4E6A" w14:paraId="532C504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6984D" w14:textId="77777777" w:rsidR="00AB4E6A" w:rsidRPr="00AB4E6A" w:rsidRDefault="00AB4E6A" w:rsidP="00AB4E6A">
            <w:pPr>
              <w:rPr>
                <w:rFonts w:asciiTheme="majorBidi" w:hAnsiTheme="majorBidi" w:cstheme="majorBidi"/>
              </w:rPr>
            </w:pPr>
            <w:r w:rsidRPr="00AB4E6A">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D9B11"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cost</w:t>
            </w:r>
            <w:proofErr w:type="gramEnd"/>
            <w:r w:rsidRPr="00AB4E6A">
              <w:rPr>
                <w:rFonts w:asciiTheme="majorBidi" w:hAnsiTheme="majorBidi" w:cstheme="majorBidi"/>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28D86" w14:textId="77777777" w:rsidR="00AB4E6A" w:rsidRPr="00AB4E6A" w:rsidRDefault="00AB4E6A" w:rsidP="00AB4E6A">
            <w:pPr>
              <w:rPr>
                <w:rFonts w:asciiTheme="majorBidi" w:hAnsiTheme="majorBidi" w:cstheme="majorBidi"/>
              </w:rPr>
            </w:pPr>
            <w:r w:rsidRPr="00AB4E6A">
              <w:rPr>
                <w:rFonts w:asciiTheme="majorBidi" w:hAnsiTheme="majorBidi" w:cstheme="majorBidi"/>
              </w:rPr>
              <w:t>87111</w:t>
            </w:r>
          </w:p>
        </w:tc>
      </w:tr>
      <w:tr w:rsidR="00AB4E6A" w:rsidRPr="00AB4E6A" w14:paraId="0F7D0E3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0A4B5" w14:textId="77777777" w:rsidR="00AB4E6A" w:rsidRPr="00AB4E6A" w:rsidRDefault="00AB4E6A" w:rsidP="00AB4E6A">
            <w:pPr>
              <w:rPr>
                <w:rFonts w:asciiTheme="majorBidi" w:hAnsiTheme="majorBidi" w:cstheme="majorBidi"/>
              </w:rPr>
            </w:pPr>
            <w:r w:rsidRPr="00AB4E6A">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BA9B1"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cost</w:t>
            </w:r>
            <w:proofErr w:type="gramEnd"/>
            <w:r w:rsidRPr="00AB4E6A">
              <w:rPr>
                <w:rFonts w:asciiTheme="majorBidi" w:hAnsiTheme="majorBidi" w:cstheme="majorBidi"/>
              </w:rPr>
              <w:t xml:space="preserve"> effectiveness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9C165" w14:textId="77777777" w:rsidR="00AB4E6A" w:rsidRPr="00AB4E6A" w:rsidRDefault="00AB4E6A" w:rsidP="00AB4E6A">
            <w:pPr>
              <w:rPr>
                <w:rFonts w:asciiTheme="majorBidi" w:hAnsiTheme="majorBidi" w:cstheme="majorBidi"/>
              </w:rPr>
            </w:pPr>
            <w:r w:rsidRPr="00AB4E6A">
              <w:rPr>
                <w:rFonts w:asciiTheme="majorBidi" w:hAnsiTheme="majorBidi" w:cstheme="majorBidi"/>
              </w:rPr>
              <w:t>158540</w:t>
            </w:r>
          </w:p>
        </w:tc>
      </w:tr>
      <w:tr w:rsidR="00AB4E6A" w:rsidRPr="00AB4E6A" w14:paraId="66DCD60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73B9B" w14:textId="77777777" w:rsidR="00AB4E6A" w:rsidRPr="00AB4E6A" w:rsidRDefault="00AB4E6A" w:rsidP="00AB4E6A">
            <w:pPr>
              <w:rPr>
                <w:rFonts w:asciiTheme="majorBidi" w:hAnsiTheme="majorBidi" w:cstheme="majorBidi"/>
              </w:rPr>
            </w:pPr>
            <w:r w:rsidRPr="00AB4E6A">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68B2B"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5ACA3" w14:textId="77777777" w:rsidR="00AB4E6A" w:rsidRPr="00AB4E6A" w:rsidRDefault="00AB4E6A" w:rsidP="00AB4E6A">
            <w:pPr>
              <w:rPr>
                <w:rFonts w:asciiTheme="majorBidi" w:hAnsiTheme="majorBidi" w:cstheme="majorBidi"/>
              </w:rPr>
            </w:pPr>
            <w:r w:rsidRPr="00AB4E6A">
              <w:rPr>
                <w:rFonts w:asciiTheme="majorBidi" w:hAnsiTheme="majorBidi" w:cstheme="majorBidi"/>
              </w:rPr>
              <w:t>241957</w:t>
            </w:r>
          </w:p>
        </w:tc>
      </w:tr>
      <w:tr w:rsidR="00AB4E6A" w:rsidRPr="00AB4E6A" w14:paraId="32BF077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B010A"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3AF34" w14:textId="77777777" w:rsidR="00AB4E6A" w:rsidRPr="00AB4E6A" w:rsidRDefault="00AB4E6A" w:rsidP="00AB4E6A">
            <w:pPr>
              <w:rPr>
                <w:rFonts w:asciiTheme="majorBidi" w:hAnsiTheme="majorBidi" w:cstheme="majorBidi"/>
              </w:rPr>
            </w:pPr>
            <w:r w:rsidRPr="00AB4E6A">
              <w:rPr>
                <w:rFonts w:asciiTheme="majorBidi" w:hAnsiTheme="majorBidi" w:cstheme="majorBidi"/>
              </w:rPr>
              <w:t>health economics/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53E2B" w14:textId="77777777" w:rsidR="00AB4E6A" w:rsidRPr="00AB4E6A" w:rsidRDefault="00AB4E6A" w:rsidP="00AB4E6A">
            <w:pPr>
              <w:rPr>
                <w:rFonts w:asciiTheme="majorBidi" w:hAnsiTheme="majorBidi" w:cstheme="majorBidi"/>
              </w:rPr>
            </w:pPr>
            <w:r w:rsidRPr="00AB4E6A">
              <w:rPr>
                <w:rFonts w:asciiTheme="majorBidi" w:hAnsiTheme="majorBidi" w:cstheme="majorBidi"/>
              </w:rPr>
              <w:t>33700</w:t>
            </w:r>
          </w:p>
        </w:tc>
      </w:tr>
      <w:tr w:rsidR="00AB4E6A" w:rsidRPr="00AB4E6A" w14:paraId="79225B1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F04B" w14:textId="77777777" w:rsidR="00AB4E6A" w:rsidRPr="00AB4E6A" w:rsidRDefault="00AB4E6A" w:rsidP="00AB4E6A">
            <w:pPr>
              <w:rPr>
                <w:rFonts w:asciiTheme="majorBidi" w:hAnsiTheme="majorBidi" w:cstheme="majorBidi"/>
              </w:rPr>
            </w:pPr>
            <w:r w:rsidRPr="00AB4E6A">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55BB1" w14:textId="77777777" w:rsidR="00AB4E6A" w:rsidRPr="00AB4E6A" w:rsidRDefault="00AB4E6A" w:rsidP="00AB4E6A">
            <w:pPr>
              <w:rPr>
                <w:rFonts w:asciiTheme="majorBidi" w:hAnsiTheme="majorBidi" w:cstheme="majorBidi"/>
              </w:rPr>
            </w:pPr>
            <w:proofErr w:type="spellStart"/>
            <w:r w:rsidRPr="00AB4E6A">
              <w:rPr>
                <w:rFonts w:asciiTheme="majorBidi" w:hAnsiTheme="majorBidi" w:cstheme="majorBidi"/>
              </w:rPr>
              <w:t>pharmacoeconomics</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B6519" w14:textId="77777777" w:rsidR="00AB4E6A" w:rsidRPr="00AB4E6A" w:rsidRDefault="00AB4E6A" w:rsidP="00AB4E6A">
            <w:pPr>
              <w:rPr>
                <w:rFonts w:asciiTheme="majorBidi" w:hAnsiTheme="majorBidi" w:cstheme="majorBidi"/>
              </w:rPr>
            </w:pPr>
            <w:r w:rsidRPr="00AB4E6A">
              <w:rPr>
                <w:rFonts w:asciiTheme="majorBidi" w:hAnsiTheme="majorBidi" w:cstheme="majorBidi"/>
              </w:rPr>
              <w:t>7505</w:t>
            </w:r>
          </w:p>
        </w:tc>
      </w:tr>
      <w:tr w:rsidR="00AB4E6A" w:rsidRPr="00AB4E6A" w14:paraId="00B7ADC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CF6CB"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48C36" w14:textId="77777777" w:rsidR="00AB4E6A" w:rsidRPr="00AB4E6A" w:rsidRDefault="00AB4E6A" w:rsidP="00AB4E6A">
            <w:pPr>
              <w:rPr>
                <w:rFonts w:asciiTheme="majorBidi" w:hAnsiTheme="majorBidi" w:cstheme="majorBidi"/>
              </w:rPr>
            </w:pPr>
            <w:r w:rsidRPr="00AB4E6A">
              <w:rPr>
                <w:rFonts w:asciiTheme="majorBidi" w:hAnsiTheme="majorBidi" w:cstheme="majorBidi"/>
              </w:rPr>
              <w:t>fee/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3AB83" w14:textId="77777777" w:rsidR="00AB4E6A" w:rsidRPr="00AB4E6A" w:rsidRDefault="00AB4E6A" w:rsidP="00AB4E6A">
            <w:pPr>
              <w:rPr>
                <w:rFonts w:asciiTheme="majorBidi" w:hAnsiTheme="majorBidi" w:cstheme="majorBidi"/>
              </w:rPr>
            </w:pPr>
            <w:r w:rsidRPr="00AB4E6A">
              <w:rPr>
                <w:rFonts w:asciiTheme="majorBidi" w:hAnsiTheme="majorBidi" w:cstheme="majorBidi"/>
              </w:rPr>
              <w:t>14329</w:t>
            </w:r>
          </w:p>
        </w:tc>
      </w:tr>
      <w:tr w:rsidR="00AB4E6A" w:rsidRPr="00AB4E6A" w14:paraId="1D3A3E2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1DE58" w14:textId="77777777" w:rsidR="00AB4E6A" w:rsidRPr="00AB4E6A" w:rsidRDefault="00AB4E6A" w:rsidP="00AB4E6A">
            <w:pPr>
              <w:rPr>
                <w:rFonts w:asciiTheme="majorBidi" w:hAnsiTheme="majorBidi" w:cstheme="majorBidi"/>
              </w:rPr>
            </w:pPr>
            <w:r w:rsidRPr="00AB4E6A">
              <w:rPr>
                <w:rFonts w:asciiTheme="majorBidi" w:hAnsiTheme="majorBidi" w:cstheme="majorBidi"/>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B9AE7" w14:textId="77777777" w:rsidR="00AB4E6A" w:rsidRPr="00AB4E6A" w:rsidRDefault="00AB4E6A" w:rsidP="00AB4E6A">
            <w:pPr>
              <w:rPr>
                <w:rFonts w:asciiTheme="majorBidi" w:hAnsiTheme="majorBidi" w:cstheme="majorBidi"/>
              </w:rPr>
            </w:pPr>
            <w:r w:rsidRPr="00AB4E6A">
              <w:rPr>
                <w:rFonts w:asciiTheme="majorBidi" w:hAnsiTheme="majorBidi" w:cstheme="majorBidi"/>
              </w:rPr>
              <w:t>budget/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27973" w14:textId="77777777" w:rsidR="00AB4E6A" w:rsidRPr="00AB4E6A" w:rsidRDefault="00AB4E6A" w:rsidP="00AB4E6A">
            <w:pPr>
              <w:rPr>
                <w:rFonts w:asciiTheme="majorBidi" w:hAnsiTheme="majorBidi" w:cstheme="majorBidi"/>
              </w:rPr>
            </w:pPr>
            <w:r w:rsidRPr="00AB4E6A">
              <w:rPr>
                <w:rFonts w:asciiTheme="majorBidi" w:hAnsiTheme="majorBidi" w:cstheme="majorBidi"/>
              </w:rPr>
              <w:t>30564</w:t>
            </w:r>
          </w:p>
        </w:tc>
      </w:tr>
      <w:tr w:rsidR="00AB4E6A" w:rsidRPr="00AB4E6A" w14:paraId="1D4BA9C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FC82B" w14:textId="77777777" w:rsidR="00AB4E6A" w:rsidRPr="00AB4E6A" w:rsidRDefault="00AB4E6A" w:rsidP="00AB4E6A">
            <w:pPr>
              <w:rPr>
                <w:rFonts w:asciiTheme="majorBidi" w:hAnsiTheme="majorBidi" w:cstheme="majorBidi"/>
              </w:rPr>
            </w:pPr>
            <w:r w:rsidRPr="00AB4E6A">
              <w:rPr>
                <w:rFonts w:asciiTheme="majorBidi" w:hAnsiTheme="majorBidi" w:cstheme="majorBidi"/>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EFD94" w14:textId="77777777" w:rsidR="00AB4E6A" w:rsidRPr="00AB4E6A" w:rsidRDefault="00AB4E6A" w:rsidP="00AB4E6A">
            <w:pPr>
              <w:rPr>
                <w:rFonts w:asciiTheme="majorBidi" w:hAnsiTheme="majorBidi" w:cstheme="majorBidi"/>
              </w:rPr>
            </w:pPr>
            <w:r w:rsidRPr="00AB4E6A">
              <w:rPr>
                <w:rFonts w:asciiTheme="majorBidi" w:hAnsiTheme="majorBidi" w:cstheme="majorBidi"/>
              </w:rPr>
              <w:t>budget$.tw.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2D615" w14:textId="77777777" w:rsidR="00AB4E6A" w:rsidRPr="00AB4E6A" w:rsidRDefault="00AB4E6A" w:rsidP="00AB4E6A">
            <w:pPr>
              <w:rPr>
                <w:rFonts w:asciiTheme="majorBidi" w:hAnsiTheme="majorBidi" w:cstheme="majorBidi"/>
              </w:rPr>
            </w:pPr>
            <w:r w:rsidRPr="00AB4E6A">
              <w:rPr>
                <w:rFonts w:asciiTheme="majorBidi" w:hAnsiTheme="majorBidi" w:cstheme="majorBidi"/>
              </w:rPr>
              <w:t>40639</w:t>
            </w:r>
          </w:p>
        </w:tc>
      </w:tr>
      <w:tr w:rsidR="00AB4E6A" w:rsidRPr="00AB4E6A" w14:paraId="1A6B8AA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C83C7" w14:textId="77777777" w:rsidR="00AB4E6A" w:rsidRPr="00AB4E6A" w:rsidRDefault="00AB4E6A" w:rsidP="00AB4E6A">
            <w:pPr>
              <w:rPr>
                <w:rFonts w:asciiTheme="majorBidi" w:hAnsiTheme="majorBidi" w:cstheme="majorBidi"/>
              </w:rPr>
            </w:pPr>
            <w:r w:rsidRPr="00AB4E6A">
              <w:rPr>
                <w:rFonts w:asciiTheme="majorBidi" w:hAnsiTheme="majorBidi" w:cstheme="majorBidi"/>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85B00"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7C7E0" w14:textId="77777777" w:rsidR="00AB4E6A" w:rsidRPr="00AB4E6A" w:rsidRDefault="00AB4E6A" w:rsidP="00AB4E6A">
            <w:pPr>
              <w:rPr>
                <w:rFonts w:asciiTheme="majorBidi" w:hAnsiTheme="majorBidi" w:cstheme="majorBidi"/>
              </w:rPr>
            </w:pPr>
            <w:r w:rsidRPr="00AB4E6A">
              <w:rPr>
                <w:rFonts w:asciiTheme="majorBidi" w:hAnsiTheme="majorBidi" w:cstheme="majorBidi"/>
              </w:rPr>
              <w:t>168111</w:t>
            </w:r>
          </w:p>
        </w:tc>
      </w:tr>
      <w:tr w:rsidR="00AB4E6A" w:rsidRPr="00AB4E6A" w14:paraId="07EB693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418CB" w14:textId="77777777" w:rsidR="00AB4E6A" w:rsidRPr="00AB4E6A" w:rsidRDefault="00AB4E6A" w:rsidP="00AB4E6A">
            <w:pPr>
              <w:rPr>
                <w:rFonts w:asciiTheme="majorBidi" w:hAnsiTheme="majorBidi" w:cstheme="majorBidi"/>
              </w:rPr>
            </w:pPr>
            <w:r w:rsidRPr="00AB4E6A">
              <w:rPr>
                <w:rFonts w:asciiTheme="majorBidi" w:hAnsiTheme="majorBidi" w:cstheme="majorBidi"/>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7E695"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(cost$ adj2 (effective$ or </w:t>
            </w:r>
            <w:proofErr w:type="spellStart"/>
            <w:r w:rsidRPr="00AB4E6A">
              <w:rPr>
                <w:rFonts w:asciiTheme="majorBidi" w:hAnsiTheme="majorBidi" w:cstheme="majorBidi"/>
              </w:rPr>
              <w:t>utilit</w:t>
            </w:r>
            <w:proofErr w:type="spellEnd"/>
            <w:r w:rsidRPr="00AB4E6A">
              <w:rPr>
                <w:rFonts w:asciiTheme="majorBidi" w:hAnsiTheme="majorBidi" w:cstheme="majorBidi"/>
              </w:rPr>
              <w:t xml:space="preserve">$ or benefit$ or </w:t>
            </w:r>
            <w:proofErr w:type="spellStart"/>
            <w:r w:rsidRPr="00AB4E6A">
              <w:rPr>
                <w:rFonts w:asciiTheme="majorBidi" w:hAnsiTheme="majorBidi" w:cstheme="majorBidi"/>
              </w:rPr>
              <w:t>minimi</w:t>
            </w:r>
            <w:proofErr w:type="spellEnd"/>
            <w:r w:rsidRPr="00AB4E6A">
              <w:rPr>
                <w:rFonts w:asciiTheme="majorBidi" w:hAnsiTheme="majorBidi" w:cstheme="majorBidi"/>
              </w:rPr>
              <w:t>$)</w:t>
            </w:r>
            <w:proofErr w:type="gramStart"/>
            <w:r w:rsidRPr="00AB4E6A">
              <w:rPr>
                <w:rFonts w:asciiTheme="majorBidi" w:hAnsiTheme="majorBidi" w:cstheme="majorBidi"/>
              </w:rPr>
              <w:t>).ab.</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5BCDE" w14:textId="77777777" w:rsidR="00AB4E6A" w:rsidRPr="00AB4E6A" w:rsidRDefault="00AB4E6A" w:rsidP="00AB4E6A">
            <w:pPr>
              <w:rPr>
                <w:rFonts w:asciiTheme="majorBidi" w:hAnsiTheme="majorBidi" w:cstheme="majorBidi"/>
              </w:rPr>
            </w:pPr>
            <w:r w:rsidRPr="00AB4E6A">
              <w:rPr>
                <w:rFonts w:asciiTheme="majorBidi" w:hAnsiTheme="majorBidi" w:cstheme="majorBidi"/>
              </w:rPr>
              <w:t>218259</w:t>
            </w:r>
          </w:p>
        </w:tc>
      </w:tr>
      <w:tr w:rsidR="00AB4E6A" w:rsidRPr="00AB4E6A" w14:paraId="24D03C8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03147" w14:textId="77777777" w:rsidR="00AB4E6A" w:rsidRPr="00AB4E6A" w:rsidRDefault="00AB4E6A" w:rsidP="00AB4E6A">
            <w:pPr>
              <w:rPr>
                <w:rFonts w:asciiTheme="majorBidi" w:hAnsiTheme="majorBidi" w:cstheme="majorBidi"/>
              </w:rPr>
            </w:pPr>
            <w:r w:rsidRPr="00AB4E6A">
              <w:rPr>
                <w:rFonts w:asciiTheme="majorBidi" w:hAnsiTheme="majorBidi" w:cstheme="majorBid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F69E0"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or pharmacoeconomic$ or pharmaco-economic$).</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DA498" w14:textId="77777777" w:rsidR="00AB4E6A" w:rsidRPr="00AB4E6A" w:rsidRDefault="00AB4E6A" w:rsidP="00AB4E6A">
            <w:pPr>
              <w:rPr>
                <w:rFonts w:asciiTheme="majorBidi" w:hAnsiTheme="majorBidi" w:cstheme="majorBidi"/>
              </w:rPr>
            </w:pPr>
            <w:r w:rsidRPr="00AB4E6A">
              <w:rPr>
                <w:rFonts w:asciiTheme="majorBidi" w:hAnsiTheme="majorBidi" w:cstheme="majorBidi"/>
              </w:rPr>
              <w:t>64563</w:t>
            </w:r>
          </w:p>
        </w:tc>
      </w:tr>
      <w:tr w:rsidR="00AB4E6A" w:rsidRPr="00AB4E6A" w14:paraId="1BDCC9D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FC530" w14:textId="77777777" w:rsidR="00AB4E6A" w:rsidRPr="00AB4E6A" w:rsidRDefault="00AB4E6A" w:rsidP="00AB4E6A">
            <w:pPr>
              <w:rPr>
                <w:rFonts w:asciiTheme="majorBidi" w:hAnsiTheme="majorBidi" w:cstheme="majorBidi"/>
              </w:rPr>
            </w:pPr>
            <w:r w:rsidRPr="00AB4E6A">
              <w:rPr>
                <w:rFonts w:asciiTheme="majorBidi" w:hAnsiTheme="majorBidi" w:cstheme="majorBidi"/>
              </w:rPr>
              <w:lastRenderedPageBreak/>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CA5B7" w14:textId="77777777" w:rsidR="00AB4E6A" w:rsidRPr="00AB4E6A" w:rsidRDefault="00AB4E6A" w:rsidP="00AB4E6A">
            <w:pPr>
              <w:rPr>
                <w:rFonts w:asciiTheme="majorBidi" w:hAnsiTheme="majorBidi" w:cstheme="majorBidi"/>
              </w:rPr>
            </w:pPr>
            <w:r w:rsidRPr="00AB4E6A">
              <w:rPr>
                <w:rFonts w:asciiTheme="majorBidi" w:hAnsiTheme="majorBidi" w:cstheme="majorBidi"/>
              </w:rPr>
              <w:t>(price$ or pricing$).</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E512B" w14:textId="77777777" w:rsidR="00AB4E6A" w:rsidRPr="00AB4E6A" w:rsidRDefault="00AB4E6A" w:rsidP="00AB4E6A">
            <w:pPr>
              <w:rPr>
                <w:rFonts w:asciiTheme="majorBidi" w:hAnsiTheme="majorBidi" w:cstheme="majorBidi"/>
              </w:rPr>
            </w:pPr>
            <w:r w:rsidRPr="00AB4E6A">
              <w:rPr>
                <w:rFonts w:asciiTheme="majorBidi" w:hAnsiTheme="majorBidi" w:cstheme="majorBidi"/>
              </w:rPr>
              <w:t>60859</w:t>
            </w:r>
          </w:p>
        </w:tc>
      </w:tr>
      <w:tr w:rsidR="00AB4E6A" w:rsidRPr="00AB4E6A" w14:paraId="0C8DED3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83A9D" w14:textId="77777777" w:rsidR="00AB4E6A" w:rsidRPr="00AB4E6A" w:rsidRDefault="00AB4E6A" w:rsidP="00AB4E6A">
            <w:pPr>
              <w:rPr>
                <w:rFonts w:asciiTheme="majorBidi" w:hAnsiTheme="majorBidi" w:cstheme="majorBidi"/>
              </w:rPr>
            </w:pPr>
            <w:r w:rsidRPr="00AB4E6A">
              <w:rPr>
                <w:rFonts w:asciiTheme="majorBidi" w:hAnsiTheme="majorBidi" w:cstheme="majorBid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D5608"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financial</w:t>
            </w:r>
            <w:proofErr w:type="gramEnd"/>
            <w:r w:rsidRPr="00AB4E6A">
              <w:rPr>
                <w:rFonts w:asciiTheme="majorBidi" w:hAnsiTheme="majorBidi" w:cstheme="majorBidi"/>
              </w:rPr>
              <w:t xml:space="preserve"> or finance or finances or financed).</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A1ED7" w14:textId="77777777" w:rsidR="00AB4E6A" w:rsidRPr="00AB4E6A" w:rsidRDefault="00AB4E6A" w:rsidP="00AB4E6A">
            <w:pPr>
              <w:rPr>
                <w:rFonts w:asciiTheme="majorBidi" w:hAnsiTheme="majorBidi" w:cstheme="majorBidi"/>
              </w:rPr>
            </w:pPr>
            <w:r w:rsidRPr="00AB4E6A">
              <w:rPr>
                <w:rFonts w:asciiTheme="majorBidi" w:hAnsiTheme="majorBidi" w:cstheme="majorBidi"/>
              </w:rPr>
              <w:t>135326</w:t>
            </w:r>
          </w:p>
        </w:tc>
      </w:tr>
      <w:tr w:rsidR="00AB4E6A" w:rsidRPr="00AB4E6A" w14:paraId="2055128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26711" w14:textId="77777777" w:rsidR="00AB4E6A" w:rsidRPr="00AB4E6A" w:rsidRDefault="00AB4E6A" w:rsidP="00AB4E6A">
            <w:pPr>
              <w:rPr>
                <w:rFonts w:asciiTheme="majorBidi" w:hAnsiTheme="majorBidi" w:cstheme="majorBidi"/>
              </w:rPr>
            </w:pPr>
            <w:r w:rsidRPr="00AB4E6A">
              <w:rPr>
                <w:rFonts w:asciiTheme="majorBidi" w:hAnsiTheme="majorBidi" w:cstheme="majorBid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8DC55"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fee</w:t>
            </w:r>
            <w:proofErr w:type="gramEnd"/>
            <w:r w:rsidRPr="00AB4E6A">
              <w:rPr>
                <w:rFonts w:asciiTheme="majorBidi" w:hAnsiTheme="majorBidi" w:cstheme="majorBidi"/>
              </w:rPr>
              <w:t xml:space="preserve"> or fees).</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96498" w14:textId="77777777" w:rsidR="00AB4E6A" w:rsidRPr="00AB4E6A" w:rsidRDefault="00AB4E6A" w:rsidP="00AB4E6A">
            <w:pPr>
              <w:rPr>
                <w:rFonts w:asciiTheme="majorBidi" w:hAnsiTheme="majorBidi" w:cstheme="majorBidi"/>
              </w:rPr>
            </w:pPr>
            <w:r w:rsidRPr="00AB4E6A">
              <w:rPr>
                <w:rFonts w:asciiTheme="majorBidi" w:hAnsiTheme="majorBidi" w:cstheme="majorBidi"/>
              </w:rPr>
              <w:t>25728</w:t>
            </w:r>
          </w:p>
        </w:tc>
      </w:tr>
      <w:tr w:rsidR="00AB4E6A" w:rsidRPr="00AB4E6A" w14:paraId="7299C8B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3BF4B" w14:textId="77777777" w:rsidR="00AB4E6A" w:rsidRPr="00AB4E6A" w:rsidRDefault="00AB4E6A" w:rsidP="00AB4E6A">
            <w:pPr>
              <w:rPr>
                <w:rFonts w:asciiTheme="majorBidi" w:hAnsiTheme="majorBidi" w:cstheme="majorBidi"/>
              </w:rPr>
            </w:pPr>
            <w:r w:rsidRPr="00AB4E6A">
              <w:rPr>
                <w:rFonts w:asciiTheme="majorBidi" w:hAnsiTheme="majorBidi" w:cstheme="majorBidi"/>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E97AE"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value</w:t>
            </w:r>
            <w:proofErr w:type="gramEnd"/>
            <w:r w:rsidRPr="00AB4E6A">
              <w:rPr>
                <w:rFonts w:asciiTheme="majorBidi" w:hAnsiTheme="majorBidi" w:cstheme="majorBidi"/>
              </w:rPr>
              <w:t xml:space="preserve"> adj2 (money or monetary)).</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DDCBC" w14:textId="77777777" w:rsidR="00AB4E6A" w:rsidRPr="00AB4E6A" w:rsidRDefault="00AB4E6A" w:rsidP="00AB4E6A">
            <w:pPr>
              <w:rPr>
                <w:rFonts w:asciiTheme="majorBidi" w:hAnsiTheme="majorBidi" w:cstheme="majorBidi"/>
              </w:rPr>
            </w:pPr>
            <w:r w:rsidRPr="00AB4E6A">
              <w:rPr>
                <w:rFonts w:asciiTheme="majorBidi" w:hAnsiTheme="majorBidi" w:cstheme="majorBidi"/>
              </w:rPr>
              <w:t>3455</w:t>
            </w:r>
          </w:p>
        </w:tc>
      </w:tr>
      <w:tr w:rsidR="00AB4E6A" w:rsidRPr="00AB4E6A" w14:paraId="5B24411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561E8" w14:textId="77777777" w:rsidR="00AB4E6A" w:rsidRPr="00AB4E6A" w:rsidRDefault="00AB4E6A" w:rsidP="00AB4E6A">
            <w:pPr>
              <w:rPr>
                <w:rFonts w:asciiTheme="majorBidi" w:hAnsiTheme="majorBidi" w:cstheme="majorBidi"/>
              </w:rPr>
            </w:pPr>
            <w:r w:rsidRPr="00AB4E6A">
              <w:rPr>
                <w:rFonts w:asciiTheme="majorBidi" w:hAnsiTheme="majorBidi" w:cstheme="majorBidi"/>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9C3E5" w14:textId="77777777" w:rsidR="00AB4E6A" w:rsidRPr="00AB4E6A" w:rsidRDefault="00AB4E6A" w:rsidP="00AB4E6A">
            <w:pPr>
              <w:rPr>
                <w:rFonts w:asciiTheme="majorBidi" w:hAnsiTheme="majorBidi" w:cstheme="majorBidi"/>
              </w:rPr>
            </w:pPr>
            <w:r w:rsidRPr="00AB4E6A">
              <w:rPr>
                <w:rFonts w:asciiTheme="majorBidi" w:hAnsiTheme="majorBidi" w:cstheme="majorBidi"/>
              </w:rPr>
              <w:t>health care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CEE06" w14:textId="77777777" w:rsidR="00AB4E6A" w:rsidRPr="00AB4E6A" w:rsidRDefault="00AB4E6A" w:rsidP="00AB4E6A">
            <w:pPr>
              <w:rPr>
                <w:rFonts w:asciiTheme="majorBidi" w:hAnsiTheme="majorBidi" w:cstheme="majorBidi"/>
              </w:rPr>
            </w:pPr>
            <w:r w:rsidRPr="00AB4E6A">
              <w:rPr>
                <w:rFonts w:asciiTheme="majorBidi" w:hAnsiTheme="majorBidi" w:cstheme="majorBidi"/>
              </w:rPr>
              <w:t>247699</w:t>
            </w:r>
          </w:p>
        </w:tc>
      </w:tr>
      <w:tr w:rsidR="00AB4E6A" w:rsidRPr="00AB4E6A" w14:paraId="2E093E9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29C6D" w14:textId="77777777" w:rsidR="00AB4E6A" w:rsidRPr="00AB4E6A" w:rsidRDefault="00AB4E6A" w:rsidP="00AB4E6A">
            <w:pPr>
              <w:rPr>
                <w:rFonts w:asciiTheme="majorBidi" w:hAnsiTheme="majorBidi" w:cstheme="majorBidi"/>
              </w:rPr>
            </w:pPr>
            <w:r w:rsidRPr="00AB4E6A">
              <w:rPr>
                <w:rFonts w:asciiTheme="majorBidi" w:hAnsiTheme="majorBidi" w:cstheme="majorBidi"/>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7BF7D" w14:textId="77777777" w:rsidR="00AB4E6A" w:rsidRPr="00AB4E6A" w:rsidRDefault="00AB4E6A" w:rsidP="00AB4E6A">
            <w:pPr>
              <w:rPr>
                <w:rFonts w:asciiTheme="majorBidi" w:hAnsiTheme="majorBidi" w:cstheme="majorBidi"/>
              </w:rPr>
            </w:pPr>
            <w:r w:rsidRPr="00AB4E6A">
              <w:rPr>
                <w:rFonts w:asciiTheme="majorBidi" w:hAnsiTheme="majorBidi" w:cstheme="majorBidi"/>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9F99A" w14:textId="77777777" w:rsidR="00AB4E6A" w:rsidRPr="00AB4E6A" w:rsidRDefault="00AB4E6A" w:rsidP="00AB4E6A">
            <w:pPr>
              <w:rPr>
                <w:rFonts w:asciiTheme="majorBidi" w:hAnsiTheme="majorBidi" w:cstheme="majorBidi"/>
              </w:rPr>
            </w:pPr>
            <w:r w:rsidRPr="00AB4E6A">
              <w:rPr>
                <w:rFonts w:asciiTheme="majorBidi" w:hAnsiTheme="majorBidi" w:cstheme="majorBidi"/>
              </w:rPr>
              <w:t>28517</w:t>
            </w:r>
          </w:p>
        </w:tc>
      </w:tr>
      <w:tr w:rsidR="00AB4E6A" w:rsidRPr="00AB4E6A" w14:paraId="301EFAE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32928" w14:textId="77777777" w:rsidR="00AB4E6A" w:rsidRPr="00AB4E6A" w:rsidRDefault="00AB4E6A" w:rsidP="00AB4E6A">
            <w:pPr>
              <w:rPr>
                <w:rFonts w:asciiTheme="majorBidi" w:hAnsiTheme="majorBidi" w:cstheme="majorBidi"/>
              </w:rPr>
            </w:pPr>
            <w:r w:rsidRPr="00AB4E6A">
              <w:rPr>
                <w:rFonts w:asciiTheme="majorBidi" w:hAnsiTheme="majorBidi" w:cstheme="majorBidi"/>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EC400"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proofErr w:type="gramStart"/>
            <w:r w:rsidRPr="00AB4E6A">
              <w:rPr>
                <w:rFonts w:asciiTheme="majorBidi" w:hAnsiTheme="majorBidi" w:cstheme="majorBidi"/>
              </w:rPr>
              <w:t>qaly</w:t>
            </w:r>
            <w:proofErr w:type="spellEnd"/>
            <w:proofErr w:type="gramEnd"/>
            <w:r w:rsidRPr="00AB4E6A">
              <w:rPr>
                <w:rFonts w:asciiTheme="majorBidi" w:hAnsiTheme="majorBidi" w:cstheme="majorBidi"/>
              </w:rPr>
              <w:t xml:space="preserve"> or </w:t>
            </w:r>
            <w:proofErr w:type="spellStart"/>
            <w:r w:rsidRPr="00AB4E6A">
              <w:rPr>
                <w:rFonts w:asciiTheme="majorBidi" w:hAnsiTheme="majorBidi" w:cstheme="majorBidi"/>
              </w:rPr>
              <w:t>qalys</w:t>
            </w:r>
            <w:proofErr w:type="spellEnd"/>
            <w:r w:rsidRPr="00AB4E6A">
              <w:rPr>
                <w:rFonts w:asciiTheme="majorBidi" w:hAnsiTheme="majorBidi" w:cstheme="majorBidi"/>
              </w:rPr>
              <w:t>).</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21BBD" w14:textId="77777777" w:rsidR="00AB4E6A" w:rsidRPr="00AB4E6A" w:rsidRDefault="00AB4E6A" w:rsidP="00AB4E6A">
            <w:pPr>
              <w:rPr>
                <w:rFonts w:asciiTheme="majorBidi" w:hAnsiTheme="majorBidi" w:cstheme="majorBidi"/>
              </w:rPr>
            </w:pPr>
            <w:r w:rsidRPr="00AB4E6A">
              <w:rPr>
                <w:rFonts w:asciiTheme="majorBidi" w:hAnsiTheme="majorBidi" w:cstheme="majorBidi"/>
              </w:rPr>
              <w:t>21188</w:t>
            </w:r>
          </w:p>
        </w:tc>
      </w:tr>
      <w:tr w:rsidR="00AB4E6A" w:rsidRPr="00AB4E6A" w14:paraId="5BC9673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C3035" w14:textId="77777777" w:rsidR="00AB4E6A" w:rsidRPr="00AB4E6A" w:rsidRDefault="00AB4E6A" w:rsidP="00AB4E6A">
            <w:pPr>
              <w:rPr>
                <w:rFonts w:asciiTheme="majorBidi" w:hAnsiTheme="majorBidi" w:cstheme="majorBidi"/>
              </w:rPr>
            </w:pPr>
            <w:r w:rsidRPr="00AB4E6A">
              <w:rPr>
                <w:rFonts w:asciiTheme="majorBidi" w:hAnsiTheme="majorBidi" w:cstheme="majorBidi"/>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23540"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quality</w:t>
            </w:r>
            <w:proofErr w:type="gramEnd"/>
            <w:r w:rsidRPr="00AB4E6A">
              <w:rPr>
                <w:rFonts w:asciiTheme="majorBidi" w:hAnsiTheme="majorBidi" w:cstheme="majorBidi"/>
              </w:rPr>
              <w:t xml:space="preserve"> adjusted life year or quality adjusted life years).</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1A37B" w14:textId="77777777" w:rsidR="00AB4E6A" w:rsidRPr="00AB4E6A" w:rsidRDefault="00AB4E6A" w:rsidP="00AB4E6A">
            <w:pPr>
              <w:rPr>
                <w:rFonts w:asciiTheme="majorBidi" w:hAnsiTheme="majorBidi" w:cstheme="majorBidi"/>
              </w:rPr>
            </w:pPr>
            <w:r w:rsidRPr="00AB4E6A">
              <w:rPr>
                <w:rFonts w:asciiTheme="majorBidi" w:hAnsiTheme="majorBidi" w:cstheme="majorBidi"/>
              </w:rPr>
              <w:t>20472</w:t>
            </w:r>
          </w:p>
        </w:tc>
      </w:tr>
      <w:tr w:rsidR="00AB4E6A" w:rsidRPr="00AB4E6A" w14:paraId="0253C18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AB340" w14:textId="77777777" w:rsidR="00AB4E6A" w:rsidRPr="00AB4E6A" w:rsidRDefault="00AB4E6A" w:rsidP="00AB4E6A">
            <w:pPr>
              <w:rPr>
                <w:rFonts w:asciiTheme="majorBidi" w:hAnsiTheme="majorBidi" w:cstheme="majorBidi"/>
              </w:rPr>
            </w:pPr>
            <w:r w:rsidRPr="00AB4E6A">
              <w:rPr>
                <w:rFonts w:asciiTheme="majorBidi" w:hAnsiTheme="majorBidi" w:cstheme="majorBidi"/>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B9682" w14:textId="77777777" w:rsidR="00AB4E6A" w:rsidRPr="00AB4E6A" w:rsidRDefault="00AB4E6A" w:rsidP="00AB4E6A">
            <w:pPr>
              <w:rPr>
                <w:rFonts w:asciiTheme="majorBidi" w:hAnsiTheme="majorBidi" w:cstheme="majorBidi"/>
              </w:rPr>
            </w:pPr>
            <w:r w:rsidRPr="00AB4E6A">
              <w:rPr>
                <w:rFonts w:asciiTheme="majorBidi" w:hAnsiTheme="majorBidi" w:cstheme="majorBidi"/>
              </w:rPr>
              <w:t>or/11-29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9E785" w14:textId="77777777" w:rsidR="00AB4E6A" w:rsidRPr="00AB4E6A" w:rsidRDefault="00AB4E6A" w:rsidP="00AB4E6A">
            <w:pPr>
              <w:rPr>
                <w:rFonts w:asciiTheme="majorBidi" w:hAnsiTheme="majorBidi" w:cstheme="majorBidi"/>
              </w:rPr>
            </w:pPr>
            <w:r w:rsidRPr="00AB4E6A">
              <w:rPr>
                <w:rFonts w:asciiTheme="majorBidi" w:hAnsiTheme="majorBidi" w:cstheme="majorBidi"/>
              </w:rPr>
              <w:t>1102354</w:t>
            </w:r>
          </w:p>
        </w:tc>
      </w:tr>
      <w:tr w:rsidR="00AB4E6A" w:rsidRPr="00AB4E6A" w14:paraId="68D2A97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4BE5F" w14:textId="77777777" w:rsidR="00AB4E6A" w:rsidRPr="00AB4E6A" w:rsidRDefault="00AB4E6A" w:rsidP="00AB4E6A">
            <w:pPr>
              <w:rPr>
                <w:rFonts w:asciiTheme="majorBidi" w:hAnsiTheme="majorBidi" w:cstheme="majorBidi"/>
              </w:rPr>
            </w:pPr>
            <w:r w:rsidRPr="00AB4E6A">
              <w:rPr>
                <w:rFonts w:asciiTheme="majorBidi" w:hAnsiTheme="majorBidi" w:cstheme="majorBidi"/>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82A4B" w14:textId="77777777" w:rsidR="00AB4E6A" w:rsidRPr="00AB4E6A" w:rsidRDefault="00AB4E6A" w:rsidP="00AB4E6A">
            <w:pPr>
              <w:rPr>
                <w:rFonts w:asciiTheme="majorBidi" w:hAnsiTheme="majorBidi" w:cstheme="majorBidi"/>
              </w:rPr>
            </w:pPr>
            <w:r w:rsidRPr="00AB4E6A">
              <w:rPr>
                <w:rFonts w:asciiTheme="majorBidi" w:hAnsiTheme="majorBidi" w:cstheme="majorBidi"/>
              </w:rPr>
              <w:t>letter.pt.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B3951" w14:textId="77777777" w:rsidR="00AB4E6A" w:rsidRPr="00AB4E6A" w:rsidRDefault="00AB4E6A" w:rsidP="00AB4E6A">
            <w:pPr>
              <w:rPr>
                <w:rFonts w:asciiTheme="majorBidi" w:hAnsiTheme="majorBidi" w:cstheme="majorBidi"/>
              </w:rPr>
            </w:pPr>
            <w:r w:rsidRPr="00AB4E6A">
              <w:rPr>
                <w:rFonts w:asciiTheme="majorBidi" w:hAnsiTheme="majorBidi" w:cstheme="majorBidi"/>
              </w:rPr>
              <w:t>1185036</w:t>
            </w:r>
          </w:p>
        </w:tc>
      </w:tr>
      <w:tr w:rsidR="00AB4E6A" w:rsidRPr="00AB4E6A" w14:paraId="3D0EC60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D5B81" w14:textId="77777777" w:rsidR="00AB4E6A" w:rsidRPr="00AB4E6A" w:rsidRDefault="00AB4E6A" w:rsidP="00AB4E6A">
            <w:pPr>
              <w:rPr>
                <w:rFonts w:asciiTheme="majorBidi" w:hAnsiTheme="majorBidi" w:cstheme="majorBidi"/>
              </w:rPr>
            </w:pPr>
            <w:r w:rsidRPr="00AB4E6A">
              <w:rPr>
                <w:rFonts w:asciiTheme="majorBidi" w:hAnsiTheme="majorBidi" w:cstheme="majorBidi"/>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C530F" w14:textId="77777777" w:rsidR="00AB4E6A" w:rsidRPr="00AB4E6A" w:rsidRDefault="00AB4E6A" w:rsidP="00AB4E6A">
            <w:pPr>
              <w:rPr>
                <w:rFonts w:asciiTheme="majorBidi" w:hAnsiTheme="majorBidi" w:cstheme="majorBidi"/>
              </w:rPr>
            </w:pPr>
            <w:r w:rsidRPr="00AB4E6A">
              <w:rPr>
                <w:rFonts w:asciiTheme="majorBidi" w:hAnsiTheme="majorBidi" w:cstheme="majorBidi"/>
              </w:rPr>
              <w:t>editorial.pt.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B2F35" w14:textId="77777777" w:rsidR="00AB4E6A" w:rsidRPr="00AB4E6A" w:rsidRDefault="00AB4E6A" w:rsidP="00AB4E6A">
            <w:pPr>
              <w:rPr>
                <w:rFonts w:asciiTheme="majorBidi" w:hAnsiTheme="majorBidi" w:cstheme="majorBidi"/>
              </w:rPr>
            </w:pPr>
            <w:r w:rsidRPr="00AB4E6A">
              <w:rPr>
                <w:rFonts w:asciiTheme="majorBidi" w:hAnsiTheme="majorBidi" w:cstheme="majorBidi"/>
              </w:rPr>
              <w:t>691062</w:t>
            </w:r>
          </w:p>
        </w:tc>
      </w:tr>
      <w:tr w:rsidR="00AB4E6A" w:rsidRPr="00AB4E6A" w14:paraId="34253AD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059E7" w14:textId="77777777" w:rsidR="00AB4E6A" w:rsidRPr="00AB4E6A" w:rsidRDefault="00AB4E6A" w:rsidP="00AB4E6A">
            <w:pPr>
              <w:rPr>
                <w:rFonts w:asciiTheme="majorBidi" w:hAnsiTheme="majorBidi" w:cstheme="majorBidi"/>
              </w:rPr>
            </w:pPr>
            <w:r w:rsidRPr="00AB4E6A">
              <w:rPr>
                <w:rFonts w:asciiTheme="majorBidi" w:hAnsiTheme="majorBidi" w:cstheme="majorBidi"/>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5DED1" w14:textId="77777777" w:rsidR="00AB4E6A" w:rsidRPr="00AB4E6A" w:rsidRDefault="00AB4E6A" w:rsidP="00AB4E6A">
            <w:pPr>
              <w:rPr>
                <w:rFonts w:asciiTheme="majorBidi" w:hAnsiTheme="majorBidi" w:cstheme="majorBidi"/>
              </w:rPr>
            </w:pPr>
            <w:r w:rsidRPr="00AB4E6A">
              <w:rPr>
                <w:rFonts w:asciiTheme="majorBidi" w:hAnsiTheme="majorBidi" w:cstheme="majorBidi"/>
              </w:rPr>
              <w:t>historical article.pt.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C0FB"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71A48C6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F4C42" w14:textId="77777777" w:rsidR="00AB4E6A" w:rsidRPr="00AB4E6A" w:rsidRDefault="00AB4E6A" w:rsidP="00AB4E6A">
            <w:pPr>
              <w:rPr>
                <w:rFonts w:asciiTheme="majorBidi" w:hAnsiTheme="majorBidi" w:cstheme="majorBidi"/>
              </w:rPr>
            </w:pPr>
            <w:r w:rsidRPr="00AB4E6A">
              <w:rPr>
                <w:rFonts w:asciiTheme="majorBidi" w:hAnsiTheme="majorBidi" w:cstheme="majorBidi"/>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D4702" w14:textId="77777777" w:rsidR="00AB4E6A" w:rsidRPr="00AB4E6A" w:rsidRDefault="00AB4E6A" w:rsidP="00AB4E6A">
            <w:pPr>
              <w:rPr>
                <w:rFonts w:asciiTheme="majorBidi" w:hAnsiTheme="majorBidi" w:cstheme="majorBidi"/>
              </w:rPr>
            </w:pPr>
            <w:r w:rsidRPr="00AB4E6A">
              <w:rPr>
                <w:rFonts w:asciiTheme="majorBidi" w:hAnsiTheme="majorBidi" w:cstheme="majorBidi"/>
              </w:rPr>
              <w:t>or/31-33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9F90F" w14:textId="77777777" w:rsidR="00AB4E6A" w:rsidRPr="00AB4E6A" w:rsidRDefault="00AB4E6A" w:rsidP="00AB4E6A">
            <w:pPr>
              <w:rPr>
                <w:rFonts w:asciiTheme="majorBidi" w:hAnsiTheme="majorBidi" w:cstheme="majorBidi"/>
              </w:rPr>
            </w:pPr>
            <w:r w:rsidRPr="00AB4E6A">
              <w:rPr>
                <w:rFonts w:asciiTheme="majorBidi" w:hAnsiTheme="majorBidi" w:cstheme="majorBidi"/>
              </w:rPr>
              <w:t>1876098</w:t>
            </w:r>
          </w:p>
        </w:tc>
      </w:tr>
      <w:tr w:rsidR="00AB4E6A" w:rsidRPr="00AB4E6A" w14:paraId="43BDA0C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BA1CA" w14:textId="77777777" w:rsidR="00AB4E6A" w:rsidRPr="00AB4E6A" w:rsidRDefault="00AB4E6A" w:rsidP="00AB4E6A">
            <w:pPr>
              <w:rPr>
                <w:rFonts w:asciiTheme="majorBidi" w:hAnsiTheme="majorBidi" w:cstheme="majorBidi"/>
              </w:rPr>
            </w:pPr>
            <w:r w:rsidRPr="00AB4E6A">
              <w:rPr>
                <w:rFonts w:asciiTheme="majorBidi" w:hAnsiTheme="majorBidi" w:cstheme="majorBidi"/>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A8FC8" w14:textId="77777777" w:rsidR="00AB4E6A" w:rsidRPr="00AB4E6A" w:rsidRDefault="00AB4E6A" w:rsidP="00AB4E6A">
            <w:pPr>
              <w:rPr>
                <w:rFonts w:asciiTheme="majorBidi" w:hAnsiTheme="majorBidi" w:cstheme="majorBidi"/>
              </w:rPr>
            </w:pPr>
            <w:r w:rsidRPr="00AB4E6A">
              <w:rPr>
                <w:rFonts w:asciiTheme="majorBidi" w:hAnsiTheme="majorBidi" w:cstheme="majorBidi"/>
              </w:rPr>
              <w:t>30 not 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ADDDA" w14:textId="77777777" w:rsidR="00AB4E6A" w:rsidRPr="00AB4E6A" w:rsidRDefault="00AB4E6A" w:rsidP="00AB4E6A">
            <w:pPr>
              <w:rPr>
                <w:rFonts w:asciiTheme="majorBidi" w:hAnsiTheme="majorBidi" w:cstheme="majorBidi"/>
              </w:rPr>
            </w:pPr>
            <w:r w:rsidRPr="00AB4E6A">
              <w:rPr>
                <w:rFonts w:asciiTheme="majorBidi" w:hAnsiTheme="majorBidi" w:cstheme="majorBidi"/>
              </w:rPr>
              <w:t>1021484</w:t>
            </w:r>
          </w:p>
        </w:tc>
      </w:tr>
      <w:tr w:rsidR="00AB4E6A" w:rsidRPr="00AB4E6A" w14:paraId="4653002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DCF0E" w14:textId="77777777" w:rsidR="00AB4E6A" w:rsidRPr="00AB4E6A" w:rsidRDefault="00AB4E6A" w:rsidP="00AB4E6A">
            <w:pPr>
              <w:rPr>
                <w:rFonts w:asciiTheme="majorBidi" w:hAnsiTheme="majorBidi" w:cstheme="majorBidi"/>
              </w:rPr>
            </w:pPr>
            <w:r w:rsidRPr="00AB4E6A">
              <w:rPr>
                <w:rFonts w:asciiTheme="majorBidi" w:hAnsiTheme="majorBidi" w:cstheme="majorBidi"/>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D20FA" w14:textId="77777777" w:rsidR="00AB4E6A" w:rsidRPr="00AB4E6A" w:rsidRDefault="00AB4E6A" w:rsidP="00AB4E6A">
            <w:pPr>
              <w:rPr>
                <w:rFonts w:asciiTheme="majorBidi" w:hAnsiTheme="majorBidi" w:cstheme="majorBidi"/>
              </w:rPr>
            </w:pPr>
            <w:r w:rsidRPr="00AB4E6A">
              <w:rPr>
                <w:rFonts w:asciiTheme="majorBidi" w:hAnsiTheme="majorBidi" w:cstheme="majorBidi"/>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70F4E" w14:textId="77777777" w:rsidR="00AB4E6A" w:rsidRPr="00AB4E6A" w:rsidRDefault="00AB4E6A" w:rsidP="00AB4E6A">
            <w:pPr>
              <w:rPr>
                <w:rFonts w:asciiTheme="majorBidi" w:hAnsiTheme="majorBidi" w:cstheme="majorBidi"/>
              </w:rPr>
            </w:pPr>
            <w:r w:rsidRPr="00AB4E6A">
              <w:rPr>
                <w:rFonts w:asciiTheme="majorBidi" w:hAnsiTheme="majorBidi" w:cstheme="majorBidi"/>
              </w:rPr>
              <w:t>1253461</w:t>
            </w:r>
          </w:p>
        </w:tc>
      </w:tr>
      <w:tr w:rsidR="00AB4E6A" w:rsidRPr="00AB4E6A" w14:paraId="6B36A21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A73D8" w14:textId="77777777" w:rsidR="00AB4E6A" w:rsidRPr="00AB4E6A" w:rsidRDefault="00AB4E6A" w:rsidP="00AB4E6A">
            <w:pPr>
              <w:rPr>
                <w:rFonts w:asciiTheme="majorBidi" w:hAnsiTheme="majorBidi" w:cstheme="majorBidi"/>
              </w:rPr>
            </w:pPr>
            <w:r w:rsidRPr="00AB4E6A">
              <w:rPr>
                <w:rFonts w:asciiTheme="majorBidi" w:hAnsiTheme="majorBidi" w:cstheme="majorBidi"/>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B19D5" w14:textId="77777777" w:rsidR="00AB4E6A" w:rsidRPr="00AB4E6A" w:rsidRDefault="00AB4E6A" w:rsidP="00AB4E6A">
            <w:pPr>
              <w:rPr>
                <w:rFonts w:asciiTheme="majorBidi" w:hAnsiTheme="majorBidi" w:cstheme="majorBidi"/>
              </w:rPr>
            </w:pPr>
            <w:r w:rsidRPr="00AB4E6A">
              <w:rPr>
                <w:rFonts w:asciiTheme="majorBidi" w:hAnsiTheme="majorBidi" w:cstheme="majorBidi"/>
              </w:rPr>
              <w:t>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ADDAA" w14:textId="77777777" w:rsidR="00AB4E6A" w:rsidRPr="00AB4E6A" w:rsidRDefault="00AB4E6A" w:rsidP="00AB4E6A">
            <w:pPr>
              <w:rPr>
                <w:rFonts w:asciiTheme="majorBidi" w:hAnsiTheme="majorBidi" w:cstheme="majorBidi"/>
              </w:rPr>
            </w:pPr>
            <w:r w:rsidRPr="00AB4E6A">
              <w:rPr>
                <w:rFonts w:asciiTheme="majorBidi" w:hAnsiTheme="majorBidi" w:cstheme="majorBidi"/>
              </w:rPr>
              <w:t>13458185</w:t>
            </w:r>
          </w:p>
        </w:tc>
      </w:tr>
      <w:tr w:rsidR="00AB4E6A" w:rsidRPr="00AB4E6A" w14:paraId="2AAF8A7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441D1" w14:textId="77777777" w:rsidR="00AB4E6A" w:rsidRPr="00AB4E6A" w:rsidRDefault="00AB4E6A" w:rsidP="00AB4E6A">
            <w:pPr>
              <w:rPr>
                <w:rFonts w:asciiTheme="majorBidi" w:hAnsiTheme="majorBidi" w:cstheme="majorBidi"/>
              </w:rPr>
            </w:pPr>
            <w:r w:rsidRPr="00AB4E6A">
              <w:rPr>
                <w:rFonts w:asciiTheme="majorBidi" w:hAnsiTheme="majorBidi" w:cstheme="majorBidi"/>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DA819" w14:textId="77777777" w:rsidR="00AB4E6A" w:rsidRPr="00AB4E6A" w:rsidRDefault="00AB4E6A" w:rsidP="00AB4E6A">
            <w:pPr>
              <w:rPr>
                <w:rFonts w:asciiTheme="majorBidi" w:hAnsiTheme="majorBidi" w:cstheme="majorBidi"/>
              </w:rPr>
            </w:pPr>
            <w:r w:rsidRPr="00AB4E6A">
              <w:rPr>
                <w:rFonts w:asciiTheme="majorBidi" w:hAnsiTheme="majorBidi" w:cstheme="majorBidi"/>
              </w:rPr>
              <w:t>36 not (36 and 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69143" w14:textId="77777777" w:rsidR="00AB4E6A" w:rsidRPr="00AB4E6A" w:rsidRDefault="00AB4E6A" w:rsidP="00AB4E6A">
            <w:pPr>
              <w:rPr>
                <w:rFonts w:asciiTheme="majorBidi" w:hAnsiTheme="majorBidi" w:cstheme="majorBidi"/>
              </w:rPr>
            </w:pPr>
            <w:r w:rsidRPr="00AB4E6A">
              <w:rPr>
                <w:rFonts w:asciiTheme="majorBidi" w:hAnsiTheme="majorBidi" w:cstheme="majorBidi"/>
              </w:rPr>
              <w:t>965742</w:t>
            </w:r>
          </w:p>
        </w:tc>
      </w:tr>
      <w:tr w:rsidR="00AB4E6A" w:rsidRPr="00AB4E6A" w14:paraId="5547A00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EAF06" w14:textId="77777777" w:rsidR="00AB4E6A" w:rsidRPr="00AB4E6A" w:rsidRDefault="00AB4E6A" w:rsidP="00AB4E6A">
            <w:pPr>
              <w:rPr>
                <w:rFonts w:asciiTheme="majorBidi" w:hAnsiTheme="majorBidi" w:cstheme="majorBidi"/>
              </w:rPr>
            </w:pPr>
            <w:r w:rsidRPr="00AB4E6A">
              <w:rPr>
                <w:rFonts w:asciiTheme="majorBidi" w:hAnsiTheme="majorBidi" w:cstheme="majorBidi"/>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D45D4" w14:textId="77777777" w:rsidR="00AB4E6A" w:rsidRPr="00AB4E6A" w:rsidRDefault="00AB4E6A" w:rsidP="00AB4E6A">
            <w:pPr>
              <w:rPr>
                <w:rFonts w:asciiTheme="majorBidi" w:hAnsiTheme="majorBidi" w:cstheme="majorBidi"/>
              </w:rPr>
            </w:pPr>
            <w:r w:rsidRPr="00AB4E6A">
              <w:rPr>
                <w:rFonts w:asciiTheme="majorBidi" w:hAnsiTheme="majorBidi" w:cstheme="majorBidi"/>
              </w:rPr>
              <w:t>35 not 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CCF3F" w14:textId="77777777" w:rsidR="00AB4E6A" w:rsidRPr="00AB4E6A" w:rsidRDefault="00AB4E6A" w:rsidP="00AB4E6A">
            <w:pPr>
              <w:rPr>
                <w:rFonts w:asciiTheme="majorBidi" w:hAnsiTheme="majorBidi" w:cstheme="majorBidi"/>
              </w:rPr>
            </w:pPr>
            <w:r w:rsidRPr="00AB4E6A">
              <w:rPr>
                <w:rFonts w:asciiTheme="majorBidi" w:hAnsiTheme="majorBidi" w:cstheme="majorBidi"/>
              </w:rPr>
              <w:t>1010813</w:t>
            </w:r>
          </w:p>
        </w:tc>
      </w:tr>
      <w:tr w:rsidR="00AB4E6A" w:rsidRPr="00AB4E6A" w14:paraId="669568C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39F16" w14:textId="77777777" w:rsidR="00AB4E6A" w:rsidRPr="00AB4E6A" w:rsidRDefault="00AB4E6A" w:rsidP="00AB4E6A">
            <w:pPr>
              <w:rPr>
                <w:rFonts w:asciiTheme="majorBidi" w:hAnsiTheme="majorBidi" w:cstheme="majorBidi"/>
              </w:rPr>
            </w:pPr>
            <w:r w:rsidRPr="00AB4E6A">
              <w:rPr>
                <w:rFonts w:asciiTheme="majorBidi" w:hAnsiTheme="majorBidi" w:cstheme="majorBidi"/>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AE7B5" w14:textId="77777777" w:rsidR="00AB4E6A" w:rsidRPr="00AB4E6A" w:rsidRDefault="00AB4E6A" w:rsidP="00AB4E6A">
            <w:pPr>
              <w:rPr>
                <w:rFonts w:asciiTheme="majorBidi" w:hAnsiTheme="majorBidi" w:cstheme="majorBidi"/>
              </w:rPr>
            </w:pPr>
            <w:r w:rsidRPr="00AB4E6A">
              <w:rPr>
                <w:rFonts w:asciiTheme="majorBidi" w:hAnsiTheme="majorBidi" w:cstheme="majorBidi"/>
              </w:rPr>
              <w:t>10 and 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7E6FF" w14:textId="77777777" w:rsidR="00AB4E6A" w:rsidRPr="00AB4E6A" w:rsidRDefault="00AB4E6A" w:rsidP="00AB4E6A">
            <w:pPr>
              <w:rPr>
                <w:rFonts w:asciiTheme="majorBidi" w:hAnsiTheme="majorBidi" w:cstheme="majorBidi"/>
              </w:rPr>
            </w:pPr>
            <w:r w:rsidRPr="00AB4E6A">
              <w:rPr>
                <w:rFonts w:asciiTheme="majorBidi" w:hAnsiTheme="majorBidi" w:cstheme="majorBidi"/>
              </w:rPr>
              <w:t>56</w:t>
            </w:r>
          </w:p>
        </w:tc>
      </w:tr>
    </w:tbl>
    <w:p w14:paraId="0CE07CB9" w14:textId="77777777" w:rsidR="00AB4E6A" w:rsidRPr="00AB4E6A" w:rsidRDefault="00AB4E6A" w:rsidP="00AB4E6A">
      <w:pPr>
        <w:rPr>
          <w:rFonts w:asciiTheme="majorBidi" w:hAnsiTheme="majorBidi" w:cstheme="majorBidi"/>
        </w:rPr>
      </w:pPr>
    </w:p>
    <w:p w14:paraId="1B1D790F"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CRD database (searched via the University of York CRD platform)</w:t>
      </w:r>
    </w:p>
    <w:p w14:paraId="54BA0299"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7F0292BA"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326"/>
        <w:gridCol w:w="2366"/>
        <w:gridCol w:w="901"/>
      </w:tblGrid>
      <w:tr w:rsidR="00AB4E6A" w:rsidRPr="00AB4E6A" w14:paraId="405B2C0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3E009"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6737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9616A"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7891B51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3C5A9"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286B5" w14:textId="77777777" w:rsidR="00AB4E6A" w:rsidRPr="00AB4E6A" w:rsidRDefault="00AB4E6A" w:rsidP="00AB4E6A">
            <w:pPr>
              <w:rPr>
                <w:rFonts w:asciiTheme="majorBidi" w:hAnsiTheme="majorBidi" w:cstheme="majorBidi"/>
              </w:rPr>
            </w:pPr>
            <w:r w:rsidRPr="00AB4E6A">
              <w:rPr>
                <w:rFonts w:asciiTheme="majorBidi" w:hAnsiTheme="majorBidi" w:cstheme="majorBidi"/>
              </w:rPr>
              <w:t>(ceftazidime)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6D54C" w14:textId="77777777" w:rsidR="00AB4E6A" w:rsidRPr="00AB4E6A" w:rsidRDefault="00AB4E6A" w:rsidP="00AB4E6A">
            <w:pPr>
              <w:rPr>
                <w:rFonts w:asciiTheme="majorBidi" w:hAnsiTheme="majorBidi" w:cstheme="majorBidi"/>
              </w:rPr>
            </w:pPr>
            <w:r w:rsidRPr="00AB4E6A">
              <w:rPr>
                <w:rFonts w:asciiTheme="majorBidi" w:hAnsiTheme="majorBidi" w:cstheme="majorBidi"/>
              </w:rPr>
              <w:t>49</w:t>
            </w:r>
          </w:p>
        </w:tc>
      </w:tr>
      <w:tr w:rsidR="00AB4E6A" w:rsidRPr="00AB4E6A" w14:paraId="3927BB1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C8C79"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A719" w14:textId="77777777" w:rsidR="00AB4E6A" w:rsidRPr="00AB4E6A" w:rsidRDefault="00AB4E6A" w:rsidP="00AB4E6A">
            <w:pPr>
              <w:rPr>
                <w:rFonts w:asciiTheme="majorBidi" w:hAnsiTheme="majorBidi" w:cstheme="majorBidi"/>
              </w:rPr>
            </w:pPr>
            <w:r w:rsidRPr="00AB4E6A">
              <w:rPr>
                <w:rFonts w:asciiTheme="majorBidi" w:hAnsiTheme="majorBidi" w:cstheme="majorBidi"/>
              </w:rPr>
              <w:t>(avibactam)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812D8"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2606F6C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22EC9"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9BA66"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ceftazidime</w:t>
            </w:r>
            <w:proofErr w:type="gramEnd"/>
            <w:r w:rsidRPr="00AB4E6A">
              <w:rPr>
                <w:rFonts w:asciiTheme="majorBidi" w:hAnsiTheme="majorBidi" w:cstheme="majorBidi"/>
              </w:rPr>
              <w:t>-avibactam)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0ABAE"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67A2536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5C51F"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82322"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r w:rsidRPr="00AB4E6A">
              <w:rPr>
                <w:rFonts w:asciiTheme="majorBidi" w:hAnsiTheme="majorBidi" w:cstheme="majorBidi"/>
              </w:rPr>
              <w:t>zavicefta</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8A657"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4F80A4E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5D980"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5E9DA"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spellStart"/>
            <w:r w:rsidRPr="00AB4E6A">
              <w:rPr>
                <w:rFonts w:asciiTheme="majorBidi" w:hAnsiTheme="majorBidi" w:cstheme="majorBidi"/>
              </w:rPr>
              <w:t>avycaz</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92EAF"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r w:rsidR="00AB4E6A" w:rsidRPr="00AB4E6A" w14:paraId="4E39ABF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3D82B"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89959" w14:textId="77777777" w:rsidR="00AB4E6A" w:rsidRPr="00AB4E6A" w:rsidRDefault="00AB4E6A" w:rsidP="00AB4E6A">
            <w:pPr>
              <w:rPr>
                <w:rFonts w:asciiTheme="majorBidi" w:hAnsiTheme="majorBidi" w:cstheme="majorBidi"/>
                <w:lang w:val="pt-PT"/>
              </w:rPr>
            </w:pPr>
            <w:r w:rsidRPr="00AB4E6A">
              <w:rPr>
                <w:rFonts w:asciiTheme="majorBidi" w:hAnsiTheme="majorBidi" w:cstheme="majorBidi"/>
                <w:lang w:val="pt-PT"/>
              </w:rPr>
              <w:t>((ctz-avi or caz-avi))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FE039" w14:textId="77777777" w:rsidR="00AB4E6A" w:rsidRPr="00AB4E6A" w:rsidRDefault="00AB4E6A" w:rsidP="00AB4E6A">
            <w:pPr>
              <w:rPr>
                <w:rFonts w:asciiTheme="majorBidi" w:hAnsiTheme="majorBidi" w:cstheme="majorBidi"/>
              </w:rPr>
            </w:pPr>
            <w:r w:rsidRPr="00AB4E6A">
              <w:rPr>
                <w:rFonts w:asciiTheme="majorBidi" w:hAnsiTheme="majorBidi" w:cstheme="majorBidi"/>
              </w:rPr>
              <w:t>0</w:t>
            </w:r>
          </w:p>
        </w:tc>
      </w:tr>
    </w:tbl>
    <w:p w14:paraId="15872AF4" w14:textId="77777777" w:rsidR="00AB4E6A" w:rsidRPr="00AB4E6A" w:rsidRDefault="00AB4E6A" w:rsidP="00AB4E6A">
      <w:pPr>
        <w:rPr>
          <w:rFonts w:asciiTheme="majorBidi" w:hAnsiTheme="majorBidi" w:cstheme="majorBidi"/>
        </w:rPr>
      </w:pPr>
    </w:p>
    <w:p w14:paraId="7D878EA8"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lastRenderedPageBreak/>
        <w:t>Web of Science - Conference proceedings index (searched via the Clarivate Analytics platform)</w:t>
      </w:r>
    </w:p>
    <w:p w14:paraId="5478AFD4"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March 2021</w:t>
      </w:r>
    </w:p>
    <w:p w14:paraId="34FE27F7"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91"/>
        <w:gridCol w:w="3529"/>
        <w:gridCol w:w="901"/>
      </w:tblGrid>
      <w:tr w:rsidR="00AB4E6A" w:rsidRPr="00AB4E6A" w14:paraId="6FDB12C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0014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EC742"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EF21D"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62C23D9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C711A" w14:textId="77777777" w:rsidR="00AB4E6A" w:rsidRPr="00AB4E6A" w:rsidRDefault="00AB4E6A" w:rsidP="00AB4E6A">
            <w:pPr>
              <w:rPr>
                <w:rFonts w:asciiTheme="majorBidi" w:hAnsiTheme="majorBidi" w:cstheme="majorBidi"/>
              </w:rPr>
            </w:pPr>
            <w:r w:rsidRPr="00AB4E6A">
              <w:rPr>
                <w:rFonts w:asciiTheme="majorBidi" w:hAnsiTheme="majorBidi" w:cstheme="majorBidi"/>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BC265"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gramEnd"/>
            <w:r w:rsidRPr="00AB4E6A">
              <w:rPr>
                <w:rFonts w:asciiTheme="majorBidi" w:hAnsiTheme="majorBidi" w:cstheme="majorBidi"/>
              </w:rPr>
              <w:t>ceftazidime)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D6F42" w14:textId="77777777" w:rsidR="00AB4E6A" w:rsidRPr="00AB4E6A" w:rsidRDefault="00AB4E6A" w:rsidP="00AB4E6A">
            <w:pPr>
              <w:rPr>
                <w:rFonts w:asciiTheme="majorBidi" w:hAnsiTheme="majorBidi" w:cstheme="majorBidi"/>
              </w:rPr>
            </w:pPr>
            <w:r w:rsidRPr="00AB4E6A">
              <w:rPr>
                <w:rFonts w:asciiTheme="majorBidi" w:hAnsiTheme="majorBidi" w:cstheme="majorBidi"/>
              </w:rPr>
              <w:t>9,711</w:t>
            </w:r>
          </w:p>
        </w:tc>
      </w:tr>
      <w:tr w:rsidR="00AB4E6A" w:rsidRPr="00AB4E6A" w14:paraId="6F2B873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2E656" w14:textId="77777777" w:rsidR="00AB4E6A" w:rsidRPr="00AB4E6A" w:rsidRDefault="00AB4E6A" w:rsidP="00AB4E6A">
            <w:pPr>
              <w:rPr>
                <w:rFonts w:asciiTheme="majorBidi" w:hAnsiTheme="majorBidi" w:cstheme="majorBidi"/>
              </w:rPr>
            </w:pPr>
            <w:r w:rsidRPr="00AB4E6A">
              <w:rPr>
                <w:rFonts w:asciiTheme="majorBidi" w:hAnsiTheme="majorBidi" w:cstheme="majorBidi"/>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B4875"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gramEnd"/>
            <w:r w:rsidRPr="00AB4E6A">
              <w:rPr>
                <w:rFonts w:asciiTheme="majorBidi" w:hAnsiTheme="majorBidi" w:cstheme="majorBidi"/>
              </w:rPr>
              <w:t>avibactam)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79AD4" w14:textId="77777777" w:rsidR="00AB4E6A" w:rsidRPr="00AB4E6A" w:rsidRDefault="00AB4E6A" w:rsidP="00AB4E6A">
            <w:pPr>
              <w:rPr>
                <w:rFonts w:asciiTheme="majorBidi" w:hAnsiTheme="majorBidi" w:cstheme="majorBidi"/>
              </w:rPr>
            </w:pPr>
            <w:r w:rsidRPr="00AB4E6A">
              <w:rPr>
                <w:rFonts w:asciiTheme="majorBidi" w:hAnsiTheme="majorBidi" w:cstheme="majorBidi"/>
              </w:rPr>
              <w:t>1,167</w:t>
            </w:r>
          </w:p>
        </w:tc>
      </w:tr>
      <w:tr w:rsidR="00AB4E6A" w:rsidRPr="00AB4E6A" w14:paraId="124A71A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E23E9" w14:textId="77777777" w:rsidR="00AB4E6A" w:rsidRPr="00AB4E6A" w:rsidRDefault="00AB4E6A" w:rsidP="00AB4E6A">
            <w:pPr>
              <w:rPr>
                <w:rFonts w:asciiTheme="majorBidi" w:hAnsiTheme="majorBidi" w:cstheme="majorBidi"/>
              </w:rPr>
            </w:pPr>
            <w:r w:rsidRPr="00AB4E6A">
              <w:rPr>
                <w:rFonts w:asciiTheme="majorBidi" w:hAnsiTheme="majorBidi" w:cstheme="majorBidi"/>
              </w:rPr>
              <w: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49C01"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2  AND</w:t>
            </w:r>
            <w:proofErr w:type="gramEnd"/>
            <w:r w:rsidRPr="00AB4E6A">
              <w:rPr>
                <w:rFonts w:asciiTheme="majorBidi" w:hAnsiTheme="majorBidi" w:cstheme="majorBidi"/>
              </w:rPr>
              <w:t>  #1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19DAB" w14:textId="77777777" w:rsidR="00AB4E6A" w:rsidRPr="00AB4E6A" w:rsidRDefault="00AB4E6A" w:rsidP="00AB4E6A">
            <w:pPr>
              <w:rPr>
                <w:rFonts w:asciiTheme="majorBidi" w:hAnsiTheme="majorBidi" w:cstheme="majorBidi"/>
              </w:rPr>
            </w:pPr>
            <w:r w:rsidRPr="00AB4E6A">
              <w:rPr>
                <w:rFonts w:asciiTheme="majorBidi" w:hAnsiTheme="majorBidi" w:cstheme="majorBidi"/>
              </w:rPr>
              <w:t>984</w:t>
            </w:r>
          </w:p>
        </w:tc>
      </w:tr>
      <w:tr w:rsidR="00AB4E6A" w:rsidRPr="00AB4E6A" w14:paraId="7877DD4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6E6EA" w14:textId="77777777" w:rsidR="00AB4E6A" w:rsidRPr="00AB4E6A" w:rsidRDefault="00AB4E6A" w:rsidP="00AB4E6A">
            <w:pPr>
              <w:rPr>
                <w:rFonts w:asciiTheme="majorBidi" w:hAnsiTheme="majorBidi" w:cstheme="majorBidi"/>
              </w:rPr>
            </w:pPr>
            <w:r w:rsidRPr="00AB4E6A">
              <w:rPr>
                <w:rFonts w:asciiTheme="majorBidi" w:hAnsiTheme="majorBidi" w:cstheme="majorBidi"/>
              </w:rPr>
              <w: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57148"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gramEnd"/>
            <w:r w:rsidRPr="00AB4E6A">
              <w:rPr>
                <w:rFonts w:asciiTheme="majorBidi" w:hAnsiTheme="majorBidi" w:cstheme="majorBidi"/>
              </w:rPr>
              <w:t>ceftazidime-avibactam)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79B90" w14:textId="77777777" w:rsidR="00AB4E6A" w:rsidRPr="00AB4E6A" w:rsidRDefault="00AB4E6A" w:rsidP="00AB4E6A">
            <w:pPr>
              <w:rPr>
                <w:rFonts w:asciiTheme="majorBidi" w:hAnsiTheme="majorBidi" w:cstheme="majorBidi"/>
              </w:rPr>
            </w:pPr>
            <w:r w:rsidRPr="00AB4E6A">
              <w:rPr>
                <w:rFonts w:asciiTheme="majorBidi" w:hAnsiTheme="majorBidi" w:cstheme="majorBidi"/>
              </w:rPr>
              <w:t>919</w:t>
            </w:r>
          </w:p>
        </w:tc>
      </w:tr>
      <w:tr w:rsidR="00AB4E6A" w:rsidRPr="00AB4E6A" w14:paraId="115FBFBB"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17B5C" w14:textId="77777777" w:rsidR="00AB4E6A" w:rsidRPr="00AB4E6A" w:rsidRDefault="00AB4E6A" w:rsidP="00AB4E6A">
            <w:pPr>
              <w:rPr>
                <w:rFonts w:asciiTheme="majorBidi" w:hAnsiTheme="majorBidi" w:cstheme="majorBidi"/>
              </w:rPr>
            </w:pPr>
            <w:r w:rsidRPr="00AB4E6A">
              <w:rPr>
                <w:rFonts w:asciiTheme="majorBidi" w:hAnsiTheme="majorBidi" w:cstheme="majorBidi"/>
              </w:rPr>
              <w:t>#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4EAB"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spellStart"/>
            <w:proofErr w:type="gramEnd"/>
            <w:r w:rsidRPr="00AB4E6A">
              <w:rPr>
                <w:rFonts w:asciiTheme="majorBidi" w:hAnsiTheme="majorBidi" w:cstheme="majorBidi"/>
              </w:rPr>
              <w:t>zavicefta</w:t>
            </w:r>
            <w:proofErr w:type="spellEnd"/>
            <w:r w:rsidRPr="00AB4E6A">
              <w:rPr>
                <w:rFonts w:asciiTheme="majorBidi" w:hAnsiTheme="majorBidi" w:cstheme="majorBid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4AC37"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r>
      <w:tr w:rsidR="00AB4E6A" w:rsidRPr="00AB4E6A" w14:paraId="027708CF"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B30CB" w14:textId="77777777" w:rsidR="00AB4E6A" w:rsidRPr="00AB4E6A" w:rsidRDefault="00AB4E6A" w:rsidP="00AB4E6A">
            <w:pPr>
              <w:rPr>
                <w:rFonts w:asciiTheme="majorBidi" w:hAnsiTheme="majorBidi" w:cstheme="majorBidi"/>
              </w:rPr>
            </w:pPr>
            <w:r w:rsidRPr="00AB4E6A">
              <w:rPr>
                <w:rFonts w:asciiTheme="majorBidi" w:hAnsiTheme="majorBidi" w:cstheme="majorBidi"/>
              </w:rPr>
              <w:t>#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B96A3"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spellStart"/>
            <w:proofErr w:type="gramEnd"/>
            <w:r w:rsidRPr="00AB4E6A">
              <w:rPr>
                <w:rFonts w:asciiTheme="majorBidi" w:hAnsiTheme="majorBidi" w:cstheme="majorBidi"/>
              </w:rPr>
              <w:t>avycaz</w:t>
            </w:r>
            <w:proofErr w:type="spellEnd"/>
            <w:r w:rsidRPr="00AB4E6A">
              <w:rPr>
                <w:rFonts w:asciiTheme="majorBidi" w:hAnsiTheme="majorBidi" w:cstheme="majorBid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EE293"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r>
      <w:tr w:rsidR="00AB4E6A" w:rsidRPr="00AB4E6A" w14:paraId="0C781C6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993CA" w14:textId="77777777" w:rsidR="00AB4E6A" w:rsidRPr="00AB4E6A" w:rsidRDefault="00AB4E6A" w:rsidP="00AB4E6A">
            <w:pPr>
              <w:rPr>
                <w:rFonts w:asciiTheme="majorBidi" w:hAnsiTheme="majorBidi" w:cstheme="majorBidi"/>
              </w:rPr>
            </w:pPr>
            <w:r w:rsidRPr="00AB4E6A">
              <w:rPr>
                <w:rFonts w:asciiTheme="majorBidi" w:hAnsiTheme="majorBidi" w:cstheme="majorBidi"/>
              </w:rPr>
              <w:t>#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774C4" w14:textId="77777777" w:rsidR="00AB4E6A" w:rsidRPr="00AB4E6A" w:rsidRDefault="00AB4E6A" w:rsidP="00AB4E6A">
            <w:pPr>
              <w:rPr>
                <w:rFonts w:asciiTheme="majorBidi" w:hAnsiTheme="majorBidi" w:cstheme="majorBidi"/>
              </w:rPr>
            </w:pPr>
            <w:r w:rsidRPr="00AB4E6A">
              <w:rPr>
                <w:rFonts w:asciiTheme="majorBidi" w:hAnsiTheme="majorBidi" w:cstheme="majorBidi"/>
              </w:rPr>
              <w:t>TOPIC</w:t>
            </w:r>
            <w:proofErr w:type="gramStart"/>
            <w:r w:rsidRPr="00AB4E6A">
              <w:rPr>
                <w:rFonts w:asciiTheme="majorBidi" w:hAnsiTheme="majorBidi" w:cstheme="majorBidi"/>
              </w:rPr>
              <w:t>:  (</w:t>
            </w:r>
            <w:proofErr w:type="gramEnd"/>
            <w:r w:rsidRPr="00AB4E6A">
              <w:rPr>
                <w:rFonts w:asciiTheme="majorBidi" w:hAnsiTheme="majorBidi" w:cstheme="majorBidi"/>
              </w:rPr>
              <w:t>(</w:t>
            </w:r>
            <w:proofErr w:type="spellStart"/>
            <w:r w:rsidRPr="00AB4E6A">
              <w:rPr>
                <w:rFonts w:asciiTheme="majorBidi" w:hAnsiTheme="majorBidi" w:cstheme="majorBidi"/>
              </w:rPr>
              <w:t>ctz-avi</w:t>
            </w:r>
            <w:proofErr w:type="spellEnd"/>
            <w:r w:rsidRPr="00AB4E6A">
              <w:rPr>
                <w:rFonts w:asciiTheme="majorBidi" w:hAnsiTheme="majorBidi" w:cstheme="majorBidi"/>
              </w:rPr>
              <w:t xml:space="preserve"> or </w:t>
            </w:r>
            <w:proofErr w:type="spellStart"/>
            <w:r w:rsidRPr="00AB4E6A">
              <w:rPr>
                <w:rFonts w:asciiTheme="majorBidi" w:hAnsiTheme="majorBidi" w:cstheme="majorBidi"/>
              </w:rPr>
              <w:t>caz-avi</w:t>
            </w:r>
            <w:proofErr w:type="spellEnd"/>
            <w:r w:rsidRPr="00AB4E6A">
              <w:rPr>
                <w:rFonts w:asciiTheme="majorBidi" w:hAnsiTheme="majorBidi" w:cstheme="majorBidi"/>
              </w:rPr>
              <w:t>)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75F84" w14:textId="77777777" w:rsidR="00AB4E6A" w:rsidRPr="00AB4E6A" w:rsidRDefault="00AB4E6A" w:rsidP="00AB4E6A">
            <w:pPr>
              <w:rPr>
                <w:rFonts w:asciiTheme="majorBidi" w:hAnsiTheme="majorBidi" w:cstheme="majorBidi"/>
              </w:rPr>
            </w:pPr>
            <w:r w:rsidRPr="00AB4E6A">
              <w:rPr>
                <w:rFonts w:asciiTheme="majorBidi" w:hAnsiTheme="majorBidi" w:cstheme="majorBidi"/>
              </w:rPr>
              <w:t>59</w:t>
            </w:r>
          </w:p>
        </w:tc>
      </w:tr>
      <w:tr w:rsidR="00AB4E6A" w:rsidRPr="00AB4E6A" w14:paraId="45BCAC0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65FE6" w14:textId="77777777" w:rsidR="00AB4E6A" w:rsidRPr="00AB4E6A" w:rsidRDefault="00AB4E6A" w:rsidP="00AB4E6A">
            <w:pPr>
              <w:rPr>
                <w:rFonts w:asciiTheme="majorBidi" w:hAnsiTheme="majorBidi" w:cstheme="majorBidi"/>
              </w:rPr>
            </w:pPr>
            <w:r w:rsidRPr="00AB4E6A">
              <w:rPr>
                <w:rFonts w:asciiTheme="majorBidi" w:hAnsiTheme="majorBidi" w:cstheme="majorBidi"/>
              </w:rPr>
              <w:t>#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9FB81"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7  OR</w:t>
            </w:r>
            <w:proofErr w:type="gramEnd"/>
            <w:r w:rsidRPr="00AB4E6A">
              <w:rPr>
                <w:rFonts w:asciiTheme="majorBidi" w:hAnsiTheme="majorBidi" w:cstheme="majorBidi"/>
              </w:rPr>
              <w:t>  #6  OR  #5  OR  #4  OR  #3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274EE"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r>
    </w:tbl>
    <w:p w14:paraId="72211D2D" w14:textId="77777777" w:rsidR="00AB4E6A" w:rsidRPr="00AB4E6A" w:rsidRDefault="00AB4E6A" w:rsidP="00AB4E6A">
      <w:pPr>
        <w:rPr>
          <w:rFonts w:asciiTheme="majorBidi" w:hAnsiTheme="majorBidi" w:cstheme="majorBidi"/>
        </w:rPr>
      </w:pPr>
    </w:p>
    <w:p w14:paraId="7B6938DC" w14:textId="77777777" w:rsidR="00AB4E6A" w:rsidRPr="00AB4E6A" w:rsidRDefault="00AB4E6A" w:rsidP="00AB4E6A">
      <w:pPr>
        <w:rPr>
          <w:rFonts w:asciiTheme="majorBidi" w:hAnsiTheme="majorBidi" w:cstheme="majorBidi"/>
          <w:b/>
          <w:bCs/>
        </w:rPr>
      </w:pPr>
      <w:r w:rsidRPr="00AB4E6A">
        <w:rPr>
          <w:rFonts w:asciiTheme="majorBidi" w:hAnsiTheme="majorBidi" w:cstheme="majorBidi"/>
          <w:b/>
          <w:bCs/>
        </w:rPr>
        <w:t>Search of economic evaluations of antimicrobials that have explicitly modelled resistance</w:t>
      </w:r>
    </w:p>
    <w:p w14:paraId="0EB75752" w14:textId="77777777" w:rsidR="00AB4E6A" w:rsidRPr="00AB4E6A" w:rsidRDefault="00AB4E6A" w:rsidP="00AB4E6A">
      <w:pPr>
        <w:rPr>
          <w:rFonts w:asciiTheme="majorBidi" w:hAnsiTheme="majorBidi" w:cstheme="majorBidi"/>
        </w:rPr>
      </w:pPr>
      <w:r w:rsidRPr="00AB4E6A">
        <w:rPr>
          <w:rFonts w:asciiTheme="majorBidi" w:hAnsiTheme="majorBidi" w:cstheme="majorBidi"/>
        </w:rPr>
        <w:t>Searches were conducted in Medline, Embase and CRD.</w:t>
      </w:r>
    </w:p>
    <w:p w14:paraId="2A9DA0F5" w14:textId="77777777" w:rsidR="00AB4E6A" w:rsidRPr="00AB4E6A" w:rsidRDefault="00AB4E6A" w:rsidP="00AB4E6A">
      <w:pPr>
        <w:rPr>
          <w:rFonts w:asciiTheme="majorBidi" w:hAnsiTheme="majorBidi" w:cstheme="majorBidi"/>
        </w:rPr>
      </w:pPr>
      <w:r w:rsidRPr="00AB4E6A">
        <w:rPr>
          <w:rFonts w:asciiTheme="majorBidi" w:hAnsiTheme="majorBidi" w:cstheme="majorBidi"/>
        </w:rPr>
        <w:t>Term group(s): Focused antimicrobial resistance AND modelling AND filter</w:t>
      </w:r>
    </w:p>
    <w:p w14:paraId="7C34AB5F" w14:textId="77777777" w:rsidR="00AB4E6A" w:rsidRPr="00AB4E6A" w:rsidRDefault="00AB4E6A" w:rsidP="00AB4E6A">
      <w:pPr>
        <w:rPr>
          <w:rFonts w:asciiTheme="majorBidi" w:hAnsiTheme="majorBidi" w:cstheme="majorBidi"/>
        </w:rPr>
      </w:pPr>
      <w:r w:rsidRPr="00AB4E6A">
        <w:rPr>
          <w:rFonts w:asciiTheme="majorBidi" w:hAnsiTheme="majorBidi" w:cstheme="majorBidi"/>
        </w:rPr>
        <w:t>Filters: Pragmatic economic filter (MEDLINE, Embase)</w:t>
      </w:r>
    </w:p>
    <w:p w14:paraId="0B9F4996" w14:textId="77777777" w:rsidR="00AB4E6A" w:rsidRPr="00AB4E6A" w:rsidRDefault="00AB4E6A" w:rsidP="00AB4E6A">
      <w:pPr>
        <w:rPr>
          <w:rFonts w:asciiTheme="majorBidi" w:hAnsiTheme="majorBidi" w:cstheme="majorBidi"/>
        </w:rPr>
      </w:pPr>
      <w:r w:rsidRPr="00AB4E6A">
        <w:rPr>
          <w:rFonts w:asciiTheme="majorBidi" w:hAnsiTheme="majorBidi" w:cstheme="majorBidi"/>
        </w:rPr>
        <w:t>Limits: 2011-present, English language</w:t>
      </w:r>
    </w:p>
    <w:p w14:paraId="78D6AC85" w14:textId="77777777" w:rsidR="00AB4E6A" w:rsidRPr="00AB4E6A" w:rsidRDefault="00AB4E6A" w:rsidP="00AB4E6A">
      <w:pPr>
        <w:rPr>
          <w:rFonts w:asciiTheme="majorBidi" w:hAnsiTheme="majorBidi" w:cstheme="majorBidi"/>
        </w:rPr>
      </w:pPr>
    </w:p>
    <w:p w14:paraId="5EA570E3"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 xml:space="preserve">Ovid MEDLINE(R) and </w:t>
      </w:r>
      <w:proofErr w:type="spellStart"/>
      <w:r w:rsidRPr="00AB4E6A">
        <w:rPr>
          <w:rFonts w:asciiTheme="majorBidi" w:hAnsiTheme="majorBidi" w:cstheme="majorBidi"/>
          <w:b/>
          <w:bCs/>
        </w:rPr>
        <w:t>Epub</w:t>
      </w:r>
      <w:proofErr w:type="spellEnd"/>
      <w:r w:rsidRPr="00AB4E6A">
        <w:rPr>
          <w:rFonts w:asciiTheme="majorBidi" w:hAnsiTheme="majorBidi" w:cstheme="majorBidi"/>
          <w:b/>
          <w:bCs/>
        </w:rPr>
        <w:t xml:space="preserve"> Ahead of Print, In-Process, In-Data-Review &amp; Other Non-Indexed Citations, Daily and Versions(R) 1946 to March 31, 2021 (searched via the Ovid SP platform)</w:t>
      </w:r>
    </w:p>
    <w:p w14:paraId="0BE89700"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r w:rsidRPr="00AB4E6A">
        <w:rPr>
          <w:rFonts w:asciiTheme="majorBidi" w:hAnsiTheme="majorBidi" w:cstheme="majorBidi"/>
          <w:vertAlign w:val="superscript"/>
        </w:rPr>
        <w:t>st</w:t>
      </w:r>
      <w:r w:rsidRPr="00AB4E6A">
        <w:rPr>
          <w:rFonts w:asciiTheme="majorBidi" w:hAnsiTheme="majorBidi" w:cstheme="majorBidi"/>
        </w:rPr>
        <w:t xml:space="preserve"> April 2021</w:t>
      </w:r>
    </w:p>
    <w:p w14:paraId="74F58901"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788"/>
        <w:gridCol w:w="901"/>
      </w:tblGrid>
      <w:tr w:rsidR="00AB4E6A" w:rsidRPr="00AB4E6A" w14:paraId="6FC9B64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5D97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34AB8"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6550E"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603E5BD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1AFFC"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91E67"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((antimicrobial or antibiotic or antibacterial) and </w:t>
            </w:r>
            <w:proofErr w:type="spellStart"/>
            <w:r w:rsidRPr="00AB4E6A">
              <w:rPr>
                <w:rFonts w:asciiTheme="majorBidi" w:hAnsiTheme="majorBidi" w:cstheme="majorBidi"/>
              </w:rPr>
              <w:t>resistan</w:t>
            </w:r>
            <w:proofErr w:type="spellEnd"/>
            <w:r w:rsidRPr="00AB4E6A">
              <w:rPr>
                <w:rFonts w:asciiTheme="majorBidi" w:hAnsiTheme="majorBidi" w:cstheme="majorBidi"/>
              </w:rPr>
              <w:t>*).</w:t>
            </w:r>
            <w:proofErr w:type="spellStart"/>
            <w:r w:rsidRPr="00AB4E6A">
              <w:rPr>
                <w:rFonts w:asciiTheme="majorBidi" w:hAnsiTheme="majorBidi" w:cstheme="majorBidi"/>
              </w:rPr>
              <w:t>mp</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036AC" w14:textId="77777777" w:rsidR="00AB4E6A" w:rsidRPr="00AB4E6A" w:rsidRDefault="00AB4E6A" w:rsidP="00AB4E6A">
            <w:pPr>
              <w:rPr>
                <w:rFonts w:asciiTheme="majorBidi" w:hAnsiTheme="majorBidi" w:cstheme="majorBidi"/>
              </w:rPr>
            </w:pPr>
            <w:r w:rsidRPr="00AB4E6A">
              <w:rPr>
                <w:rFonts w:asciiTheme="majorBidi" w:hAnsiTheme="majorBidi" w:cstheme="majorBidi"/>
              </w:rPr>
              <w:t>148175</w:t>
            </w:r>
          </w:p>
        </w:tc>
      </w:tr>
      <w:tr w:rsidR="00AB4E6A" w:rsidRPr="00AB4E6A" w14:paraId="2DA40CD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654DE"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2BBF7"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(model* or "population dynamic*" or </w:t>
            </w:r>
            <w:proofErr w:type="spellStart"/>
            <w:r w:rsidRPr="00AB4E6A">
              <w:rPr>
                <w:rFonts w:asciiTheme="majorBidi" w:hAnsiTheme="majorBidi" w:cstheme="majorBidi"/>
              </w:rPr>
              <w:t>simulat</w:t>
            </w:r>
            <w:proofErr w:type="spellEnd"/>
            <w:r w:rsidRPr="00AB4E6A">
              <w:rPr>
                <w:rFonts w:asciiTheme="majorBidi" w:hAnsiTheme="majorBidi" w:cstheme="majorBidi"/>
              </w:rPr>
              <w:t>*).</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1BB1D" w14:textId="77777777" w:rsidR="00AB4E6A" w:rsidRPr="00AB4E6A" w:rsidRDefault="00AB4E6A" w:rsidP="00AB4E6A">
            <w:pPr>
              <w:rPr>
                <w:rFonts w:asciiTheme="majorBidi" w:hAnsiTheme="majorBidi" w:cstheme="majorBidi"/>
              </w:rPr>
            </w:pPr>
            <w:r w:rsidRPr="00AB4E6A">
              <w:rPr>
                <w:rFonts w:asciiTheme="majorBidi" w:hAnsiTheme="majorBidi" w:cstheme="majorBidi"/>
              </w:rPr>
              <w:t>718508</w:t>
            </w:r>
          </w:p>
        </w:tc>
      </w:tr>
      <w:tr w:rsidR="00AB4E6A" w:rsidRPr="00AB4E6A" w14:paraId="309AAAF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D94FC"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94B36" w14:textId="77777777" w:rsidR="00AB4E6A" w:rsidRPr="00AB4E6A" w:rsidRDefault="00AB4E6A" w:rsidP="00AB4E6A">
            <w:pPr>
              <w:rPr>
                <w:rFonts w:asciiTheme="majorBidi" w:hAnsiTheme="majorBidi" w:cstheme="majorBidi"/>
              </w:rPr>
            </w:pPr>
            <w:r w:rsidRPr="00AB4E6A">
              <w:rPr>
                <w:rFonts w:asciiTheme="majorBidi" w:hAnsiTheme="majorBidi" w:cstheme="majorBidi"/>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70AEA" w14:textId="77777777" w:rsidR="00AB4E6A" w:rsidRPr="00AB4E6A" w:rsidRDefault="00AB4E6A" w:rsidP="00AB4E6A">
            <w:pPr>
              <w:rPr>
                <w:rFonts w:asciiTheme="majorBidi" w:hAnsiTheme="majorBidi" w:cstheme="majorBidi"/>
              </w:rPr>
            </w:pPr>
            <w:r w:rsidRPr="00AB4E6A">
              <w:rPr>
                <w:rFonts w:asciiTheme="majorBidi" w:hAnsiTheme="majorBidi" w:cstheme="majorBidi"/>
              </w:rPr>
              <w:t>2671</w:t>
            </w:r>
          </w:p>
        </w:tc>
      </w:tr>
      <w:tr w:rsidR="00AB4E6A" w:rsidRPr="00AB4E6A" w14:paraId="48AB1D6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DBE97"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5802C"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limit 3 to </w:t>
            </w:r>
            <w:proofErr w:type="spellStart"/>
            <w:r w:rsidRPr="00AB4E6A">
              <w:rPr>
                <w:rFonts w:asciiTheme="majorBidi" w:hAnsiTheme="majorBidi" w:cstheme="majorBidi"/>
              </w:rPr>
              <w:t>yr</w:t>
            </w:r>
            <w:proofErr w:type="spellEnd"/>
            <w:r w:rsidRPr="00AB4E6A">
              <w:rPr>
                <w:rFonts w:asciiTheme="majorBidi" w:hAnsiTheme="majorBidi" w:cstheme="majorBidi"/>
              </w:rPr>
              <w:t>="2011 -Current"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2DF3D" w14:textId="77777777" w:rsidR="00AB4E6A" w:rsidRPr="00AB4E6A" w:rsidRDefault="00AB4E6A" w:rsidP="00AB4E6A">
            <w:pPr>
              <w:rPr>
                <w:rFonts w:asciiTheme="majorBidi" w:hAnsiTheme="majorBidi" w:cstheme="majorBidi"/>
              </w:rPr>
            </w:pPr>
            <w:r w:rsidRPr="00AB4E6A">
              <w:rPr>
                <w:rFonts w:asciiTheme="majorBidi" w:hAnsiTheme="majorBidi" w:cstheme="majorBidi"/>
              </w:rPr>
              <w:t>1901</w:t>
            </w:r>
          </w:p>
        </w:tc>
      </w:tr>
      <w:tr w:rsidR="00AB4E6A" w:rsidRPr="00AB4E6A" w14:paraId="3175F88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39DA8"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41A70"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limit 4 to </w:t>
            </w:r>
            <w:proofErr w:type="spellStart"/>
            <w:r w:rsidRPr="00AB4E6A">
              <w:rPr>
                <w:rFonts w:asciiTheme="majorBidi" w:hAnsiTheme="majorBidi" w:cstheme="majorBidi"/>
              </w:rPr>
              <w:t>english</w:t>
            </w:r>
            <w:proofErr w:type="spellEnd"/>
            <w:r w:rsidRPr="00AB4E6A">
              <w:rPr>
                <w:rFonts w:asciiTheme="majorBidi" w:hAnsiTheme="majorBidi" w:cstheme="majorBidi"/>
              </w:rPr>
              <w:t xml:space="preserve"> language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6FD74" w14:textId="77777777" w:rsidR="00AB4E6A" w:rsidRPr="00AB4E6A" w:rsidRDefault="00AB4E6A" w:rsidP="00AB4E6A">
            <w:pPr>
              <w:rPr>
                <w:rFonts w:asciiTheme="majorBidi" w:hAnsiTheme="majorBidi" w:cstheme="majorBidi"/>
              </w:rPr>
            </w:pPr>
            <w:r w:rsidRPr="00AB4E6A">
              <w:rPr>
                <w:rFonts w:asciiTheme="majorBidi" w:hAnsiTheme="majorBidi" w:cstheme="majorBidi"/>
              </w:rPr>
              <w:t>1884</w:t>
            </w:r>
          </w:p>
        </w:tc>
      </w:tr>
      <w:tr w:rsidR="00AB4E6A" w:rsidRPr="00AB4E6A" w14:paraId="54F69AE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CEF8C"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E9BC8"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B4443" w14:textId="77777777" w:rsidR="00AB4E6A" w:rsidRPr="00AB4E6A" w:rsidRDefault="00AB4E6A" w:rsidP="00AB4E6A">
            <w:pPr>
              <w:rPr>
                <w:rFonts w:asciiTheme="majorBidi" w:hAnsiTheme="majorBidi" w:cstheme="majorBidi"/>
              </w:rPr>
            </w:pPr>
            <w:r w:rsidRPr="00AB4E6A">
              <w:rPr>
                <w:rFonts w:asciiTheme="majorBidi" w:hAnsiTheme="majorBidi" w:cstheme="majorBidi"/>
              </w:rPr>
              <w:t>83842</w:t>
            </w:r>
          </w:p>
        </w:tc>
      </w:tr>
      <w:tr w:rsidR="00AB4E6A" w:rsidRPr="00AB4E6A" w14:paraId="103F578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069BB" w14:textId="77777777" w:rsidR="00AB4E6A" w:rsidRPr="00AB4E6A" w:rsidRDefault="00AB4E6A" w:rsidP="00AB4E6A">
            <w:pPr>
              <w:rPr>
                <w:rFonts w:asciiTheme="majorBidi" w:hAnsiTheme="majorBidi" w:cstheme="majorBidi"/>
              </w:rPr>
            </w:pPr>
            <w:r w:rsidRPr="00AB4E6A">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4E30F"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value of life/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76BCD" w14:textId="77777777" w:rsidR="00AB4E6A" w:rsidRPr="00AB4E6A" w:rsidRDefault="00AB4E6A" w:rsidP="00AB4E6A">
            <w:pPr>
              <w:rPr>
                <w:rFonts w:asciiTheme="majorBidi" w:hAnsiTheme="majorBidi" w:cstheme="majorBidi"/>
              </w:rPr>
            </w:pPr>
            <w:r w:rsidRPr="00AB4E6A">
              <w:rPr>
                <w:rFonts w:asciiTheme="majorBidi" w:hAnsiTheme="majorBidi" w:cstheme="majorBidi"/>
              </w:rPr>
              <w:t>5741</w:t>
            </w:r>
          </w:p>
        </w:tc>
      </w:tr>
      <w:tr w:rsidR="00AB4E6A" w:rsidRPr="00AB4E6A" w14:paraId="54959A1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E0838" w14:textId="77777777" w:rsidR="00AB4E6A" w:rsidRPr="00AB4E6A" w:rsidRDefault="00AB4E6A" w:rsidP="00AB4E6A">
            <w:pPr>
              <w:rPr>
                <w:rFonts w:asciiTheme="majorBidi" w:hAnsiTheme="majorBidi" w:cstheme="majorBidi"/>
              </w:rPr>
            </w:pPr>
            <w:r w:rsidRPr="00AB4E6A">
              <w:rPr>
                <w:rFonts w:asciiTheme="majorBidi" w:hAnsiTheme="majorBidi" w:cstheme="majorBidi"/>
              </w:rPr>
              <w:lastRenderedPageBreak/>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E4A4C" w14:textId="77777777" w:rsidR="00AB4E6A" w:rsidRPr="00AB4E6A" w:rsidRDefault="00AB4E6A" w:rsidP="00AB4E6A">
            <w:pPr>
              <w:rPr>
                <w:rFonts w:asciiTheme="majorBidi" w:hAnsiTheme="majorBidi" w:cstheme="majorBidi"/>
              </w:rPr>
            </w:pPr>
            <w:r w:rsidRPr="00AB4E6A">
              <w:rPr>
                <w:rFonts w:asciiTheme="majorBidi" w:hAnsiTheme="majorBidi" w:cstheme="majorBidi"/>
              </w:rPr>
              <w:t>Quality-adjusted life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52C69" w14:textId="77777777" w:rsidR="00AB4E6A" w:rsidRPr="00AB4E6A" w:rsidRDefault="00AB4E6A" w:rsidP="00AB4E6A">
            <w:pPr>
              <w:rPr>
                <w:rFonts w:asciiTheme="majorBidi" w:hAnsiTheme="majorBidi" w:cstheme="majorBidi"/>
              </w:rPr>
            </w:pPr>
            <w:r w:rsidRPr="00AB4E6A">
              <w:rPr>
                <w:rFonts w:asciiTheme="majorBidi" w:hAnsiTheme="majorBidi" w:cstheme="majorBidi"/>
              </w:rPr>
              <w:t>13042</w:t>
            </w:r>
          </w:p>
        </w:tc>
      </w:tr>
      <w:tr w:rsidR="00AB4E6A" w:rsidRPr="00AB4E6A" w14:paraId="08D40D7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4B454"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6C3CD"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models, economic/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23550" w14:textId="77777777" w:rsidR="00AB4E6A" w:rsidRPr="00AB4E6A" w:rsidRDefault="00AB4E6A" w:rsidP="00AB4E6A">
            <w:pPr>
              <w:rPr>
                <w:rFonts w:asciiTheme="majorBidi" w:hAnsiTheme="majorBidi" w:cstheme="majorBidi"/>
              </w:rPr>
            </w:pPr>
            <w:r w:rsidRPr="00AB4E6A">
              <w:rPr>
                <w:rFonts w:asciiTheme="majorBidi" w:hAnsiTheme="majorBidi" w:cstheme="majorBidi"/>
              </w:rPr>
              <w:t>15508</w:t>
            </w:r>
          </w:p>
        </w:tc>
      </w:tr>
      <w:tr w:rsidR="00AB4E6A" w:rsidRPr="00AB4E6A" w14:paraId="2A24D30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63C91" w14:textId="77777777" w:rsidR="00AB4E6A" w:rsidRPr="00AB4E6A" w:rsidRDefault="00AB4E6A" w:rsidP="00AB4E6A">
            <w:pPr>
              <w:rPr>
                <w:rFonts w:asciiTheme="majorBidi" w:hAnsiTheme="majorBidi" w:cstheme="majorBidi"/>
              </w:rPr>
            </w:pPr>
            <w:r w:rsidRPr="00AB4E6A">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E5D71"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utilit$.tw.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39EED" w14:textId="77777777" w:rsidR="00AB4E6A" w:rsidRPr="00AB4E6A" w:rsidRDefault="00AB4E6A" w:rsidP="00AB4E6A">
            <w:pPr>
              <w:rPr>
                <w:rFonts w:asciiTheme="majorBidi" w:hAnsiTheme="majorBidi" w:cstheme="majorBidi"/>
              </w:rPr>
            </w:pPr>
            <w:r w:rsidRPr="00AB4E6A">
              <w:rPr>
                <w:rFonts w:asciiTheme="majorBidi" w:hAnsiTheme="majorBidi" w:cstheme="majorBidi"/>
              </w:rPr>
              <w:t>4939</w:t>
            </w:r>
          </w:p>
        </w:tc>
      </w:tr>
      <w:tr w:rsidR="00AB4E6A" w:rsidRPr="00AB4E6A" w14:paraId="7D76EEC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F65DD" w14:textId="77777777" w:rsidR="00AB4E6A" w:rsidRPr="00AB4E6A" w:rsidRDefault="00AB4E6A" w:rsidP="00AB4E6A">
            <w:pPr>
              <w:rPr>
                <w:rFonts w:asciiTheme="majorBidi" w:hAnsiTheme="majorBidi" w:cstheme="majorBidi"/>
              </w:rPr>
            </w:pPr>
            <w:r w:rsidRPr="00AB4E6A">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3B857"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benefit$.tw.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3880B" w14:textId="77777777" w:rsidR="00AB4E6A" w:rsidRPr="00AB4E6A" w:rsidRDefault="00AB4E6A" w:rsidP="00AB4E6A">
            <w:pPr>
              <w:rPr>
                <w:rFonts w:asciiTheme="majorBidi" w:hAnsiTheme="majorBidi" w:cstheme="majorBidi"/>
              </w:rPr>
            </w:pPr>
            <w:r w:rsidRPr="00AB4E6A">
              <w:rPr>
                <w:rFonts w:asciiTheme="majorBidi" w:hAnsiTheme="majorBidi" w:cstheme="majorBidi"/>
              </w:rPr>
              <w:t>11329</w:t>
            </w:r>
          </w:p>
        </w:tc>
      </w:tr>
      <w:tr w:rsidR="00AB4E6A" w:rsidRPr="00AB4E6A" w14:paraId="3223559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42263" w14:textId="77777777" w:rsidR="00AB4E6A" w:rsidRPr="00AB4E6A" w:rsidRDefault="00AB4E6A" w:rsidP="00AB4E6A">
            <w:pPr>
              <w:rPr>
                <w:rFonts w:asciiTheme="majorBidi" w:hAnsiTheme="majorBidi" w:cstheme="majorBidi"/>
              </w:rPr>
            </w:pPr>
            <w:r w:rsidRPr="00AB4E6A">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809CE"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minim$.tw.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CF581" w14:textId="77777777" w:rsidR="00AB4E6A" w:rsidRPr="00AB4E6A" w:rsidRDefault="00AB4E6A" w:rsidP="00AB4E6A">
            <w:pPr>
              <w:rPr>
                <w:rFonts w:asciiTheme="majorBidi" w:hAnsiTheme="majorBidi" w:cstheme="majorBidi"/>
              </w:rPr>
            </w:pPr>
            <w:r w:rsidRPr="00AB4E6A">
              <w:rPr>
                <w:rFonts w:asciiTheme="majorBidi" w:hAnsiTheme="majorBidi" w:cstheme="majorBidi"/>
              </w:rPr>
              <w:t>1563</w:t>
            </w:r>
          </w:p>
        </w:tc>
      </w:tr>
      <w:tr w:rsidR="00AB4E6A" w:rsidRPr="00AB4E6A" w14:paraId="04F5AD92"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85CB4" w14:textId="77777777" w:rsidR="00AB4E6A" w:rsidRPr="00AB4E6A" w:rsidRDefault="00AB4E6A" w:rsidP="00AB4E6A">
            <w:pPr>
              <w:rPr>
                <w:rFonts w:asciiTheme="majorBidi" w:hAnsiTheme="majorBidi" w:cstheme="majorBidi"/>
              </w:rPr>
            </w:pPr>
            <w:r w:rsidRPr="00AB4E6A">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911C0"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effect$.tw.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ABA9C" w14:textId="77777777" w:rsidR="00AB4E6A" w:rsidRPr="00AB4E6A" w:rsidRDefault="00AB4E6A" w:rsidP="00AB4E6A">
            <w:pPr>
              <w:rPr>
                <w:rFonts w:asciiTheme="majorBidi" w:hAnsiTheme="majorBidi" w:cstheme="majorBidi"/>
              </w:rPr>
            </w:pPr>
            <w:r w:rsidRPr="00AB4E6A">
              <w:rPr>
                <w:rFonts w:asciiTheme="majorBidi" w:hAnsiTheme="majorBidi" w:cstheme="majorBidi"/>
              </w:rPr>
              <w:t>143618</w:t>
            </w:r>
          </w:p>
        </w:tc>
      </w:tr>
      <w:tr w:rsidR="00AB4E6A" w:rsidRPr="00AB4E6A" w14:paraId="2B54A2A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064AD"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318E0"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evaluation$.tw.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E4AB3" w14:textId="77777777" w:rsidR="00AB4E6A" w:rsidRPr="00AB4E6A" w:rsidRDefault="00AB4E6A" w:rsidP="00AB4E6A">
            <w:pPr>
              <w:rPr>
                <w:rFonts w:asciiTheme="majorBidi" w:hAnsiTheme="majorBidi" w:cstheme="majorBidi"/>
              </w:rPr>
            </w:pPr>
            <w:r w:rsidRPr="00AB4E6A">
              <w:rPr>
                <w:rFonts w:asciiTheme="majorBidi" w:hAnsiTheme="majorBidi" w:cstheme="majorBidi"/>
              </w:rPr>
              <w:t>12455</w:t>
            </w:r>
          </w:p>
        </w:tc>
      </w:tr>
      <w:tr w:rsidR="00AB4E6A" w:rsidRPr="00AB4E6A" w14:paraId="76765D5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08A2D" w14:textId="77777777" w:rsidR="00AB4E6A" w:rsidRPr="00AB4E6A" w:rsidRDefault="00AB4E6A" w:rsidP="00AB4E6A">
            <w:pPr>
              <w:rPr>
                <w:rFonts w:asciiTheme="majorBidi" w:hAnsiTheme="majorBidi" w:cstheme="majorBidi"/>
              </w:rPr>
            </w:pPr>
            <w:r w:rsidRPr="00AB4E6A">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1D250" w14:textId="77777777" w:rsidR="00AB4E6A" w:rsidRPr="00AB4E6A" w:rsidRDefault="00AB4E6A" w:rsidP="00AB4E6A">
            <w:pPr>
              <w:rPr>
                <w:rFonts w:asciiTheme="majorBidi" w:hAnsiTheme="majorBidi" w:cstheme="majorBidi"/>
              </w:rPr>
            </w:pPr>
            <w:r w:rsidRPr="00AB4E6A">
              <w:rPr>
                <w:rFonts w:asciiTheme="majorBidi" w:hAnsiTheme="majorBidi" w:cstheme="majorBidi"/>
              </w:rPr>
              <w:t>or/6-14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E2B77" w14:textId="77777777" w:rsidR="00AB4E6A" w:rsidRPr="00AB4E6A" w:rsidRDefault="00AB4E6A" w:rsidP="00AB4E6A">
            <w:pPr>
              <w:rPr>
                <w:rFonts w:asciiTheme="majorBidi" w:hAnsiTheme="majorBidi" w:cstheme="majorBidi"/>
              </w:rPr>
            </w:pPr>
            <w:r w:rsidRPr="00AB4E6A">
              <w:rPr>
                <w:rFonts w:asciiTheme="majorBidi" w:hAnsiTheme="majorBidi" w:cstheme="majorBidi"/>
              </w:rPr>
              <w:t>213673</w:t>
            </w:r>
          </w:p>
        </w:tc>
      </w:tr>
      <w:tr w:rsidR="00AB4E6A" w:rsidRPr="00AB4E6A" w14:paraId="104BBC7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83FD4"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584DA" w14:textId="77777777" w:rsidR="00AB4E6A" w:rsidRPr="00AB4E6A" w:rsidRDefault="00AB4E6A" w:rsidP="00AB4E6A">
            <w:pPr>
              <w:rPr>
                <w:rFonts w:asciiTheme="majorBidi" w:hAnsiTheme="majorBidi" w:cstheme="majorBidi"/>
              </w:rPr>
            </w:pPr>
            <w:r w:rsidRPr="00AB4E6A">
              <w:rPr>
                <w:rFonts w:asciiTheme="majorBidi" w:hAnsiTheme="majorBidi" w:cstheme="majorBidi"/>
              </w:rPr>
              <w:t>5 and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67B0E" w14:textId="77777777" w:rsidR="00AB4E6A" w:rsidRPr="00AB4E6A" w:rsidRDefault="00AB4E6A" w:rsidP="00AB4E6A">
            <w:pPr>
              <w:rPr>
                <w:rFonts w:asciiTheme="majorBidi" w:hAnsiTheme="majorBidi" w:cstheme="majorBidi"/>
              </w:rPr>
            </w:pPr>
            <w:r w:rsidRPr="00AB4E6A">
              <w:rPr>
                <w:rFonts w:asciiTheme="majorBidi" w:hAnsiTheme="majorBidi" w:cstheme="majorBidi"/>
              </w:rPr>
              <w:t>26</w:t>
            </w:r>
          </w:p>
        </w:tc>
      </w:tr>
    </w:tbl>
    <w:p w14:paraId="448964FD" w14:textId="77777777" w:rsidR="00AB4E6A" w:rsidRPr="00AB4E6A" w:rsidRDefault="00AB4E6A" w:rsidP="00AB4E6A">
      <w:pPr>
        <w:rPr>
          <w:rFonts w:asciiTheme="majorBidi" w:hAnsiTheme="majorBidi" w:cstheme="majorBidi"/>
        </w:rPr>
      </w:pPr>
    </w:p>
    <w:p w14:paraId="65F4164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Embase 1974 to 2021 March 31 (searched via the Ovid SP platform)</w:t>
      </w:r>
    </w:p>
    <w:p w14:paraId="60067502"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April 2021</w:t>
      </w:r>
    </w:p>
    <w:p w14:paraId="72C3ACCF"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436"/>
        <w:gridCol w:w="5788"/>
        <w:gridCol w:w="901"/>
      </w:tblGrid>
      <w:tr w:rsidR="00AB4E6A" w:rsidRPr="00AB4E6A" w14:paraId="2D1656E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96E4B"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91F11"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9B7A0"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2A49547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0DDB1"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5C038"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((antimicrobial or antibiotic or antibacterial) and </w:t>
            </w:r>
            <w:proofErr w:type="spellStart"/>
            <w:r w:rsidRPr="00AB4E6A">
              <w:rPr>
                <w:rFonts w:asciiTheme="majorBidi" w:hAnsiTheme="majorBidi" w:cstheme="majorBidi"/>
              </w:rPr>
              <w:t>resistan</w:t>
            </w:r>
            <w:proofErr w:type="spellEnd"/>
            <w:r w:rsidRPr="00AB4E6A">
              <w:rPr>
                <w:rFonts w:asciiTheme="majorBidi" w:hAnsiTheme="majorBidi" w:cstheme="majorBidi"/>
              </w:rPr>
              <w:t>*).</w:t>
            </w:r>
            <w:proofErr w:type="spellStart"/>
            <w:r w:rsidRPr="00AB4E6A">
              <w:rPr>
                <w:rFonts w:asciiTheme="majorBidi" w:hAnsiTheme="majorBidi" w:cstheme="majorBidi"/>
              </w:rPr>
              <w:t>mp</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BF3EB" w14:textId="77777777" w:rsidR="00AB4E6A" w:rsidRPr="00AB4E6A" w:rsidRDefault="00AB4E6A" w:rsidP="00AB4E6A">
            <w:pPr>
              <w:rPr>
                <w:rFonts w:asciiTheme="majorBidi" w:hAnsiTheme="majorBidi" w:cstheme="majorBidi"/>
              </w:rPr>
            </w:pPr>
            <w:r w:rsidRPr="00AB4E6A">
              <w:rPr>
                <w:rFonts w:asciiTheme="majorBidi" w:hAnsiTheme="majorBidi" w:cstheme="majorBidi"/>
              </w:rPr>
              <w:t>298764</w:t>
            </w:r>
          </w:p>
        </w:tc>
      </w:tr>
      <w:tr w:rsidR="00AB4E6A" w:rsidRPr="00AB4E6A" w14:paraId="0F08FC5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A27C1"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3FEBE"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(model* or "population dynamic*" or </w:t>
            </w:r>
            <w:proofErr w:type="spellStart"/>
            <w:r w:rsidRPr="00AB4E6A">
              <w:rPr>
                <w:rFonts w:asciiTheme="majorBidi" w:hAnsiTheme="majorBidi" w:cstheme="majorBidi"/>
              </w:rPr>
              <w:t>simulat</w:t>
            </w:r>
            <w:proofErr w:type="spellEnd"/>
            <w:r w:rsidRPr="00AB4E6A">
              <w:rPr>
                <w:rFonts w:asciiTheme="majorBidi" w:hAnsiTheme="majorBidi" w:cstheme="majorBidi"/>
              </w:rPr>
              <w:t>*).</w:t>
            </w:r>
            <w:proofErr w:type="spellStart"/>
            <w:r w:rsidRPr="00AB4E6A">
              <w:rPr>
                <w:rFonts w:asciiTheme="majorBidi" w:hAnsiTheme="majorBidi" w:cstheme="majorBidi"/>
              </w:rPr>
              <w:t>ti</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07A85" w14:textId="77777777" w:rsidR="00AB4E6A" w:rsidRPr="00AB4E6A" w:rsidRDefault="00AB4E6A" w:rsidP="00AB4E6A">
            <w:pPr>
              <w:rPr>
                <w:rFonts w:asciiTheme="majorBidi" w:hAnsiTheme="majorBidi" w:cstheme="majorBidi"/>
              </w:rPr>
            </w:pPr>
            <w:r w:rsidRPr="00AB4E6A">
              <w:rPr>
                <w:rFonts w:asciiTheme="majorBidi" w:hAnsiTheme="majorBidi" w:cstheme="majorBidi"/>
              </w:rPr>
              <w:t>863662</w:t>
            </w:r>
          </w:p>
        </w:tc>
      </w:tr>
      <w:tr w:rsidR="00AB4E6A" w:rsidRPr="00AB4E6A" w14:paraId="5B39EC7E"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535AC"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8FDCC" w14:textId="77777777" w:rsidR="00AB4E6A" w:rsidRPr="00AB4E6A" w:rsidRDefault="00AB4E6A" w:rsidP="00AB4E6A">
            <w:pPr>
              <w:rPr>
                <w:rFonts w:asciiTheme="majorBidi" w:hAnsiTheme="majorBidi" w:cstheme="majorBidi"/>
              </w:rPr>
            </w:pPr>
            <w:r w:rsidRPr="00AB4E6A">
              <w:rPr>
                <w:rFonts w:asciiTheme="majorBidi" w:hAnsiTheme="majorBidi" w:cstheme="majorBidi"/>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D4DAF" w14:textId="77777777" w:rsidR="00AB4E6A" w:rsidRPr="00AB4E6A" w:rsidRDefault="00AB4E6A" w:rsidP="00AB4E6A">
            <w:pPr>
              <w:rPr>
                <w:rFonts w:asciiTheme="majorBidi" w:hAnsiTheme="majorBidi" w:cstheme="majorBidi"/>
              </w:rPr>
            </w:pPr>
            <w:r w:rsidRPr="00AB4E6A">
              <w:rPr>
                <w:rFonts w:asciiTheme="majorBidi" w:hAnsiTheme="majorBidi" w:cstheme="majorBidi"/>
              </w:rPr>
              <w:t>4531</w:t>
            </w:r>
          </w:p>
        </w:tc>
      </w:tr>
      <w:tr w:rsidR="00AB4E6A" w:rsidRPr="00AB4E6A" w14:paraId="2050B40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28745" w14:textId="77777777" w:rsidR="00AB4E6A" w:rsidRPr="00AB4E6A" w:rsidRDefault="00AB4E6A" w:rsidP="00AB4E6A">
            <w:pPr>
              <w:rPr>
                <w:rFonts w:asciiTheme="majorBidi" w:hAnsiTheme="majorBidi" w:cstheme="majorBidi"/>
              </w:rPr>
            </w:pPr>
            <w:r w:rsidRPr="00AB4E6A">
              <w:rPr>
                <w:rFonts w:asciiTheme="majorBidi" w:hAnsiTheme="majorBidi" w:cstheme="majorBid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C58AE"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limit 3 to </w:t>
            </w:r>
            <w:proofErr w:type="spellStart"/>
            <w:r w:rsidRPr="00AB4E6A">
              <w:rPr>
                <w:rFonts w:asciiTheme="majorBidi" w:hAnsiTheme="majorBidi" w:cstheme="majorBidi"/>
              </w:rPr>
              <w:t>yr</w:t>
            </w:r>
            <w:proofErr w:type="spellEnd"/>
            <w:r w:rsidRPr="00AB4E6A">
              <w:rPr>
                <w:rFonts w:asciiTheme="majorBidi" w:hAnsiTheme="majorBidi" w:cstheme="majorBidi"/>
              </w:rPr>
              <w:t>="2011 -Current"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2D34B" w14:textId="77777777" w:rsidR="00AB4E6A" w:rsidRPr="00AB4E6A" w:rsidRDefault="00AB4E6A" w:rsidP="00AB4E6A">
            <w:pPr>
              <w:rPr>
                <w:rFonts w:asciiTheme="majorBidi" w:hAnsiTheme="majorBidi" w:cstheme="majorBidi"/>
              </w:rPr>
            </w:pPr>
            <w:r w:rsidRPr="00AB4E6A">
              <w:rPr>
                <w:rFonts w:asciiTheme="majorBidi" w:hAnsiTheme="majorBidi" w:cstheme="majorBidi"/>
              </w:rPr>
              <w:t>3042</w:t>
            </w:r>
          </w:p>
        </w:tc>
      </w:tr>
      <w:tr w:rsidR="00AB4E6A" w:rsidRPr="00AB4E6A" w14:paraId="64499D36"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7F4FE"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E9CCC" w14:textId="77777777" w:rsidR="00AB4E6A" w:rsidRPr="00AB4E6A" w:rsidRDefault="00AB4E6A" w:rsidP="00AB4E6A">
            <w:pPr>
              <w:rPr>
                <w:rFonts w:asciiTheme="majorBidi" w:hAnsiTheme="majorBidi" w:cstheme="majorBidi"/>
              </w:rPr>
            </w:pPr>
            <w:r w:rsidRPr="00AB4E6A">
              <w:rPr>
                <w:rFonts w:asciiTheme="majorBidi" w:hAnsiTheme="majorBidi" w:cstheme="majorBidi"/>
              </w:rPr>
              <w:t>"</w:t>
            </w:r>
            <w:proofErr w:type="gramStart"/>
            <w:r w:rsidRPr="00AB4E6A">
              <w:rPr>
                <w:rFonts w:asciiTheme="majorBidi" w:hAnsiTheme="majorBidi" w:cstheme="majorBidi"/>
              </w:rPr>
              <w:t>cost</w:t>
            </w:r>
            <w:proofErr w:type="gramEnd"/>
            <w:r w:rsidRPr="00AB4E6A">
              <w:rPr>
                <w:rFonts w:asciiTheme="majorBidi" w:hAnsiTheme="majorBidi" w:cstheme="majorBidi"/>
              </w:rPr>
              <w:t xml:space="preserve"> benefit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226DD" w14:textId="77777777" w:rsidR="00AB4E6A" w:rsidRPr="00AB4E6A" w:rsidRDefault="00AB4E6A" w:rsidP="00AB4E6A">
            <w:pPr>
              <w:rPr>
                <w:rFonts w:asciiTheme="majorBidi" w:hAnsiTheme="majorBidi" w:cstheme="majorBidi"/>
              </w:rPr>
            </w:pPr>
            <w:r w:rsidRPr="00AB4E6A">
              <w:rPr>
                <w:rFonts w:asciiTheme="majorBidi" w:hAnsiTheme="majorBidi" w:cstheme="majorBidi"/>
              </w:rPr>
              <w:t>86983</w:t>
            </w:r>
          </w:p>
        </w:tc>
      </w:tr>
      <w:tr w:rsidR="00AB4E6A" w:rsidRPr="00AB4E6A" w14:paraId="603D7738"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111E8" w14:textId="77777777" w:rsidR="00AB4E6A" w:rsidRPr="00AB4E6A" w:rsidRDefault="00AB4E6A" w:rsidP="00AB4E6A">
            <w:pPr>
              <w:rPr>
                <w:rFonts w:asciiTheme="majorBidi" w:hAnsiTheme="majorBidi" w:cstheme="majorBidi"/>
              </w:rPr>
            </w:pPr>
            <w:r w:rsidRPr="00AB4E6A">
              <w:rPr>
                <w:rFonts w:asciiTheme="majorBidi" w:hAnsiTheme="majorBidi" w:cstheme="majorBidi"/>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8E3B2"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value of life/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40B97" w14:textId="77777777" w:rsidR="00AB4E6A" w:rsidRPr="00AB4E6A" w:rsidRDefault="00AB4E6A" w:rsidP="00AB4E6A">
            <w:pPr>
              <w:rPr>
                <w:rFonts w:asciiTheme="majorBidi" w:hAnsiTheme="majorBidi" w:cstheme="majorBidi"/>
              </w:rPr>
            </w:pPr>
            <w:r w:rsidRPr="00AB4E6A">
              <w:rPr>
                <w:rFonts w:asciiTheme="majorBidi" w:hAnsiTheme="majorBidi" w:cstheme="majorBidi"/>
              </w:rPr>
              <w:t>145299</w:t>
            </w:r>
          </w:p>
        </w:tc>
      </w:tr>
      <w:tr w:rsidR="00AB4E6A" w:rsidRPr="00AB4E6A" w14:paraId="52FF83D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3979B" w14:textId="77777777" w:rsidR="00AB4E6A" w:rsidRPr="00AB4E6A" w:rsidRDefault="00AB4E6A" w:rsidP="00AB4E6A">
            <w:pPr>
              <w:rPr>
                <w:rFonts w:asciiTheme="majorBidi" w:hAnsiTheme="majorBidi" w:cstheme="majorBidi"/>
              </w:rPr>
            </w:pPr>
            <w:r w:rsidRPr="00AB4E6A">
              <w:rPr>
                <w:rFonts w:asciiTheme="majorBidi" w:hAnsiTheme="majorBidi" w:cstheme="majorBidi"/>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BDD3D" w14:textId="77777777" w:rsidR="00AB4E6A" w:rsidRPr="00AB4E6A" w:rsidRDefault="00AB4E6A" w:rsidP="00AB4E6A">
            <w:pPr>
              <w:rPr>
                <w:rFonts w:asciiTheme="majorBidi" w:hAnsiTheme="majorBidi" w:cstheme="majorBidi"/>
              </w:rPr>
            </w:pPr>
            <w:r w:rsidRPr="00AB4E6A">
              <w:rPr>
                <w:rFonts w:asciiTheme="majorBidi" w:hAnsiTheme="majorBidi" w:cstheme="majorBidi"/>
              </w:rPr>
              <w:t>quality adjusted life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35562" w14:textId="77777777" w:rsidR="00AB4E6A" w:rsidRPr="00AB4E6A" w:rsidRDefault="00AB4E6A" w:rsidP="00AB4E6A">
            <w:pPr>
              <w:rPr>
                <w:rFonts w:asciiTheme="majorBidi" w:hAnsiTheme="majorBidi" w:cstheme="majorBidi"/>
              </w:rPr>
            </w:pPr>
            <w:r w:rsidRPr="00AB4E6A">
              <w:rPr>
                <w:rFonts w:asciiTheme="majorBidi" w:hAnsiTheme="majorBidi" w:cstheme="majorBidi"/>
              </w:rPr>
              <w:t>28664</w:t>
            </w:r>
          </w:p>
        </w:tc>
      </w:tr>
      <w:tr w:rsidR="00AB4E6A" w:rsidRPr="00AB4E6A" w14:paraId="12E37E7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1B708"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78546" w14:textId="77777777" w:rsidR="00AB4E6A" w:rsidRPr="00AB4E6A" w:rsidRDefault="00AB4E6A" w:rsidP="00AB4E6A">
            <w:pPr>
              <w:rPr>
                <w:rFonts w:asciiTheme="majorBidi" w:hAnsiTheme="majorBidi" w:cstheme="majorBidi"/>
              </w:rPr>
            </w:pPr>
            <w:r w:rsidRPr="00AB4E6A">
              <w:rPr>
                <w:rFonts w:asciiTheme="majorBidi" w:hAnsiTheme="majorBidi" w:cstheme="majorBidi"/>
              </w:rPr>
              <w:t>exp economic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0A054" w14:textId="77777777" w:rsidR="00AB4E6A" w:rsidRPr="00AB4E6A" w:rsidRDefault="00AB4E6A" w:rsidP="00AB4E6A">
            <w:pPr>
              <w:rPr>
                <w:rFonts w:asciiTheme="majorBidi" w:hAnsiTheme="majorBidi" w:cstheme="majorBidi"/>
              </w:rPr>
            </w:pPr>
            <w:r w:rsidRPr="00AB4E6A">
              <w:rPr>
                <w:rFonts w:asciiTheme="majorBidi" w:hAnsiTheme="majorBidi" w:cstheme="majorBidi"/>
              </w:rPr>
              <w:t>2513</w:t>
            </w:r>
          </w:p>
        </w:tc>
      </w:tr>
      <w:tr w:rsidR="00AB4E6A" w:rsidRPr="00AB4E6A" w14:paraId="2BE8B4C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6C3A4" w14:textId="77777777" w:rsidR="00AB4E6A" w:rsidRPr="00AB4E6A" w:rsidRDefault="00AB4E6A" w:rsidP="00AB4E6A">
            <w:pPr>
              <w:rPr>
                <w:rFonts w:asciiTheme="majorBidi" w:hAnsiTheme="majorBidi" w:cstheme="majorBidi"/>
              </w:rPr>
            </w:pPr>
            <w:r w:rsidRPr="00AB4E6A">
              <w:rPr>
                <w:rFonts w:asciiTheme="majorBidi" w:hAnsiTheme="majorBidi" w:cstheme="majorBidi"/>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C3775"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utilit$.tw.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844EB" w14:textId="77777777" w:rsidR="00AB4E6A" w:rsidRPr="00AB4E6A" w:rsidRDefault="00AB4E6A" w:rsidP="00AB4E6A">
            <w:pPr>
              <w:rPr>
                <w:rFonts w:asciiTheme="majorBidi" w:hAnsiTheme="majorBidi" w:cstheme="majorBidi"/>
              </w:rPr>
            </w:pPr>
            <w:r w:rsidRPr="00AB4E6A">
              <w:rPr>
                <w:rFonts w:asciiTheme="majorBidi" w:hAnsiTheme="majorBidi" w:cstheme="majorBidi"/>
              </w:rPr>
              <w:t>7843</w:t>
            </w:r>
          </w:p>
        </w:tc>
      </w:tr>
      <w:tr w:rsidR="00AB4E6A" w:rsidRPr="00AB4E6A" w14:paraId="46DDCBF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CF69D" w14:textId="77777777" w:rsidR="00AB4E6A" w:rsidRPr="00AB4E6A" w:rsidRDefault="00AB4E6A" w:rsidP="00AB4E6A">
            <w:pPr>
              <w:rPr>
                <w:rFonts w:asciiTheme="majorBidi" w:hAnsiTheme="majorBidi" w:cstheme="majorBidi"/>
              </w:rPr>
            </w:pPr>
            <w:r w:rsidRPr="00AB4E6A">
              <w:rPr>
                <w:rFonts w:asciiTheme="majorBidi" w:hAnsiTheme="majorBidi" w:cstheme="majorBid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DAC39"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benefit$.tw.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4A940" w14:textId="77777777" w:rsidR="00AB4E6A" w:rsidRPr="00AB4E6A" w:rsidRDefault="00AB4E6A" w:rsidP="00AB4E6A">
            <w:pPr>
              <w:rPr>
                <w:rFonts w:asciiTheme="majorBidi" w:hAnsiTheme="majorBidi" w:cstheme="majorBidi"/>
              </w:rPr>
            </w:pPr>
            <w:r w:rsidRPr="00AB4E6A">
              <w:rPr>
                <w:rFonts w:asciiTheme="majorBidi" w:hAnsiTheme="majorBidi" w:cstheme="majorBidi"/>
              </w:rPr>
              <w:t>15750</w:t>
            </w:r>
          </w:p>
        </w:tc>
      </w:tr>
      <w:tr w:rsidR="00AB4E6A" w:rsidRPr="00AB4E6A" w14:paraId="3421C5A9"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6F37C" w14:textId="77777777" w:rsidR="00AB4E6A" w:rsidRPr="00AB4E6A" w:rsidRDefault="00AB4E6A" w:rsidP="00AB4E6A">
            <w:pPr>
              <w:rPr>
                <w:rFonts w:asciiTheme="majorBidi" w:hAnsiTheme="majorBidi" w:cstheme="majorBidi"/>
              </w:rPr>
            </w:pPr>
            <w:r w:rsidRPr="00AB4E6A">
              <w:rPr>
                <w:rFonts w:asciiTheme="majorBidi" w:hAnsiTheme="majorBidi" w:cstheme="majorBid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7C8B1"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minim$.tw.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B16AD" w14:textId="77777777" w:rsidR="00AB4E6A" w:rsidRPr="00AB4E6A" w:rsidRDefault="00AB4E6A" w:rsidP="00AB4E6A">
            <w:pPr>
              <w:rPr>
                <w:rFonts w:asciiTheme="majorBidi" w:hAnsiTheme="majorBidi" w:cstheme="majorBidi"/>
              </w:rPr>
            </w:pPr>
            <w:r w:rsidRPr="00AB4E6A">
              <w:rPr>
                <w:rFonts w:asciiTheme="majorBidi" w:hAnsiTheme="majorBidi" w:cstheme="majorBidi"/>
              </w:rPr>
              <w:t>2664</w:t>
            </w:r>
          </w:p>
        </w:tc>
      </w:tr>
      <w:tr w:rsidR="00AB4E6A" w:rsidRPr="00AB4E6A" w14:paraId="0A33A243"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8C3EE" w14:textId="77777777" w:rsidR="00AB4E6A" w:rsidRPr="00AB4E6A" w:rsidRDefault="00AB4E6A" w:rsidP="00AB4E6A">
            <w:pPr>
              <w:rPr>
                <w:rFonts w:asciiTheme="majorBidi" w:hAnsiTheme="majorBidi" w:cstheme="majorBidi"/>
              </w:rPr>
            </w:pPr>
            <w:r w:rsidRPr="00AB4E6A">
              <w:rPr>
                <w:rFonts w:asciiTheme="majorBidi" w:hAnsiTheme="majorBidi" w:cstheme="majorBid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14BA3" w14:textId="77777777" w:rsidR="00AB4E6A" w:rsidRPr="00AB4E6A" w:rsidRDefault="00AB4E6A" w:rsidP="00AB4E6A">
            <w:pPr>
              <w:rPr>
                <w:rFonts w:asciiTheme="majorBidi" w:hAnsiTheme="majorBidi" w:cstheme="majorBidi"/>
              </w:rPr>
            </w:pPr>
            <w:r w:rsidRPr="00AB4E6A">
              <w:rPr>
                <w:rFonts w:asciiTheme="majorBidi" w:hAnsiTheme="majorBidi" w:cstheme="majorBidi"/>
              </w:rPr>
              <w:t>cost effect$.tw.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FA5AC" w14:textId="77777777" w:rsidR="00AB4E6A" w:rsidRPr="00AB4E6A" w:rsidRDefault="00AB4E6A" w:rsidP="00AB4E6A">
            <w:pPr>
              <w:rPr>
                <w:rFonts w:asciiTheme="majorBidi" w:hAnsiTheme="majorBidi" w:cstheme="majorBidi"/>
              </w:rPr>
            </w:pPr>
            <w:r w:rsidRPr="00AB4E6A">
              <w:rPr>
                <w:rFonts w:asciiTheme="majorBidi" w:hAnsiTheme="majorBidi" w:cstheme="majorBidi"/>
              </w:rPr>
              <w:t>198907</w:t>
            </w:r>
          </w:p>
        </w:tc>
      </w:tr>
      <w:tr w:rsidR="00AB4E6A" w:rsidRPr="00AB4E6A" w14:paraId="29C759BA"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49198" w14:textId="77777777" w:rsidR="00AB4E6A" w:rsidRPr="00AB4E6A" w:rsidRDefault="00AB4E6A" w:rsidP="00AB4E6A">
            <w:pPr>
              <w:rPr>
                <w:rFonts w:asciiTheme="majorBidi" w:hAnsiTheme="majorBidi" w:cstheme="majorBidi"/>
              </w:rPr>
            </w:pPr>
            <w:r w:rsidRPr="00AB4E6A">
              <w:rPr>
                <w:rFonts w:asciiTheme="majorBidi" w:hAnsiTheme="majorBidi" w:cstheme="majorBid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26955" w14:textId="77777777" w:rsidR="00AB4E6A" w:rsidRPr="00AB4E6A" w:rsidRDefault="00AB4E6A" w:rsidP="00AB4E6A">
            <w:pPr>
              <w:rPr>
                <w:rFonts w:asciiTheme="majorBidi" w:hAnsiTheme="majorBidi" w:cstheme="majorBidi"/>
              </w:rPr>
            </w:pPr>
            <w:r w:rsidRPr="00AB4E6A">
              <w:rPr>
                <w:rFonts w:asciiTheme="majorBidi" w:hAnsiTheme="majorBidi" w:cstheme="majorBidi"/>
              </w:rPr>
              <w:t>economic evaluation$.tw.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FB81F" w14:textId="77777777" w:rsidR="00AB4E6A" w:rsidRPr="00AB4E6A" w:rsidRDefault="00AB4E6A" w:rsidP="00AB4E6A">
            <w:pPr>
              <w:rPr>
                <w:rFonts w:asciiTheme="majorBidi" w:hAnsiTheme="majorBidi" w:cstheme="majorBidi"/>
              </w:rPr>
            </w:pPr>
            <w:r w:rsidRPr="00AB4E6A">
              <w:rPr>
                <w:rFonts w:asciiTheme="majorBidi" w:hAnsiTheme="majorBidi" w:cstheme="majorBidi"/>
              </w:rPr>
              <w:t>17713</w:t>
            </w:r>
          </w:p>
        </w:tc>
      </w:tr>
      <w:tr w:rsidR="00AB4E6A" w:rsidRPr="00AB4E6A" w14:paraId="385B52D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9ED97" w14:textId="77777777" w:rsidR="00AB4E6A" w:rsidRPr="00AB4E6A" w:rsidRDefault="00AB4E6A" w:rsidP="00AB4E6A">
            <w:pPr>
              <w:rPr>
                <w:rFonts w:asciiTheme="majorBidi" w:hAnsiTheme="majorBidi" w:cstheme="majorBidi"/>
              </w:rPr>
            </w:pPr>
            <w:r w:rsidRPr="00AB4E6A">
              <w:rPr>
                <w:rFonts w:asciiTheme="majorBidi" w:hAnsiTheme="majorBidi" w:cstheme="majorBidi"/>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C9C76"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("quality adjusted life year*" or </w:t>
            </w:r>
            <w:proofErr w:type="spellStart"/>
            <w:r w:rsidRPr="00AB4E6A">
              <w:rPr>
                <w:rFonts w:asciiTheme="majorBidi" w:hAnsiTheme="majorBidi" w:cstheme="majorBidi"/>
              </w:rPr>
              <w:t>qaly</w:t>
            </w:r>
            <w:proofErr w:type="spellEnd"/>
            <w:r w:rsidRPr="00AB4E6A">
              <w:rPr>
                <w:rFonts w:asciiTheme="majorBidi" w:hAnsiTheme="majorBidi" w:cstheme="majorBidi"/>
              </w:rPr>
              <w:t xml:space="preserve"> or </w:t>
            </w:r>
            <w:proofErr w:type="spellStart"/>
            <w:r w:rsidRPr="00AB4E6A">
              <w:rPr>
                <w:rFonts w:asciiTheme="majorBidi" w:hAnsiTheme="majorBidi" w:cstheme="majorBidi"/>
              </w:rPr>
              <w:t>qalys</w:t>
            </w:r>
            <w:proofErr w:type="spellEnd"/>
            <w:r w:rsidRPr="00AB4E6A">
              <w:rPr>
                <w:rFonts w:asciiTheme="majorBidi" w:hAnsiTheme="majorBidi" w:cstheme="majorBidi"/>
              </w:rPr>
              <w:t>).</w:t>
            </w:r>
            <w:proofErr w:type="spellStart"/>
            <w:r w:rsidRPr="00AB4E6A">
              <w:rPr>
                <w:rFonts w:asciiTheme="majorBidi" w:hAnsiTheme="majorBidi" w:cstheme="majorBidi"/>
              </w:rPr>
              <w:t>tw</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B3634" w14:textId="77777777" w:rsidR="00AB4E6A" w:rsidRPr="00AB4E6A" w:rsidRDefault="00AB4E6A" w:rsidP="00AB4E6A">
            <w:pPr>
              <w:rPr>
                <w:rFonts w:asciiTheme="majorBidi" w:hAnsiTheme="majorBidi" w:cstheme="majorBidi"/>
              </w:rPr>
            </w:pPr>
            <w:r w:rsidRPr="00AB4E6A">
              <w:rPr>
                <w:rFonts w:asciiTheme="majorBidi" w:hAnsiTheme="majorBidi" w:cstheme="majorBidi"/>
              </w:rPr>
              <w:t>26170</w:t>
            </w:r>
          </w:p>
        </w:tc>
      </w:tr>
      <w:tr w:rsidR="00AB4E6A" w:rsidRPr="00AB4E6A" w14:paraId="28A3E6B4"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5D5CD" w14:textId="77777777" w:rsidR="00AB4E6A" w:rsidRPr="00AB4E6A" w:rsidRDefault="00AB4E6A" w:rsidP="00AB4E6A">
            <w:pPr>
              <w:rPr>
                <w:rFonts w:asciiTheme="majorBidi" w:hAnsiTheme="majorBidi" w:cstheme="majorBidi"/>
              </w:rPr>
            </w:pPr>
            <w:r w:rsidRPr="00AB4E6A">
              <w:rPr>
                <w:rFonts w:asciiTheme="majorBidi" w:hAnsiTheme="majorBidi" w:cstheme="majorBidi"/>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7EF32" w14:textId="77777777" w:rsidR="00AB4E6A" w:rsidRPr="00AB4E6A" w:rsidRDefault="00AB4E6A" w:rsidP="00AB4E6A">
            <w:pPr>
              <w:rPr>
                <w:rFonts w:asciiTheme="majorBidi" w:hAnsiTheme="majorBidi" w:cstheme="majorBidi"/>
              </w:rPr>
            </w:pPr>
            <w:r w:rsidRPr="00AB4E6A">
              <w:rPr>
                <w:rFonts w:asciiTheme="majorBidi" w:hAnsiTheme="majorBidi" w:cstheme="majorBidi"/>
              </w:rPr>
              <w:t>or/5-14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FFCD9" w14:textId="77777777" w:rsidR="00AB4E6A" w:rsidRPr="00AB4E6A" w:rsidRDefault="00AB4E6A" w:rsidP="00AB4E6A">
            <w:pPr>
              <w:rPr>
                <w:rFonts w:asciiTheme="majorBidi" w:hAnsiTheme="majorBidi" w:cstheme="majorBidi"/>
              </w:rPr>
            </w:pPr>
            <w:r w:rsidRPr="00AB4E6A">
              <w:rPr>
                <w:rFonts w:asciiTheme="majorBidi" w:hAnsiTheme="majorBidi" w:cstheme="majorBidi"/>
              </w:rPr>
              <w:t>433603</w:t>
            </w:r>
          </w:p>
        </w:tc>
      </w:tr>
      <w:tr w:rsidR="00AB4E6A" w:rsidRPr="00AB4E6A" w14:paraId="2DC58290"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64103" w14:textId="77777777" w:rsidR="00AB4E6A" w:rsidRPr="00AB4E6A" w:rsidRDefault="00AB4E6A" w:rsidP="00AB4E6A">
            <w:pPr>
              <w:rPr>
                <w:rFonts w:asciiTheme="majorBidi" w:hAnsiTheme="majorBidi" w:cstheme="majorBidi"/>
              </w:rPr>
            </w:pPr>
            <w:r w:rsidRPr="00AB4E6A">
              <w:rPr>
                <w:rFonts w:asciiTheme="majorBidi" w:hAnsiTheme="majorBidi" w:cstheme="majorBidi"/>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8DDB7" w14:textId="77777777" w:rsidR="00AB4E6A" w:rsidRPr="00AB4E6A" w:rsidRDefault="00AB4E6A" w:rsidP="00AB4E6A">
            <w:pPr>
              <w:rPr>
                <w:rFonts w:asciiTheme="majorBidi" w:hAnsiTheme="majorBidi" w:cstheme="majorBidi"/>
              </w:rPr>
            </w:pPr>
            <w:r w:rsidRPr="00AB4E6A">
              <w:rPr>
                <w:rFonts w:asciiTheme="majorBidi" w:hAnsiTheme="majorBidi" w:cstheme="majorBidi"/>
              </w:rPr>
              <w:t>4 and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E9636" w14:textId="77777777" w:rsidR="00AB4E6A" w:rsidRPr="00AB4E6A" w:rsidRDefault="00AB4E6A" w:rsidP="00AB4E6A">
            <w:pPr>
              <w:rPr>
                <w:rFonts w:asciiTheme="majorBidi" w:hAnsiTheme="majorBidi" w:cstheme="majorBidi"/>
              </w:rPr>
            </w:pPr>
            <w:r w:rsidRPr="00AB4E6A">
              <w:rPr>
                <w:rFonts w:asciiTheme="majorBidi" w:hAnsiTheme="majorBidi" w:cstheme="majorBidi"/>
              </w:rPr>
              <w:t>67</w:t>
            </w:r>
          </w:p>
        </w:tc>
      </w:tr>
    </w:tbl>
    <w:p w14:paraId="0D2EAC5A" w14:textId="77777777" w:rsidR="00AB4E6A" w:rsidRPr="00AB4E6A" w:rsidRDefault="00AB4E6A" w:rsidP="00AB4E6A">
      <w:pPr>
        <w:rPr>
          <w:rFonts w:asciiTheme="majorBidi" w:hAnsiTheme="majorBidi" w:cstheme="majorBidi"/>
        </w:rPr>
      </w:pPr>
    </w:p>
    <w:p w14:paraId="5296AA99"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lastRenderedPageBreak/>
        <w:t>CRD database (searched via the University of York CRD platform)</w:t>
      </w:r>
    </w:p>
    <w:p w14:paraId="791B885E" w14:textId="77777777" w:rsidR="00AB4E6A" w:rsidRPr="00AB4E6A" w:rsidRDefault="00AB4E6A" w:rsidP="00AB4E6A">
      <w:pPr>
        <w:rPr>
          <w:rFonts w:asciiTheme="majorBidi" w:hAnsiTheme="majorBidi" w:cstheme="majorBidi"/>
        </w:rPr>
      </w:pPr>
      <w:r w:rsidRPr="00AB4E6A">
        <w:rPr>
          <w:rFonts w:asciiTheme="majorBidi" w:hAnsiTheme="majorBidi" w:cstheme="majorBidi"/>
        </w:rPr>
        <w:t>1st April 2021</w:t>
      </w:r>
    </w:p>
    <w:p w14:paraId="304B87B8" w14:textId="77777777" w:rsidR="00AB4E6A" w:rsidRPr="00AB4E6A" w:rsidRDefault="00AB4E6A" w:rsidP="00AB4E6A">
      <w:pPr>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326"/>
        <w:gridCol w:w="5543"/>
        <w:gridCol w:w="901"/>
      </w:tblGrid>
      <w:tr w:rsidR="00AB4E6A" w:rsidRPr="00AB4E6A" w14:paraId="1295D54D"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26433"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AE7DF"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Searches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E2CB4" w14:textId="77777777" w:rsidR="00AB4E6A" w:rsidRPr="00AB4E6A" w:rsidRDefault="00AB4E6A" w:rsidP="00AB4E6A">
            <w:pPr>
              <w:rPr>
                <w:rFonts w:asciiTheme="majorBidi" w:hAnsiTheme="majorBidi" w:cstheme="majorBidi"/>
              </w:rPr>
            </w:pPr>
            <w:r w:rsidRPr="00AB4E6A">
              <w:rPr>
                <w:rFonts w:asciiTheme="majorBidi" w:hAnsiTheme="majorBidi" w:cstheme="majorBidi"/>
                <w:b/>
                <w:bCs/>
              </w:rPr>
              <w:t>Results</w:t>
            </w:r>
          </w:p>
        </w:tc>
      </w:tr>
      <w:tr w:rsidR="00AB4E6A" w:rsidRPr="00AB4E6A" w14:paraId="38C75FC1"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B1A2" w14:textId="77777777" w:rsidR="00AB4E6A" w:rsidRPr="00AB4E6A" w:rsidRDefault="00AB4E6A" w:rsidP="00AB4E6A">
            <w:pPr>
              <w:rPr>
                <w:rFonts w:asciiTheme="majorBidi" w:hAnsiTheme="majorBidi" w:cstheme="majorBidi"/>
              </w:rPr>
            </w:pPr>
            <w:r w:rsidRPr="00AB4E6A">
              <w:rPr>
                <w:rFonts w:asciiTheme="majorBidi" w:hAnsiTheme="majorBidi" w:cstheme="majorBid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F5258"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(((antimicrobial or antibiotic or antibacterial) and </w:t>
            </w:r>
            <w:proofErr w:type="spellStart"/>
            <w:r w:rsidRPr="00AB4E6A">
              <w:rPr>
                <w:rFonts w:asciiTheme="majorBidi" w:hAnsiTheme="majorBidi" w:cstheme="majorBidi"/>
              </w:rPr>
              <w:t>resistan</w:t>
            </w:r>
            <w:proofErr w:type="spellEnd"/>
            <w:r w:rsidRPr="00AB4E6A">
              <w:rPr>
                <w:rFonts w:asciiTheme="majorBidi" w:hAnsiTheme="majorBidi" w:cstheme="majorBid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6C02D" w14:textId="77777777" w:rsidR="00AB4E6A" w:rsidRPr="00AB4E6A" w:rsidRDefault="00AB4E6A" w:rsidP="00AB4E6A">
            <w:pPr>
              <w:rPr>
                <w:rFonts w:asciiTheme="majorBidi" w:hAnsiTheme="majorBidi" w:cstheme="majorBidi"/>
              </w:rPr>
            </w:pPr>
            <w:r w:rsidRPr="00AB4E6A">
              <w:rPr>
                <w:rFonts w:asciiTheme="majorBidi" w:hAnsiTheme="majorBidi" w:cstheme="majorBidi"/>
              </w:rPr>
              <w:t>459</w:t>
            </w:r>
          </w:p>
        </w:tc>
      </w:tr>
      <w:tr w:rsidR="00AB4E6A" w:rsidRPr="00AB4E6A" w14:paraId="6B039627"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14E0C"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C0184"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((model* or "population dynamic*" or </w:t>
            </w:r>
            <w:proofErr w:type="spellStart"/>
            <w:r w:rsidRPr="00AB4E6A">
              <w:rPr>
                <w:rFonts w:asciiTheme="majorBidi" w:hAnsiTheme="majorBidi" w:cstheme="majorBidi"/>
              </w:rPr>
              <w:t>simulat</w:t>
            </w:r>
            <w:proofErr w:type="spellEnd"/>
            <w:r w:rsidRPr="00AB4E6A">
              <w:rPr>
                <w:rFonts w:asciiTheme="majorBidi" w:hAnsiTheme="majorBidi" w:cstheme="majorBidi"/>
              </w:rPr>
              <w:t>*)</w:t>
            </w:r>
            <w:proofErr w:type="gramStart"/>
            <w:r w:rsidRPr="00AB4E6A">
              <w:rPr>
                <w:rFonts w:asciiTheme="majorBidi" w:hAnsiTheme="majorBidi" w:cstheme="majorBidi"/>
              </w:rPr>
              <w:t>):TI</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31904" w14:textId="77777777" w:rsidR="00AB4E6A" w:rsidRPr="00AB4E6A" w:rsidRDefault="00AB4E6A" w:rsidP="00AB4E6A">
            <w:pPr>
              <w:rPr>
                <w:rFonts w:asciiTheme="majorBidi" w:hAnsiTheme="majorBidi" w:cstheme="majorBidi"/>
              </w:rPr>
            </w:pPr>
            <w:r w:rsidRPr="00AB4E6A">
              <w:rPr>
                <w:rFonts w:asciiTheme="majorBidi" w:hAnsiTheme="majorBidi" w:cstheme="majorBidi"/>
              </w:rPr>
              <w:t>1554</w:t>
            </w:r>
          </w:p>
        </w:tc>
      </w:tr>
      <w:tr w:rsidR="00AB4E6A" w:rsidRPr="00AB4E6A" w14:paraId="596ECE15"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43EFF" w14:textId="77777777" w:rsidR="00AB4E6A" w:rsidRPr="00AB4E6A" w:rsidRDefault="00AB4E6A" w:rsidP="00AB4E6A">
            <w:pPr>
              <w:rPr>
                <w:rFonts w:asciiTheme="majorBidi" w:hAnsiTheme="majorBidi" w:cstheme="majorBidi"/>
              </w:rPr>
            </w:pPr>
            <w:r w:rsidRPr="00AB4E6A">
              <w:rPr>
                <w:rFonts w:asciiTheme="majorBidi" w:hAnsiTheme="majorBidi" w:cstheme="majorBid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1749C" w14:textId="77777777" w:rsidR="00AB4E6A" w:rsidRPr="00AB4E6A" w:rsidRDefault="00AB4E6A" w:rsidP="00AB4E6A">
            <w:pPr>
              <w:rPr>
                <w:rFonts w:asciiTheme="majorBidi" w:hAnsiTheme="majorBidi" w:cstheme="majorBidi"/>
              </w:rPr>
            </w:pPr>
            <w:r w:rsidRPr="00AB4E6A">
              <w:rPr>
                <w:rFonts w:asciiTheme="majorBidi" w:hAnsiTheme="majorBidi" w:cstheme="majorBidi"/>
              </w:rPr>
              <w:t>#1 AND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35272" w14:textId="77777777" w:rsidR="00AB4E6A" w:rsidRPr="00AB4E6A" w:rsidRDefault="00AB4E6A" w:rsidP="00AB4E6A">
            <w:pPr>
              <w:rPr>
                <w:rFonts w:asciiTheme="majorBidi" w:hAnsiTheme="majorBidi" w:cstheme="majorBidi"/>
              </w:rPr>
            </w:pPr>
            <w:r w:rsidRPr="00AB4E6A">
              <w:rPr>
                <w:rFonts w:asciiTheme="majorBidi" w:hAnsiTheme="majorBidi" w:cstheme="majorBidi"/>
              </w:rPr>
              <w:t>8</w:t>
            </w:r>
          </w:p>
        </w:tc>
      </w:tr>
      <w:tr w:rsidR="00AB4E6A" w:rsidRPr="00AB4E6A" w14:paraId="46D8E48C" w14:textId="77777777" w:rsidTr="00AB4E6A">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4E069" w14:textId="77777777" w:rsidR="00AB4E6A" w:rsidRPr="00AB4E6A" w:rsidRDefault="00AB4E6A" w:rsidP="00AB4E6A">
            <w:pPr>
              <w:rPr>
                <w:rFonts w:asciiTheme="majorBidi" w:hAnsiTheme="majorBidi" w:cstheme="majorBidi"/>
              </w:rPr>
            </w:pPr>
            <w:r w:rsidRPr="00AB4E6A">
              <w:rPr>
                <w:rFonts w:asciiTheme="majorBidi" w:hAnsiTheme="majorBidi" w:cstheme="majorBid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1DB63" w14:textId="77777777" w:rsidR="00AB4E6A" w:rsidRPr="00AB4E6A" w:rsidRDefault="00AB4E6A" w:rsidP="00AB4E6A">
            <w:pPr>
              <w:rPr>
                <w:rFonts w:asciiTheme="majorBidi" w:hAnsiTheme="majorBidi" w:cstheme="majorBidi"/>
              </w:rPr>
            </w:pPr>
            <w:r w:rsidRPr="00AB4E6A">
              <w:rPr>
                <w:rFonts w:asciiTheme="majorBidi" w:hAnsiTheme="majorBidi" w:cstheme="majorBidi"/>
              </w:rPr>
              <w:t>(#3) FROM 2011 TO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A2421" w14:textId="77777777" w:rsidR="00AB4E6A" w:rsidRPr="00AB4E6A" w:rsidRDefault="00AB4E6A" w:rsidP="00AB4E6A">
            <w:pPr>
              <w:rPr>
                <w:rFonts w:asciiTheme="majorBidi" w:hAnsiTheme="majorBidi" w:cstheme="majorBidi"/>
              </w:rPr>
            </w:pPr>
            <w:r w:rsidRPr="00AB4E6A">
              <w:rPr>
                <w:rFonts w:asciiTheme="majorBidi" w:hAnsiTheme="majorBidi" w:cstheme="majorBidi"/>
              </w:rPr>
              <w:t>2</w:t>
            </w:r>
          </w:p>
        </w:tc>
      </w:tr>
    </w:tbl>
    <w:p w14:paraId="09C4B18B" w14:textId="77777777" w:rsidR="00AB4E6A" w:rsidRPr="00AB4E6A" w:rsidRDefault="00AB4E6A" w:rsidP="00AB4E6A">
      <w:pPr>
        <w:rPr>
          <w:rFonts w:asciiTheme="majorBidi" w:hAnsiTheme="majorBidi" w:cstheme="majorBidi"/>
        </w:rPr>
      </w:pPr>
    </w:p>
    <w:p w14:paraId="59DBDD70" w14:textId="77777777" w:rsidR="00AB4E6A" w:rsidRPr="00AB4E6A" w:rsidRDefault="00AB4E6A" w:rsidP="00AB4E6A">
      <w:pPr>
        <w:rPr>
          <w:rFonts w:asciiTheme="majorBidi" w:hAnsiTheme="majorBidi" w:cstheme="majorBidi"/>
          <w:b/>
          <w:bCs/>
        </w:rPr>
      </w:pPr>
      <w:r w:rsidRPr="00AB4E6A">
        <w:rPr>
          <w:rFonts w:asciiTheme="majorBidi" w:hAnsiTheme="majorBidi" w:cstheme="majorBidi"/>
        </w:rPr>
        <w:br w:type="page"/>
      </w:r>
    </w:p>
    <w:p w14:paraId="62CAF783" w14:textId="13FAD8BC" w:rsidR="00AB4E6A" w:rsidRPr="00097E31" w:rsidRDefault="00917737" w:rsidP="008E6F0E">
      <w:pPr>
        <w:pStyle w:val="Heading2"/>
        <w:ind w:left="720" w:hanging="720"/>
        <w:jc w:val="both"/>
        <w:rPr>
          <w:sz w:val="32"/>
          <w:szCs w:val="32"/>
        </w:rPr>
      </w:pPr>
      <w:bookmarkStart w:id="812" w:name="_Toc87463133"/>
      <w:r w:rsidRPr="00097E31">
        <w:rPr>
          <w:sz w:val="32"/>
          <w:szCs w:val="32"/>
        </w:rPr>
        <w:lastRenderedPageBreak/>
        <w:t>Appendix 1</w:t>
      </w:r>
      <w:r w:rsidR="006F4DEE" w:rsidRPr="00097E31">
        <w:rPr>
          <w:sz w:val="32"/>
          <w:szCs w:val="32"/>
        </w:rPr>
        <w:t>3:</w:t>
      </w:r>
      <w:r w:rsidRPr="00097E31">
        <w:rPr>
          <w:sz w:val="32"/>
          <w:szCs w:val="32"/>
        </w:rPr>
        <w:t xml:space="preserve"> </w:t>
      </w:r>
      <w:r w:rsidR="00AB4E6A" w:rsidRPr="00097E31">
        <w:rPr>
          <w:sz w:val="32"/>
          <w:szCs w:val="32"/>
        </w:rPr>
        <w:t xml:space="preserve">Incorporating susceptibility evidence into the </w:t>
      </w:r>
      <w:r w:rsidR="00097E31">
        <w:rPr>
          <w:sz w:val="32"/>
          <w:szCs w:val="32"/>
        </w:rPr>
        <w:tab/>
      </w:r>
      <w:r w:rsidR="00097E31">
        <w:rPr>
          <w:sz w:val="32"/>
          <w:szCs w:val="32"/>
        </w:rPr>
        <w:tab/>
      </w:r>
      <w:r w:rsidR="00AB4E6A" w:rsidRPr="00097E31">
        <w:rPr>
          <w:sz w:val="32"/>
          <w:szCs w:val="32"/>
        </w:rPr>
        <w:t>economic model</w:t>
      </w:r>
      <w:bookmarkEnd w:id="812"/>
    </w:p>
    <w:p w14:paraId="7FC5535F" w14:textId="6CC9E688" w:rsidR="00AB4E6A" w:rsidRPr="00AB4E6A" w:rsidRDefault="00097E31" w:rsidP="00364012">
      <w:pPr>
        <w:pStyle w:val="EEPRUnumberedLevel2Headingnew"/>
        <w:numPr>
          <w:ilvl w:val="0"/>
          <w:numId w:val="0"/>
        </w:numPr>
      </w:pPr>
      <w:r>
        <w:tab/>
      </w:r>
      <w:bookmarkStart w:id="813" w:name="_Toc87463134"/>
      <w:r w:rsidR="006F4DEE">
        <w:t xml:space="preserve">A13.1. </w:t>
      </w:r>
      <w:r w:rsidR="00AB4E6A" w:rsidRPr="00AB4E6A">
        <w:t>Evidence on conditional susceptibilities</w:t>
      </w:r>
      <w:bookmarkEnd w:id="813"/>
    </w:p>
    <w:p w14:paraId="51AF1932" w14:textId="39719EAF" w:rsidR="00F94DFF" w:rsidRDefault="00F94DFF" w:rsidP="00F94DFF">
      <w:pPr>
        <w:spacing w:after="0" w:line="360" w:lineRule="auto"/>
        <w:contextualSpacing/>
        <w:jc w:val="both"/>
        <w:rPr>
          <w:rFonts w:ascii="Times New Roman" w:hAnsi="Times New Roman" w:cs="Times New Roman"/>
        </w:rPr>
      </w:pPr>
      <w:r>
        <w:rPr>
          <w:rFonts w:ascii="Times New Roman" w:hAnsi="Times New Roman" w:cs="Times New Roman"/>
        </w:rPr>
        <w:t xml:space="preserve">In general, the review of susceptibility studies described in Section 4 (and subsequent NMA) provided evidence </w:t>
      </w:r>
      <w:r w:rsidRPr="00AF3825">
        <w:rPr>
          <w:rFonts w:ascii="Times New Roman" w:hAnsi="Times New Roman" w:cs="Times New Roman"/>
        </w:rPr>
        <w:t xml:space="preserve">on </w:t>
      </w:r>
      <w:r>
        <w:rPr>
          <w:rFonts w:ascii="Times New Roman" w:hAnsi="Times New Roman" w:cs="Times New Roman"/>
        </w:rPr>
        <w:t xml:space="preserve">absolute </w:t>
      </w:r>
      <w:r w:rsidRPr="00AF3825">
        <w:rPr>
          <w:rFonts w:ascii="Times New Roman" w:hAnsi="Times New Roman" w:cs="Times New Roman"/>
        </w:rPr>
        <w:t>susceptibility</w:t>
      </w:r>
      <w:r>
        <w:rPr>
          <w:rFonts w:ascii="Times New Roman" w:hAnsi="Times New Roman" w:cs="Times New Roman"/>
        </w:rPr>
        <w:t xml:space="preserve"> to a given AM (or in statistical language, the marginal susceptibility). To use evidence on susceptibility in the economic modelling</w:t>
      </w:r>
      <w:r w:rsidRPr="00AF3825">
        <w:rPr>
          <w:rFonts w:ascii="Times New Roman" w:hAnsi="Times New Roman" w:cs="Times New Roman"/>
        </w:rPr>
        <w:t>, information on conditional susceptibility</w:t>
      </w:r>
      <w:r>
        <w:rPr>
          <w:rFonts w:ascii="Times New Roman" w:hAnsi="Times New Roman" w:cs="Times New Roman"/>
        </w:rPr>
        <w:t xml:space="preserve"> is required</w:t>
      </w:r>
      <w:r w:rsidRPr="00AF3825">
        <w:rPr>
          <w:rFonts w:ascii="Times New Roman" w:hAnsi="Times New Roman" w:cs="Times New Roman"/>
        </w:rPr>
        <w:t>.</w:t>
      </w:r>
      <w:r>
        <w:rPr>
          <w:rFonts w:ascii="Times New Roman" w:hAnsi="Times New Roman" w:cs="Times New Roman"/>
        </w:rPr>
        <w:t xml:space="preserve"> This required evidence takes two different forms depending on the treatment setting. In the ES many treatments are combinations of two AMs. For this, evidence is required on the susceptibility to one AM in the combination treatment, conditional</w:t>
      </w:r>
      <w:r w:rsidRPr="00AF3825" w:rsidDel="005E01EC">
        <w:rPr>
          <w:rFonts w:ascii="Times New Roman" w:hAnsi="Times New Roman" w:cs="Times New Roman"/>
        </w:rPr>
        <w:t xml:space="preserve"> </w:t>
      </w:r>
      <w:r>
        <w:rPr>
          <w:rFonts w:ascii="Times New Roman" w:hAnsi="Times New Roman" w:cs="Times New Roman"/>
        </w:rPr>
        <w:t xml:space="preserve">on being resistant to the other AM in the combination (so collectively this evidence allows for a derivation of overall susceptibility to the combination treatment). In the MDS interest lies in the proportion of patients that are susceptible to at least one AM </w:t>
      </w:r>
      <w:proofErr w:type="gramStart"/>
      <w:r>
        <w:rPr>
          <w:rFonts w:ascii="Times New Roman" w:hAnsi="Times New Roman" w:cs="Times New Roman"/>
        </w:rPr>
        <w:t>in a given</w:t>
      </w:r>
      <w:proofErr w:type="gramEnd"/>
      <w:r>
        <w:rPr>
          <w:rFonts w:ascii="Times New Roman" w:hAnsi="Times New Roman" w:cs="Times New Roman"/>
        </w:rPr>
        <w:t xml:space="preserve"> group (where the groupings are one of ‘colistin or an aminoglycoside’, ‘a different AM’ or ‘no AMs’). Here the required evidence is again for susceptibility to an AM given resistance to other AMs, but now this </w:t>
      </w:r>
      <w:r w:rsidRPr="00F94DFF">
        <w:rPr>
          <w:rFonts w:ascii="Times New Roman" w:hAnsi="Times New Roman" w:cs="Times New Roman"/>
        </w:rPr>
        <w:t>resistance could be to multiple AMs. These two settings are discussed in turn, followed by a discussion of issues specific to CAZ-AVI.</w:t>
      </w:r>
    </w:p>
    <w:p w14:paraId="45666450" w14:textId="77777777" w:rsidR="00F94DFF" w:rsidRDefault="00F94DFF" w:rsidP="00F94DFF">
      <w:pPr>
        <w:spacing w:after="0" w:line="360" w:lineRule="auto"/>
        <w:contextualSpacing/>
        <w:jc w:val="both"/>
        <w:rPr>
          <w:rFonts w:ascii="Times New Roman" w:hAnsi="Times New Roman" w:cs="Times New Roman"/>
        </w:rPr>
      </w:pPr>
    </w:p>
    <w:p w14:paraId="0423200A" w14:textId="77777777" w:rsidR="00F94DFF" w:rsidRPr="00683C91" w:rsidRDefault="00F94DFF" w:rsidP="00F94DFF">
      <w:pPr>
        <w:spacing w:after="0" w:line="360" w:lineRule="auto"/>
        <w:contextualSpacing/>
        <w:jc w:val="both"/>
        <w:rPr>
          <w:rFonts w:ascii="Times New Roman" w:hAnsi="Times New Roman" w:cs="Times New Roman"/>
        </w:rPr>
      </w:pPr>
      <w:r>
        <w:rPr>
          <w:rFonts w:ascii="Times New Roman" w:hAnsi="Times New Roman" w:cs="Times New Roman"/>
        </w:rPr>
        <w:t xml:space="preserve">The evidence used to inform estimates and assumptions about conditional susceptibilities was obtained from two primary sources. The first was the review of susceptibility studies described in Section 4 (approach 3). The second was </w:t>
      </w:r>
      <w:r>
        <w:rPr>
          <w:rFonts w:ascii="Times New Roman" w:hAnsi="Times New Roman" w:cs="Times New Roman"/>
          <w:i/>
          <w:iCs/>
        </w:rPr>
        <w:t>de novo</w:t>
      </w:r>
      <w:r>
        <w:rPr>
          <w:rFonts w:ascii="Times New Roman" w:hAnsi="Times New Roman" w:cs="Times New Roman"/>
        </w:rPr>
        <w:t xml:space="preserve"> data requests, as described in Appendix 2.</w:t>
      </w:r>
    </w:p>
    <w:p w14:paraId="5290E457" w14:textId="77777777" w:rsidR="00F94DFF" w:rsidRDefault="00F94DFF" w:rsidP="00F94DFF">
      <w:pPr>
        <w:spacing w:after="0" w:line="360" w:lineRule="auto"/>
        <w:contextualSpacing/>
        <w:jc w:val="both"/>
        <w:rPr>
          <w:rFonts w:ascii="Times New Roman" w:hAnsi="Times New Roman" w:cs="Times New Roman"/>
        </w:rPr>
      </w:pPr>
    </w:p>
    <w:p w14:paraId="368D1CB6" w14:textId="77777777" w:rsidR="00F94DFF" w:rsidRPr="00B72950" w:rsidRDefault="00F94DFF" w:rsidP="00F94DFF">
      <w:pPr>
        <w:pStyle w:val="Heading3"/>
        <w:rPr>
          <w:rFonts w:ascii="Times New Roman" w:hAnsi="Times New Roman" w:cs="Times New Roman"/>
        </w:rPr>
      </w:pPr>
      <w:bookmarkStart w:id="814" w:name="_Toc87463135"/>
      <w:r w:rsidRPr="00B72950">
        <w:rPr>
          <w:rFonts w:ascii="Times New Roman" w:hAnsi="Times New Roman" w:cs="Times New Roman"/>
        </w:rPr>
        <w:t>Empiric setting</w:t>
      </w:r>
      <w:bookmarkEnd w:id="814"/>
    </w:p>
    <w:p w14:paraId="5E9349C8" w14:textId="77777777" w:rsidR="00F94DFF" w:rsidRPr="00AF3825" w:rsidRDefault="00F94DFF" w:rsidP="00F94DFF">
      <w:pPr>
        <w:spacing w:after="0" w:line="360" w:lineRule="auto"/>
        <w:contextualSpacing/>
        <w:jc w:val="both"/>
        <w:rPr>
          <w:rFonts w:ascii="Times New Roman" w:hAnsi="Times New Roman" w:cs="Times New Roman"/>
        </w:rPr>
      </w:pPr>
      <w:r>
        <w:rPr>
          <w:rFonts w:ascii="Times New Roman" w:hAnsi="Times New Roman" w:cs="Times New Roman"/>
        </w:rPr>
        <w:t>Two</w:t>
      </w:r>
      <w:r w:rsidRPr="005E01EC">
        <w:rPr>
          <w:rFonts w:ascii="Times New Roman" w:hAnsi="Times New Roman" w:cs="Times New Roman"/>
        </w:rPr>
        <w:t xml:space="preserve"> </w:t>
      </w:r>
      <w:r w:rsidRPr="00AF3825">
        <w:rPr>
          <w:rFonts w:ascii="Times New Roman" w:hAnsi="Times New Roman" w:cs="Times New Roman"/>
        </w:rPr>
        <w:t>options were considered</w:t>
      </w:r>
      <w:r>
        <w:rPr>
          <w:rFonts w:ascii="Times New Roman" w:hAnsi="Times New Roman" w:cs="Times New Roman"/>
        </w:rPr>
        <w:t>:</w:t>
      </w:r>
    </w:p>
    <w:p w14:paraId="5F95FBFE" w14:textId="77777777" w:rsidR="00AB4E6A" w:rsidRPr="00AB4E6A" w:rsidRDefault="00AB4E6A" w:rsidP="005A3BE6">
      <w:pPr>
        <w:numPr>
          <w:ilvl w:val="0"/>
          <w:numId w:val="37"/>
        </w:numPr>
        <w:spacing w:line="360" w:lineRule="auto"/>
        <w:rPr>
          <w:rFonts w:asciiTheme="majorBidi" w:hAnsiTheme="majorBidi" w:cstheme="majorBidi"/>
        </w:rPr>
      </w:pPr>
      <w:r w:rsidRPr="00AB4E6A">
        <w:rPr>
          <w:rFonts w:asciiTheme="majorBidi" w:hAnsiTheme="majorBidi" w:cstheme="majorBidi"/>
        </w:rPr>
        <w:t>Assume independence of absolute susceptibilities when determining overall susceptibility to combination treatments. Under this assumption, the susceptibility of a given isolate to a given AM is the same irrespective of what other AMs the isolate is susceptible to. With this assumption, obtain overall susceptibility to two AMs, the following equation is used:</w:t>
      </w:r>
    </w:p>
    <w:p w14:paraId="17F11FA2"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Overall susceptibility = susceptibility to AM1 + (1 – susceptibility to AM1) * susceptibility to AM2</w:t>
      </w:r>
    </w:p>
    <w:p w14:paraId="185753F5"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In other words, it is assumed that those not susceptible to AM1 have the same susceptibility to AM2 as the whole sample.</w:t>
      </w:r>
    </w:p>
    <w:p w14:paraId="693CAA21" w14:textId="0313886A" w:rsidR="00AB4E6A" w:rsidRPr="00AB4E6A" w:rsidRDefault="00AB4E6A" w:rsidP="00A83123">
      <w:pPr>
        <w:numPr>
          <w:ilvl w:val="0"/>
          <w:numId w:val="37"/>
        </w:numPr>
        <w:spacing w:line="360" w:lineRule="auto"/>
        <w:rPr>
          <w:rFonts w:asciiTheme="majorBidi" w:hAnsiTheme="majorBidi" w:cstheme="majorBidi"/>
        </w:rPr>
      </w:pPr>
      <w:r w:rsidRPr="00AB4E6A">
        <w:rPr>
          <w:rFonts w:asciiTheme="majorBidi" w:hAnsiTheme="majorBidi" w:cstheme="majorBidi"/>
        </w:rPr>
        <w:t xml:space="preserve">Use observed evidence on overall susceptibility. This includes evidence on conditional susceptibility (susceptibility to an AM given resistance to another AM). Isolate-level data were available from two sources a </w:t>
      </w:r>
      <w:r w:rsidRPr="00AB4E6A">
        <w:rPr>
          <w:rFonts w:asciiTheme="majorBidi" w:hAnsiTheme="majorBidi" w:cstheme="majorBidi"/>
          <w:i/>
          <w:iCs/>
        </w:rPr>
        <w:t>de novo</w:t>
      </w:r>
      <w:r w:rsidRPr="00AB4E6A">
        <w:rPr>
          <w:rFonts w:asciiTheme="majorBidi" w:hAnsiTheme="majorBidi" w:cstheme="majorBidi"/>
        </w:rPr>
        <w:t xml:space="preserve"> data request from PHE, and supplementary material from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00A83123" w:rsidRPr="00A83123">
        <w:rPr>
          <w:rFonts w:asciiTheme="majorBidi" w:hAnsiTheme="majorBidi" w:cstheme="majorBidi"/>
          <w:i/>
          <w:iCs/>
          <w:noProof/>
          <w:vertAlign w:val="superscript"/>
        </w:rPr>
        <w:t>1</w:t>
      </w:r>
      <w:r w:rsidRPr="00AB4E6A">
        <w:rPr>
          <w:rFonts w:asciiTheme="majorBidi" w:hAnsiTheme="majorBidi" w:cstheme="majorBidi"/>
        </w:rPr>
        <w:t xml:space="preserve">. Under this second approach “susceptibility to AM2” becomes “susceptibility to AM2 given resistance to AM1”. </w:t>
      </w:r>
    </w:p>
    <w:p w14:paraId="5757A2CE" w14:textId="77777777" w:rsidR="00AB4E6A" w:rsidRPr="00AB4E6A" w:rsidRDefault="00AB4E6A" w:rsidP="00917737">
      <w:pPr>
        <w:spacing w:line="360" w:lineRule="auto"/>
        <w:rPr>
          <w:rFonts w:asciiTheme="majorBidi" w:hAnsiTheme="majorBidi" w:cstheme="majorBidi"/>
        </w:rPr>
      </w:pPr>
    </w:p>
    <w:p w14:paraId="580DAB7A" w14:textId="08416D1C"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The second approach will provide more nuanced estimates of overall susceptibility to combination treatments by accounting for cross-resistance. However, it is restricted to AM combinations for which there is evidence and is reliant on smaller samples of susceptibility data. In particular, the NMA of </w:t>
      </w:r>
      <w:r w:rsidR="003A30C3">
        <w:rPr>
          <w:rFonts w:asciiTheme="majorBidi" w:hAnsiTheme="majorBidi" w:cstheme="majorBidi"/>
        </w:rPr>
        <w:t>susceptibility evidence described in the main text</w:t>
      </w:r>
      <w:r w:rsidRPr="00AB4E6A">
        <w:rPr>
          <w:rFonts w:asciiTheme="majorBidi" w:hAnsiTheme="majorBidi" w:cstheme="majorBidi"/>
        </w:rPr>
        <w:t xml:space="preserve"> does not provide any evidence on overall or conditional susceptibility. In contrast, the first approach may be used with the NMA results and any other studies. The key assumption of the first approach is that of independence of absolute susceptibility. To assess the credibility of this assumption, analyses of the isolate-level data were performed.</w:t>
      </w:r>
    </w:p>
    <w:p w14:paraId="1F783DB7" w14:textId="77777777" w:rsidR="00AB4E6A" w:rsidRPr="00AB4E6A" w:rsidRDefault="00AB4E6A" w:rsidP="00917737">
      <w:pPr>
        <w:spacing w:line="360" w:lineRule="auto"/>
        <w:rPr>
          <w:rFonts w:asciiTheme="majorBidi" w:hAnsiTheme="majorBidi" w:cstheme="majorBidi"/>
        </w:rPr>
      </w:pPr>
    </w:p>
    <w:p w14:paraId="62E45983" w14:textId="42398ADD"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Of the empiric combinations included in the PICOS, data from PHE included colistin with tigecycline. Amongst those who were resistant to colistin, susceptibility to tigecycline was 59%, compared to an absolute tigecycline susceptibility of 64% in the whole data set. Amongst those who were resistant to tigecycline, susceptibility to colistin was 82%, compared to an absolute colistin susceptibility of 85% in the whole data set. A two-sided z-test for a difference in proportions was not significant for either comparison, supporting the assumption of independence. The other combination treatment in the ES is </w:t>
      </w:r>
      <w:proofErr w:type="spellStart"/>
      <w:r w:rsidRPr="00AB4E6A">
        <w:rPr>
          <w:rFonts w:asciiTheme="majorBidi" w:hAnsiTheme="majorBidi" w:cstheme="majorBidi"/>
        </w:rPr>
        <w:t>fosfomycin</w:t>
      </w:r>
      <w:proofErr w:type="spellEnd"/>
      <w:r w:rsidRPr="00AB4E6A">
        <w:rPr>
          <w:rFonts w:asciiTheme="majorBidi" w:hAnsiTheme="majorBidi" w:cstheme="majorBidi"/>
        </w:rPr>
        <w:t xml:space="preserve"> with an aminoglycoside. The PHE data had very small numbers for </w:t>
      </w:r>
      <w:proofErr w:type="spellStart"/>
      <w:r w:rsidRPr="00AB4E6A">
        <w:rPr>
          <w:rFonts w:asciiTheme="majorBidi" w:hAnsiTheme="majorBidi" w:cstheme="majorBidi"/>
        </w:rPr>
        <w:t>fosfomycin</w:t>
      </w:r>
      <w:proofErr w:type="spellEnd"/>
      <w:r w:rsidRPr="00AB4E6A">
        <w:rPr>
          <w:rFonts w:asciiTheme="majorBidi" w:hAnsiTheme="majorBidi" w:cstheme="majorBidi"/>
        </w:rPr>
        <w:t xml:space="preserve"> (eight isolates), so was not used to examine combination treatment. Evidence on </w:t>
      </w:r>
      <w:proofErr w:type="spellStart"/>
      <w:r w:rsidRPr="00AB4E6A">
        <w:rPr>
          <w:rFonts w:asciiTheme="majorBidi" w:hAnsiTheme="majorBidi" w:cstheme="majorBidi"/>
        </w:rPr>
        <w:t>fosfomycin</w:t>
      </w:r>
      <w:proofErr w:type="spellEnd"/>
      <w:r w:rsidRPr="00AB4E6A">
        <w:rPr>
          <w:rFonts w:asciiTheme="majorBidi" w:hAnsiTheme="majorBidi" w:cstheme="majorBidi"/>
        </w:rPr>
        <w:t xml:space="preserve"> and aminoglycosides (amikacin, </w:t>
      </w:r>
      <w:proofErr w:type="gramStart"/>
      <w:r w:rsidRPr="00AB4E6A">
        <w:rPr>
          <w:rFonts w:asciiTheme="majorBidi" w:hAnsiTheme="majorBidi" w:cstheme="majorBidi"/>
        </w:rPr>
        <w:t>gentamicin</w:t>
      </w:r>
      <w:proofErr w:type="gramEnd"/>
      <w:r w:rsidRPr="00AB4E6A">
        <w:rPr>
          <w:rFonts w:asciiTheme="majorBidi" w:hAnsiTheme="majorBidi" w:cstheme="majorBidi"/>
        </w:rPr>
        <w:t xml:space="preserve"> and tobramycin) is available from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 xml:space="preserve"> </w:t>
      </w:r>
      <w:r w:rsidR="00A83123" w:rsidRPr="00A83123">
        <w:rPr>
          <w:rFonts w:asciiTheme="majorBidi" w:hAnsiTheme="majorBidi" w:cstheme="majorBidi"/>
          <w:noProof/>
          <w:vertAlign w:val="superscript"/>
        </w:rPr>
        <w:t>1</w:t>
      </w:r>
      <w:r w:rsidRPr="00AB4E6A">
        <w:rPr>
          <w:rFonts w:asciiTheme="majorBidi" w:hAnsiTheme="majorBidi" w:cstheme="majorBidi"/>
        </w:rPr>
        <w:t xml:space="preserve"> and summarised in </w:t>
      </w:r>
      <w:r w:rsidR="00E32B55" w:rsidRPr="00E32B55">
        <w:rPr>
          <w:rFonts w:asciiTheme="majorBidi" w:hAnsiTheme="majorBidi" w:cstheme="majorBidi"/>
        </w:rPr>
        <w:t>Table 57</w:t>
      </w:r>
      <w:r w:rsidRPr="00AB4E6A">
        <w:rPr>
          <w:rFonts w:asciiTheme="majorBidi" w:hAnsiTheme="majorBidi" w:cstheme="majorBidi"/>
        </w:rPr>
        <w:t>. This also suggests that, for the combination of treatments included in the PICO, an assumption of independence is tenable, since susceptibilities for all treatments were very similar in the absolute compared to the conditional groups.</w:t>
      </w:r>
    </w:p>
    <w:p w14:paraId="6D4AF418" w14:textId="77777777" w:rsidR="00AB4E6A" w:rsidRPr="00AB4E6A" w:rsidRDefault="00AB4E6A" w:rsidP="00917737">
      <w:pPr>
        <w:spacing w:line="360" w:lineRule="auto"/>
        <w:rPr>
          <w:rFonts w:asciiTheme="majorBidi" w:hAnsiTheme="majorBidi" w:cstheme="majorBidi"/>
        </w:rPr>
      </w:pPr>
    </w:p>
    <w:p w14:paraId="6F832012" w14:textId="52BD0BD1" w:rsidR="00AB4E6A" w:rsidRPr="00AB4E6A" w:rsidRDefault="00AB4E6A" w:rsidP="00A83123">
      <w:pPr>
        <w:rPr>
          <w:rFonts w:asciiTheme="majorBidi" w:hAnsiTheme="majorBidi" w:cstheme="majorBidi"/>
          <w:b/>
          <w:i/>
        </w:rPr>
      </w:pPr>
      <w:bookmarkStart w:id="815" w:name="_Ref83735904"/>
      <w:bookmarkStart w:id="816" w:name="_Toc83589978"/>
      <w:bookmarkStart w:id="817" w:name="_Ref83735898"/>
      <w:bookmarkStart w:id="818" w:name="_Toc86419041"/>
      <w:r w:rsidRPr="00AB4E6A">
        <w:rPr>
          <w:rFonts w:asciiTheme="majorBidi" w:hAnsiTheme="majorBidi" w:cstheme="majorBidi"/>
          <w:b/>
        </w:rPr>
        <w:t xml:space="preserve">Table </w:t>
      </w:r>
      <w:r w:rsidR="00F10F0A">
        <w:rPr>
          <w:rFonts w:asciiTheme="majorBidi" w:hAnsiTheme="majorBidi" w:cstheme="majorBidi"/>
          <w:b/>
          <w:noProof/>
        </w:rPr>
        <w:t>64</w:t>
      </w:r>
      <w:bookmarkEnd w:id="815"/>
      <w:r w:rsidRPr="00AB4E6A">
        <w:rPr>
          <w:rFonts w:asciiTheme="majorBidi" w:hAnsiTheme="majorBidi" w:cstheme="majorBidi"/>
          <w:b/>
        </w:rPr>
        <w:t xml:space="preserve"> Absolute and conditional susceptibility evidence from </w:t>
      </w:r>
      <w:proofErr w:type="spellStart"/>
      <w:r w:rsidRPr="00AB4E6A">
        <w:rPr>
          <w:rFonts w:asciiTheme="majorBidi" w:hAnsiTheme="majorBidi" w:cstheme="majorBidi"/>
          <w:b/>
        </w:rPr>
        <w:t>Vasquex-Ucha</w:t>
      </w:r>
      <w:proofErr w:type="spellEnd"/>
      <w:r w:rsidRPr="00AB4E6A">
        <w:rPr>
          <w:rFonts w:asciiTheme="majorBidi" w:hAnsiTheme="majorBidi" w:cstheme="majorBidi"/>
          <w:b/>
        </w:rPr>
        <w:t xml:space="preserve"> </w:t>
      </w:r>
      <w:r w:rsidRPr="00AB4E6A">
        <w:rPr>
          <w:rFonts w:asciiTheme="majorBidi" w:hAnsiTheme="majorBidi" w:cstheme="majorBidi"/>
          <w:b/>
          <w:i/>
        </w:rPr>
        <w:t xml:space="preserve">et al </w:t>
      </w:r>
      <w:r w:rsidR="00A83123" w:rsidRPr="00A83123">
        <w:rPr>
          <w:rFonts w:asciiTheme="majorBidi" w:hAnsiTheme="majorBidi" w:cstheme="majorBidi"/>
          <w:b/>
          <w:i/>
          <w:noProof/>
          <w:vertAlign w:val="superscript"/>
        </w:rPr>
        <w:t>1</w:t>
      </w:r>
      <w:r w:rsidRPr="00AB4E6A">
        <w:rPr>
          <w:rFonts w:asciiTheme="majorBidi" w:hAnsiTheme="majorBidi" w:cstheme="majorBidi"/>
          <w:b/>
          <w:i/>
        </w:rPr>
        <w:t>.</w:t>
      </w:r>
      <w:bookmarkEnd w:id="816"/>
      <w:bookmarkEnd w:id="817"/>
      <w:bookmarkEnd w:id="818"/>
    </w:p>
    <w:tbl>
      <w:tblPr>
        <w:tblStyle w:val="TableGrid"/>
        <w:tblW w:w="0" w:type="auto"/>
        <w:tblLook w:val="04A0" w:firstRow="1" w:lastRow="0" w:firstColumn="1" w:lastColumn="0" w:noHBand="0" w:noVBand="1"/>
      </w:tblPr>
      <w:tblGrid>
        <w:gridCol w:w="1462"/>
        <w:gridCol w:w="1524"/>
        <w:gridCol w:w="1524"/>
        <w:gridCol w:w="1524"/>
        <w:gridCol w:w="1555"/>
        <w:gridCol w:w="1650"/>
      </w:tblGrid>
      <w:tr w:rsidR="00AB4E6A" w:rsidRPr="00917737" w14:paraId="3582AFF6" w14:textId="77777777" w:rsidTr="00934C21">
        <w:tc>
          <w:tcPr>
            <w:tcW w:w="1462" w:type="dxa"/>
            <w:vAlign w:val="center"/>
          </w:tcPr>
          <w:p w14:paraId="67034578" w14:textId="599F0F84" w:rsidR="00AB4E6A" w:rsidRPr="00917737" w:rsidRDefault="00934C21" w:rsidP="00AB4E6A">
            <w:pPr>
              <w:spacing w:after="160" w:line="259" w:lineRule="auto"/>
              <w:rPr>
                <w:rFonts w:asciiTheme="majorBidi" w:eastAsiaTheme="minorHAnsi" w:hAnsiTheme="majorBidi" w:cstheme="majorBidi"/>
                <w:b/>
                <w:bCs/>
                <w:lang w:eastAsia="en-US"/>
              </w:rPr>
            </w:pPr>
            <w:bookmarkStart w:id="819" w:name="_Ref77603391"/>
            <w:r w:rsidRPr="00917737">
              <w:rPr>
                <w:rFonts w:asciiTheme="majorBidi" w:eastAsiaTheme="minorHAnsi" w:hAnsiTheme="majorBidi" w:cstheme="majorBidi"/>
                <w:b/>
                <w:bCs/>
                <w:lang w:eastAsia="en-US"/>
              </w:rPr>
              <w:t>Drug</w:t>
            </w:r>
          </w:p>
        </w:tc>
        <w:tc>
          <w:tcPr>
            <w:tcW w:w="1524" w:type="dxa"/>
            <w:vAlign w:val="center"/>
          </w:tcPr>
          <w:p w14:paraId="038CFCC4" w14:textId="54E69D53" w:rsidR="00AB4E6A" w:rsidRPr="00917737" w:rsidRDefault="00934C21"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eastAsia="en-US"/>
              </w:rPr>
              <w:t>Absolute susceptibility</w:t>
            </w:r>
            <w:r>
              <w:rPr>
                <w:rFonts w:asciiTheme="majorBidi" w:eastAsiaTheme="minorHAnsi" w:hAnsiTheme="majorBidi" w:cstheme="majorBidi"/>
                <w:b/>
                <w:bCs/>
                <w:lang w:eastAsia="en-US"/>
              </w:rPr>
              <w:t>:</w:t>
            </w:r>
            <w:r w:rsidRPr="00917737">
              <w:rPr>
                <w:rFonts w:asciiTheme="majorBidi" w:eastAsiaTheme="minorHAnsi" w:hAnsiTheme="majorBidi" w:cstheme="majorBidi"/>
                <w:b/>
                <w:bCs/>
                <w:lang w:eastAsia="en-US"/>
              </w:rPr>
              <w:t xml:space="preserve"> </w:t>
            </w:r>
            <w:r w:rsidR="00AB4E6A" w:rsidRPr="00917737">
              <w:rPr>
                <w:rFonts w:asciiTheme="majorBidi" w:eastAsiaTheme="minorHAnsi" w:hAnsiTheme="majorBidi" w:cstheme="majorBidi"/>
                <w:b/>
                <w:bCs/>
                <w:lang w:eastAsia="en-US"/>
              </w:rPr>
              <w:t>Isolates</w:t>
            </w:r>
          </w:p>
        </w:tc>
        <w:tc>
          <w:tcPr>
            <w:tcW w:w="1524" w:type="dxa"/>
            <w:vAlign w:val="center"/>
          </w:tcPr>
          <w:p w14:paraId="52C99B75" w14:textId="018F2883" w:rsidR="00AB4E6A" w:rsidRPr="00917737" w:rsidRDefault="00934C21"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eastAsia="en-US"/>
              </w:rPr>
              <w:t>Absolute susceptibility</w:t>
            </w:r>
            <w:r>
              <w:rPr>
                <w:rFonts w:asciiTheme="majorBidi" w:eastAsiaTheme="minorHAnsi" w:hAnsiTheme="majorBidi" w:cstheme="majorBidi"/>
                <w:b/>
                <w:bCs/>
                <w:lang w:eastAsia="en-US"/>
              </w:rPr>
              <w:t>:</w:t>
            </w:r>
            <w:r w:rsidRPr="00917737">
              <w:rPr>
                <w:rFonts w:asciiTheme="majorBidi" w:eastAsiaTheme="minorHAnsi" w:hAnsiTheme="majorBidi" w:cstheme="majorBidi"/>
                <w:b/>
                <w:bCs/>
                <w:lang w:eastAsia="en-US"/>
              </w:rPr>
              <w:t xml:space="preserve"> </w:t>
            </w:r>
            <w:r w:rsidR="00AB4E6A" w:rsidRPr="00917737">
              <w:rPr>
                <w:rFonts w:asciiTheme="majorBidi" w:eastAsiaTheme="minorHAnsi" w:hAnsiTheme="majorBidi" w:cstheme="majorBidi"/>
                <w:b/>
                <w:bCs/>
                <w:lang w:eastAsia="en-US"/>
              </w:rPr>
              <w:t>Susceptibility</w:t>
            </w:r>
          </w:p>
        </w:tc>
        <w:tc>
          <w:tcPr>
            <w:tcW w:w="1524" w:type="dxa"/>
            <w:vAlign w:val="center"/>
          </w:tcPr>
          <w:p w14:paraId="1B5DB072" w14:textId="7CF3DE53" w:rsidR="00AB4E6A" w:rsidRPr="00917737" w:rsidRDefault="00934C21"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eastAsia="en-US"/>
              </w:rPr>
              <w:t>Conditional susceptibility</w:t>
            </w:r>
            <w:r>
              <w:rPr>
                <w:rFonts w:asciiTheme="majorBidi" w:eastAsiaTheme="minorHAnsi" w:hAnsiTheme="majorBidi" w:cstheme="majorBidi"/>
                <w:b/>
                <w:bCs/>
                <w:lang w:eastAsia="en-US"/>
              </w:rPr>
              <w:t>:</w:t>
            </w:r>
            <w:r w:rsidRPr="00917737">
              <w:rPr>
                <w:rFonts w:asciiTheme="majorBidi" w:eastAsiaTheme="minorHAnsi" w:hAnsiTheme="majorBidi" w:cstheme="majorBidi"/>
                <w:b/>
                <w:bCs/>
                <w:lang w:eastAsia="en-US"/>
              </w:rPr>
              <w:t xml:space="preserve"> </w:t>
            </w:r>
            <w:r w:rsidR="00AB4E6A" w:rsidRPr="00917737">
              <w:rPr>
                <w:rFonts w:asciiTheme="majorBidi" w:eastAsiaTheme="minorHAnsi" w:hAnsiTheme="majorBidi" w:cstheme="majorBidi"/>
                <w:b/>
                <w:bCs/>
                <w:lang w:eastAsia="en-US"/>
              </w:rPr>
              <w:t>Isolates</w:t>
            </w:r>
          </w:p>
        </w:tc>
        <w:tc>
          <w:tcPr>
            <w:tcW w:w="1555" w:type="dxa"/>
            <w:vAlign w:val="center"/>
          </w:tcPr>
          <w:p w14:paraId="7446D031" w14:textId="4A65DBAD" w:rsidR="00AB4E6A" w:rsidRPr="00917737" w:rsidRDefault="00934C21"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eastAsia="en-US"/>
              </w:rPr>
              <w:t>Conditional susceptibility</w:t>
            </w:r>
            <w:r>
              <w:rPr>
                <w:rFonts w:asciiTheme="majorBidi" w:eastAsiaTheme="minorHAnsi" w:hAnsiTheme="majorBidi" w:cstheme="majorBidi"/>
                <w:b/>
                <w:bCs/>
                <w:lang w:eastAsia="en-US"/>
              </w:rPr>
              <w:t>:</w:t>
            </w:r>
            <w:r w:rsidRPr="00917737">
              <w:rPr>
                <w:rFonts w:asciiTheme="majorBidi" w:eastAsiaTheme="minorHAnsi" w:hAnsiTheme="majorBidi" w:cstheme="majorBidi"/>
                <w:b/>
                <w:bCs/>
                <w:lang w:eastAsia="en-US"/>
              </w:rPr>
              <w:t xml:space="preserve"> </w:t>
            </w:r>
            <w:r w:rsidR="00AB4E6A" w:rsidRPr="00917737">
              <w:rPr>
                <w:rFonts w:asciiTheme="majorBidi" w:eastAsiaTheme="minorHAnsi" w:hAnsiTheme="majorBidi" w:cstheme="majorBidi"/>
                <w:b/>
                <w:bCs/>
                <w:lang w:eastAsia="en-US"/>
              </w:rPr>
              <w:t>Susceptibility</w:t>
            </w:r>
          </w:p>
        </w:tc>
        <w:tc>
          <w:tcPr>
            <w:tcW w:w="1650" w:type="dxa"/>
            <w:vAlign w:val="center"/>
          </w:tcPr>
          <w:p w14:paraId="5BADCC47" w14:textId="1E8CBC63" w:rsidR="00AB4E6A" w:rsidRPr="00917737" w:rsidRDefault="00934C21"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eastAsia="en-US"/>
              </w:rPr>
              <w:t>Conditional susceptibility</w:t>
            </w:r>
            <w:r>
              <w:rPr>
                <w:rFonts w:asciiTheme="majorBidi" w:eastAsiaTheme="minorHAnsi" w:hAnsiTheme="majorBidi" w:cstheme="majorBidi"/>
                <w:b/>
                <w:bCs/>
                <w:lang w:eastAsia="en-US"/>
              </w:rPr>
              <w:t>:</w:t>
            </w:r>
            <w:r w:rsidRPr="00917737">
              <w:rPr>
                <w:rFonts w:asciiTheme="majorBidi" w:eastAsiaTheme="minorHAnsi" w:hAnsiTheme="majorBidi" w:cstheme="majorBidi"/>
                <w:b/>
                <w:bCs/>
                <w:lang w:eastAsia="en-US"/>
              </w:rPr>
              <w:t xml:space="preserve"> </w:t>
            </w:r>
            <w:r w:rsidR="00AB4E6A" w:rsidRPr="00917737">
              <w:rPr>
                <w:rFonts w:asciiTheme="majorBidi" w:eastAsiaTheme="minorHAnsi" w:hAnsiTheme="majorBidi" w:cstheme="majorBidi"/>
                <w:b/>
                <w:bCs/>
                <w:lang w:eastAsia="en-US"/>
              </w:rPr>
              <w:t>Resistant to</w:t>
            </w:r>
          </w:p>
        </w:tc>
      </w:tr>
      <w:tr w:rsidR="00AB4E6A" w:rsidRPr="00917737" w14:paraId="2682A23E" w14:textId="77777777" w:rsidTr="00934C21">
        <w:tc>
          <w:tcPr>
            <w:tcW w:w="1462" w:type="dxa"/>
            <w:vAlign w:val="bottom"/>
          </w:tcPr>
          <w:p w14:paraId="71A546FB"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Amikacin</w:t>
            </w:r>
          </w:p>
        </w:tc>
        <w:tc>
          <w:tcPr>
            <w:tcW w:w="1524" w:type="dxa"/>
            <w:vAlign w:val="bottom"/>
          </w:tcPr>
          <w:p w14:paraId="6CA10A7C"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791C2843"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79%</w:t>
            </w:r>
          </w:p>
        </w:tc>
        <w:tc>
          <w:tcPr>
            <w:tcW w:w="1524" w:type="dxa"/>
            <w:vAlign w:val="bottom"/>
          </w:tcPr>
          <w:p w14:paraId="48417DDD"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159</w:t>
            </w:r>
          </w:p>
        </w:tc>
        <w:tc>
          <w:tcPr>
            <w:tcW w:w="1555" w:type="dxa"/>
            <w:vAlign w:val="bottom"/>
          </w:tcPr>
          <w:p w14:paraId="138653F1"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79%</w:t>
            </w:r>
          </w:p>
        </w:tc>
        <w:tc>
          <w:tcPr>
            <w:tcW w:w="1650" w:type="dxa"/>
          </w:tcPr>
          <w:p w14:paraId="234EF10F"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r>
      <w:tr w:rsidR="00AB4E6A" w:rsidRPr="00917737" w14:paraId="60D7D8ED" w14:textId="77777777" w:rsidTr="00934C21">
        <w:tc>
          <w:tcPr>
            <w:tcW w:w="1462" w:type="dxa"/>
            <w:vAlign w:val="bottom"/>
          </w:tcPr>
          <w:p w14:paraId="7C96FD89"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Gentamicin</w:t>
            </w:r>
          </w:p>
        </w:tc>
        <w:tc>
          <w:tcPr>
            <w:tcW w:w="1524" w:type="dxa"/>
            <w:vAlign w:val="bottom"/>
          </w:tcPr>
          <w:p w14:paraId="478968E1"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7D89602B"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37%</w:t>
            </w:r>
          </w:p>
        </w:tc>
        <w:tc>
          <w:tcPr>
            <w:tcW w:w="1524" w:type="dxa"/>
            <w:vAlign w:val="bottom"/>
          </w:tcPr>
          <w:p w14:paraId="1A3B490F"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159</w:t>
            </w:r>
          </w:p>
        </w:tc>
        <w:tc>
          <w:tcPr>
            <w:tcW w:w="1555" w:type="dxa"/>
            <w:vAlign w:val="bottom"/>
          </w:tcPr>
          <w:p w14:paraId="6F6E8C9A"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38%</w:t>
            </w:r>
          </w:p>
        </w:tc>
        <w:tc>
          <w:tcPr>
            <w:tcW w:w="1650" w:type="dxa"/>
          </w:tcPr>
          <w:p w14:paraId="7F14ED1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r>
      <w:tr w:rsidR="00AB4E6A" w:rsidRPr="00917737" w14:paraId="465F289D" w14:textId="77777777" w:rsidTr="00934C21">
        <w:tc>
          <w:tcPr>
            <w:tcW w:w="1462" w:type="dxa"/>
            <w:vAlign w:val="bottom"/>
          </w:tcPr>
          <w:p w14:paraId="53A9F30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Tobramycin</w:t>
            </w:r>
          </w:p>
        </w:tc>
        <w:tc>
          <w:tcPr>
            <w:tcW w:w="1524" w:type="dxa"/>
            <w:vAlign w:val="bottom"/>
          </w:tcPr>
          <w:p w14:paraId="39DC77AE"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59E833E3"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34%</w:t>
            </w:r>
          </w:p>
        </w:tc>
        <w:tc>
          <w:tcPr>
            <w:tcW w:w="1524" w:type="dxa"/>
            <w:vAlign w:val="bottom"/>
          </w:tcPr>
          <w:p w14:paraId="3C1B77F6"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159</w:t>
            </w:r>
          </w:p>
        </w:tc>
        <w:tc>
          <w:tcPr>
            <w:tcW w:w="1555" w:type="dxa"/>
            <w:vAlign w:val="bottom"/>
          </w:tcPr>
          <w:p w14:paraId="04D5F2CF"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31%</w:t>
            </w:r>
          </w:p>
        </w:tc>
        <w:tc>
          <w:tcPr>
            <w:tcW w:w="1650" w:type="dxa"/>
          </w:tcPr>
          <w:p w14:paraId="1ED0ABE5"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r>
      <w:tr w:rsidR="00AB4E6A" w:rsidRPr="00917737" w14:paraId="0E4A745D" w14:textId="77777777" w:rsidTr="00934C21">
        <w:tc>
          <w:tcPr>
            <w:tcW w:w="1462" w:type="dxa"/>
          </w:tcPr>
          <w:p w14:paraId="4BA5E04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c>
          <w:tcPr>
            <w:tcW w:w="1524" w:type="dxa"/>
            <w:vAlign w:val="bottom"/>
          </w:tcPr>
          <w:p w14:paraId="359919EC"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4D84335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47%</w:t>
            </w:r>
          </w:p>
        </w:tc>
        <w:tc>
          <w:tcPr>
            <w:tcW w:w="1524" w:type="dxa"/>
            <w:vAlign w:val="bottom"/>
          </w:tcPr>
          <w:p w14:paraId="63B1C0A8"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63</w:t>
            </w:r>
          </w:p>
        </w:tc>
        <w:tc>
          <w:tcPr>
            <w:tcW w:w="1555" w:type="dxa"/>
            <w:vAlign w:val="bottom"/>
          </w:tcPr>
          <w:p w14:paraId="3538CE24"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48%</w:t>
            </w:r>
          </w:p>
        </w:tc>
        <w:tc>
          <w:tcPr>
            <w:tcW w:w="1650" w:type="dxa"/>
            <w:vAlign w:val="bottom"/>
          </w:tcPr>
          <w:p w14:paraId="5F48FE23"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Amikacin</w:t>
            </w:r>
          </w:p>
        </w:tc>
      </w:tr>
      <w:tr w:rsidR="00AB4E6A" w:rsidRPr="00917737" w14:paraId="510951AD" w14:textId="77777777" w:rsidTr="00934C21">
        <w:tc>
          <w:tcPr>
            <w:tcW w:w="1462" w:type="dxa"/>
          </w:tcPr>
          <w:p w14:paraId="595EB99F"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c>
          <w:tcPr>
            <w:tcW w:w="1524" w:type="dxa"/>
            <w:vAlign w:val="bottom"/>
          </w:tcPr>
          <w:p w14:paraId="2203FE8D"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0E492F6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47%</w:t>
            </w:r>
          </w:p>
        </w:tc>
        <w:tc>
          <w:tcPr>
            <w:tcW w:w="1524" w:type="dxa"/>
            <w:vAlign w:val="bottom"/>
          </w:tcPr>
          <w:p w14:paraId="28AB730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191</w:t>
            </w:r>
          </w:p>
        </w:tc>
        <w:tc>
          <w:tcPr>
            <w:tcW w:w="1555" w:type="dxa"/>
            <w:vAlign w:val="bottom"/>
          </w:tcPr>
          <w:p w14:paraId="5467D43D"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48%</w:t>
            </w:r>
          </w:p>
        </w:tc>
        <w:tc>
          <w:tcPr>
            <w:tcW w:w="1650" w:type="dxa"/>
            <w:vAlign w:val="bottom"/>
          </w:tcPr>
          <w:p w14:paraId="2E461110"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Gentamicin</w:t>
            </w:r>
          </w:p>
        </w:tc>
      </w:tr>
      <w:tr w:rsidR="00AB4E6A" w:rsidRPr="00917737" w14:paraId="73534B27" w14:textId="77777777" w:rsidTr="00934C21">
        <w:tc>
          <w:tcPr>
            <w:tcW w:w="1462" w:type="dxa"/>
          </w:tcPr>
          <w:p w14:paraId="6D8F42E5"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Fosfomycin</w:t>
            </w:r>
          </w:p>
        </w:tc>
        <w:tc>
          <w:tcPr>
            <w:tcW w:w="1524" w:type="dxa"/>
            <w:vAlign w:val="bottom"/>
          </w:tcPr>
          <w:p w14:paraId="2C063E5C"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302</w:t>
            </w:r>
          </w:p>
        </w:tc>
        <w:tc>
          <w:tcPr>
            <w:tcW w:w="1524" w:type="dxa"/>
            <w:vAlign w:val="bottom"/>
          </w:tcPr>
          <w:p w14:paraId="069309F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47%</w:t>
            </w:r>
          </w:p>
        </w:tc>
        <w:tc>
          <w:tcPr>
            <w:tcW w:w="1524" w:type="dxa"/>
            <w:vAlign w:val="bottom"/>
          </w:tcPr>
          <w:p w14:paraId="51F13712"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200</w:t>
            </w:r>
          </w:p>
        </w:tc>
        <w:tc>
          <w:tcPr>
            <w:tcW w:w="1555" w:type="dxa"/>
            <w:vAlign w:val="bottom"/>
          </w:tcPr>
          <w:p w14:paraId="2DDA832F"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45%</w:t>
            </w:r>
          </w:p>
        </w:tc>
        <w:tc>
          <w:tcPr>
            <w:tcW w:w="1650" w:type="dxa"/>
            <w:vAlign w:val="bottom"/>
          </w:tcPr>
          <w:p w14:paraId="32E76D27" w14:textId="77777777" w:rsidR="00AB4E6A" w:rsidRPr="00917737" w:rsidRDefault="00AB4E6A"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Tobramycin</w:t>
            </w:r>
          </w:p>
        </w:tc>
      </w:tr>
    </w:tbl>
    <w:p w14:paraId="5D771D23" w14:textId="77777777" w:rsidR="00AB4E6A" w:rsidRPr="00AB4E6A" w:rsidRDefault="00AB4E6A" w:rsidP="00AB4E6A">
      <w:pPr>
        <w:rPr>
          <w:rFonts w:asciiTheme="majorBidi" w:hAnsiTheme="majorBidi" w:cstheme="majorBidi"/>
          <w:b/>
        </w:rPr>
      </w:pPr>
      <w:r w:rsidRPr="00AB4E6A">
        <w:rPr>
          <w:rFonts w:asciiTheme="majorBidi" w:hAnsiTheme="majorBidi" w:cstheme="majorBidi"/>
          <w:i/>
        </w:rPr>
        <w:t xml:space="preserve"> </w:t>
      </w:r>
      <w:bookmarkEnd w:id="819"/>
    </w:p>
    <w:p w14:paraId="69040811" w14:textId="6181E3E6" w:rsidR="00AB4E6A" w:rsidRPr="00C03BFF" w:rsidRDefault="00AB4E6A" w:rsidP="00364012">
      <w:pPr>
        <w:pStyle w:val="Heading3"/>
        <w:rPr>
          <w:rFonts w:asciiTheme="majorBidi" w:hAnsiTheme="majorBidi"/>
        </w:rPr>
      </w:pPr>
      <w:bookmarkStart w:id="820" w:name="_Toc87463136"/>
      <w:r w:rsidRPr="00C03BFF">
        <w:rPr>
          <w:rFonts w:asciiTheme="majorBidi" w:hAnsiTheme="majorBidi"/>
        </w:rPr>
        <w:lastRenderedPageBreak/>
        <w:t>Microbiology-directed setting</w:t>
      </w:r>
      <w:bookmarkEnd w:id="820"/>
    </w:p>
    <w:p w14:paraId="5AB663AB" w14:textId="62D0EA89"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In the MDS (for which it is assumed that individuals will receive any AM to which they are susceptible), one approach would be to also assume independence of susceptibilities when deriving susceptibility groups (susceptible to a non-colistin/aminoglycoside AM, susceptible to only colistin or an aminoglycoside, and not susceptible to any AM). The appropriateness of this assumption for the first group was checked using data from PHE (which includes all the comparators apart from </w:t>
      </w:r>
      <w:proofErr w:type="spellStart"/>
      <w:r w:rsidRPr="00AB4E6A">
        <w:rPr>
          <w:rFonts w:asciiTheme="majorBidi" w:hAnsiTheme="majorBidi" w:cstheme="majorBidi"/>
        </w:rPr>
        <w:t>fosfomycin</w:t>
      </w:r>
      <w:proofErr w:type="spellEnd"/>
      <w:r w:rsidRPr="00AB4E6A">
        <w:rPr>
          <w:rFonts w:asciiTheme="majorBidi" w:hAnsiTheme="majorBidi" w:cstheme="majorBidi"/>
        </w:rPr>
        <w:t>) and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Pr="00AB4E6A">
        <w:rPr>
          <w:rFonts w:asciiTheme="majorBidi" w:hAnsiTheme="majorBidi" w:cstheme="majorBidi"/>
        </w:rPr>
        <w:t xml:space="preserve">(which includes all the comparators apart from tigecycline) </w:t>
      </w:r>
      <w:r w:rsidR="00A83123" w:rsidRPr="00A83123">
        <w:rPr>
          <w:rFonts w:asciiTheme="majorBidi" w:hAnsiTheme="majorBidi" w:cstheme="majorBidi"/>
          <w:noProof/>
          <w:vertAlign w:val="superscript"/>
        </w:rPr>
        <w:t>1</w:t>
      </w:r>
      <w:r w:rsidRPr="00AB4E6A">
        <w:rPr>
          <w:rFonts w:asciiTheme="majorBidi" w:hAnsiTheme="majorBidi" w:cstheme="majorBidi"/>
        </w:rPr>
        <w:t>. Applying an assumption of independence to the PHE data resulted in 87% of patients being susceptible to a non-colistin/</w:t>
      </w:r>
      <w:proofErr w:type="spellStart"/>
      <w:r w:rsidRPr="00AB4E6A">
        <w:rPr>
          <w:rFonts w:asciiTheme="majorBidi" w:hAnsiTheme="majorBidi" w:cstheme="majorBidi"/>
        </w:rPr>
        <w:t>aminogycloside</w:t>
      </w:r>
      <w:proofErr w:type="spellEnd"/>
      <w:r w:rsidRPr="00AB4E6A">
        <w:rPr>
          <w:rFonts w:asciiTheme="majorBidi" w:hAnsiTheme="majorBidi" w:cstheme="majorBidi"/>
        </w:rPr>
        <w:t xml:space="preserve"> AM. The real value from PHE is 68%, suggesting that in this instance the assumption of independence does not hold. Similarly, applying an assumption of independence to the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 xml:space="preserve"> data resulted in 62% of patients being susceptible to a non- colistin/</w:t>
      </w:r>
      <w:proofErr w:type="spellStart"/>
      <w:r w:rsidRPr="00AB4E6A">
        <w:rPr>
          <w:rFonts w:asciiTheme="majorBidi" w:hAnsiTheme="majorBidi" w:cstheme="majorBidi"/>
        </w:rPr>
        <w:t>aminogycloside</w:t>
      </w:r>
      <w:proofErr w:type="spellEnd"/>
      <w:r w:rsidRPr="00AB4E6A">
        <w:rPr>
          <w:rFonts w:asciiTheme="majorBidi" w:hAnsiTheme="majorBidi" w:cstheme="majorBidi"/>
        </w:rPr>
        <w:t xml:space="preserve"> AM, compared with a true value of 55%. Hence the assumption of independence was not employed when deriving susceptibility for the groups. Instead, the PHE data were used to calculate the likely over-estimate when assuming independence. Hence, given the above numbers, the true value is likely to (68/87 =) 78% of the value obtained when assuming independence. As the NMA evidence does not capture dependencies amongst AMs, these estimates were first combined to obtain susceptibility groups assuming independence. The scaling factor from the PHE data was then applied to adjust for the likely over-estimate due to assuming independence. The same method was used to derive adjusted values for the second susceptibility group (with the third susceptibility group obtained by noting that the sum across the three groups had to sum to 100%).</w:t>
      </w:r>
    </w:p>
    <w:p w14:paraId="221A7BC0" w14:textId="77777777" w:rsidR="00AB4E6A" w:rsidRPr="00AB4E6A" w:rsidRDefault="00AB4E6A" w:rsidP="00917737">
      <w:pPr>
        <w:spacing w:line="360" w:lineRule="auto"/>
        <w:rPr>
          <w:rFonts w:asciiTheme="majorBidi" w:hAnsiTheme="majorBidi" w:cstheme="majorBidi"/>
        </w:rPr>
      </w:pPr>
    </w:p>
    <w:p w14:paraId="6D0A4C6A" w14:textId="4873598D" w:rsidR="00AB4E6A" w:rsidRPr="00C03BFF" w:rsidRDefault="00AB4E6A" w:rsidP="00C03BFF">
      <w:pPr>
        <w:pStyle w:val="Heading3"/>
        <w:rPr>
          <w:rFonts w:asciiTheme="majorBidi" w:hAnsiTheme="majorBidi"/>
        </w:rPr>
      </w:pPr>
      <w:bookmarkStart w:id="821" w:name="_Toc87463137"/>
      <w:r w:rsidRPr="00AB4E6A">
        <w:rPr>
          <w:rFonts w:asciiTheme="majorBidi" w:hAnsiTheme="majorBidi"/>
        </w:rPr>
        <w:t>CAZ-AVI</w:t>
      </w:r>
      <w:bookmarkEnd w:id="821"/>
      <w:r w:rsidRPr="00AB4E6A">
        <w:rPr>
          <w:rFonts w:asciiTheme="majorBidi" w:hAnsiTheme="majorBidi"/>
        </w:rPr>
        <w:t xml:space="preserve"> </w:t>
      </w:r>
    </w:p>
    <w:p w14:paraId="3F226C47"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Isolate-level data from PHE and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Pr="00AB4E6A">
        <w:rPr>
          <w:rFonts w:asciiTheme="majorBidi" w:hAnsiTheme="majorBidi" w:cstheme="majorBidi"/>
        </w:rPr>
        <w:t xml:space="preserve">can provide some insight into these questions. Based on PHE data, the overall </w:t>
      </w:r>
      <w:proofErr w:type="spellStart"/>
      <w:r w:rsidRPr="00AB4E6A">
        <w:rPr>
          <w:rFonts w:asciiTheme="majorBidi" w:hAnsiTheme="majorBidi" w:cstheme="majorBidi"/>
        </w:rPr>
        <w:t>susceptibily</w:t>
      </w:r>
      <w:proofErr w:type="spellEnd"/>
      <w:r w:rsidRPr="00AB4E6A">
        <w:rPr>
          <w:rFonts w:asciiTheme="majorBidi" w:hAnsiTheme="majorBidi" w:cstheme="majorBidi"/>
        </w:rPr>
        <w:t xml:space="preserve"> to CAZ-AVI is 87.6%, whilst amongst patients resistant to all non-toxic AMs it is 86.8%. </w:t>
      </w:r>
      <w:proofErr w:type="spellStart"/>
      <w:r w:rsidRPr="00AB4E6A">
        <w:rPr>
          <w:rFonts w:asciiTheme="majorBidi" w:hAnsiTheme="majorBidi" w:cstheme="majorBidi"/>
        </w:rPr>
        <w:t>Susceptibilty</w:t>
      </w:r>
      <w:proofErr w:type="spellEnd"/>
      <w:r w:rsidRPr="00AB4E6A">
        <w:rPr>
          <w:rFonts w:asciiTheme="majorBidi" w:hAnsiTheme="majorBidi" w:cstheme="majorBidi"/>
        </w:rPr>
        <w:t xml:space="preserve"> values from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Pr="00AB4E6A">
        <w:rPr>
          <w:rFonts w:asciiTheme="majorBidi" w:hAnsiTheme="majorBidi" w:cstheme="majorBidi"/>
        </w:rPr>
        <w:t>are 97.7% and 97.0%, respectively. Fewer than five people were resistant to all AMs for both evidence sources, so susceptibility to CAZ-AVI in this sub-group could not be calculated. This suggests that, whilst there may be a very small decrease in susceptibility, as a simplifying assumption it is acceptable to assume that susceptibility to CAZ-AVI is independent of resistance to other AMs.</w:t>
      </w:r>
    </w:p>
    <w:p w14:paraId="26A0BDAE" w14:textId="39C33961" w:rsidR="00AB4E6A" w:rsidRPr="00AB4E6A" w:rsidRDefault="00AB4E6A" w:rsidP="00AB4E6A">
      <w:pPr>
        <w:rPr>
          <w:rFonts w:asciiTheme="majorBidi" w:hAnsiTheme="majorBidi" w:cstheme="majorBidi"/>
        </w:rPr>
      </w:pPr>
    </w:p>
    <w:p w14:paraId="3FCB3D2A" w14:textId="53332972" w:rsidR="00AB4E6A" w:rsidRPr="00AB4E6A" w:rsidRDefault="00097E31" w:rsidP="00364012">
      <w:pPr>
        <w:pStyle w:val="EEPRUnumberedLevel2Headingnew"/>
        <w:numPr>
          <w:ilvl w:val="0"/>
          <w:numId w:val="0"/>
        </w:numPr>
      </w:pPr>
      <w:r>
        <w:tab/>
      </w:r>
      <w:bookmarkStart w:id="822" w:name="_Toc87463138"/>
      <w:r w:rsidR="00364012">
        <w:t xml:space="preserve">A13.2. </w:t>
      </w:r>
      <w:r w:rsidR="00AB4E6A" w:rsidRPr="00AB4E6A">
        <w:t>Scenario analyses for susceptibility evidence</w:t>
      </w:r>
      <w:bookmarkEnd w:id="822"/>
    </w:p>
    <w:p w14:paraId="72F656C9"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For the base-case analysis it was assumed that conditional susceptibilities were the same as absolute susceptibilities. This assumption was relaxed in the following scenario analyses:</w:t>
      </w:r>
    </w:p>
    <w:p w14:paraId="6F6C57C0" w14:textId="77777777" w:rsidR="00AB4E6A" w:rsidRPr="00AB4E6A" w:rsidRDefault="00AB4E6A" w:rsidP="005A3BE6">
      <w:pPr>
        <w:numPr>
          <w:ilvl w:val="0"/>
          <w:numId w:val="84"/>
        </w:numPr>
        <w:spacing w:line="360" w:lineRule="auto"/>
        <w:rPr>
          <w:rFonts w:asciiTheme="majorBidi" w:hAnsiTheme="majorBidi" w:cstheme="majorBidi"/>
        </w:rPr>
      </w:pPr>
      <w:r w:rsidRPr="00AB4E6A">
        <w:rPr>
          <w:rFonts w:asciiTheme="majorBidi" w:hAnsiTheme="majorBidi" w:cstheme="majorBidi"/>
        </w:rPr>
        <w:lastRenderedPageBreak/>
        <w:t>Scaling conditional susceptibility: with this scaling factor informed by PHE data, where available. For example, if in the PHE data, the conditional susceptibility to tigecycline amongst isolates that were resistant to colistin was 10% lower than the absolute susceptibility to tigecycline, then the absolute susceptibility to tigecycline obtained from the NMA was reduced by 10% to obtain the conditional susceptibility.</w:t>
      </w:r>
    </w:p>
    <w:p w14:paraId="0B35616E" w14:textId="77777777" w:rsidR="00AB4E6A" w:rsidRPr="00AB4E6A" w:rsidRDefault="00AB4E6A" w:rsidP="005A3BE6">
      <w:pPr>
        <w:numPr>
          <w:ilvl w:val="0"/>
          <w:numId w:val="84"/>
        </w:numPr>
        <w:spacing w:line="360" w:lineRule="auto"/>
        <w:rPr>
          <w:rFonts w:asciiTheme="majorBidi" w:hAnsiTheme="majorBidi" w:cstheme="majorBidi"/>
        </w:rPr>
      </w:pPr>
      <w:r w:rsidRPr="00AB4E6A">
        <w:rPr>
          <w:rFonts w:asciiTheme="majorBidi" w:hAnsiTheme="majorBidi" w:cstheme="majorBidi"/>
        </w:rPr>
        <w:t>Use of PHE data for both the absolute and conditional susceptibilities</w:t>
      </w:r>
    </w:p>
    <w:p w14:paraId="19E76A91" w14:textId="67C65B06" w:rsidR="00AB4E6A" w:rsidRPr="00AB4E6A" w:rsidRDefault="00AB4E6A" w:rsidP="00A83123">
      <w:pPr>
        <w:numPr>
          <w:ilvl w:val="0"/>
          <w:numId w:val="84"/>
        </w:numPr>
        <w:spacing w:line="360" w:lineRule="auto"/>
        <w:rPr>
          <w:rFonts w:asciiTheme="majorBidi" w:hAnsiTheme="majorBidi" w:cstheme="majorBidi"/>
        </w:rPr>
      </w:pPr>
      <w:r w:rsidRPr="00AB4E6A">
        <w:rPr>
          <w:rFonts w:asciiTheme="majorBidi" w:hAnsiTheme="majorBidi" w:cstheme="majorBidi"/>
        </w:rPr>
        <w:t>Use of data from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 xml:space="preserve">et al </w:t>
      </w:r>
      <w:r w:rsidRPr="00AB4E6A">
        <w:rPr>
          <w:rFonts w:asciiTheme="majorBidi" w:hAnsiTheme="majorBidi" w:cstheme="majorBidi"/>
        </w:rPr>
        <w:t xml:space="preserve">for both the absolute and conditional susceptibilities </w:t>
      </w:r>
      <w:r w:rsidR="00A83123" w:rsidRPr="00A83123">
        <w:rPr>
          <w:rFonts w:asciiTheme="majorBidi" w:hAnsiTheme="majorBidi" w:cstheme="majorBidi"/>
          <w:noProof/>
          <w:vertAlign w:val="superscript"/>
        </w:rPr>
        <w:t>1</w:t>
      </w:r>
      <w:r w:rsidRPr="00AB4E6A">
        <w:rPr>
          <w:rFonts w:asciiTheme="majorBidi" w:hAnsiTheme="majorBidi" w:cstheme="majorBidi"/>
        </w:rPr>
        <w:t>.</w:t>
      </w:r>
    </w:p>
    <w:p w14:paraId="5DEFF997" w14:textId="4840023D"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For the last two scenarios, conditional susceptibilities were obtained directly from the evidence used (PHE or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w:t>
      </w:r>
      <w:r w:rsidRPr="00AB4E6A">
        <w:rPr>
          <w:rFonts w:asciiTheme="majorBidi" w:hAnsiTheme="majorBidi" w:cstheme="majorBidi"/>
          <w:i/>
          <w:iCs/>
        </w:rPr>
        <w:t xml:space="preserve"> </w:t>
      </w:r>
      <w:r w:rsidRPr="00AB4E6A">
        <w:rPr>
          <w:rFonts w:asciiTheme="majorBidi" w:hAnsiTheme="majorBidi" w:cstheme="majorBidi"/>
        </w:rPr>
        <w:t xml:space="preserve">and hence not assumed to be the same as the absolute susceptibilities. The PHE data did not include </w:t>
      </w:r>
      <w:proofErr w:type="spellStart"/>
      <w:r w:rsidRPr="00AB4E6A">
        <w:rPr>
          <w:rFonts w:asciiTheme="majorBidi" w:hAnsiTheme="majorBidi" w:cstheme="majorBidi"/>
        </w:rPr>
        <w:t>fosfomycin</w:t>
      </w:r>
      <w:proofErr w:type="spellEnd"/>
      <w:r w:rsidRPr="00AB4E6A">
        <w:rPr>
          <w:rFonts w:asciiTheme="majorBidi" w:hAnsiTheme="majorBidi" w:cstheme="majorBidi"/>
        </w:rPr>
        <w:t>, whilst the Vasquez-</w:t>
      </w:r>
      <w:proofErr w:type="spellStart"/>
      <w:r w:rsidRPr="00AB4E6A">
        <w:rPr>
          <w:rFonts w:asciiTheme="majorBidi" w:hAnsiTheme="majorBidi" w:cstheme="majorBidi"/>
        </w:rPr>
        <w:t>Ucha</w:t>
      </w:r>
      <w:proofErr w:type="spellEnd"/>
      <w:r w:rsidRPr="00AB4E6A">
        <w:rPr>
          <w:rFonts w:asciiTheme="majorBidi" w:hAnsiTheme="majorBidi" w:cstheme="majorBidi"/>
        </w:rPr>
        <w:t xml:space="preserve"> </w:t>
      </w:r>
      <w:r w:rsidRPr="00AB4E6A">
        <w:rPr>
          <w:rFonts w:asciiTheme="majorBidi" w:hAnsiTheme="majorBidi" w:cstheme="majorBidi"/>
          <w:i/>
          <w:iCs/>
        </w:rPr>
        <w:t>et al</w:t>
      </w:r>
      <w:r w:rsidRPr="00AB4E6A">
        <w:rPr>
          <w:rFonts w:asciiTheme="majorBidi" w:hAnsiTheme="majorBidi" w:cstheme="majorBidi"/>
        </w:rPr>
        <w:t xml:space="preserve"> data did not include </w:t>
      </w:r>
      <w:proofErr w:type="spellStart"/>
      <w:r w:rsidRPr="00AB4E6A">
        <w:rPr>
          <w:rFonts w:asciiTheme="majorBidi" w:hAnsiTheme="majorBidi" w:cstheme="majorBidi"/>
        </w:rPr>
        <w:t>tigcycline</w:t>
      </w:r>
      <w:proofErr w:type="spellEnd"/>
      <w:r w:rsidRPr="00AB4E6A">
        <w:rPr>
          <w:rFonts w:asciiTheme="majorBidi" w:hAnsiTheme="majorBidi" w:cstheme="majorBidi"/>
        </w:rPr>
        <w:t xml:space="preserve"> </w:t>
      </w:r>
      <w:r w:rsidR="00A83123" w:rsidRPr="00A83123">
        <w:rPr>
          <w:rFonts w:asciiTheme="majorBidi" w:hAnsiTheme="majorBidi" w:cstheme="majorBidi"/>
          <w:noProof/>
          <w:vertAlign w:val="superscript"/>
        </w:rPr>
        <w:t>1</w:t>
      </w:r>
      <w:r w:rsidRPr="00AB4E6A">
        <w:rPr>
          <w:rFonts w:asciiTheme="majorBidi" w:hAnsiTheme="majorBidi" w:cstheme="majorBidi"/>
        </w:rPr>
        <w:t xml:space="preserve">. Hence for the scenarios which used these evidence sources, it was assumed that the drugs without data were not used. </w:t>
      </w:r>
    </w:p>
    <w:p w14:paraId="5A47098B" w14:textId="77777777" w:rsidR="00AB4E6A" w:rsidRPr="00AB4E6A" w:rsidRDefault="00AB4E6A" w:rsidP="00AB4E6A">
      <w:pPr>
        <w:rPr>
          <w:rFonts w:asciiTheme="majorBidi" w:hAnsiTheme="majorBidi" w:cstheme="majorBidi"/>
        </w:rPr>
      </w:pPr>
    </w:p>
    <w:p w14:paraId="4CB69B11" w14:textId="77777777" w:rsidR="00AB4E6A" w:rsidRPr="00AB4E6A" w:rsidRDefault="00AB4E6A" w:rsidP="00AB4E6A">
      <w:pPr>
        <w:rPr>
          <w:rFonts w:asciiTheme="majorBidi" w:hAnsiTheme="majorBidi" w:cstheme="majorBidi"/>
        </w:rPr>
      </w:pPr>
    </w:p>
    <w:p w14:paraId="1467AA4E" w14:textId="77777777" w:rsidR="00AB4E6A" w:rsidRPr="00AB4E6A" w:rsidRDefault="00AB4E6A" w:rsidP="00AB4E6A">
      <w:pPr>
        <w:rPr>
          <w:rFonts w:asciiTheme="majorBidi" w:hAnsiTheme="majorBidi" w:cstheme="majorBidi"/>
        </w:rPr>
      </w:pPr>
    </w:p>
    <w:p w14:paraId="67FD1E9E" w14:textId="77777777" w:rsidR="00AB4E6A" w:rsidRPr="00AB4E6A" w:rsidRDefault="00AB4E6A" w:rsidP="00AB4E6A">
      <w:pPr>
        <w:rPr>
          <w:rFonts w:asciiTheme="majorBidi" w:hAnsiTheme="majorBidi" w:cstheme="majorBidi"/>
        </w:rPr>
      </w:pPr>
      <w:r w:rsidRPr="00AB4E6A">
        <w:rPr>
          <w:rFonts w:asciiTheme="majorBidi" w:hAnsiTheme="majorBidi" w:cstheme="majorBidi"/>
        </w:rPr>
        <w:br w:type="page"/>
      </w:r>
    </w:p>
    <w:p w14:paraId="7076B0B4" w14:textId="77777777" w:rsidR="00364012" w:rsidRDefault="00364012" w:rsidP="00364012">
      <w:pPr>
        <w:pStyle w:val="EEPRUnumberedLevel2Headingnew"/>
        <w:numPr>
          <w:ilvl w:val="0"/>
          <w:numId w:val="0"/>
        </w:numPr>
        <w:rPr>
          <w:rStyle w:val="Heading1Char"/>
          <w:rFonts w:asciiTheme="majorBidi" w:hAnsiTheme="majorBidi"/>
          <w:b/>
          <w:bCs/>
        </w:rPr>
      </w:pPr>
      <w:bookmarkStart w:id="823" w:name="_Toc87463139"/>
      <w:r>
        <w:rPr>
          <w:rStyle w:val="Heading1Char"/>
          <w:rFonts w:asciiTheme="majorBidi" w:hAnsiTheme="majorBidi"/>
          <w:b/>
          <w:bCs/>
        </w:rPr>
        <w:lastRenderedPageBreak/>
        <w:t>Appendix 14: Drug acquisition costs</w:t>
      </w:r>
      <w:bookmarkEnd w:id="823"/>
    </w:p>
    <w:tbl>
      <w:tblPr>
        <w:tblStyle w:val="TableGrid"/>
        <w:tblW w:w="0" w:type="auto"/>
        <w:tblLook w:val="04A0" w:firstRow="1" w:lastRow="0" w:firstColumn="1" w:lastColumn="0" w:noHBand="0" w:noVBand="1"/>
      </w:tblPr>
      <w:tblGrid>
        <w:gridCol w:w="1904"/>
        <w:gridCol w:w="1939"/>
        <w:gridCol w:w="1385"/>
        <w:gridCol w:w="1180"/>
        <w:gridCol w:w="1429"/>
        <w:gridCol w:w="1179"/>
      </w:tblGrid>
      <w:tr w:rsidR="00364012" w:rsidRPr="007F22D8" w14:paraId="08A0EDCE" w14:textId="77777777" w:rsidTr="007721CD">
        <w:tc>
          <w:tcPr>
            <w:tcW w:w="1904" w:type="dxa"/>
          </w:tcPr>
          <w:p w14:paraId="2582B52C" w14:textId="77777777" w:rsidR="00364012" w:rsidRPr="007F22D8" w:rsidRDefault="00364012" w:rsidP="007721CD">
            <w:pPr>
              <w:rPr>
                <w:rFonts w:cs="Times New Roman"/>
              </w:rPr>
            </w:pPr>
            <w:r w:rsidRPr="007F22D8">
              <w:rPr>
                <w:rFonts w:cs="Times New Roman"/>
              </w:rPr>
              <w:t>AM</w:t>
            </w:r>
          </w:p>
        </w:tc>
        <w:tc>
          <w:tcPr>
            <w:tcW w:w="1939" w:type="dxa"/>
          </w:tcPr>
          <w:p w14:paraId="226D2DA8" w14:textId="77777777" w:rsidR="00364012" w:rsidRPr="007F22D8" w:rsidRDefault="00364012" w:rsidP="007721CD">
            <w:pPr>
              <w:rPr>
                <w:rFonts w:cs="Times New Roman"/>
              </w:rPr>
            </w:pPr>
            <w:r w:rsidRPr="007F22D8">
              <w:rPr>
                <w:rFonts w:cs="Times New Roman"/>
              </w:rPr>
              <w:t>Price</w:t>
            </w:r>
          </w:p>
        </w:tc>
        <w:tc>
          <w:tcPr>
            <w:tcW w:w="1385" w:type="dxa"/>
          </w:tcPr>
          <w:p w14:paraId="517D433F" w14:textId="77777777" w:rsidR="00364012" w:rsidRPr="007F22D8" w:rsidRDefault="00364012" w:rsidP="007721CD">
            <w:pPr>
              <w:rPr>
                <w:rFonts w:cs="Times New Roman"/>
              </w:rPr>
            </w:pPr>
            <w:r w:rsidRPr="007F22D8">
              <w:rPr>
                <w:rFonts w:cs="Times New Roman"/>
              </w:rPr>
              <w:t>Daily dose</w:t>
            </w:r>
          </w:p>
        </w:tc>
        <w:tc>
          <w:tcPr>
            <w:tcW w:w="1180" w:type="dxa"/>
          </w:tcPr>
          <w:p w14:paraId="4D89B116" w14:textId="77777777" w:rsidR="00364012" w:rsidRPr="007F22D8" w:rsidRDefault="00364012" w:rsidP="007721CD">
            <w:pPr>
              <w:rPr>
                <w:rFonts w:cs="Times New Roman"/>
              </w:rPr>
            </w:pPr>
            <w:r w:rsidRPr="007F22D8">
              <w:rPr>
                <w:rFonts w:cs="Times New Roman"/>
              </w:rPr>
              <w:t>Cost per day</w:t>
            </w:r>
          </w:p>
        </w:tc>
        <w:tc>
          <w:tcPr>
            <w:tcW w:w="1429" w:type="dxa"/>
          </w:tcPr>
          <w:p w14:paraId="365B73BB" w14:textId="77777777" w:rsidR="00364012" w:rsidRPr="007F22D8" w:rsidRDefault="00364012" w:rsidP="007721CD">
            <w:pPr>
              <w:rPr>
                <w:rFonts w:cs="Times New Roman"/>
              </w:rPr>
            </w:pPr>
            <w:r w:rsidRPr="007F22D8">
              <w:rPr>
                <w:rFonts w:cs="Times New Roman"/>
              </w:rPr>
              <w:t>Cost per course of treatment (treatment duration in days)</w:t>
            </w:r>
          </w:p>
        </w:tc>
        <w:tc>
          <w:tcPr>
            <w:tcW w:w="1179" w:type="dxa"/>
          </w:tcPr>
          <w:p w14:paraId="6D73A57F" w14:textId="77777777" w:rsidR="00364012" w:rsidRPr="007F22D8" w:rsidRDefault="00364012" w:rsidP="007721CD">
            <w:pPr>
              <w:rPr>
                <w:rFonts w:cs="Times New Roman"/>
              </w:rPr>
            </w:pPr>
            <w:r w:rsidRPr="007F22D8">
              <w:rPr>
                <w:rFonts w:cs="Times New Roman"/>
              </w:rPr>
              <w:t>Cost per 5 days of treatment</w:t>
            </w:r>
          </w:p>
        </w:tc>
      </w:tr>
      <w:tr w:rsidR="00364012" w:rsidRPr="007F22D8" w14:paraId="2A401469" w14:textId="77777777" w:rsidTr="007721CD">
        <w:tc>
          <w:tcPr>
            <w:tcW w:w="1904" w:type="dxa"/>
          </w:tcPr>
          <w:p w14:paraId="20CFA445" w14:textId="77777777" w:rsidR="00364012" w:rsidRPr="007F22D8" w:rsidRDefault="00364012" w:rsidP="007721CD">
            <w:pPr>
              <w:rPr>
                <w:rFonts w:cs="Times New Roman"/>
              </w:rPr>
            </w:pPr>
            <w:proofErr w:type="spellStart"/>
            <w:r w:rsidRPr="007F22D8">
              <w:rPr>
                <w:rFonts w:cs="Times New Roman"/>
              </w:rPr>
              <w:t>Colistimethate</w:t>
            </w:r>
            <w:proofErr w:type="spellEnd"/>
            <w:r w:rsidRPr="007F22D8">
              <w:rPr>
                <w:rFonts w:cs="Times New Roman"/>
              </w:rPr>
              <w:t xml:space="preserve"> sodium</w:t>
            </w:r>
          </w:p>
        </w:tc>
        <w:tc>
          <w:tcPr>
            <w:tcW w:w="1939" w:type="dxa"/>
          </w:tcPr>
          <w:p w14:paraId="58DDB9E4" w14:textId="0EF7AFFC" w:rsidR="00364012" w:rsidRPr="007F22D8" w:rsidRDefault="00364012" w:rsidP="00C83FB7">
            <w:pPr>
              <w:rPr>
                <w:rFonts w:cs="Times New Roman"/>
              </w:rPr>
            </w:pPr>
            <w:r w:rsidRPr="007F22D8">
              <w:rPr>
                <w:rFonts w:cs="Times New Roman"/>
              </w:rPr>
              <w:t>£18.00 (10 x 1MU vial)</w:t>
            </w:r>
            <w:r w:rsidR="00C83FB7" w:rsidRPr="00C83FB7">
              <w:rPr>
                <w:rFonts w:cs="Times New Roman"/>
                <w:noProof/>
                <w:vertAlign w:val="superscript"/>
              </w:rPr>
              <w:t>199</w:t>
            </w:r>
          </w:p>
        </w:tc>
        <w:tc>
          <w:tcPr>
            <w:tcW w:w="1385" w:type="dxa"/>
          </w:tcPr>
          <w:p w14:paraId="4D313CF7" w14:textId="47F8C738" w:rsidR="00364012" w:rsidRPr="007F22D8" w:rsidRDefault="00364012" w:rsidP="007721CD">
            <w:pPr>
              <w:rPr>
                <w:rFonts w:cs="Times New Roman"/>
              </w:rPr>
            </w:pPr>
            <w:r w:rsidRPr="007F22D8">
              <w:rPr>
                <w:rFonts w:cs="Times New Roman"/>
              </w:rPr>
              <w:t>9</w:t>
            </w:r>
            <w:r w:rsidR="00C83FB7">
              <w:rPr>
                <w:rFonts w:cs="Times New Roman"/>
              </w:rPr>
              <w:t>MU</w:t>
            </w:r>
          </w:p>
        </w:tc>
        <w:tc>
          <w:tcPr>
            <w:tcW w:w="1180" w:type="dxa"/>
          </w:tcPr>
          <w:p w14:paraId="74FCA11A" w14:textId="77777777" w:rsidR="00364012" w:rsidRPr="007F22D8" w:rsidRDefault="00364012" w:rsidP="007721CD">
            <w:pPr>
              <w:rPr>
                <w:rFonts w:cs="Times New Roman"/>
              </w:rPr>
            </w:pPr>
            <w:r w:rsidRPr="007F22D8">
              <w:rPr>
                <w:rFonts w:cs="Times New Roman"/>
              </w:rPr>
              <w:t>£16.20</w:t>
            </w:r>
          </w:p>
        </w:tc>
        <w:tc>
          <w:tcPr>
            <w:tcW w:w="1429" w:type="dxa"/>
          </w:tcPr>
          <w:p w14:paraId="1ABD4654" w14:textId="4698AC37" w:rsidR="00364012" w:rsidRPr="007F22D8" w:rsidRDefault="00C83FB7" w:rsidP="00C83FB7">
            <w:pPr>
              <w:rPr>
                <w:rFonts w:cs="Times New Roman"/>
              </w:rPr>
            </w:pPr>
            <w:r>
              <w:rPr>
                <w:rFonts w:cs="Times New Roman"/>
              </w:rPr>
              <w:t>£153.9 (9.5 days</w:t>
            </w:r>
            <w:r w:rsidRPr="00C83FB7">
              <w:rPr>
                <w:rFonts w:cs="Times New Roman"/>
                <w:noProof/>
                <w:vertAlign w:val="superscript"/>
              </w:rPr>
              <w:t>200</w:t>
            </w:r>
            <w:r>
              <w:rPr>
                <w:rFonts w:cs="Times New Roman"/>
              </w:rPr>
              <w:t>)</w:t>
            </w:r>
          </w:p>
        </w:tc>
        <w:tc>
          <w:tcPr>
            <w:tcW w:w="1179" w:type="dxa"/>
          </w:tcPr>
          <w:p w14:paraId="6A3FBCEF" w14:textId="77777777" w:rsidR="00364012" w:rsidRPr="007F22D8" w:rsidRDefault="00364012" w:rsidP="007721CD">
            <w:pPr>
              <w:rPr>
                <w:rFonts w:cs="Times New Roman"/>
              </w:rPr>
            </w:pPr>
            <w:r w:rsidRPr="007F22D8">
              <w:rPr>
                <w:rFonts w:cs="Times New Roman"/>
              </w:rPr>
              <w:t>£81.00</w:t>
            </w:r>
          </w:p>
        </w:tc>
      </w:tr>
      <w:tr w:rsidR="00364012" w:rsidRPr="007F22D8" w14:paraId="43B335D9" w14:textId="77777777" w:rsidTr="007721CD">
        <w:tc>
          <w:tcPr>
            <w:tcW w:w="1904" w:type="dxa"/>
          </w:tcPr>
          <w:p w14:paraId="775BD616" w14:textId="77777777" w:rsidR="00364012" w:rsidRPr="007F22D8" w:rsidRDefault="00364012" w:rsidP="007721CD">
            <w:pPr>
              <w:rPr>
                <w:rFonts w:cs="Times New Roman"/>
              </w:rPr>
            </w:pPr>
            <w:r w:rsidRPr="007F22D8">
              <w:rPr>
                <w:rFonts w:cs="Times New Roman"/>
              </w:rPr>
              <w:t>Aminoglycosides (gentamicin)</w:t>
            </w:r>
          </w:p>
        </w:tc>
        <w:tc>
          <w:tcPr>
            <w:tcW w:w="1939" w:type="dxa"/>
          </w:tcPr>
          <w:p w14:paraId="1930F0F2" w14:textId="78DD937B" w:rsidR="00364012" w:rsidRPr="007F22D8" w:rsidRDefault="00364012" w:rsidP="00C83FB7">
            <w:pPr>
              <w:rPr>
                <w:rFonts w:cs="Times New Roman"/>
              </w:rPr>
            </w:pPr>
            <w:r w:rsidRPr="007F22D8">
              <w:rPr>
                <w:rFonts w:cs="Times New Roman"/>
              </w:rPr>
              <w:t>£10.97 (20 x 360mg/12</w:t>
            </w:r>
            <w:r w:rsidR="00C83FB7">
              <w:rPr>
                <w:rFonts w:cs="Times New Roman"/>
              </w:rPr>
              <w:t>0ml solution for infusion bags)</w:t>
            </w:r>
            <w:r w:rsidR="00C83FB7" w:rsidRPr="00C83FB7">
              <w:rPr>
                <w:rFonts w:cs="Times New Roman"/>
                <w:noProof/>
                <w:vertAlign w:val="superscript"/>
              </w:rPr>
              <w:t>201</w:t>
            </w:r>
          </w:p>
        </w:tc>
        <w:tc>
          <w:tcPr>
            <w:tcW w:w="1385" w:type="dxa"/>
          </w:tcPr>
          <w:p w14:paraId="05983D93" w14:textId="6AED931A" w:rsidR="00364012" w:rsidRPr="007F22D8" w:rsidRDefault="00C83FB7" w:rsidP="00C83FB7">
            <w:pPr>
              <w:rPr>
                <w:rFonts w:cs="Times New Roman"/>
              </w:rPr>
            </w:pPr>
            <w:r>
              <w:rPr>
                <w:rFonts w:cs="Times New Roman"/>
              </w:rPr>
              <w:t>0.24</w:t>
            </w:r>
            <w:r w:rsidR="00364012" w:rsidRPr="007F22D8">
              <w:rPr>
                <w:rFonts w:cs="Times New Roman"/>
              </w:rPr>
              <w:t>g</w:t>
            </w:r>
            <w:r w:rsidRPr="00C83FB7">
              <w:rPr>
                <w:rFonts w:cs="Times New Roman"/>
                <w:noProof/>
                <w:vertAlign w:val="superscript"/>
              </w:rPr>
              <w:t>202</w:t>
            </w:r>
          </w:p>
        </w:tc>
        <w:tc>
          <w:tcPr>
            <w:tcW w:w="1180" w:type="dxa"/>
          </w:tcPr>
          <w:p w14:paraId="3C7ED2B8" w14:textId="77777777" w:rsidR="00364012" w:rsidRPr="007F22D8" w:rsidRDefault="00364012" w:rsidP="007721CD">
            <w:pPr>
              <w:rPr>
                <w:rFonts w:cs="Times New Roman"/>
              </w:rPr>
            </w:pPr>
            <w:r w:rsidRPr="007F22D8">
              <w:rPr>
                <w:rFonts w:cs="Times New Roman"/>
              </w:rPr>
              <w:t>£10.97</w:t>
            </w:r>
          </w:p>
        </w:tc>
        <w:tc>
          <w:tcPr>
            <w:tcW w:w="1429" w:type="dxa"/>
          </w:tcPr>
          <w:p w14:paraId="6866BE06" w14:textId="4D81C713" w:rsidR="00364012" w:rsidRPr="007F22D8" w:rsidRDefault="00364012" w:rsidP="007721CD">
            <w:pPr>
              <w:rPr>
                <w:rFonts w:cs="Times New Roman"/>
              </w:rPr>
            </w:pPr>
            <w:r w:rsidRPr="007F22D8">
              <w:rPr>
                <w:rFonts w:cs="Times New Roman"/>
              </w:rPr>
              <w:t>£76.7</w:t>
            </w:r>
            <w:r w:rsidR="00C83FB7">
              <w:rPr>
                <w:rFonts w:cs="Times New Roman"/>
              </w:rPr>
              <w:t>9 (maximum IV treatment 7 days</w:t>
            </w:r>
            <w:r w:rsidR="00C83FB7" w:rsidRPr="00C83FB7">
              <w:rPr>
                <w:rFonts w:cs="Times New Roman"/>
                <w:noProof/>
                <w:vertAlign w:val="superscript"/>
              </w:rPr>
              <w:t>199</w:t>
            </w:r>
            <w:r w:rsidRPr="007F22D8">
              <w:rPr>
                <w:rFonts w:cs="Times New Roman"/>
              </w:rPr>
              <w:t>)</w:t>
            </w:r>
          </w:p>
          <w:p w14:paraId="4894DC92" w14:textId="77777777" w:rsidR="00364012" w:rsidRPr="007F22D8" w:rsidRDefault="00364012" w:rsidP="007721CD">
            <w:pPr>
              <w:rPr>
                <w:rFonts w:cs="Times New Roman"/>
              </w:rPr>
            </w:pPr>
          </w:p>
        </w:tc>
        <w:tc>
          <w:tcPr>
            <w:tcW w:w="1179" w:type="dxa"/>
          </w:tcPr>
          <w:p w14:paraId="11DEB890" w14:textId="77777777" w:rsidR="00364012" w:rsidRPr="007F22D8" w:rsidRDefault="00364012" w:rsidP="007721CD">
            <w:pPr>
              <w:rPr>
                <w:rFonts w:cs="Times New Roman"/>
              </w:rPr>
            </w:pPr>
            <w:r w:rsidRPr="007F22D8">
              <w:rPr>
                <w:rFonts w:cs="Times New Roman"/>
              </w:rPr>
              <w:t>£54.85</w:t>
            </w:r>
          </w:p>
          <w:p w14:paraId="285B38E4" w14:textId="77777777" w:rsidR="00364012" w:rsidRPr="007F22D8" w:rsidRDefault="00364012" w:rsidP="007721CD">
            <w:pPr>
              <w:rPr>
                <w:rFonts w:cs="Times New Roman"/>
              </w:rPr>
            </w:pPr>
          </w:p>
          <w:p w14:paraId="4EA24EBB" w14:textId="77777777" w:rsidR="00364012" w:rsidRPr="007F22D8" w:rsidRDefault="00364012" w:rsidP="007721CD">
            <w:pPr>
              <w:rPr>
                <w:rFonts w:cs="Times New Roman"/>
              </w:rPr>
            </w:pPr>
          </w:p>
        </w:tc>
      </w:tr>
      <w:tr w:rsidR="00364012" w:rsidRPr="007F22D8" w14:paraId="7B518BBE" w14:textId="77777777" w:rsidTr="007721CD">
        <w:tc>
          <w:tcPr>
            <w:tcW w:w="1904" w:type="dxa"/>
          </w:tcPr>
          <w:p w14:paraId="4D259E79" w14:textId="77777777" w:rsidR="00364012" w:rsidRPr="007F22D8" w:rsidRDefault="00364012" w:rsidP="007721CD">
            <w:pPr>
              <w:rPr>
                <w:rFonts w:cs="Times New Roman"/>
              </w:rPr>
            </w:pPr>
            <w:r w:rsidRPr="007F22D8">
              <w:rPr>
                <w:rFonts w:cs="Times New Roman"/>
              </w:rPr>
              <w:t>Aminoglycosides (amikacin)</w:t>
            </w:r>
          </w:p>
        </w:tc>
        <w:tc>
          <w:tcPr>
            <w:tcW w:w="1939" w:type="dxa"/>
          </w:tcPr>
          <w:p w14:paraId="373D5D3A" w14:textId="16FB6D16" w:rsidR="00364012" w:rsidRPr="007721CD" w:rsidRDefault="00C83FB7" w:rsidP="00C83FB7">
            <w:pPr>
              <w:rPr>
                <w:rFonts w:cs="Times New Roman"/>
                <w:lang w:val="de-DE"/>
              </w:rPr>
            </w:pPr>
            <w:r>
              <w:rPr>
                <w:rFonts w:cs="Times New Roman"/>
                <w:lang w:val="de-DE"/>
              </w:rPr>
              <w:t>£38.72 (5 x 500mg/2ml vials)</w:t>
            </w:r>
            <w:r w:rsidRPr="00C83FB7">
              <w:rPr>
                <w:rFonts w:cs="Times New Roman"/>
                <w:noProof/>
                <w:vertAlign w:val="superscript"/>
              </w:rPr>
              <w:t>201</w:t>
            </w:r>
          </w:p>
        </w:tc>
        <w:tc>
          <w:tcPr>
            <w:tcW w:w="1385" w:type="dxa"/>
          </w:tcPr>
          <w:p w14:paraId="482E48AB" w14:textId="0947BF2D" w:rsidR="00364012" w:rsidRPr="007F22D8" w:rsidRDefault="00364012" w:rsidP="00C83FB7">
            <w:pPr>
              <w:rPr>
                <w:rFonts w:cs="Times New Roman"/>
              </w:rPr>
            </w:pPr>
            <w:r w:rsidRPr="007F22D8">
              <w:rPr>
                <w:rFonts w:cs="Times New Roman"/>
              </w:rPr>
              <w:t>maximum dose 1.5g</w:t>
            </w:r>
            <w:r w:rsidR="00C83FB7" w:rsidRPr="00C83FB7">
              <w:rPr>
                <w:rFonts w:cs="Times New Roman"/>
                <w:noProof/>
                <w:vertAlign w:val="superscript"/>
              </w:rPr>
              <w:t>202</w:t>
            </w:r>
          </w:p>
        </w:tc>
        <w:tc>
          <w:tcPr>
            <w:tcW w:w="1180" w:type="dxa"/>
          </w:tcPr>
          <w:p w14:paraId="32A6B6B7" w14:textId="77777777" w:rsidR="00364012" w:rsidRPr="007F22D8" w:rsidRDefault="00364012" w:rsidP="007721CD">
            <w:pPr>
              <w:rPr>
                <w:rFonts w:cs="Times New Roman"/>
              </w:rPr>
            </w:pPr>
            <w:r w:rsidRPr="007F22D8">
              <w:rPr>
                <w:rFonts w:cs="Times New Roman"/>
              </w:rPr>
              <w:t>£23.23</w:t>
            </w:r>
          </w:p>
        </w:tc>
        <w:tc>
          <w:tcPr>
            <w:tcW w:w="1429" w:type="dxa"/>
          </w:tcPr>
          <w:p w14:paraId="40BC6837" w14:textId="77777777" w:rsidR="00364012" w:rsidRPr="007F22D8" w:rsidRDefault="00364012" w:rsidP="007721CD">
            <w:pPr>
              <w:rPr>
                <w:rFonts w:cs="Times New Roman"/>
              </w:rPr>
            </w:pPr>
            <w:r w:rsidRPr="007F22D8">
              <w:rPr>
                <w:rFonts w:cs="Times New Roman"/>
              </w:rPr>
              <w:t>£232.30</w:t>
            </w:r>
          </w:p>
          <w:p w14:paraId="16F6E8BD" w14:textId="4D966E60" w:rsidR="00364012" w:rsidRPr="007F22D8" w:rsidRDefault="00C83FB7" w:rsidP="00C83FB7">
            <w:pPr>
              <w:rPr>
                <w:rFonts w:cs="Times New Roman"/>
              </w:rPr>
            </w:pPr>
            <w:r>
              <w:rPr>
                <w:rFonts w:cs="Times New Roman"/>
              </w:rPr>
              <w:t>(10 days</w:t>
            </w:r>
            <w:r w:rsidRPr="00C83FB7">
              <w:rPr>
                <w:rFonts w:cs="Times New Roman"/>
                <w:noProof/>
                <w:vertAlign w:val="superscript"/>
              </w:rPr>
              <w:t>199</w:t>
            </w:r>
            <w:r w:rsidR="00364012" w:rsidRPr="007F22D8">
              <w:rPr>
                <w:rFonts w:cs="Times New Roman"/>
              </w:rPr>
              <w:t>)</w:t>
            </w:r>
          </w:p>
        </w:tc>
        <w:tc>
          <w:tcPr>
            <w:tcW w:w="1179" w:type="dxa"/>
          </w:tcPr>
          <w:p w14:paraId="194B5D93" w14:textId="77777777" w:rsidR="00364012" w:rsidRPr="007F22D8" w:rsidRDefault="00364012" w:rsidP="007721CD">
            <w:pPr>
              <w:rPr>
                <w:rFonts w:cs="Times New Roman"/>
              </w:rPr>
            </w:pPr>
            <w:r w:rsidRPr="007F22D8">
              <w:rPr>
                <w:rFonts w:cs="Times New Roman"/>
              </w:rPr>
              <w:t>£116.15</w:t>
            </w:r>
          </w:p>
        </w:tc>
      </w:tr>
      <w:tr w:rsidR="00364012" w:rsidRPr="007F22D8" w14:paraId="1F2ACBF2" w14:textId="77777777" w:rsidTr="007721CD">
        <w:tc>
          <w:tcPr>
            <w:tcW w:w="1904" w:type="dxa"/>
          </w:tcPr>
          <w:p w14:paraId="026AF2D6" w14:textId="77777777" w:rsidR="00364012" w:rsidRPr="007F22D8" w:rsidRDefault="00364012" w:rsidP="007721CD">
            <w:pPr>
              <w:rPr>
                <w:rFonts w:cs="Times New Roman"/>
              </w:rPr>
            </w:pPr>
            <w:r w:rsidRPr="007F22D8">
              <w:rPr>
                <w:rFonts w:cs="Times New Roman"/>
              </w:rPr>
              <w:t>Aminoglycosides (tobramycin)</w:t>
            </w:r>
          </w:p>
        </w:tc>
        <w:tc>
          <w:tcPr>
            <w:tcW w:w="1939" w:type="dxa"/>
          </w:tcPr>
          <w:p w14:paraId="5BF2A421" w14:textId="0C93DFE1" w:rsidR="00364012" w:rsidRPr="007F22D8" w:rsidRDefault="00364012" w:rsidP="00C83FB7">
            <w:pPr>
              <w:rPr>
                <w:rFonts w:cs="Times New Roman"/>
              </w:rPr>
            </w:pPr>
            <w:r w:rsidRPr="007F22D8">
              <w:rPr>
                <w:rFonts w:cs="Times New Roman"/>
              </w:rPr>
              <w:t>£10.69 (1 x 240mg/6ml solution for injection vials)</w:t>
            </w:r>
            <w:r w:rsidR="00C83FB7" w:rsidRPr="00C83FB7">
              <w:rPr>
                <w:rFonts w:cs="Times New Roman"/>
              </w:rPr>
              <w:t xml:space="preserve"> </w:t>
            </w:r>
            <w:r w:rsidR="00C83FB7" w:rsidRPr="00C83FB7">
              <w:rPr>
                <w:rFonts w:cs="Times New Roman"/>
                <w:noProof/>
                <w:vertAlign w:val="superscript"/>
              </w:rPr>
              <w:t>201</w:t>
            </w:r>
          </w:p>
        </w:tc>
        <w:tc>
          <w:tcPr>
            <w:tcW w:w="1385" w:type="dxa"/>
          </w:tcPr>
          <w:p w14:paraId="068F5C29" w14:textId="193858BA" w:rsidR="00364012" w:rsidRPr="007F22D8" w:rsidRDefault="00364012" w:rsidP="00C83FB7">
            <w:pPr>
              <w:rPr>
                <w:rFonts w:cs="Times New Roman"/>
              </w:rPr>
            </w:pPr>
            <w:r w:rsidRPr="007F22D8">
              <w:rPr>
                <w:rFonts w:cs="Times New Roman"/>
              </w:rPr>
              <w:t>0.24 g</w:t>
            </w:r>
            <w:r w:rsidR="00C83FB7" w:rsidRPr="00C83FB7">
              <w:rPr>
                <w:rFonts w:cs="Times New Roman"/>
                <w:noProof/>
                <w:vertAlign w:val="superscript"/>
              </w:rPr>
              <w:t>202</w:t>
            </w:r>
          </w:p>
        </w:tc>
        <w:tc>
          <w:tcPr>
            <w:tcW w:w="1180" w:type="dxa"/>
          </w:tcPr>
          <w:p w14:paraId="44CF5707" w14:textId="77777777" w:rsidR="00364012" w:rsidRPr="007F22D8" w:rsidRDefault="00364012" w:rsidP="007721CD">
            <w:pPr>
              <w:rPr>
                <w:rFonts w:cs="Times New Roman"/>
              </w:rPr>
            </w:pPr>
            <w:r w:rsidRPr="007F22D8">
              <w:rPr>
                <w:rFonts w:cs="Times New Roman"/>
              </w:rPr>
              <w:t>£10.69</w:t>
            </w:r>
          </w:p>
        </w:tc>
        <w:tc>
          <w:tcPr>
            <w:tcW w:w="1429" w:type="dxa"/>
          </w:tcPr>
          <w:p w14:paraId="614A81FB" w14:textId="68D9E3FE" w:rsidR="00364012" w:rsidRPr="007F22D8" w:rsidRDefault="00364012" w:rsidP="00C83FB7">
            <w:pPr>
              <w:rPr>
                <w:rFonts w:cs="Times New Roman"/>
              </w:rPr>
            </w:pPr>
            <w:r w:rsidRPr="007F22D8">
              <w:rPr>
                <w:rFonts w:cs="Times New Roman"/>
              </w:rPr>
              <w:t>£74.8</w:t>
            </w:r>
            <w:r w:rsidR="00C83FB7">
              <w:rPr>
                <w:rFonts w:cs="Times New Roman"/>
              </w:rPr>
              <w:t>3 (maximum IV treatment 7 days</w:t>
            </w:r>
            <w:r w:rsidR="00C83FB7" w:rsidRPr="00C83FB7">
              <w:rPr>
                <w:rFonts w:cs="Times New Roman"/>
                <w:noProof/>
                <w:vertAlign w:val="superscript"/>
              </w:rPr>
              <w:t>199</w:t>
            </w:r>
            <w:r w:rsidRPr="007F22D8">
              <w:rPr>
                <w:rFonts w:cs="Times New Roman"/>
              </w:rPr>
              <w:t>)</w:t>
            </w:r>
          </w:p>
        </w:tc>
        <w:tc>
          <w:tcPr>
            <w:tcW w:w="1179" w:type="dxa"/>
          </w:tcPr>
          <w:p w14:paraId="02695D3E" w14:textId="77777777" w:rsidR="00364012" w:rsidRPr="007F22D8" w:rsidRDefault="00364012" w:rsidP="007721CD">
            <w:pPr>
              <w:rPr>
                <w:rFonts w:cs="Times New Roman"/>
              </w:rPr>
            </w:pPr>
            <w:r w:rsidRPr="007F22D8">
              <w:rPr>
                <w:rFonts w:cs="Times New Roman"/>
              </w:rPr>
              <w:t>£53.45</w:t>
            </w:r>
          </w:p>
        </w:tc>
      </w:tr>
      <w:tr w:rsidR="00364012" w:rsidRPr="007F22D8" w14:paraId="4888519C" w14:textId="77777777" w:rsidTr="007721CD">
        <w:tc>
          <w:tcPr>
            <w:tcW w:w="1904" w:type="dxa"/>
          </w:tcPr>
          <w:p w14:paraId="47DED423" w14:textId="77777777" w:rsidR="00364012" w:rsidRPr="007F22D8" w:rsidRDefault="00364012" w:rsidP="007721CD">
            <w:pPr>
              <w:rPr>
                <w:rFonts w:cs="Times New Roman"/>
              </w:rPr>
            </w:pPr>
            <w:r w:rsidRPr="007F22D8">
              <w:rPr>
                <w:rFonts w:cs="Times New Roman"/>
              </w:rPr>
              <w:t>Tigecycline</w:t>
            </w:r>
          </w:p>
        </w:tc>
        <w:tc>
          <w:tcPr>
            <w:tcW w:w="1939" w:type="dxa"/>
          </w:tcPr>
          <w:p w14:paraId="4A7D2FA9" w14:textId="04B65F80" w:rsidR="00364012" w:rsidRPr="007F22D8" w:rsidRDefault="00C83FB7" w:rsidP="00C83FB7">
            <w:pPr>
              <w:rPr>
                <w:rFonts w:cs="Times New Roman"/>
              </w:rPr>
            </w:pPr>
            <w:r>
              <w:rPr>
                <w:rFonts w:cs="Times New Roman"/>
              </w:rPr>
              <w:t>£106.52 (10 x 50mg vials)</w:t>
            </w:r>
            <w:r w:rsidRPr="00C83FB7">
              <w:rPr>
                <w:rFonts w:cs="Times New Roman"/>
              </w:rPr>
              <w:t xml:space="preserve"> </w:t>
            </w:r>
            <w:r w:rsidRPr="00C83FB7">
              <w:rPr>
                <w:rFonts w:cs="Times New Roman"/>
                <w:noProof/>
                <w:vertAlign w:val="superscript"/>
              </w:rPr>
              <w:t>201</w:t>
            </w:r>
          </w:p>
        </w:tc>
        <w:tc>
          <w:tcPr>
            <w:tcW w:w="1385" w:type="dxa"/>
          </w:tcPr>
          <w:p w14:paraId="3F9A4448" w14:textId="11C5BAF5" w:rsidR="00364012" w:rsidRPr="007F22D8" w:rsidRDefault="00364012" w:rsidP="00C83FB7">
            <w:pPr>
              <w:rPr>
                <w:rFonts w:cs="Times New Roman"/>
              </w:rPr>
            </w:pPr>
            <w:r w:rsidRPr="007F22D8">
              <w:rPr>
                <w:rFonts w:cs="Times New Roman"/>
              </w:rPr>
              <w:t>0.1g</w:t>
            </w:r>
            <w:r w:rsidR="00C83FB7" w:rsidRPr="00C83FB7">
              <w:rPr>
                <w:rFonts w:cs="Times New Roman"/>
                <w:noProof/>
                <w:vertAlign w:val="superscript"/>
              </w:rPr>
              <w:t>202</w:t>
            </w:r>
          </w:p>
        </w:tc>
        <w:tc>
          <w:tcPr>
            <w:tcW w:w="1180" w:type="dxa"/>
          </w:tcPr>
          <w:p w14:paraId="1C3A487D" w14:textId="77777777" w:rsidR="00364012" w:rsidRPr="007F22D8" w:rsidRDefault="00364012" w:rsidP="007721CD">
            <w:pPr>
              <w:rPr>
                <w:rFonts w:cs="Times New Roman"/>
              </w:rPr>
            </w:pPr>
            <w:r w:rsidRPr="007F22D8">
              <w:rPr>
                <w:rFonts w:cs="Times New Roman"/>
              </w:rPr>
              <w:t>£21.30</w:t>
            </w:r>
          </w:p>
        </w:tc>
        <w:tc>
          <w:tcPr>
            <w:tcW w:w="1429" w:type="dxa"/>
          </w:tcPr>
          <w:p w14:paraId="02FB9E15" w14:textId="103A15B0" w:rsidR="00364012" w:rsidRPr="007F22D8" w:rsidRDefault="00364012" w:rsidP="00C83FB7">
            <w:pPr>
              <w:rPr>
                <w:rFonts w:cs="Times New Roman"/>
              </w:rPr>
            </w:pPr>
            <w:r w:rsidRPr="007F22D8">
              <w:rPr>
                <w:rFonts w:cs="Times New Roman"/>
              </w:rPr>
              <w:t>£298.20 (14 days</w:t>
            </w:r>
            <w:r w:rsidR="00C83FB7" w:rsidRPr="00C83FB7">
              <w:rPr>
                <w:rFonts w:cs="Times New Roman"/>
                <w:noProof/>
                <w:vertAlign w:val="superscript"/>
              </w:rPr>
              <w:t>199</w:t>
            </w:r>
            <w:r w:rsidRPr="007F22D8">
              <w:rPr>
                <w:rFonts w:cs="Times New Roman"/>
              </w:rPr>
              <w:t>)</w:t>
            </w:r>
          </w:p>
        </w:tc>
        <w:tc>
          <w:tcPr>
            <w:tcW w:w="1179" w:type="dxa"/>
          </w:tcPr>
          <w:p w14:paraId="09EC47BA" w14:textId="77777777" w:rsidR="00364012" w:rsidRPr="007F22D8" w:rsidRDefault="00364012" w:rsidP="007721CD">
            <w:pPr>
              <w:rPr>
                <w:rFonts w:cs="Times New Roman"/>
              </w:rPr>
            </w:pPr>
            <w:r w:rsidRPr="007F22D8">
              <w:rPr>
                <w:rFonts w:cs="Times New Roman"/>
              </w:rPr>
              <w:t>£106.5</w:t>
            </w:r>
          </w:p>
        </w:tc>
      </w:tr>
      <w:tr w:rsidR="00364012" w:rsidRPr="007F22D8" w14:paraId="7754F576" w14:textId="77777777" w:rsidTr="007721CD">
        <w:tc>
          <w:tcPr>
            <w:tcW w:w="1904" w:type="dxa"/>
          </w:tcPr>
          <w:p w14:paraId="30AFB07F" w14:textId="77777777" w:rsidR="00364012" w:rsidRPr="007F22D8" w:rsidRDefault="00364012" w:rsidP="007721CD">
            <w:pPr>
              <w:rPr>
                <w:rFonts w:cs="Times New Roman"/>
              </w:rPr>
            </w:pPr>
            <w:r w:rsidRPr="007F22D8">
              <w:rPr>
                <w:rFonts w:cs="Times New Roman"/>
              </w:rPr>
              <w:t>Fosfomycin</w:t>
            </w:r>
          </w:p>
        </w:tc>
        <w:tc>
          <w:tcPr>
            <w:tcW w:w="1939" w:type="dxa"/>
          </w:tcPr>
          <w:p w14:paraId="5F12B2BB" w14:textId="4E4C06CF" w:rsidR="00364012" w:rsidRPr="007F22D8" w:rsidRDefault="00364012" w:rsidP="00C83FB7">
            <w:pPr>
              <w:rPr>
                <w:rFonts w:cs="Times New Roman"/>
              </w:rPr>
            </w:pPr>
            <w:r w:rsidRPr="007F22D8">
              <w:rPr>
                <w:rFonts w:cs="Times New Roman"/>
              </w:rPr>
              <w:t>£4.86 (1 x 3g sachet)</w:t>
            </w:r>
            <w:r w:rsidR="00C83FB7" w:rsidRPr="00C83FB7">
              <w:rPr>
                <w:rFonts w:cs="Times New Roman"/>
                <w:noProof/>
                <w:vertAlign w:val="superscript"/>
              </w:rPr>
              <w:t>199</w:t>
            </w:r>
          </w:p>
        </w:tc>
        <w:tc>
          <w:tcPr>
            <w:tcW w:w="1385" w:type="dxa"/>
          </w:tcPr>
          <w:p w14:paraId="6B5F8B6B" w14:textId="2234FBE9" w:rsidR="00364012" w:rsidRPr="007F22D8" w:rsidRDefault="00364012" w:rsidP="00C83FB7">
            <w:pPr>
              <w:rPr>
                <w:rFonts w:cs="Times New Roman"/>
              </w:rPr>
            </w:pPr>
            <w:r w:rsidRPr="007F22D8">
              <w:rPr>
                <w:rFonts w:cs="Times New Roman"/>
              </w:rPr>
              <w:t xml:space="preserve"> 3g (1 sachet)</w:t>
            </w:r>
            <w:r w:rsidR="00C83FB7" w:rsidRPr="00C83FB7">
              <w:rPr>
                <w:rFonts w:cs="Times New Roman"/>
                <w:noProof/>
                <w:vertAlign w:val="superscript"/>
              </w:rPr>
              <w:t>199</w:t>
            </w:r>
          </w:p>
        </w:tc>
        <w:tc>
          <w:tcPr>
            <w:tcW w:w="1180" w:type="dxa"/>
          </w:tcPr>
          <w:p w14:paraId="4B747FC2" w14:textId="77777777" w:rsidR="00364012" w:rsidRPr="007F22D8" w:rsidRDefault="00364012" w:rsidP="007721CD">
            <w:pPr>
              <w:rPr>
                <w:rFonts w:cs="Times New Roman"/>
              </w:rPr>
            </w:pPr>
            <w:r w:rsidRPr="007F22D8">
              <w:rPr>
                <w:rFonts w:cs="Times New Roman"/>
              </w:rPr>
              <w:t>£4.86</w:t>
            </w:r>
          </w:p>
        </w:tc>
        <w:tc>
          <w:tcPr>
            <w:tcW w:w="1429" w:type="dxa"/>
          </w:tcPr>
          <w:p w14:paraId="4F5600EE" w14:textId="0EB03A3E" w:rsidR="00364012" w:rsidRPr="007F22D8" w:rsidRDefault="00C83FB7" w:rsidP="00C83FB7">
            <w:pPr>
              <w:rPr>
                <w:rFonts w:cs="Times New Roman"/>
              </w:rPr>
            </w:pPr>
            <w:r>
              <w:rPr>
                <w:rFonts w:cs="Times New Roman"/>
              </w:rPr>
              <w:t>£9.66 (2 doses</w:t>
            </w:r>
            <w:r w:rsidRPr="00C83FB7">
              <w:rPr>
                <w:rFonts w:cs="Times New Roman"/>
                <w:noProof/>
                <w:vertAlign w:val="superscript"/>
              </w:rPr>
              <w:t>2</w:t>
            </w:r>
            <w:r w:rsidR="00364012" w:rsidRPr="007F22D8">
              <w:rPr>
                <w:rFonts w:cs="Times New Roman"/>
              </w:rPr>
              <w:t>)</w:t>
            </w:r>
          </w:p>
        </w:tc>
        <w:tc>
          <w:tcPr>
            <w:tcW w:w="1179" w:type="dxa"/>
          </w:tcPr>
          <w:p w14:paraId="316E80EE" w14:textId="77777777" w:rsidR="00364012" w:rsidRPr="007F22D8" w:rsidRDefault="00364012" w:rsidP="007721CD">
            <w:pPr>
              <w:rPr>
                <w:rFonts w:cs="Times New Roman"/>
              </w:rPr>
            </w:pPr>
            <w:r w:rsidRPr="007F22D8">
              <w:rPr>
                <w:rFonts w:cs="Times New Roman"/>
              </w:rPr>
              <w:t>£9.66</w:t>
            </w:r>
          </w:p>
        </w:tc>
      </w:tr>
      <w:tr w:rsidR="00364012" w:rsidRPr="007F22D8" w14:paraId="300EB4E2" w14:textId="77777777" w:rsidTr="007721CD">
        <w:tc>
          <w:tcPr>
            <w:tcW w:w="1904" w:type="dxa"/>
          </w:tcPr>
          <w:p w14:paraId="1159A941" w14:textId="77777777" w:rsidR="00364012" w:rsidRPr="007F22D8" w:rsidRDefault="00364012" w:rsidP="007721CD">
            <w:pPr>
              <w:rPr>
                <w:rFonts w:cs="Times New Roman"/>
              </w:rPr>
            </w:pPr>
            <w:r w:rsidRPr="007F22D8">
              <w:rPr>
                <w:rFonts w:cs="Times New Roman"/>
              </w:rPr>
              <w:t>Fluoroquinolones</w:t>
            </w:r>
          </w:p>
          <w:p w14:paraId="37BEDFFB" w14:textId="77777777" w:rsidR="00364012" w:rsidRPr="007F22D8" w:rsidRDefault="00364012" w:rsidP="007721CD">
            <w:pPr>
              <w:rPr>
                <w:rFonts w:cs="Times New Roman"/>
              </w:rPr>
            </w:pPr>
            <w:r w:rsidRPr="007F22D8">
              <w:rPr>
                <w:rFonts w:cs="Times New Roman"/>
              </w:rPr>
              <w:t>(ciprofloxacin)</w:t>
            </w:r>
          </w:p>
        </w:tc>
        <w:tc>
          <w:tcPr>
            <w:tcW w:w="1939" w:type="dxa"/>
          </w:tcPr>
          <w:p w14:paraId="30A370F5" w14:textId="5FECAE68" w:rsidR="00364012" w:rsidRPr="007F22D8" w:rsidRDefault="00364012" w:rsidP="00C83FB7">
            <w:pPr>
              <w:rPr>
                <w:rFonts w:cs="Times New Roman"/>
              </w:rPr>
            </w:pPr>
            <w:r w:rsidRPr="007F22D8">
              <w:rPr>
                <w:rFonts w:cs="Times New Roman"/>
              </w:rPr>
              <w:t>£5.02 (10 x 400mg/200ml infusion)</w:t>
            </w:r>
            <w:r w:rsidR="00C83FB7" w:rsidRPr="00C83FB7">
              <w:rPr>
                <w:rFonts w:cs="Times New Roman"/>
              </w:rPr>
              <w:t xml:space="preserve"> </w:t>
            </w:r>
            <w:r w:rsidR="00C83FB7" w:rsidRPr="00C83FB7">
              <w:rPr>
                <w:rFonts w:cs="Times New Roman"/>
                <w:noProof/>
                <w:vertAlign w:val="superscript"/>
              </w:rPr>
              <w:t>201</w:t>
            </w:r>
          </w:p>
        </w:tc>
        <w:tc>
          <w:tcPr>
            <w:tcW w:w="1385" w:type="dxa"/>
          </w:tcPr>
          <w:p w14:paraId="09313981" w14:textId="2D2E568E" w:rsidR="00364012" w:rsidRPr="007F22D8" w:rsidRDefault="00364012" w:rsidP="00C83FB7">
            <w:pPr>
              <w:rPr>
                <w:rFonts w:cs="Times New Roman"/>
              </w:rPr>
            </w:pPr>
            <w:r w:rsidRPr="007F22D8">
              <w:rPr>
                <w:rFonts w:cs="Times New Roman"/>
              </w:rPr>
              <w:t>1.2g</w:t>
            </w:r>
            <w:r w:rsidR="00C83FB7" w:rsidRPr="00C83FB7">
              <w:rPr>
                <w:rFonts w:cs="Times New Roman"/>
                <w:noProof/>
                <w:vertAlign w:val="superscript"/>
              </w:rPr>
              <w:t>202</w:t>
            </w:r>
          </w:p>
        </w:tc>
        <w:tc>
          <w:tcPr>
            <w:tcW w:w="1180" w:type="dxa"/>
          </w:tcPr>
          <w:p w14:paraId="4077BCD1" w14:textId="77777777" w:rsidR="00364012" w:rsidRPr="007F22D8" w:rsidRDefault="00364012" w:rsidP="007721CD">
            <w:pPr>
              <w:rPr>
                <w:rFonts w:cs="Times New Roman"/>
              </w:rPr>
            </w:pPr>
            <w:r w:rsidRPr="007F22D8">
              <w:rPr>
                <w:rFonts w:cs="Times New Roman"/>
              </w:rPr>
              <w:t>£1.51</w:t>
            </w:r>
          </w:p>
        </w:tc>
        <w:tc>
          <w:tcPr>
            <w:tcW w:w="1429" w:type="dxa"/>
          </w:tcPr>
          <w:p w14:paraId="4C93652F" w14:textId="04DDB30E" w:rsidR="00364012" w:rsidRPr="007F22D8" w:rsidRDefault="00364012" w:rsidP="00C83FB7">
            <w:pPr>
              <w:rPr>
                <w:rFonts w:cs="Times New Roman"/>
              </w:rPr>
            </w:pPr>
            <w:r w:rsidRPr="007F22D8">
              <w:rPr>
                <w:rFonts w:cs="Times New Roman"/>
              </w:rPr>
              <w:t>£10.57 (7 days</w:t>
            </w:r>
            <w:r w:rsidR="00C83FB7" w:rsidRPr="00C83FB7">
              <w:rPr>
                <w:rFonts w:cs="Times New Roman"/>
                <w:noProof/>
                <w:vertAlign w:val="superscript"/>
              </w:rPr>
              <w:t>199</w:t>
            </w:r>
            <w:r w:rsidRPr="007F22D8">
              <w:rPr>
                <w:rFonts w:cs="Times New Roman"/>
              </w:rPr>
              <w:t>)</w:t>
            </w:r>
          </w:p>
        </w:tc>
        <w:tc>
          <w:tcPr>
            <w:tcW w:w="1179" w:type="dxa"/>
          </w:tcPr>
          <w:p w14:paraId="4D9D8BF3" w14:textId="77777777" w:rsidR="00364012" w:rsidRPr="007F22D8" w:rsidRDefault="00364012" w:rsidP="007721CD">
            <w:pPr>
              <w:rPr>
                <w:rFonts w:cs="Times New Roman"/>
              </w:rPr>
            </w:pPr>
            <w:r w:rsidRPr="007F22D8">
              <w:rPr>
                <w:rFonts w:cs="Times New Roman"/>
              </w:rPr>
              <w:t>£7.55</w:t>
            </w:r>
          </w:p>
        </w:tc>
      </w:tr>
      <w:tr w:rsidR="00364012" w:rsidRPr="007F22D8" w14:paraId="7E703CB3" w14:textId="77777777" w:rsidTr="007721CD">
        <w:tc>
          <w:tcPr>
            <w:tcW w:w="1904" w:type="dxa"/>
          </w:tcPr>
          <w:p w14:paraId="3F3E0024" w14:textId="77777777" w:rsidR="00364012" w:rsidRPr="007F22D8" w:rsidRDefault="00364012" w:rsidP="007721CD">
            <w:pPr>
              <w:rPr>
                <w:rFonts w:cs="Times New Roman"/>
              </w:rPr>
            </w:pPr>
            <w:r w:rsidRPr="007F22D8">
              <w:rPr>
                <w:rFonts w:cs="Times New Roman"/>
              </w:rPr>
              <w:t>Fluoroquinolones</w:t>
            </w:r>
          </w:p>
          <w:p w14:paraId="48984E34" w14:textId="77777777" w:rsidR="00364012" w:rsidRPr="007F22D8" w:rsidRDefault="00364012" w:rsidP="007721CD">
            <w:pPr>
              <w:rPr>
                <w:rFonts w:cs="Times New Roman"/>
              </w:rPr>
            </w:pPr>
            <w:r w:rsidRPr="007F22D8">
              <w:rPr>
                <w:rFonts w:cs="Times New Roman"/>
              </w:rPr>
              <w:t>(levofloxacin)</w:t>
            </w:r>
          </w:p>
        </w:tc>
        <w:tc>
          <w:tcPr>
            <w:tcW w:w="1939" w:type="dxa"/>
          </w:tcPr>
          <w:p w14:paraId="15FCF4AA" w14:textId="3D9649AE" w:rsidR="00364012" w:rsidRPr="007F22D8" w:rsidRDefault="00364012" w:rsidP="00C83FB7">
            <w:pPr>
              <w:rPr>
                <w:rFonts w:cs="Times New Roman"/>
              </w:rPr>
            </w:pPr>
            <w:r w:rsidRPr="007F22D8">
              <w:rPr>
                <w:rFonts w:cs="Times New Roman"/>
              </w:rPr>
              <w:t>£20.95 (</w:t>
            </w:r>
            <w:r w:rsidR="00C83FB7">
              <w:rPr>
                <w:rFonts w:cs="Times New Roman"/>
              </w:rPr>
              <w:t>10 x 500mg/100ml infusion bags)</w:t>
            </w:r>
            <w:r w:rsidR="00C83FB7" w:rsidRPr="00C83FB7">
              <w:rPr>
                <w:rFonts w:cs="Times New Roman"/>
              </w:rPr>
              <w:t xml:space="preserve"> </w:t>
            </w:r>
            <w:r w:rsidR="00C83FB7" w:rsidRPr="00C83FB7">
              <w:rPr>
                <w:rFonts w:cs="Times New Roman"/>
                <w:noProof/>
                <w:vertAlign w:val="superscript"/>
              </w:rPr>
              <w:t>201</w:t>
            </w:r>
          </w:p>
        </w:tc>
        <w:tc>
          <w:tcPr>
            <w:tcW w:w="1385" w:type="dxa"/>
          </w:tcPr>
          <w:p w14:paraId="2442D415" w14:textId="190BCC68" w:rsidR="00364012" w:rsidRPr="007F22D8" w:rsidRDefault="00364012" w:rsidP="00C83FB7">
            <w:pPr>
              <w:rPr>
                <w:rFonts w:cs="Times New Roman"/>
              </w:rPr>
            </w:pPr>
            <w:r w:rsidRPr="007F22D8">
              <w:rPr>
                <w:rFonts w:cs="Times New Roman"/>
              </w:rPr>
              <w:t>0.5g</w:t>
            </w:r>
            <w:r w:rsidR="00C83FB7" w:rsidRPr="00C83FB7">
              <w:rPr>
                <w:rFonts w:cs="Times New Roman"/>
                <w:noProof/>
                <w:vertAlign w:val="superscript"/>
              </w:rPr>
              <w:t>202</w:t>
            </w:r>
          </w:p>
        </w:tc>
        <w:tc>
          <w:tcPr>
            <w:tcW w:w="1180" w:type="dxa"/>
          </w:tcPr>
          <w:p w14:paraId="32CEF78E" w14:textId="77777777" w:rsidR="00364012" w:rsidRPr="007F22D8" w:rsidRDefault="00364012" w:rsidP="007721CD">
            <w:pPr>
              <w:rPr>
                <w:rFonts w:cs="Times New Roman"/>
              </w:rPr>
            </w:pPr>
            <w:r w:rsidRPr="007F22D8">
              <w:rPr>
                <w:rFonts w:cs="Times New Roman"/>
              </w:rPr>
              <w:t>£2.10</w:t>
            </w:r>
          </w:p>
        </w:tc>
        <w:tc>
          <w:tcPr>
            <w:tcW w:w="1429" w:type="dxa"/>
          </w:tcPr>
          <w:p w14:paraId="48FBD8D4" w14:textId="33C5E8DB" w:rsidR="00364012" w:rsidRPr="007F22D8" w:rsidRDefault="00364012" w:rsidP="00C83FB7">
            <w:pPr>
              <w:rPr>
                <w:rFonts w:cs="Times New Roman"/>
              </w:rPr>
            </w:pPr>
            <w:r w:rsidRPr="007F22D8">
              <w:rPr>
                <w:rFonts w:cs="Times New Roman"/>
              </w:rPr>
              <w:t>£29.40 (14 days</w:t>
            </w:r>
            <w:r w:rsidR="00C83FB7" w:rsidRPr="00C83FB7">
              <w:rPr>
                <w:rFonts w:cs="Times New Roman"/>
                <w:noProof/>
                <w:vertAlign w:val="superscript"/>
              </w:rPr>
              <w:t>199</w:t>
            </w:r>
            <w:r w:rsidRPr="007F22D8">
              <w:rPr>
                <w:rFonts w:cs="Times New Roman"/>
              </w:rPr>
              <w:t>)</w:t>
            </w:r>
          </w:p>
        </w:tc>
        <w:tc>
          <w:tcPr>
            <w:tcW w:w="1179" w:type="dxa"/>
          </w:tcPr>
          <w:p w14:paraId="00BA197B" w14:textId="77777777" w:rsidR="00364012" w:rsidRPr="007F22D8" w:rsidRDefault="00364012" w:rsidP="007721CD">
            <w:pPr>
              <w:rPr>
                <w:rFonts w:cs="Times New Roman"/>
              </w:rPr>
            </w:pPr>
            <w:r w:rsidRPr="007F22D8">
              <w:rPr>
                <w:rFonts w:cs="Times New Roman"/>
              </w:rPr>
              <w:t>£10.5</w:t>
            </w:r>
          </w:p>
        </w:tc>
      </w:tr>
      <w:tr w:rsidR="00364012" w:rsidRPr="007F22D8" w14:paraId="3FB696AC" w14:textId="77777777" w:rsidTr="007721CD">
        <w:tc>
          <w:tcPr>
            <w:tcW w:w="1904" w:type="dxa"/>
          </w:tcPr>
          <w:p w14:paraId="32D5A800" w14:textId="77777777" w:rsidR="00364012" w:rsidRPr="007F22D8" w:rsidRDefault="00364012" w:rsidP="007721CD">
            <w:pPr>
              <w:rPr>
                <w:rFonts w:cs="Times New Roman"/>
              </w:rPr>
            </w:pPr>
            <w:r w:rsidRPr="007F22D8">
              <w:rPr>
                <w:rFonts w:cs="Times New Roman"/>
              </w:rPr>
              <w:t>Cephalosporins (</w:t>
            </w:r>
            <w:r w:rsidRPr="007F22D8">
              <w:rPr>
                <w:rFonts w:cs="Times New Roman"/>
                <w:color w:val="000000"/>
              </w:rPr>
              <w:t>cefepime)</w:t>
            </w:r>
          </w:p>
        </w:tc>
        <w:tc>
          <w:tcPr>
            <w:tcW w:w="1939" w:type="dxa"/>
          </w:tcPr>
          <w:p w14:paraId="499AC883" w14:textId="74C2AB69" w:rsidR="00364012" w:rsidRPr="007F22D8" w:rsidRDefault="00364012" w:rsidP="00C83FB7">
            <w:pPr>
              <w:rPr>
                <w:rFonts w:cs="Times New Roman"/>
              </w:rPr>
            </w:pPr>
            <w:r w:rsidRPr="007F22D8">
              <w:rPr>
                <w:rFonts w:cs="Times New Roman"/>
              </w:rPr>
              <w:t>£70.00 (10 x 1g vial)</w:t>
            </w:r>
            <w:r w:rsidR="00C83FB7" w:rsidRPr="00C83FB7">
              <w:rPr>
                <w:rFonts w:cs="Times New Roman"/>
                <w:noProof/>
                <w:vertAlign w:val="superscript"/>
              </w:rPr>
              <w:t>199</w:t>
            </w:r>
          </w:p>
        </w:tc>
        <w:tc>
          <w:tcPr>
            <w:tcW w:w="1385" w:type="dxa"/>
          </w:tcPr>
          <w:p w14:paraId="520B327D" w14:textId="026271D5" w:rsidR="00364012" w:rsidRPr="007F22D8" w:rsidRDefault="00364012" w:rsidP="00C83FB7">
            <w:pPr>
              <w:rPr>
                <w:rFonts w:cs="Times New Roman"/>
              </w:rPr>
            </w:pPr>
            <w:r w:rsidRPr="007F22D8">
              <w:rPr>
                <w:rFonts w:cs="Times New Roman"/>
              </w:rPr>
              <w:t>4g</w:t>
            </w:r>
            <w:r w:rsidR="00C83FB7" w:rsidRPr="00C83FB7">
              <w:rPr>
                <w:rFonts w:cs="Times New Roman"/>
                <w:noProof/>
                <w:vertAlign w:val="superscript"/>
              </w:rPr>
              <w:t>202</w:t>
            </w:r>
          </w:p>
        </w:tc>
        <w:tc>
          <w:tcPr>
            <w:tcW w:w="1180" w:type="dxa"/>
          </w:tcPr>
          <w:p w14:paraId="129CCAA4" w14:textId="77777777" w:rsidR="00364012" w:rsidRPr="007F22D8" w:rsidRDefault="00364012" w:rsidP="007721CD">
            <w:pPr>
              <w:rPr>
                <w:rFonts w:cs="Times New Roman"/>
              </w:rPr>
            </w:pPr>
            <w:r w:rsidRPr="007F22D8">
              <w:rPr>
                <w:rFonts w:cs="Times New Roman"/>
              </w:rPr>
              <w:t>£28.00</w:t>
            </w:r>
          </w:p>
        </w:tc>
        <w:tc>
          <w:tcPr>
            <w:tcW w:w="1429" w:type="dxa"/>
          </w:tcPr>
          <w:p w14:paraId="2416B844" w14:textId="4B949220" w:rsidR="00364012" w:rsidRPr="007F22D8" w:rsidRDefault="00C83FB7" w:rsidP="00C83FB7">
            <w:pPr>
              <w:rPr>
                <w:rFonts w:cs="Times New Roman"/>
              </w:rPr>
            </w:pPr>
            <w:r>
              <w:rPr>
                <w:rFonts w:cs="Times New Roman"/>
              </w:rPr>
              <w:t>£280.00 (10 days</w:t>
            </w:r>
            <w:r w:rsidRPr="00C83FB7">
              <w:rPr>
                <w:rFonts w:cs="Times New Roman"/>
                <w:noProof/>
                <w:vertAlign w:val="superscript"/>
              </w:rPr>
              <w:t>203</w:t>
            </w:r>
            <w:r w:rsidR="00364012" w:rsidRPr="007F22D8">
              <w:rPr>
                <w:rFonts w:cs="Times New Roman"/>
              </w:rPr>
              <w:t>)</w:t>
            </w:r>
          </w:p>
        </w:tc>
        <w:tc>
          <w:tcPr>
            <w:tcW w:w="1179" w:type="dxa"/>
          </w:tcPr>
          <w:p w14:paraId="16A7D582" w14:textId="77777777" w:rsidR="00364012" w:rsidRPr="007F22D8" w:rsidRDefault="00364012" w:rsidP="007721CD">
            <w:pPr>
              <w:rPr>
                <w:rFonts w:cs="Times New Roman"/>
              </w:rPr>
            </w:pPr>
            <w:r w:rsidRPr="007F22D8">
              <w:rPr>
                <w:rFonts w:cs="Times New Roman"/>
              </w:rPr>
              <w:t>£140.00</w:t>
            </w:r>
          </w:p>
        </w:tc>
      </w:tr>
      <w:tr w:rsidR="00364012" w:rsidRPr="007F22D8" w14:paraId="6040A539" w14:textId="77777777" w:rsidTr="007721CD">
        <w:tc>
          <w:tcPr>
            <w:tcW w:w="1904" w:type="dxa"/>
          </w:tcPr>
          <w:p w14:paraId="5ABF1209" w14:textId="77777777" w:rsidR="00364012" w:rsidRPr="007F22D8" w:rsidRDefault="00364012" w:rsidP="007721CD">
            <w:pPr>
              <w:rPr>
                <w:rFonts w:cs="Times New Roman"/>
              </w:rPr>
            </w:pPr>
            <w:r w:rsidRPr="007F22D8">
              <w:rPr>
                <w:rFonts w:cs="Times New Roman"/>
              </w:rPr>
              <w:t>Cephalosporins (</w:t>
            </w:r>
            <w:r w:rsidRPr="007F22D8">
              <w:rPr>
                <w:rFonts w:cs="Times New Roman"/>
                <w:color w:val="000000"/>
              </w:rPr>
              <w:t>ceftriaxone)</w:t>
            </w:r>
          </w:p>
        </w:tc>
        <w:tc>
          <w:tcPr>
            <w:tcW w:w="1939" w:type="dxa"/>
          </w:tcPr>
          <w:p w14:paraId="6F23BD08" w14:textId="7644F675" w:rsidR="00364012" w:rsidRPr="007F22D8" w:rsidRDefault="00364012" w:rsidP="00C83FB7">
            <w:pPr>
              <w:rPr>
                <w:rFonts w:cs="Times New Roman"/>
              </w:rPr>
            </w:pPr>
            <w:r w:rsidRPr="007F22D8">
              <w:rPr>
                <w:rFonts w:cs="Times New Roman"/>
              </w:rPr>
              <w:t xml:space="preserve">£5.25 (10 x 1g vial) </w:t>
            </w:r>
            <w:r w:rsidR="00C83FB7" w:rsidRPr="00C83FB7">
              <w:rPr>
                <w:rFonts w:cs="Times New Roman"/>
                <w:noProof/>
                <w:vertAlign w:val="superscript"/>
              </w:rPr>
              <w:t>201</w:t>
            </w:r>
          </w:p>
        </w:tc>
        <w:tc>
          <w:tcPr>
            <w:tcW w:w="1385" w:type="dxa"/>
          </w:tcPr>
          <w:p w14:paraId="4917CCF9" w14:textId="55FB43FA" w:rsidR="00364012" w:rsidRPr="007F22D8" w:rsidRDefault="00364012" w:rsidP="00C83FB7">
            <w:pPr>
              <w:rPr>
                <w:rFonts w:cs="Times New Roman"/>
              </w:rPr>
            </w:pPr>
            <w:r w:rsidRPr="007F22D8">
              <w:rPr>
                <w:rFonts w:cs="Times New Roman"/>
              </w:rPr>
              <w:t>4g</w:t>
            </w:r>
            <w:r w:rsidR="00C83FB7" w:rsidRPr="00C83FB7">
              <w:rPr>
                <w:rFonts w:cs="Times New Roman"/>
                <w:noProof/>
                <w:vertAlign w:val="superscript"/>
              </w:rPr>
              <w:t>202</w:t>
            </w:r>
          </w:p>
        </w:tc>
        <w:tc>
          <w:tcPr>
            <w:tcW w:w="1180" w:type="dxa"/>
          </w:tcPr>
          <w:p w14:paraId="311F4A0B" w14:textId="77777777" w:rsidR="00364012" w:rsidRPr="007F22D8" w:rsidRDefault="00364012" w:rsidP="007721CD">
            <w:pPr>
              <w:rPr>
                <w:rFonts w:cs="Times New Roman"/>
              </w:rPr>
            </w:pPr>
            <w:r w:rsidRPr="007F22D8">
              <w:rPr>
                <w:rFonts w:cs="Times New Roman"/>
              </w:rPr>
              <w:t>£2.10</w:t>
            </w:r>
          </w:p>
        </w:tc>
        <w:tc>
          <w:tcPr>
            <w:tcW w:w="1429" w:type="dxa"/>
          </w:tcPr>
          <w:p w14:paraId="18685CD1" w14:textId="33029353" w:rsidR="00364012" w:rsidRPr="007F22D8" w:rsidRDefault="00364012" w:rsidP="00C83FB7">
            <w:pPr>
              <w:rPr>
                <w:rFonts w:cs="Times New Roman"/>
              </w:rPr>
            </w:pPr>
            <w:r w:rsidRPr="007F22D8">
              <w:rPr>
                <w:rFonts w:cs="Times New Roman"/>
              </w:rPr>
              <w:t xml:space="preserve">£29.40 (14 days </w:t>
            </w:r>
            <w:r w:rsidR="00C83FB7" w:rsidRPr="00C83FB7">
              <w:rPr>
                <w:rFonts w:cs="Times New Roman"/>
                <w:noProof/>
                <w:vertAlign w:val="superscript"/>
              </w:rPr>
              <w:t>199</w:t>
            </w:r>
            <w:r w:rsidRPr="007F22D8">
              <w:rPr>
                <w:rFonts w:cs="Times New Roman"/>
              </w:rPr>
              <w:t>)</w:t>
            </w:r>
          </w:p>
        </w:tc>
        <w:tc>
          <w:tcPr>
            <w:tcW w:w="1179" w:type="dxa"/>
          </w:tcPr>
          <w:p w14:paraId="76BD8913" w14:textId="77777777" w:rsidR="00364012" w:rsidRPr="007F22D8" w:rsidRDefault="00364012" w:rsidP="007721CD">
            <w:pPr>
              <w:rPr>
                <w:rFonts w:cs="Times New Roman"/>
              </w:rPr>
            </w:pPr>
            <w:r w:rsidRPr="007F22D8">
              <w:rPr>
                <w:rFonts w:cs="Times New Roman"/>
              </w:rPr>
              <w:t>£10.5</w:t>
            </w:r>
          </w:p>
        </w:tc>
      </w:tr>
      <w:tr w:rsidR="00364012" w:rsidRPr="007F22D8" w14:paraId="6182269F" w14:textId="77777777" w:rsidTr="007721CD">
        <w:tc>
          <w:tcPr>
            <w:tcW w:w="1904" w:type="dxa"/>
          </w:tcPr>
          <w:p w14:paraId="2B0F5759" w14:textId="77777777" w:rsidR="00364012" w:rsidRPr="007F22D8" w:rsidRDefault="00364012" w:rsidP="007721CD">
            <w:pPr>
              <w:rPr>
                <w:rFonts w:cs="Times New Roman"/>
              </w:rPr>
            </w:pPr>
            <w:r w:rsidRPr="007F22D8">
              <w:rPr>
                <w:rFonts w:cs="Times New Roman"/>
                <w:color w:val="000000"/>
              </w:rPr>
              <w:t>Aztreonam</w:t>
            </w:r>
          </w:p>
        </w:tc>
        <w:tc>
          <w:tcPr>
            <w:tcW w:w="1939" w:type="dxa"/>
          </w:tcPr>
          <w:p w14:paraId="0696AA6E" w14:textId="7B43D75C" w:rsidR="00364012" w:rsidRPr="007F22D8" w:rsidRDefault="00364012" w:rsidP="00C83FB7">
            <w:pPr>
              <w:rPr>
                <w:rFonts w:cs="Times New Roman"/>
              </w:rPr>
            </w:pPr>
            <w:r w:rsidRPr="007F22D8">
              <w:rPr>
                <w:rFonts w:cs="Times New Roman"/>
              </w:rPr>
              <w:t>£18.82 (2g pow</w:t>
            </w:r>
            <w:r w:rsidR="00C83FB7">
              <w:rPr>
                <w:rFonts w:cs="Times New Roman"/>
              </w:rPr>
              <w:t>der for solution for injection)</w:t>
            </w:r>
            <w:r w:rsidR="00C83FB7" w:rsidRPr="00C83FB7">
              <w:rPr>
                <w:rFonts w:cs="Times New Roman"/>
              </w:rPr>
              <w:t xml:space="preserve"> </w:t>
            </w:r>
            <w:r w:rsidR="00C83FB7" w:rsidRPr="00C83FB7">
              <w:rPr>
                <w:rFonts w:cs="Times New Roman"/>
                <w:noProof/>
                <w:vertAlign w:val="superscript"/>
              </w:rPr>
              <w:t>199</w:t>
            </w:r>
          </w:p>
        </w:tc>
        <w:tc>
          <w:tcPr>
            <w:tcW w:w="1385" w:type="dxa"/>
          </w:tcPr>
          <w:p w14:paraId="5D15012C" w14:textId="6785A6ED" w:rsidR="00364012" w:rsidRPr="007F22D8" w:rsidRDefault="00364012" w:rsidP="00C83FB7">
            <w:pPr>
              <w:rPr>
                <w:rFonts w:cs="Times New Roman"/>
              </w:rPr>
            </w:pPr>
            <w:r w:rsidRPr="007F22D8">
              <w:rPr>
                <w:rFonts w:cs="Times New Roman"/>
              </w:rPr>
              <w:t>4g</w:t>
            </w:r>
            <w:r w:rsidR="00C83FB7" w:rsidRPr="00C83FB7">
              <w:rPr>
                <w:rFonts w:cs="Times New Roman"/>
                <w:noProof/>
                <w:vertAlign w:val="superscript"/>
              </w:rPr>
              <w:t>202</w:t>
            </w:r>
          </w:p>
        </w:tc>
        <w:tc>
          <w:tcPr>
            <w:tcW w:w="1180" w:type="dxa"/>
          </w:tcPr>
          <w:p w14:paraId="09DACC34" w14:textId="77777777" w:rsidR="00364012" w:rsidRPr="007F22D8" w:rsidRDefault="00364012" w:rsidP="007721CD">
            <w:pPr>
              <w:rPr>
                <w:rFonts w:cs="Times New Roman"/>
              </w:rPr>
            </w:pPr>
            <w:r w:rsidRPr="007F22D8">
              <w:rPr>
                <w:rFonts w:cs="Times New Roman"/>
              </w:rPr>
              <w:t>£37.64</w:t>
            </w:r>
          </w:p>
        </w:tc>
        <w:tc>
          <w:tcPr>
            <w:tcW w:w="1429" w:type="dxa"/>
          </w:tcPr>
          <w:p w14:paraId="29D8AADA" w14:textId="77777777" w:rsidR="00364012" w:rsidRPr="007F22D8" w:rsidRDefault="00364012" w:rsidP="007721CD">
            <w:pPr>
              <w:rPr>
                <w:rFonts w:cs="Times New Roman"/>
              </w:rPr>
            </w:pPr>
            <w:r w:rsidRPr="007F22D8">
              <w:rPr>
                <w:rFonts w:cs="Times New Roman"/>
              </w:rPr>
              <w:t>£263.48 (7 days, assumed)</w:t>
            </w:r>
          </w:p>
        </w:tc>
        <w:tc>
          <w:tcPr>
            <w:tcW w:w="1179" w:type="dxa"/>
          </w:tcPr>
          <w:p w14:paraId="781F3D5E" w14:textId="77777777" w:rsidR="00364012" w:rsidRPr="007F22D8" w:rsidRDefault="00364012" w:rsidP="007721CD">
            <w:pPr>
              <w:rPr>
                <w:rFonts w:cs="Times New Roman"/>
              </w:rPr>
            </w:pPr>
            <w:r w:rsidRPr="007F22D8">
              <w:rPr>
                <w:rFonts w:cs="Times New Roman"/>
              </w:rPr>
              <w:t>£188.2</w:t>
            </w:r>
          </w:p>
        </w:tc>
      </w:tr>
    </w:tbl>
    <w:p w14:paraId="012A8E4A" w14:textId="640BC095" w:rsidR="00364012" w:rsidRPr="00364012" w:rsidRDefault="00364012" w:rsidP="00364012">
      <w:pPr>
        <w:rPr>
          <w:rFonts w:asciiTheme="majorBidi" w:eastAsiaTheme="majorEastAsia" w:hAnsiTheme="majorBidi" w:cstheme="majorBidi"/>
          <w:b/>
          <w:bCs/>
          <w:sz w:val="32"/>
          <w:szCs w:val="28"/>
        </w:rPr>
      </w:pPr>
      <w:proofErr w:type="spellStart"/>
      <w:r w:rsidRPr="007F22D8">
        <w:rPr>
          <w:rFonts w:cs="Times New Roman"/>
        </w:rPr>
        <w:t>eMIT</w:t>
      </w:r>
      <w:proofErr w:type="spellEnd"/>
      <w:r w:rsidRPr="007F22D8">
        <w:rPr>
          <w:rFonts w:cs="Times New Roman"/>
        </w:rPr>
        <w:t xml:space="preserve"> = Drugs and pharmaceutical electronic market information tool; BNF = British National Formulary</w:t>
      </w:r>
      <w:r>
        <w:br w:type="page"/>
      </w:r>
    </w:p>
    <w:p w14:paraId="748C7AA6" w14:textId="28BF70FD" w:rsidR="00AB4E6A" w:rsidRPr="00097E31" w:rsidRDefault="00AB4E6A" w:rsidP="008E6F0E">
      <w:pPr>
        <w:pStyle w:val="Heading2"/>
        <w:ind w:left="720" w:hanging="720"/>
        <w:jc w:val="both"/>
        <w:rPr>
          <w:sz w:val="32"/>
          <w:szCs w:val="32"/>
        </w:rPr>
      </w:pPr>
      <w:bookmarkStart w:id="824" w:name="_Toc87463140"/>
      <w:r w:rsidRPr="00097E31">
        <w:rPr>
          <w:sz w:val="32"/>
          <w:szCs w:val="32"/>
        </w:rPr>
        <w:lastRenderedPageBreak/>
        <w:t>Appendix</w:t>
      </w:r>
      <w:r w:rsidR="0066591E" w:rsidRPr="00097E31">
        <w:rPr>
          <w:sz w:val="32"/>
          <w:szCs w:val="32"/>
        </w:rPr>
        <w:t xml:space="preserve"> 1</w:t>
      </w:r>
      <w:r w:rsidR="00364012" w:rsidRPr="00097E31">
        <w:rPr>
          <w:sz w:val="32"/>
          <w:szCs w:val="32"/>
        </w:rPr>
        <w:t>5</w:t>
      </w:r>
      <w:r w:rsidRPr="00097E31">
        <w:rPr>
          <w:sz w:val="32"/>
          <w:szCs w:val="32"/>
        </w:rPr>
        <w:t xml:space="preserve">: </w:t>
      </w:r>
      <w:r w:rsidR="00D62B0F" w:rsidRPr="00097E31">
        <w:rPr>
          <w:sz w:val="32"/>
          <w:szCs w:val="32"/>
        </w:rPr>
        <w:t>F</w:t>
      </w:r>
      <w:r w:rsidRPr="00097E31">
        <w:rPr>
          <w:sz w:val="32"/>
          <w:szCs w:val="32"/>
        </w:rPr>
        <w:t>urther details on Modelling direct population net health effects in HVCS</w:t>
      </w:r>
      <w:bookmarkEnd w:id="824"/>
      <w:r w:rsidRPr="00097E31">
        <w:rPr>
          <w:sz w:val="32"/>
          <w:szCs w:val="32"/>
        </w:rPr>
        <w:t xml:space="preserve"> </w:t>
      </w:r>
    </w:p>
    <w:p w14:paraId="4C4A17AF" w14:textId="77777777" w:rsidR="00AB4E6A" w:rsidRPr="00AB4E6A" w:rsidRDefault="00AB4E6A" w:rsidP="00AB4E6A">
      <w:pPr>
        <w:rPr>
          <w:rFonts w:asciiTheme="majorBidi" w:hAnsiTheme="majorBidi" w:cstheme="majorBidi"/>
          <w:b/>
          <w:bCs/>
        </w:rPr>
      </w:pPr>
    </w:p>
    <w:p w14:paraId="517B6545" w14:textId="2D885405" w:rsidR="00AB4E6A" w:rsidRPr="00097E31" w:rsidRDefault="00097E31" w:rsidP="006E4E83">
      <w:pPr>
        <w:pStyle w:val="EEPRUnumberedLevel3Headingnew"/>
      </w:pPr>
      <w:r>
        <w:tab/>
      </w:r>
      <w:bookmarkStart w:id="825" w:name="_Toc87463141"/>
      <w:r w:rsidR="00364012" w:rsidRPr="00097E31">
        <w:t xml:space="preserve">A15.1. </w:t>
      </w:r>
      <w:r w:rsidR="00AB4E6A" w:rsidRPr="00097E31">
        <w:t>Predicting the future sizes of the HVCS</w:t>
      </w:r>
      <w:bookmarkEnd w:id="825"/>
    </w:p>
    <w:p w14:paraId="42D8FAEF" w14:textId="42D6A142" w:rsidR="00AB4E6A" w:rsidRPr="00AB4E6A" w:rsidRDefault="00AB4E6A" w:rsidP="008F7485">
      <w:pPr>
        <w:spacing w:line="360" w:lineRule="auto"/>
        <w:rPr>
          <w:rFonts w:asciiTheme="majorBidi" w:hAnsiTheme="majorBidi" w:cstheme="majorBidi"/>
        </w:rPr>
      </w:pPr>
      <w:r w:rsidRPr="00AB4E6A">
        <w:rPr>
          <w:rFonts w:asciiTheme="majorBidi" w:hAnsiTheme="majorBidi" w:cstheme="majorBidi"/>
        </w:rPr>
        <w:t xml:space="preserve">Time-series data were provided by PHE. This included evidence on changes over time in both invasive infection isolates and screening isolates. Neither isolate type (invasive infections and screening) </w:t>
      </w:r>
      <w:proofErr w:type="gramStart"/>
      <w:r w:rsidRPr="00AB4E6A">
        <w:rPr>
          <w:rFonts w:asciiTheme="majorBidi" w:hAnsiTheme="majorBidi" w:cstheme="majorBidi"/>
        </w:rPr>
        <w:t>are</w:t>
      </w:r>
      <w:proofErr w:type="gramEnd"/>
      <w:r w:rsidRPr="00AB4E6A">
        <w:rPr>
          <w:rFonts w:asciiTheme="majorBidi" w:hAnsiTheme="majorBidi" w:cstheme="majorBidi"/>
        </w:rPr>
        <w:t xml:space="preserve"> the same as the isolate type included in the HVCS (all infections). Of the two types available, the invasive infections were the most </w:t>
      </w:r>
      <w:proofErr w:type="gramStart"/>
      <w:r w:rsidRPr="00AB4E6A">
        <w:rPr>
          <w:rFonts w:asciiTheme="majorBidi" w:hAnsiTheme="majorBidi" w:cstheme="majorBidi"/>
        </w:rPr>
        <w:t>similar to</w:t>
      </w:r>
      <w:proofErr w:type="gramEnd"/>
      <w:r w:rsidRPr="00AB4E6A">
        <w:rPr>
          <w:rFonts w:asciiTheme="majorBidi" w:hAnsiTheme="majorBidi" w:cstheme="majorBidi"/>
        </w:rPr>
        <w:t xml:space="preserve"> all infections, so were the primary focus of analyses. Screening isolates were considered in secondary analyses. Data were supplied from the Reference Laboratory provided by the AMRHAI national reference unit, with data available until April 2021 </w:t>
      </w:r>
    </w:p>
    <w:p w14:paraId="191F7639" w14:textId="77777777" w:rsidR="00AB4E6A" w:rsidRPr="00AB4E6A" w:rsidRDefault="00AB4E6A" w:rsidP="00917737">
      <w:pPr>
        <w:spacing w:line="360" w:lineRule="auto"/>
        <w:rPr>
          <w:rFonts w:asciiTheme="majorBidi" w:hAnsiTheme="majorBidi" w:cstheme="majorBidi"/>
        </w:rPr>
      </w:pPr>
    </w:p>
    <w:p w14:paraId="6707228D"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Further details on the analyses of invasive infections and screening isolates are provided in the subsequent sub-sections.</w:t>
      </w:r>
    </w:p>
    <w:p w14:paraId="17C55DC2" w14:textId="77777777" w:rsidR="00AB4E6A" w:rsidRPr="00AB4E6A" w:rsidRDefault="00AB4E6A" w:rsidP="00917737">
      <w:pPr>
        <w:spacing w:line="360" w:lineRule="auto"/>
        <w:rPr>
          <w:rFonts w:asciiTheme="majorBidi" w:hAnsiTheme="majorBidi" w:cstheme="majorBidi"/>
        </w:rPr>
      </w:pPr>
    </w:p>
    <w:p w14:paraId="09AA897C" w14:textId="77777777" w:rsidR="00AB4E6A" w:rsidRPr="00AB4E6A" w:rsidRDefault="00AB4E6A" w:rsidP="00C03BFF">
      <w:pPr>
        <w:pStyle w:val="EEPRUnumberedlevel4"/>
      </w:pPr>
      <w:bookmarkStart w:id="826" w:name="_Toc87463142"/>
      <w:r w:rsidRPr="00AB4E6A">
        <w:t>Time-</w:t>
      </w:r>
      <w:r w:rsidRPr="00C03BFF">
        <w:t>series</w:t>
      </w:r>
      <w:r w:rsidRPr="00AB4E6A">
        <w:t xml:space="preserve"> models</w:t>
      </w:r>
      <w:bookmarkEnd w:id="826"/>
    </w:p>
    <w:p w14:paraId="6E6921C0"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Time-series methods were used to generate future predictions of the population size. Three classes of model were considered:</w:t>
      </w:r>
    </w:p>
    <w:p w14:paraId="5240BC6F" w14:textId="5F262AEE" w:rsidR="00AB4E6A" w:rsidRPr="00AB4E6A" w:rsidRDefault="00AB4E6A" w:rsidP="00A83123">
      <w:pPr>
        <w:numPr>
          <w:ilvl w:val="0"/>
          <w:numId w:val="33"/>
        </w:numPr>
        <w:spacing w:line="360" w:lineRule="auto"/>
        <w:rPr>
          <w:rFonts w:asciiTheme="majorBidi" w:hAnsiTheme="majorBidi" w:cstheme="majorBidi"/>
        </w:rPr>
      </w:pPr>
      <w:r w:rsidRPr="00AB4E6A">
        <w:rPr>
          <w:rFonts w:asciiTheme="majorBidi" w:hAnsiTheme="majorBidi" w:cstheme="majorBidi"/>
        </w:rPr>
        <w:t xml:space="preserve">Exponential smoothing (state-space) models </w:t>
      </w:r>
      <w:r w:rsidR="00C83FB7" w:rsidRPr="00C83FB7">
        <w:rPr>
          <w:rFonts w:asciiTheme="majorBidi" w:hAnsiTheme="majorBidi" w:cstheme="majorBidi"/>
          <w:noProof/>
          <w:vertAlign w:val="superscript"/>
        </w:rPr>
        <w:t>204</w:t>
      </w:r>
      <w:r w:rsidRPr="00AB4E6A">
        <w:rPr>
          <w:rFonts w:asciiTheme="majorBidi" w:hAnsiTheme="majorBidi" w:cstheme="majorBidi"/>
        </w:rPr>
        <w:t xml:space="preserve">. This models variation in the data via variation in latent (unobserved) states representing a level (average) and trend. For extrapolations, predictions of these states are informed by all the available data, with more weight given to more recent observations and less weight given to older observations. The weight given to older observations decreases based on an exponential function, with the amount of decay estimated from the data. Use of this model assumes that extrapolations of (the logarithm of) the population follow a linear model. An alternative assumption is that the trend in the linear model is successively ‘damped’ over time so that eventually it becomes zero, and extrapolations become constant. This dampening can help to avoid forecasts becoming too large. Hence three exponential smoothing models were considered; a trend model, a damped-trend model, and a model with no trend. </w:t>
      </w:r>
    </w:p>
    <w:p w14:paraId="1889C791" w14:textId="5925DDE7" w:rsidR="00AB4E6A" w:rsidRPr="00AB4E6A" w:rsidRDefault="00AB4E6A" w:rsidP="00A83123">
      <w:pPr>
        <w:numPr>
          <w:ilvl w:val="0"/>
          <w:numId w:val="33"/>
        </w:numPr>
        <w:spacing w:line="360" w:lineRule="auto"/>
        <w:rPr>
          <w:rFonts w:asciiTheme="majorBidi" w:hAnsiTheme="majorBidi" w:cstheme="majorBidi"/>
        </w:rPr>
      </w:pPr>
      <w:r w:rsidRPr="00AB4E6A">
        <w:rPr>
          <w:rFonts w:asciiTheme="majorBidi" w:hAnsiTheme="majorBidi" w:cstheme="majorBidi"/>
        </w:rPr>
        <w:t xml:space="preserve">Autoregressive integrated moving average (ARIMA) models </w:t>
      </w:r>
      <w:r w:rsidR="00C83FB7" w:rsidRPr="00C83FB7">
        <w:rPr>
          <w:rFonts w:asciiTheme="majorBidi" w:hAnsiTheme="majorBidi" w:cstheme="majorBidi"/>
          <w:noProof/>
          <w:vertAlign w:val="superscript"/>
        </w:rPr>
        <w:t>204</w:t>
      </w:r>
      <w:r w:rsidRPr="00AB4E6A">
        <w:rPr>
          <w:rFonts w:asciiTheme="majorBidi" w:hAnsiTheme="majorBidi" w:cstheme="majorBidi"/>
        </w:rPr>
        <w:t>. These model the autocorrelations in the data. Unlike exponential smoothing models, ARIMA models do not incorporate a trend. Instead, they assume that after differencing the data (calculating the differences between observations; this is potentially repeated multiple times) there is no trend.</w:t>
      </w:r>
    </w:p>
    <w:p w14:paraId="78B9C5F6" w14:textId="0BF327F6" w:rsidR="00AB4E6A" w:rsidRPr="00AB4E6A" w:rsidRDefault="00AB4E6A" w:rsidP="00A83123">
      <w:pPr>
        <w:numPr>
          <w:ilvl w:val="0"/>
          <w:numId w:val="33"/>
        </w:numPr>
        <w:spacing w:line="360" w:lineRule="auto"/>
        <w:rPr>
          <w:rFonts w:asciiTheme="majorBidi" w:hAnsiTheme="majorBidi" w:cstheme="majorBidi"/>
        </w:rPr>
      </w:pPr>
      <w:r w:rsidRPr="00AB4E6A">
        <w:rPr>
          <w:rFonts w:asciiTheme="majorBidi" w:hAnsiTheme="majorBidi" w:cstheme="majorBidi"/>
        </w:rPr>
        <w:lastRenderedPageBreak/>
        <w:t xml:space="preserve">Generalised linear models for count time series data </w:t>
      </w:r>
      <w:r w:rsidR="00C83FB7" w:rsidRPr="00C83FB7">
        <w:rPr>
          <w:rFonts w:asciiTheme="majorBidi" w:hAnsiTheme="majorBidi" w:cstheme="majorBidi"/>
          <w:noProof/>
          <w:vertAlign w:val="superscript"/>
        </w:rPr>
        <w:t>205</w:t>
      </w:r>
      <w:r w:rsidRPr="00AB4E6A">
        <w:rPr>
          <w:rFonts w:asciiTheme="majorBidi" w:hAnsiTheme="majorBidi" w:cstheme="majorBidi"/>
        </w:rPr>
        <w:t>. Poisson and Negative Binomial models were considered, with a logarithmic link for both. Hence for both models it is assumed that the logarithm of the counts follows a linear model. These models may be viewed as extending standard regression models to account for correlations amongst observations.</w:t>
      </w:r>
    </w:p>
    <w:p w14:paraId="09EC68BB" w14:textId="77777777" w:rsidR="00AB4E6A" w:rsidRPr="00AB4E6A" w:rsidRDefault="00AB4E6A" w:rsidP="00917737">
      <w:pPr>
        <w:spacing w:line="360" w:lineRule="auto"/>
        <w:rPr>
          <w:rFonts w:asciiTheme="majorBidi" w:hAnsiTheme="majorBidi" w:cstheme="majorBidi"/>
        </w:rPr>
      </w:pPr>
    </w:p>
    <w:p w14:paraId="4D7A72DF" w14:textId="7B9E6246"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All models were fitted in R version 4.0.2, using the ‘forecast’ package for both exponential smoothing and ARIMA models, and the ‘</w:t>
      </w:r>
      <w:proofErr w:type="spellStart"/>
      <w:r w:rsidRPr="00AB4E6A">
        <w:rPr>
          <w:rFonts w:asciiTheme="majorBidi" w:hAnsiTheme="majorBidi" w:cstheme="majorBidi"/>
        </w:rPr>
        <w:t>tscount</w:t>
      </w:r>
      <w:proofErr w:type="spellEnd"/>
      <w:r w:rsidRPr="00AB4E6A">
        <w:rPr>
          <w:rFonts w:asciiTheme="majorBidi" w:hAnsiTheme="majorBidi" w:cstheme="majorBidi"/>
        </w:rPr>
        <w:t xml:space="preserve">’ package for the generalised linear models </w:t>
      </w:r>
      <w:r w:rsidR="00C83FB7" w:rsidRPr="00C83FB7">
        <w:rPr>
          <w:rFonts w:asciiTheme="majorBidi" w:hAnsiTheme="majorBidi" w:cstheme="majorBidi"/>
          <w:noProof/>
          <w:vertAlign w:val="superscript"/>
        </w:rPr>
        <w:t>204,205</w:t>
      </w:r>
      <w:r w:rsidRPr="00AB4E6A">
        <w:rPr>
          <w:rFonts w:asciiTheme="majorBidi" w:hAnsiTheme="majorBidi" w:cstheme="majorBidi"/>
        </w:rPr>
        <w:t>. The exponential smoothing and ARIMA models are for Gaussian (Normally distributed) outcomes. Count data are not Normally distributed, and due to the small numbers involved in the analysis the Normal distribution would not be a good approximation. Instead, the logarithm of the data was taken prior to fitting the exponential smoothing and ARIMA models.</w:t>
      </w:r>
    </w:p>
    <w:p w14:paraId="6D95C3E7" w14:textId="77777777" w:rsidR="00AB4E6A" w:rsidRPr="00AB4E6A" w:rsidRDefault="00AB4E6A" w:rsidP="00917737">
      <w:pPr>
        <w:spacing w:line="360" w:lineRule="auto"/>
        <w:rPr>
          <w:rFonts w:asciiTheme="majorBidi" w:hAnsiTheme="majorBidi" w:cstheme="majorBidi"/>
        </w:rPr>
      </w:pPr>
    </w:p>
    <w:p w14:paraId="25896E87"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Point-estimates from the three model types were generally very similar, as were model diagnostics (which included visual goodness of fit, statistical significance of the autocorrelation function, the distribution of residuals, and the </w:t>
      </w:r>
      <w:proofErr w:type="spellStart"/>
      <w:r w:rsidRPr="00AB4E6A">
        <w:rPr>
          <w:rFonts w:asciiTheme="majorBidi" w:hAnsiTheme="majorBidi" w:cstheme="majorBidi"/>
        </w:rPr>
        <w:t>Ljung</w:t>
      </w:r>
      <w:proofErr w:type="spellEnd"/>
      <w:r w:rsidRPr="00AB4E6A">
        <w:rPr>
          <w:rFonts w:asciiTheme="majorBidi" w:hAnsiTheme="majorBidi" w:cstheme="majorBidi"/>
        </w:rPr>
        <w:t>-Box test). Initially none of the models identified a trend in the time-series, with forecasts being set to either the last observed value, or an average of the observed data. As such, subsequent analyses focused on exponential smoothing models, for the following reasons:</w:t>
      </w:r>
    </w:p>
    <w:p w14:paraId="24620364" w14:textId="77777777" w:rsidR="00AB4E6A" w:rsidRPr="00AB4E6A" w:rsidRDefault="00AB4E6A" w:rsidP="005A3BE6">
      <w:pPr>
        <w:numPr>
          <w:ilvl w:val="0"/>
          <w:numId w:val="43"/>
        </w:numPr>
        <w:spacing w:line="360" w:lineRule="auto"/>
        <w:rPr>
          <w:rFonts w:asciiTheme="majorBidi" w:hAnsiTheme="majorBidi" w:cstheme="majorBidi"/>
        </w:rPr>
      </w:pPr>
      <w:r w:rsidRPr="00AB4E6A">
        <w:rPr>
          <w:rFonts w:asciiTheme="majorBidi" w:hAnsiTheme="majorBidi" w:cstheme="majorBidi"/>
        </w:rPr>
        <w:t>The ability to specify models that include a trend (in contrast to ARIMA models which do not have an explicit trend parameter).</w:t>
      </w:r>
    </w:p>
    <w:p w14:paraId="5F28DEB4" w14:textId="77777777" w:rsidR="00AB4E6A" w:rsidRPr="00AB4E6A" w:rsidRDefault="00AB4E6A" w:rsidP="005A3BE6">
      <w:pPr>
        <w:numPr>
          <w:ilvl w:val="0"/>
          <w:numId w:val="43"/>
        </w:numPr>
        <w:spacing w:line="360" w:lineRule="auto"/>
        <w:rPr>
          <w:rFonts w:asciiTheme="majorBidi" w:hAnsiTheme="majorBidi" w:cstheme="majorBidi"/>
        </w:rPr>
      </w:pPr>
      <w:r w:rsidRPr="00AB4E6A">
        <w:rPr>
          <w:rFonts w:asciiTheme="majorBidi" w:hAnsiTheme="majorBidi" w:cstheme="majorBidi"/>
        </w:rPr>
        <w:t>Having analytical formulae to express uncertainty in forecasts (which was not available for the generalised linear models).</w:t>
      </w:r>
    </w:p>
    <w:p w14:paraId="3DF49541"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Exponential smoothing models with both damped and undamped additive trends were considered. The error type (additive or multiplicative) was chosen by the fitting software (based on model goodness-of-fit), as was a Box-Cox transformation.</w:t>
      </w:r>
    </w:p>
    <w:p w14:paraId="6B0EADBC" w14:textId="77777777" w:rsidR="00AB4E6A" w:rsidRPr="00AB4E6A" w:rsidRDefault="00AB4E6A" w:rsidP="00917737">
      <w:pPr>
        <w:spacing w:line="360" w:lineRule="auto"/>
        <w:rPr>
          <w:rFonts w:asciiTheme="majorBidi" w:hAnsiTheme="majorBidi" w:cstheme="majorBidi"/>
        </w:rPr>
      </w:pPr>
    </w:p>
    <w:p w14:paraId="2D2BFE4F" w14:textId="77777777" w:rsidR="00AB4E6A" w:rsidRPr="00AB4E6A" w:rsidRDefault="00AB4E6A" w:rsidP="00364012">
      <w:pPr>
        <w:pStyle w:val="EEPRUnumberedlevel4"/>
      </w:pPr>
      <w:bookmarkStart w:id="827" w:name="_Toc87463143"/>
      <w:r w:rsidRPr="00AB4E6A">
        <w:t>Incorporating forecasts in the economic model</w:t>
      </w:r>
      <w:bookmarkEnd w:id="827"/>
    </w:p>
    <w:p w14:paraId="0BC7DDAA" w14:textId="626A62CE"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To incorporate the extrapolations within the economic model, these were converted into year-on-year relative changes. That is, the relative change in year ‘</w:t>
      </w:r>
      <w:r w:rsidRPr="00AB4E6A">
        <w:rPr>
          <w:rFonts w:asciiTheme="majorBidi" w:hAnsiTheme="majorBidi" w:cstheme="majorBidi"/>
          <w:i/>
          <w:iCs/>
        </w:rPr>
        <w:t>t</w:t>
      </w:r>
      <w:r w:rsidRPr="00AB4E6A">
        <w:rPr>
          <w:rFonts w:asciiTheme="majorBidi" w:hAnsiTheme="majorBidi" w:cstheme="majorBidi"/>
        </w:rPr>
        <w:t>’ was calculated as the forecast in year ‘</w:t>
      </w:r>
      <w:r w:rsidRPr="00AB4E6A">
        <w:rPr>
          <w:rFonts w:asciiTheme="majorBidi" w:hAnsiTheme="majorBidi" w:cstheme="majorBidi"/>
          <w:i/>
          <w:iCs/>
        </w:rPr>
        <w:t>t+1</w:t>
      </w:r>
      <w:r w:rsidRPr="00AB4E6A">
        <w:rPr>
          <w:rFonts w:asciiTheme="majorBidi" w:hAnsiTheme="majorBidi" w:cstheme="majorBidi"/>
        </w:rPr>
        <w:t>’ divided by the forecast in year ‘</w:t>
      </w:r>
      <w:r w:rsidRPr="00AB4E6A">
        <w:rPr>
          <w:rFonts w:asciiTheme="majorBidi" w:hAnsiTheme="majorBidi" w:cstheme="majorBidi"/>
          <w:i/>
          <w:iCs/>
        </w:rPr>
        <w:t>t</w:t>
      </w:r>
      <w:r w:rsidRPr="00AB4E6A">
        <w:rPr>
          <w:rFonts w:asciiTheme="majorBidi" w:hAnsiTheme="majorBidi" w:cstheme="majorBidi"/>
        </w:rPr>
        <w:t>’. For PSA, forecasts were obtained using the following process:</w:t>
      </w:r>
    </w:p>
    <w:p w14:paraId="0D8F88BF" w14:textId="77777777" w:rsidR="00AB4E6A" w:rsidRPr="00AB4E6A" w:rsidRDefault="00AB4E6A" w:rsidP="005A3BE6">
      <w:pPr>
        <w:numPr>
          <w:ilvl w:val="0"/>
          <w:numId w:val="44"/>
        </w:numPr>
        <w:spacing w:line="360" w:lineRule="auto"/>
        <w:rPr>
          <w:rFonts w:asciiTheme="majorBidi" w:hAnsiTheme="majorBidi" w:cstheme="majorBidi"/>
        </w:rPr>
      </w:pPr>
      <w:r w:rsidRPr="00AB4E6A">
        <w:rPr>
          <w:rFonts w:asciiTheme="majorBidi" w:hAnsiTheme="majorBidi" w:cstheme="majorBidi"/>
        </w:rPr>
        <w:t>Obtain the mean and standard deviation, both on the log-scale, at each time point. For example, to obtain forecasts for 20 years, 20 pairs of mean and standard deviation are obtained.</w:t>
      </w:r>
    </w:p>
    <w:p w14:paraId="567DAD86" w14:textId="77777777" w:rsidR="00AB4E6A" w:rsidRPr="00AB4E6A" w:rsidRDefault="00AB4E6A" w:rsidP="005A3BE6">
      <w:pPr>
        <w:numPr>
          <w:ilvl w:val="0"/>
          <w:numId w:val="44"/>
        </w:numPr>
        <w:spacing w:line="360" w:lineRule="auto"/>
        <w:rPr>
          <w:rFonts w:asciiTheme="majorBidi" w:hAnsiTheme="majorBidi" w:cstheme="majorBidi"/>
        </w:rPr>
      </w:pPr>
      <w:r w:rsidRPr="00AB4E6A">
        <w:rPr>
          <w:rFonts w:asciiTheme="majorBidi" w:hAnsiTheme="majorBidi" w:cstheme="majorBidi"/>
        </w:rPr>
        <w:lastRenderedPageBreak/>
        <w:t xml:space="preserve">Use these values to sample a value from a log-normal distribution. Hence for a </w:t>
      </w:r>
      <w:proofErr w:type="gramStart"/>
      <w:r w:rsidRPr="00AB4E6A">
        <w:rPr>
          <w:rFonts w:asciiTheme="majorBidi" w:hAnsiTheme="majorBidi" w:cstheme="majorBidi"/>
        </w:rPr>
        <w:t>20 year</w:t>
      </w:r>
      <w:proofErr w:type="gramEnd"/>
      <w:r w:rsidRPr="00AB4E6A">
        <w:rPr>
          <w:rFonts w:asciiTheme="majorBidi" w:hAnsiTheme="majorBidi" w:cstheme="majorBidi"/>
        </w:rPr>
        <w:t xml:space="preserve"> forecast, for a single iteration of the PSA, 20 samples are obtained; one for each year where each year has its own unique mean and standard deviation.</w:t>
      </w:r>
    </w:p>
    <w:p w14:paraId="2E76D8FA"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Within a single iteration of the PSA the same random number was used for sampling. Different random numbers were used across PSA iterations. This ensured that trends in forecast were retained in the PSA.</w:t>
      </w:r>
    </w:p>
    <w:p w14:paraId="245A0301" w14:textId="0BF1F947" w:rsidR="00917737" w:rsidRDefault="00917737">
      <w:pPr>
        <w:rPr>
          <w:rFonts w:asciiTheme="majorBidi" w:hAnsiTheme="majorBidi" w:cstheme="majorBidi"/>
          <w:b/>
          <w:bCs/>
        </w:rPr>
      </w:pPr>
    </w:p>
    <w:p w14:paraId="55B5C5D3" w14:textId="62749516" w:rsidR="00AB4E6A" w:rsidRPr="008E6F0E" w:rsidRDefault="00097E31" w:rsidP="006E4E83">
      <w:pPr>
        <w:pStyle w:val="EEPRUnumberedLevel3Headingnew"/>
      </w:pPr>
      <w:r>
        <w:tab/>
      </w:r>
      <w:bookmarkStart w:id="828" w:name="_Toc87463144"/>
      <w:r w:rsidR="00364012">
        <w:t xml:space="preserve">A15.2. </w:t>
      </w:r>
      <w:r w:rsidR="00AB4E6A" w:rsidRPr="008E6F0E">
        <w:t>Predicting future rates of resistance for current practice</w:t>
      </w:r>
      <w:bookmarkEnd w:id="828"/>
    </w:p>
    <w:p w14:paraId="39730871" w14:textId="77777777" w:rsidR="00AB4E6A" w:rsidRPr="00AB4E6A" w:rsidRDefault="00AB4E6A" w:rsidP="00AB4E6A">
      <w:pPr>
        <w:rPr>
          <w:rFonts w:asciiTheme="majorBidi" w:hAnsiTheme="majorBidi" w:cstheme="majorBidi"/>
        </w:rPr>
      </w:pPr>
    </w:p>
    <w:p w14:paraId="0D17BA42"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Two options were considered for which data to use:</w:t>
      </w:r>
    </w:p>
    <w:p w14:paraId="62513C55" w14:textId="77777777" w:rsidR="00AB4E6A" w:rsidRPr="00AB4E6A" w:rsidRDefault="00AB4E6A" w:rsidP="005A3BE6">
      <w:pPr>
        <w:numPr>
          <w:ilvl w:val="0"/>
          <w:numId w:val="31"/>
        </w:numPr>
        <w:spacing w:line="360" w:lineRule="auto"/>
        <w:rPr>
          <w:rFonts w:asciiTheme="majorBidi" w:hAnsiTheme="majorBidi" w:cstheme="majorBidi"/>
        </w:rPr>
      </w:pPr>
      <w:r w:rsidRPr="00AB4E6A">
        <w:rPr>
          <w:rFonts w:asciiTheme="majorBidi" w:hAnsiTheme="majorBidi" w:cstheme="majorBidi"/>
        </w:rPr>
        <w:t>Forecast counts of both ‘susceptible’ (or ‘resistant’) as well as the denominator (susceptible plus resistant) and use the outputs from these forecasts to estimate future percentages of susceptibility or resistance. To reduce the noise in the data, forecasts would focus on the numerator for which there is the highest counts (for example, for drugs to which isolates are mainly susceptible, the forecast would be counts of susceptible isolates).</w:t>
      </w:r>
    </w:p>
    <w:p w14:paraId="61847838" w14:textId="77777777" w:rsidR="00AB4E6A" w:rsidRPr="00AB4E6A" w:rsidRDefault="00AB4E6A" w:rsidP="005A3BE6">
      <w:pPr>
        <w:numPr>
          <w:ilvl w:val="0"/>
          <w:numId w:val="31"/>
        </w:numPr>
        <w:spacing w:line="360" w:lineRule="auto"/>
        <w:rPr>
          <w:rFonts w:asciiTheme="majorBidi" w:hAnsiTheme="majorBidi" w:cstheme="majorBidi"/>
        </w:rPr>
      </w:pPr>
      <w:r w:rsidRPr="00AB4E6A">
        <w:rPr>
          <w:rFonts w:asciiTheme="majorBidi" w:hAnsiTheme="majorBidi" w:cstheme="majorBidi"/>
        </w:rPr>
        <w:t>Forecast the percentage susceptible (or resistant) directly.</w:t>
      </w:r>
    </w:p>
    <w:p w14:paraId="03E09DF8"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An advantage of the first approach is that the data to be forecast (counts) are of the same type as the data forecast in the previous section, so the models of that section can also be considered. The main disadvantage of the first approach is that it ignores any correlations amongst the numerator and denominator, whereas </w:t>
      </w:r>
      <w:proofErr w:type="gramStart"/>
      <w:r w:rsidRPr="00AB4E6A">
        <w:rPr>
          <w:rFonts w:asciiTheme="majorBidi" w:hAnsiTheme="majorBidi" w:cstheme="majorBidi"/>
        </w:rPr>
        <w:t>by definition these</w:t>
      </w:r>
      <w:proofErr w:type="gramEnd"/>
      <w:r w:rsidRPr="00AB4E6A">
        <w:rPr>
          <w:rFonts w:asciiTheme="majorBidi" w:hAnsiTheme="majorBidi" w:cstheme="majorBidi"/>
        </w:rPr>
        <w:t xml:space="preserve"> are correlated. The second approach removes the need to consider correlations but has the main limitation it ignores evidence on the denominator (number of tests), which varies over time. As such, the second approach will give equal weight to each time-point, even if some are based on a larger number of tests.</w:t>
      </w:r>
    </w:p>
    <w:p w14:paraId="627261D1" w14:textId="6979A660"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Prior to generating forecasts, exploratory modelling of the susceptibility data was undertaken to visually assess if there was likely to be a trend in the available data. Due to the typically small numbers and high variation observed in the susceptibility data, a visual approach to identifying a trend was taken in preference to significance testing. A Poisson generalised additive model was used, with the number of susceptible tests as the outcome and the number of tests as the offset (so allowing for a derivation of the susceptibility rate). This statistical approach is consistent with a recent publication of susceptibility data, with a further improvement to make the statistical model more flexible and so less prone to model misspecification (by using a generalised additive model instead of a generalised linear model) </w:t>
      </w:r>
      <w:r w:rsidR="00C83FB7" w:rsidRPr="00C83FB7">
        <w:rPr>
          <w:rFonts w:asciiTheme="majorBidi" w:hAnsiTheme="majorBidi" w:cstheme="majorBidi"/>
          <w:noProof/>
          <w:vertAlign w:val="superscript"/>
        </w:rPr>
        <w:t>206,207</w:t>
      </w:r>
      <w:r w:rsidRPr="00AB4E6A">
        <w:rPr>
          <w:rFonts w:asciiTheme="majorBidi" w:hAnsiTheme="majorBidi" w:cstheme="majorBidi"/>
        </w:rPr>
        <w:t>.</w:t>
      </w:r>
    </w:p>
    <w:p w14:paraId="591F7B7F" w14:textId="56F6EB1B"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Graphs for each AM are provided in Appendix</w:t>
      </w:r>
      <w:r w:rsidR="00C448B8">
        <w:rPr>
          <w:rFonts w:asciiTheme="majorBidi" w:hAnsiTheme="majorBidi" w:cstheme="majorBidi"/>
        </w:rPr>
        <w:t xml:space="preserve"> 18</w:t>
      </w:r>
      <w:r w:rsidRPr="00AB4E6A">
        <w:rPr>
          <w:rFonts w:asciiTheme="majorBidi" w:hAnsiTheme="majorBidi" w:cstheme="majorBidi"/>
        </w:rPr>
        <w:t>.</w:t>
      </w:r>
      <w:r w:rsidR="00C448B8">
        <w:rPr>
          <w:rFonts w:asciiTheme="majorBidi" w:hAnsiTheme="majorBidi" w:cstheme="majorBidi"/>
        </w:rPr>
        <w:t xml:space="preserve"> </w:t>
      </w:r>
      <w:r w:rsidR="00C448B8" w:rsidRPr="00C448B8">
        <w:rPr>
          <w:rFonts w:asciiTheme="majorBidi" w:hAnsiTheme="majorBidi" w:cstheme="majorBidi"/>
          <w:sz w:val="20"/>
          <w:szCs w:val="20"/>
        </w:rPr>
        <w:t xml:space="preserve">Table </w:t>
      </w:r>
      <w:proofErr w:type="gramStart"/>
      <w:r w:rsidR="00C448B8" w:rsidRPr="00C448B8">
        <w:rPr>
          <w:rFonts w:asciiTheme="majorBidi" w:hAnsiTheme="majorBidi" w:cstheme="majorBidi"/>
          <w:noProof/>
          <w:sz w:val="20"/>
          <w:szCs w:val="20"/>
        </w:rPr>
        <w:t>62</w:t>
      </w:r>
      <w:r w:rsidRPr="00AB4E6A">
        <w:rPr>
          <w:rFonts w:asciiTheme="majorBidi" w:hAnsiTheme="majorBidi" w:cstheme="majorBidi"/>
        </w:rPr>
        <w:t xml:space="preserve">  provides</w:t>
      </w:r>
      <w:proofErr w:type="gramEnd"/>
      <w:r w:rsidRPr="00AB4E6A">
        <w:rPr>
          <w:rFonts w:asciiTheme="majorBidi" w:hAnsiTheme="majorBidi" w:cstheme="majorBidi"/>
        </w:rPr>
        <w:t xml:space="preserve"> an overview of any trends in susceptibility using data from PHE. To add additional context, information on any trends in AM </w:t>
      </w:r>
      <w:r w:rsidRPr="00AB4E6A">
        <w:rPr>
          <w:rFonts w:asciiTheme="majorBidi" w:hAnsiTheme="majorBidi" w:cstheme="majorBidi"/>
        </w:rPr>
        <w:lastRenderedPageBreak/>
        <w:t>prescribing in secondary care in the time-period 2015 to 2019 (obtained from the ESPAUR report) is also included.</w:t>
      </w:r>
    </w:p>
    <w:p w14:paraId="2ED5EB6E" w14:textId="490B68B8" w:rsidR="00AB4E6A" w:rsidRPr="00917737" w:rsidRDefault="00AB4E6A" w:rsidP="00AB4E6A">
      <w:pPr>
        <w:rPr>
          <w:rFonts w:asciiTheme="majorBidi" w:hAnsiTheme="majorBidi" w:cstheme="majorBidi"/>
          <w:b/>
          <w:sz w:val="20"/>
          <w:szCs w:val="20"/>
        </w:rPr>
      </w:pPr>
      <w:bookmarkStart w:id="829" w:name="_Ref83290138"/>
      <w:bookmarkStart w:id="830" w:name="_Toc83589987"/>
      <w:bookmarkStart w:id="831" w:name="_Toc86419042"/>
      <w:r w:rsidRPr="00917737">
        <w:rPr>
          <w:rFonts w:asciiTheme="majorBidi" w:hAnsiTheme="majorBidi" w:cstheme="majorBidi"/>
          <w:b/>
          <w:sz w:val="20"/>
          <w:szCs w:val="20"/>
        </w:rPr>
        <w:t xml:space="preserve">Table </w:t>
      </w:r>
      <w:r w:rsidR="00F10F0A">
        <w:rPr>
          <w:rFonts w:asciiTheme="majorBidi" w:hAnsiTheme="majorBidi" w:cstheme="majorBidi"/>
          <w:b/>
          <w:noProof/>
          <w:sz w:val="20"/>
          <w:szCs w:val="20"/>
        </w:rPr>
        <w:t>65</w:t>
      </w:r>
      <w:bookmarkEnd w:id="829"/>
      <w:r w:rsidRPr="00917737">
        <w:rPr>
          <w:rFonts w:asciiTheme="majorBidi" w:hAnsiTheme="majorBidi" w:cstheme="majorBidi"/>
          <w:b/>
          <w:sz w:val="20"/>
          <w:szCs w:val="20"/>
        </w:rPr>
        <w:t>: Overview of susceptibility data from Public Health England</w:t>
      </w:r>
      <w:bookmarkEnd w:id="830"/>
      <w:bookmarkEnd w:id="831"/>
    </w:p>
    <w:tbl>
      <w:tblPr>
        <w:tblStyle w:val="TableGrid"/>
        <w:tblW w:w="0" w:type="auto"/>
        <w:tblLook w:val="04A0" w:firstRow="1" w:lastRow="0" w:firstColumn="1" w:lastColumn="0" w:noHBand="0" w:noVBand="1"/>
      </w:tblPr>
      <w:tblGrid>
        <w:gridCol w:w="1838"/>
        <w:gridCol w:w="3589"/>
        <w:gridCol w:w="3589"/>
      </w:tblGrid>
      <w:tr w:rsidR="00AB4E6A" w:rsidRPr="00AB4E6A" w14:paraId="6E272042"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59B204F6" w14:textId="77777777" w:rsidR="00AB4E6A" w:rsidRPr="00AB4E6A" w:rsidRDefault="00AB4E6A" w:rsidP="00AB4E6A">
            <w:pPr>
              <w:spacing w:after="160" w:line="259" w:lineRule="auto"/>
              <w:rPr>
                <w:rFonts w:asciiTheme="majorBidi" w:eastAsiaTheme="minorHAnsi" w:hAnsiTheme="majorBidi" w:cstheme="majorBidi"/>
                <w:b/>
                <w:bCs/>
                <w:lang w:eastAsia="en-US"/>
              </w:rPr>
            </w:pPr>
            <w:r w:rsidRPr="00AB4E6A">
              <w:rPr>
                <w:rFonts w:asciiTheme="majorBidi" w:eastAsiaTheme="minorHAnsi" w:hAnsiTheme="majorBidi" w:cstheme="majorBidi"/>
                <w:b/>
                <w:bCs/>
                <w:lang w:eastAsia="en-US"/>
              </w:rPr>
              <w:t>Antimicrobial</w:t>
            </w:r>
          </w:p>
        </w:tc>
        <w:tc>
          <w:tcPr>
            <w:tcW w:w="3589" w:type="dxa"/>
            <w:tcBorders>
              <w:top w:val="single" w:sz="4" w:space="0" w:color="auto"/>
              <w:left w:val="single" w:sz="4" w:space="0" w:color="auto"/>
              <w:bottom w:val="single" w:sz="4" w:space="0" w:color="auto"/>
              <w:right w:val="single" w:sz="4" w:space="0" w:color="auto"/>
            </w:tcBorders>
            <w:hideMark/>
          </w:tcPr>
          <w:p w14:paraId="1D753912" w14:textId="77777777" w:rsidR="00AB4E6A" w:rsidRPr="00AB4E6A" w:rsidRDefault="00AB4E6A" w:rsidP="00AB4E6A">
            <w:pPr>
              <w:spacing w:after="160" w:line="259" w:lineRule="auto"/>
              <w:rPr>
                <w:rFonts w:asciiTheme="majorBidi" w:eastAsiaTheme="minorHAnsi" w:hAnsiTheme="majorBidi" w:cstheme="majorBidi"/>
                <w:b/>
                <w:bCs/>
                <w:lang w:eastAsia="en-US"/>
              </w:rPr>
            </w:pPr>
            <w:r w:rsidRPr="00AB4E6A">
              <w:rPr>
                <w:rFonts w:asciiTheme="majorBidi" w:eastAsiaTheme="minorHAnsi" w:hAnsiTheme="majorBidi" w:cstheme="majorBidi"/>
                <w:b/>
                <w:bCs/>
                <w:lang w:eastAsia="en-US"/>
              </w:rPr>
              <w:t>Trends in susceptibility (PHE data)</w:t>
            </w:r>
          </w:p>
        </w:tc>
        <w:tc>
          <w:tcPr>
            <w:tcW w:w="3589" w:type="dxa"/>
            <w:tcBorders>
              <w:top w:val="single" w:sz="4" w:space="0" w:color="auto"/>
              <w:left w:val="single" w:sz="4" w:space="0" w:color="auto"/>
              <w:bottom w:val="single" w:sz="4" w:space="0" w:color="auto"/>
              <w:right w:val="single" w:sz="4" w:space="0" w:color="auto"/>
            </w:tcBorders>
            <w:hideMark/>
          </w:tcPr>
          <w:p w14:paraId="351B2A00" w14:textId="77777777" w:rsidR="00AB4E6A" w:rsidRPr="00AB4E6A" w:rsidRDefault="00AB4E6A" w:rsidP="00AB4E6A">
            <w:pPr>
              <w:spacing w:after="160" w:line="259" w:lineRule="auto"/>
              <w:rPr>
                <w:rFonts w:asciiTheme="majorBidi" w:eastAsiaTheme="minorHAnsi" w:hAnsiTheme="majorBidi" w:cstheme="majorBidi"/>
                <w:b/>
                <w:bCs/>
                <w:lang w:eastAsia="en-US"/>
              </w:rPr>
            </w:pPr>
            <w:r w:rsidRPr="00AB4E6A">
              <w:rPr>
                <w:rFonts w:asciiTheme="majorBidi" w:eastAsiaTheme="minorHAnsi" w:hAnsiTheme="majorBidi" w:cstheme="majorBidi"/>
                <w:b/>
                <w:bCs/>
                <w:lang w:eastAsia="en-US"/>
              </w:rPr>
              <w:t>Trends in prescribing (ESPAUR report)</w:t>
            </w:r>
          </w:p>
        </w:tc>
      </w:tr>
      <w:tr w:rsidR="00AB4E6A" w:rsidRPr="00AB4E6A" w14:paraId="4E3076C2"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6E0D7125"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Aminoglycosides</w:t>
            </w:r>
          </w:p>
        </w:tc>
        <w:tc>
          <w:tcPr>
            <w:tcW w:w="3589" w:type="dxa"/>
            <w:tcBorders>
              <w:top w:val="single" w:sz="4" w:space="0" w:color="auto"/>
              <w:left w:val="single" w:sz="4" w:space="0" w:color="auto"/>
              <w:bottom w:val="single" w:sz="4" w:space="0" w:color="auto"/>
              <w:right w:val="single" w:sz="4" w:space="0" w:color="auto"/>
            </w:tcBorders>
            <w:hideMark/>
          </w:tcPr>
          <w:p w14:paraId="14BA8B4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No trend</w:t>
            </w:r>
          </w:p>
        </w:tc>
        <w:tc>
          <w:tcPr>
            <w:tcW w:w="3589" w:type="dxa"/>
            <w:tcBorders>
              <w:top w:val="single" w:sz="4" w:space="0" w:color="auto"/>
              <w:left w:val="single" w:sz="4" w:space="0" w:color="auto"/>
              <w:bottom w:val="single" w:sz="4" w:space="0" w:color="auto"/>
              <w:right w:val="single" w:sz="4" w:space="0" w:color="auto"/>
            </w:tcBorders>
            <w:hideMark/>
          </w:tcPr>
          <w:p w14:paraId="537F1AB5"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Increase of 10.7% and 22.3% in inpatient and outpatient wards, respectively (2015 to 2019, statistical significance not stated).</w:t>
            </w:r>
          </w:p>
        </w:tc>
      </w:tr>
      <w:tr w:rsidR="00AB4E6A" w:rsidRPr="00AB4E6A" w14:paraId="4BC3A7C6"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3448C49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Aztreonam</w:t>
            </w:r>
          </w:p>
        </w:tc>
        <w:tc>
          <w:tcPr>
            <w:tcW w:w="3589" w:type="dxa"/>
            <w:tcBorders>
              <w:top w:val="single" w:sz="4" w:space="0" w:color="auto"/>
              <w:left w:val="single" w:sz="4" w:space="0" w:color="auto"/>
              <w:bottom w:val="single" w:sz="4" w:space="0" w:color="auto"/>
              <w:right w:val="single" w:sz="4" w:space="0" w:color="auto"/>
            </w:tcBorders>
            <w:hideMark/>
          </w:tcPr>
          <w:p w14:paraId="66ABE0ED"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Decreasing susceptibility</w:t>
            </w:r>
          </w:p>
        </w:tc>
        <w:tc>
          <w:tcPr>
            <w:tcW w:w="3589" w:type="dxa"/>
            <w:tcBorders>
              <w:top w:val="single" w:sz="4" w:space="0" w:color="auto"/>
              <w:left w:val="single" w:sz="4" w:space="0" w:color="auto"/>
              <w:bottom w:val="single" w:sz="4" w:space="0" w:color="auto"/>
              <w:right w:val="single" w:sz="4" w:space="0" w:color="auto"/>
            </w:tcBorders>
            <w:hideMark/>
          </w:tcPr>
          <w:p w14:paraId="6AE0C3C7"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No evidence provided</w:t>
            </w:r>
          </w:p>
        </w:tc>
      </w:tr>
      <w:tr w:rsidR="00AB4E6A" w:rsidRPr="00AB4E6A" w14:paraId="73306EE4"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2C0821C9"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Cephalosporins</w:t>
            </w:r>
          </w:p>
        </w:tc>
        <w:tc>
          <w:tcPr>
            <w:tcW w:w="3589" w:type="dxa"/>
            <w:tcBorders>
              <w:top w:val="single" w:sz="4" w:space="0" w:color="auto"/>
              <w:left w:val="single" w:sz="4" w:space="0" w:color="auto"/>
              <w:bottom w:val="single" w:sz="4" w:space="0" w:color="auto"/>
              <w:right w:val="single" w:sz="4" w:space="0" w:color="auto"/>
            </w:tcBorders>
            <w:hideMark/>
          </w:tcPr>
          <w:p w14:paraId="4F04E11A"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No trend</w:t>
            </w:r>
          </w:p>
        </w:tc>
        <w:tc>
          <w:tcPr>
            <w:tcW w:w="3589" w:type="dxa"/>
            <w:tcBorders>
              <w:top w:val="single" w:sz="4" w:space="0" w:color="auto"/>
              <w:left w:val="single" w:sz="4" w:space="0" w:color="auto"/>
              <w:bottom w:val="single" w:sz="4" w:space="0" w:color="auto"/>
              <w:right w:val="single" w:sz="4" w:space="0" w:color="auto"/>
            </w:tcBorders>
            <w:hideMark/>
          </w:tcPr>
          <w:p w14:paraId="093C8E6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Significant increase in third, fourth, and fifth generation cephalosporins.</w:t>
            </w:r>
          </w:p>
        </w:tc>
      </w:tr>
      <w:tr w:rsidR="00AB4E6A" w:rsidRPr="00AB4E6A" w14:paraId="373049D6"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241B20B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Ciprofloxacin</w:t>
            </w:r>
          </w:p>
        </w:tc>
        <w:tc>
          <w:tcPr>
            <w:tcW w:w="3589" w:type="dxa"/>
            <w:tcBorders>
              <w:top w:val="single" w:sz="4" w:space="0" w:color="auto"/>
              <w:left w:val="single" w:sz="4" w:space="0" w:color="auto"/>
              <w:bottom w:val="single" w:sz="4" w:space="0" w:color="auto"/>
              <w:right w:val="single" w:sz="4" w:space="0" w:color="auto"/>
            </w:tcBorders>
            <w:hideMark/>
          </w:tcPr>
          <w:p w14:paraId="3FC3822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Decreasing susceptibility from 2015</w:t>
            </w:r>
          </w:p>
        </w:tc>
        <w:tc>
          <w:tcPr>
            <w:tcW w:w="3589" w:type="dxa"/>
            <w:tcBorders>
              <w:top w:val="single" w:sz="4" w:space="0" w:color="auto"/>
              <w:left w:val="single" w:sz="4" w:space="0" w:color="auto"/>
              <w:bottom w:val="single" w:sz="4" w:space="0" w:color="auto"/>
              <w:right w:val="single" w:sz="4" w:space="0" w:color="auto"/>
            </w:tcBorders>
            <w:hideMark/>
          </w:tcPr>
          <w:p w14:paraId="4A659C76"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No evidence of change (statistical significance not stated).</w:t>
            </w:r>
          </w:p>
        </w:tc>
      </w:tr>
      <w:tr w:rsidR="00AB4E6A" w:rsidRPr="00AB4E6A" w14:paraId="4A316786"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528D70F4"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Colistin</w:t>
            </w:r>
          </w:p>
        </w:tc>
        <w:tc>
          <w:tcPr>
            <w:tcW w:w="3589" w:type="dxa"/>
            <w:tcBorders>
              <w:top w:val="single" w:sz="4" w:space="0" w:color="auto"/>
              <w:left w:val="single" w:sz="4" w:space="0" w:color="auto"/>
              <w:bottom w:val="single" w:sz="4" w:space="0" w:color="auto"/>
              <w:right w:val="single" w:sz="4" w:space="0" w:color="auto"/>
            </w:tcBorders>
            <w:hideMark/>
          </w:tcPr>
          <w:p w14:paraId="17333528"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Potential decreasing susceptibility, but due to uncertainty data are also consistent with no trend.</w:t>
            </w:r>
          </w:p>
        </w:tc>
        <w:tc>
          <w:tcPr>
            <w:tcW w:w="3589" w:type="dxa"/>
            <w:tcBorders>
              <w:top w:val="single" w:sz="4" w:space="0" w:color="auto"/>
              <w:left w:val="single" w:sz="4" w:space="0" w:color="auto"/>
              <w:bottom w:val="single" w:sz="4" w:space="0" w:color="auto"/>
              <w:right w:val="single" w:sz="4" w:space="0" w:color="auto"/>
            </w:tcBorders>
            <w:hideMark/>
          </w:tcPr>
          <w:p w14:paraId="228B0451"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Increase from 15.8 to 25.2 defined daily doses per 1,000 </w:t>
            </w:r>
            <w:proofErr w:type="gramStart"/>
            <w:r w:rsidRPr="00AB4E6A">
              <w:rPr>
                <w:rFonts w:asciiTheme="majorBidi" w:eastAsiaTheme="minorHAnsi" w:hAnsiTheme="majorBidi" w:cstheme="majorBidi"/>
                <w:lang w:eastAsia="en-US"/>
              </w:rPr>
              <w:t>admission</w:t>
            </w:r>
            <w:proofErr w:type="gramEnd"/>
            <w:r w:rsidRPr="00AB4E6A">
              <w:rPr>
                <w:rFonts w:asciiTheme="majorBidi" w:eastAsiaTheme="minorHAnsi" w:hAnsiTheme="majorBidi" w:cstheme="majorBidi"/>
                <w:lang w:eastAsia="en-US"/>
              </w:rPr>
              <w:t xml:space="preserve"> (2015 to 2019, statistical significance not stated).</w:t>
            </w:r>
          </w:p>
        </w:tc>
      </w:tr>
      <w:tr w:rsidR="00AB4E6A" w:rsidRPr="00AB4E6A" w14:paraId="6416C564"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645D602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Tigecycline</w:t>
            </w:r>
          </w:p>
        </w:tc>
        <w:tc>
          <w:tcPr>
            <w:tcW w:w="3589" w:type="dxa"/>
            <w:tcBorders>
              <w:top w:val="single" w:sz="4" w:space="0" w:color="auto"/>
              <w:left w:val="single" w:sz="4" w:space="0" w:color="auto"/>
              <w:bottom w:val="single" w:sz="4" w:space="0" w:color="auto"/>
              <w:right w:val="single" w:sz="4" w:space="0" w:color="auto"/>
            </w:tcBorders>
            <w:hideMark/>
          </w:tcPr>
          <w:p w14:paraId="6D3FE97A"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Potential decreasing susceptibility, but due to uncertainty data are also consistent with no trend.</w:t>
            </w:r>
          </w:p>
        </w:tc>
        <w:tc>
          <w:tcPr>
            <w:tcW w:w="3589" w:type="dxa"/>
            <w:tcBorders>
              <w:top w:val="single" w:sz="4" w:space="0" w:color="auto"/>
              <w:left w:val="single" w:sz="4" w:space="0" w:color="auto"/>
              <w:bottom w:val="single" w:sz="4" w:space="0" w:color="auto"/>
              <w:right w:val="single" w:sz="4" w:space="0" w:color="auto"/>
            </w:tcBorders>
            <w:hideMark/>
          </w:tcPr>
          <w:p w14:paraId="47ECD792"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Significant increase in tetracyclines.</w:t>
            </w:r>
          </w:p>
        </w:tc>
      </w:tr>
      <w:tr w:rsidR="00AB4E6A" w:rsidRPr="00AB4E6A" w14:paraId="196D5D36" w14:textId="77777777" w:rsidTr="00AB4E6A">
        <w:tc>
          <w:tcPr>
            <w:tcW w:w="1838" w:type="dxa"/>
            <w:tcBorders>
              <w:top w:val="single" w:sz="4" w:space="0" w:color="auto"/>
              <w:left w:val="single" w:sz="4" w:space="0" w:color="auto"/>
              <w:bottom w:val="single" w:sz="4" w:space="0" w:color="auto"/>
              <w:right w:val="single" w:sz="4" w:space="0" w:color="auto"/>
            </w:tcBorders>
            <w:hideMark/>
          </w:tcPr>
          <w:p w14:paraId="589F86D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CAZ-AVI</w:t>
            </w:r>
          </w:p>
        </w:tc>
        <w:tc>
          <w:tcPr>
            <w:tcW w:w="3589" w:type="dxa"/>
            <w:tcBorders>
              <w:top w:val="single" w:sz="4" w:space="0" w:color="auto"/>
              <w:left w:val="single" w:sz="4" w:space="0" w:color="auto"/>
              <w:bottom w:val="single" w:sz="4" w:space="0" w:color="auto"/>
              <w:right w:val="single" w:sz="4" w:space="0" w:color="auto"/>
            </w:tcBorders>
            <w:hideMark/>
          </w:tcPr>
          <w:p w14:paraId="7B059796"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No trend</w:t>
            </w:r>
          </w:p>
        </w:tc>
        <w:tc>
          <w:tcPr>
            <w:tcW w:w="3589" w:type="dxa"/>
            <w:tcBorders>
              <w:top w:val="single" w:sz="4" w:space="0" w:color="auto"/>
              <w:left w:val="single" w:sz="4" w:space="0" w:color="auto"/>
              <w:bottom w:val="single" w:sz="4" w:space="0" w:color="auto"/>
              <w:right w:val="single" w:sz="4" w:space="0" w:color="auto"/>
            </w:tcBorders>
            <w:hideMark/>
          </w:tcPr>
          <w:p w14:paraId="20954463"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Increase from 0.1 to 0.5 defined daily doses per 1,000 </w:t>
            </w:r>
            <w:proofErr w:type="gramStart"/>
            <w:r w:rsidRPr="00AB4E6A">
              <w:rPr>
                <w:rFonts w:asciiTheme="majorBidi" w:eastAsiaTheme="minorHAnsi" w:hAnsiTheme="majorBidi" w:cstheme="majorBidi"/>
                <w:lang w:eastAsia="en-US"/>
              </w:rPr>
              <w:t>admission</w:t>
            </w:r>
            <w:proofErr w:type="gramEnd"/>
            <w:r w:rsidRPr="00AB4E6A">
              <w:rPr>
                <w:rFonts w:asciiTheme="majorBidi" w:eastAsiaTheme="minorHAnsi" w:hAnsiTheme="majorBidi" w:cstheme="majorBidi"/>
                <w:lang w:eastAsia="en-US"/>
              </w:rPr>
              <w:t xml:space="preserve"> (2016 to 2019, statistical significance not stated).</w:t>
            </w:r>
          </w:p>
        </w:tc>
      </w:tr>
    </w:tbl>
    <w:p w14:paraId="139DB2E4" w14:textId="24F1FFCC" w:rsidR="00AB4E6A" w:rsidRDefault="00763774" w:rsidP="00763774">
      <w:pPr>
        <w:pStyle w:val="EEPRUtextundertables"/>
      </w:pPr>
      <w:r w:rsidRPr="00763774">
        <w:t>ESPAUR, English Surveillance Programme for Antimicrobial Utilisation and Resistance; PHE, Public Health England</w:t>
      </w:r>
    </w:p>
    <w:p w14:paraId="594CA5BA" w14:textId="77777777" w:rsidR="00763774" w:rsidRPr="00AB4E6A" w:rsidRDefault="00763774" w:rsidP="00AB4E6A">
      <w:pPr>
        <w:rPr>
          <w:rFonts w:asciiTheme="majorBidi" w:hAnsiTheme="majorBidi" w:cstheme="majorBidi"/>
        </w:rPr>
      </w:pPr>
    </w:p>
    <w:p w14:paraId="23E4993D"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In summary, there was evidence of decreasing susceptibility for aztreonam and ciprofloxacin. For colistin and tigecycline it was unclear if susceptibility was decreasing over time or not. For the remaining three AMs there was no evidence of a trend. Any interpretation of trends in susceptibility over-time is confounded by changes to EUCAST breakpoints for defining susceptibility. For example, for both ciprofloxacin and tigecycline the breakpoints at which a susceptible isolate becomes intermediate resistant (and at which an intermediate resistant isolate becomes resistant) changed during the period of interest; in 2017 for ciprofloxacin and 2019 for tigecycline. Because of this, and the large uncertainty in the susceptibility data (due to both small numbers and being restricted to invasive infections), it was decided that for the base-case analysis no trend would be used.</w:t>
      </w:r>
    </w:p>
    <w:p w14:paraId="4ED1C69F" w14:textId="7566C50B" w:rsidR="00917737" w:rsidRDefault="00917737">
      <w:pPr>
        <w:rPr>
          <w:rFonts w:asciiTheme="majorBidi" w:hAnsiTheme="majorBidi" w:cstheme="majorBidi"/>
          <w:b/>
          <w:bCs/>
        </w:rPr>
      </w:pPr>
    </w:p>
    <w:p w14:paraId="75B84F2F" w14:textId="4AEE8F6F" w:rsidR="00AB4E6A" w:rsidRPr="008E6F0E" w:rsidRDefault="00097E31" w:rsidP="008E6F0E">
      <w:pPr>
        <w:pStyle w:val="Heading2"/>
        <w:ind w:left="720" w:hanging="720"/>
        <w:jc w:val="both"/>
      </w:pPr>
      <w:r>
        <w:lastRenderedPageBreak/>
        <w:tab/>
      </w:r>
      <w:bookmarkStart w:id="832" w:name="_Toc87463145"/>
      <w:r w:rsidR="00364012">
        <w:t xml:space="preserve">A15.3. </w:t>
      </w:r>
      <w:r w:rsidR="00AB4E6A" w:rsidRPr="008E6F0E">
        <w:t>Predicting future resistance trajectories for CAZ-AVI</w:t>
      </w:r>
      <w:bookmarkEnd w:id="832"/>
      <w:r w:rsidR="00AB4E6A" w:rsidRPr="008E6F0E">
        <w:t xml:space="preserve"> </w:t>
      </w:r>
    </w:p>
    <w:p w14:paraId="3AC2B4FC" w14:textId="77777777" w:rsidR="00AB4E6A" w:rsidRPr="00AB4E6A" w:rsidRDefault="00AB4E6A" w:rsidP="00AB4E6A">
      <w:pPr>
        <w:rPr>
          <w:rFonts w:asciiTheme="majorBidi" w:hAnsiTheme="majorBidi" w:cstheme="majorBidi"/>
        </w:rPr>
      </w:pPr>
    </w:p>
    <w:p w14:paraId="5AA60B93" w14:textId="77777777" w:rsidR="00AB4E6A" w:rsidRPr="00AB4E6A" w:rsidRDefault="00AB4E6A" w:rsidP="006E4E83">
      <w:pPr>
        <w:pStyle w:val="EEPRUnumberedLevel3Headingnew"/>
      </w:pPr>
      <w:bookmarkStart w:id="833" w:name="_Toc87463146"/>
      <w:r w:rsidRPr="00AB4E6A">
        <w:t>Supporting evidence</w:t>
      </w:r>
      <w:bookmarkEnd w:id="833"/>
    </w:p>
    <w:p w14:paraId="2F16F30D" w14:textId="14415E77" w:rsidR="00AB4E6A" w:rsidRPr="00AB4E6A" w:rsidRDefault="00AB4E6A" w:rsidP="00AB4E6A">
      <w:pPr>
        <w:rPr>
          <w:rFonts w:asciiTheme="majorBidi" w:hAnsiTheme="majorBidi" w:cstheme="majorBidi"/>
        </w:rPr>
      </w:pPr>
      <w:r w:rsidRPr="00AB4E6A">
        <w:rPr>
          <w:rFonts w:asciiTheme="majorBidi" w:hAnsiTheme="majorBidi" w:cstheme="majorBidi"/>
        </w:rPr>
        <w:t>An overview of the studies identified via literature searches is provided in Table 4.</w:t>
      </w:r>
    </w:p>
    <w:p w14:paraId="1E76FBBD" w14:textId="77777777" w:rsidR="00AB4E6A" w:rsidRPr="00AB4E6A" w:rsidRDefault="00AB4E6A" w:rsidP="00AB4E6A">
      <w:pPr>
        <w:rPr>
          <w:rFonts w:asciiTheme="majorBidi" w:hAnsiTheme="majorBidi" w:cstheme="majorBidi"/>
        </w:rPr>
      </w:pPr>
    </w:p>
    <w:p w14:paraId="55A4361C" w14:textId="064477DF" w:rsidR="00AB4E6A" w:rsidRPr="00AB4E6A" w:rsidRDefault="00AB4E6A" w:rsidP="00AB4E6A">
      <w:pPr>
        <w:rPr>
          <w:rFonts w:asciiTheme="majorBidi" w:hAnsiTheme="majorBidi" w:cstheme="majorBidi"/>
          <w:b/>
        </w:rPr>
      </w:pPr>
      <w:bookmarkStart w:id="834" w:name="_Ref77950230"/>
      <w:bookmarkStart w:id="835" w:name="_Toc82631453"/>
      <w:bookmarkStart w:id="836" w:name="_Toc83589988"/>
      <w:bookmarkStart w:id="837" w:name="_Toc86419043"/>
      <w:r w:rsidRPr="00AB4E6A">
        <w:rPr>
          <w:rFonts w:asciiTheme="majorBidi" w:hAnsiTheme="majorBidi" w:cstheme="majorBidi"/>
          <w:b/>
        </w:rPr>
        <w:t xml:space="preserve">Table </w:t>
      </w:r>
      <w:r w:rsidR="00F10F0A">
        <w:rPr>
          <w:rFonts w:asciiTheme="majorBidi" w:hAnsiTheme="majorBidi" w:cstheme="majorBidi"/>
          <w:b/>
          <w:noProof/>
        </w:rPr>
        <w:t>66</w:t>
      </w:r>
      <w:bookmarkEnd w:id="834"/>
      <w:r w:rsidRPr="00AB4E6A">
        <w:rPr>
          <w:rFonts w:asciiTheme="majorBidi" w:hAnsiTheme="majorBidi" w:cstheme="majorBidi"/>
          <w:b/>
        </w:rPr>
        <w:t>: Studies assessing the relationship between antimicrobial use and rates of resistance</w:t>
      </w:r>
      <w:bookmarkEnd w:id="835"/>
      <w:bookmarkEnd w:id="836"/>
      <w:bookmarkEnd w:id="837"/>
      <w:r w:rsidRPr="00AB4E6A">
        <w:rPr>
          <w:rFonts w:asciiTheme="majorBidi" w:hAnsiTheme="majorBidi" w:cstheme="majorBidi"/>
          <w:b/>
        </w:rPr>
        <w:t xml:space="preserve"> </w:t>
      </w:r>
    </w:p>
    <w:p w14:paraId="17BCAFB5" w14:textId="77777777" w:rsidR="00AB4E6A" w:rsidRPr="00AB4E6A" w:rsidRDefault="00AB4E6A" w:rsidP="00AB4E6A">
      <w:pPr>
        <w:rPr>
          <w:rFonts w:asciiTheme="majorBidi" w:hAnsiTheme="majorBidi" w:cstheme="majorBidi"/>
          <w:b/>
        </w:rPr>
      </w:pPr>
    </w:p>
    <w:tbl>
      <w:tblPr>
        <w:tblStyle w:val="TableGrid"/>
        <w:tblW w:w="0" w:type="auto"/>
        <w:tblLook w:val="04A0" w:firstRow="1" w:lastRow="0" w:firstColumn="1" w:lastColumn="0" w:noHBand="0" w:noVBand="1"/>
      </w:tblPr>
      <w:tblGrid>
        <w:gridCol w:w="1353"/>
        <w:gridCol w:w="1873"/>
        <w:gridCol w:w="1990"/>
        <w:gridCol w:w="2146"/>
        <w:gridCol w:w="1654"/>
      </w:tblGrid>
      <w:tr w:rsidR="00AB4E6A" w:rsidRPr="00AB4E6A" w14:paraId="091CFE3A" w14:textId="77777777" w:rsidTr="00AB4E6A">
        <w:tc>
          <w:tcPr>
            <w:tcW w:w="1353" w:type="dxa"/>
            <w:tcBorders>
              <w:top w:val="single" w:sz="4" w:space="0" w:color="auto"/>
              <w:left w:val="single" w:sz="4" w:space="0" w:color="auto"/>
              <w:bottom w:val="single" w:sz="4" w:space="0" w:color="auto"/>
              <w:right w:val="single" w:sz="4" w:space="0" w:color="auto"/>
            </w:tcBorders>
            <w:hideMark/>
          </w:tcPr>
          <w:p w14:paraId="3CAD7CE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Study</w:t>
            </w:r>
          </w:p>
        </w:tc>
        <w:tc>
          <w:tcPr>
            <w:tcW w:w="1873" w:type="dxa"/>
            <w:tcBorders>
              <w:top w:val="single" w:sz="4" w:space="0" w:color="auto"/>
              <w:left w:val="single" w:sz="4" w:space="0" w:color="auto"/>
              <w:bottom w:val="single" w:sz="4" w:space="0" w:color="auto"/>
              <w:right w:val="single" w:sz="4" w:space="0" w:color="auto"/>
            </w:tcBorders>
            <w:hideMark/>
          </w:tcPr>
          <w:p w14:paraId="669EAFEB"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Design</w:t>
            </w:r>
          </w:p>
        </w:tc>
        <w:tc>
          <w:tcPr>
            <w:tcW w:w="1990" w:type="dxa"/>
            <w:tcBorders>
              <w:top w:val="single" w:sz="4" w:space="0" w:color="auto"/>
              <w:left w:val="single" w:sz="4" w:space="0" w:color="auto"/>
              <w:bottom w:val="single" w:sz="4" w:space="0" w:color="auto"/>
              <w:right w:val="single" w:sz="4" w:space="0" w:color="auto"/>
            </w:tcBorders>
            <w:hideMark/>
          </w:tcPr>
          <w:p w14:paraId="70CFB511"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Population</w:t>
            </w:r>
          </w:p>
        </w:tc>
        <w:tc>
          <w:tcPr>
            <w:tcW w:w="2146" w:type="dxa"/>
            <w:tcBorders>
              <w:top w:val="single" w:sz="4" w:space="0" w:color="auto"/>
              <w:left w:val="single" w:sz="4" w:space="0" w:color="auto"/>
              <w:bottom w:val="single" w:sz="4" w:space="0" w:color="auto"/>
              <w:right w:val="single" w:sz="4" w:space="0" w:color="auto"/>
            </w:tcBorders>
            <w:hideMark/>
          </w:tcPr>
          <w:p w14:paraId="6B624030"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Antimicrobials</w:t>
            </w:r>
          </w:p>
        </w:tc>
        <w:tc>
          <w:tcPr>
            <w:tcW w:w="1654" w:type="dxa"/>
            <w:tcBorders>
              <w:top w:val="single" w:sz="4" w:space="0" w:color="auto"/>
              <w:left w:val="single" w:sz="4" w:space="0" w:color="auto"/>
              <w:bottom w:val="single" w:sz="4" w:space="0" w:color="auto"/>
              <w:right w:val="single" w:sz="4" w:space="0" w:color="auto"/>
            </w:tcBorders>
            <w:hideMark/>
          </w:tcPr>
          <w:p w14:paraId="33456AB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Association</w:t>
            </w:r>
          </w:p>
        </w:tc>
      </w:tr>
      <w:tr w:rsidR="00AB4E6A" w:rsidRPr="00AB4E6A" w14:paraId="142996F6" w14:textId="77777777" w:rsidTr="00AB4E6A">
        <w:tc>
          <w:tcPr>
            <w:tcW w:w="1353" w:type="dxa"/>
            <w:tcBorders>
              <w:top w:val="single" w:sz="4" w:space="0" w:color="auto"/>
              <w:left w:val="single" w:sz="4" w:space="0" w:color="auto"/>
              <w:bottom w:val="single" w:sz="4" w:space="0" w:color="auto"/>
              <w:right w:val="single" w:sz="4" w:space="0" w:color="auto"/>
            </w:tcBorders>
            <w:hideMark/>
          </w:tcPr>
          <w:p w14:paraId="3851AC92" w14:textId="381ACC1D" w:rsidR="00AB4E6A" w:rsidRPr="00AB4E6A" w:rsidRDefault="00AB4E6A" w:rsidP="00C83FB7">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Ortiz-</w:t>
            </w:r>
            <w:proofErr w:type="spellStart"/>
            <w:r w:rsidRPr="00AB4E6A">
              <w:rPr>
                <w:rFonts w:asciiTheme="majorBidi" w:eastAsiaTheme="minorHAnsi" w:hAnsiTheme="majorBidi" w:cstheme="majorBidi"/>
                <w:lang w:eastAsia="en-US"/>
              </w:rPr>
              <w:t>Brizuela</w:t>
            </w:r>
            <w:proofErr w:type="spellEnd"/>
            <w:r w:rsidRPr="00AB4E6A">
              <w:rPr>
                <w:rFonts w:asciiTheme="majorBidi" w:eastAsiaTheme="minorHAnsi" w:hAnsiTheme="majorBidi" w:cstheme="majorBidi"/>
                <w:lang w:eastAsia="en-US"/>
              </w:rPr>
              <w:t xml:space="preserve"> 2020 </w:t>
            </w:r>
            <w:bookmarkStart w:id="838" w:name="_Hlk84860109"/>
            <w:r w:rsidR="004B4D1C" w:rsidRPr="004B4D1C">
              <w:rPr>
                <w:rFonts w:asciiTheme="majorBidi" w:hAnsiTheme="majorBidi" w:cstheme="majorBidi"/>
                <w:noProof/>
                <w:vertAlign w:val="superscript"/>
              </w:rPr>
              <w:t>149</w:t>
            </w:r>
            <w:bookmarkEnd w:id="838"/>
          </w:p>
        </w:tc>
        <w:tc>
          <w:tcPr>
            <w:tcW w:w="1873" w:type="dxa"/>
            <w:tcBorders>
              <w:top w:val="single" w:sz="4" w:space="0" w:color="auto"/>
              <w:left w:val="single" w:sz="4" w:space="0" w:color="auto"/>
              <w:bottom w:val="single" w:sz="4" w:space="0" w:color="auto"/>
              <w:right w:val="single" w:sz="4" w:space="0" w:color="auto"/>
            </w:tcBorders>
            <w:hideMark/>
          </w:tcPr>
          <w:p w14:paraId="30562B0A" w14:textId="77777777" w:rsidR="00AB4E6A" w:rsidRPr="00AB4E6A" w:rsidRDefault="00AB4E6A" w:rsidP="00AB4E6A">
            <w:pPr>
              <w:spacing w:after="160" w:line="259" w:lineRule="auto"/>
              <w:rPr>
                <w:rFonts w:asciiTheme="majorBidi" w:eastAsiaTheme="minorHAnsi" w:hAnsiTheme="majorBidi" w:cstheme="majorBidi"/>
                <w:lang w:eastAsia="en-US"/>
              </w:rPr>
            </w:pPr>
            <w:proofErr w:type="gramStart"/>
            <w:r w:rsidRPr="00AB4E6A">
              <w:rPr>
                <w:rFonts w:asciiTheme="majorBidi" w:eastAsiaTheme="minorHAnsi" w:hAnsiTheme="majorBidi" w:cstheme="majorBidi"/>
                <w:lang w:eastAsia="en-US"/>
              </w:rPr>
              <w:t>ARIMA  models</w:t>
            </w:r>
            <w:proofErr w:type="gramEnd"/>
            <w:r w:rsidRPr="00AB4E6A">
              <w:rPr>
                <w:rFonts w:asciiTheme="majorBidi" w:eastAsiaTheme="minorHAnsi" w:hAnsiTheme="majorBidi" w:cstheme="majorBidi"/>
                <w:lang w:eastAsia="en-US"/>
              </w:rPr>
              <w:t xml:space="preserve"> with lags between one and 12 months.</w:t>
            </w:r>
          </w:p>
        </w:tc>
        <w:tc>
          <w:tcPr>
            <w:tcW w:w="1990" w:type="dxa"/>
            <w:tcBorders>
              <w:top w:val="single" w:sz="4" w:space="0" w:color="auto"/>
              <w:left w:val="single" w:sz="4" w:space="0" w:color="auto"/>
              <w:bottom w:val="single" w:sz="4" w:space="0" w:color="auto"/>
              <w:right w:val="single" w:sz="4" w:space="0" w:color="auto"/>
            </w:tcBorders>
            <w:hideMark/>
          </w:tcPr>
          <w:p w14:paraId="74BDFBD7" w14:textId="08B82BB8"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Carbapenem-non-susceptible </w:t>
            </w:r>
            <w:proofErr w:type="spellStart"/>
            <w:r w:rsidR="00FE2007" w:rsidRPr="00FE2007">
              <w:rPr>
                <w:rFonts w:asciiTheme="majorBidi" w:eastAsiaTheme="minorHAnsi" w:hAnsiTheme="majorBidi" w:cstheme="majorBidi"/>
                <w:i/>
                <w:iCs/>
                <w:lang w:eastAsia="en-US"/>
              </w:rPr>
              <w:t>Enterobacterales</w:t>
            </w:r>
            <w:proofErr w:type="spellEnd"/>
            <w:r w:rsidRPr="00AB4E6A">
              <w:rPr>
                <w:rFonts w:asciiTheme="majorBidi" w:eastAsiaTheme="minorHAnsi" w:hAnsiTheme="majorBidi" w:cstheme="majorBidi"/>
                <w:lang w:eastAsia="en-US"/>
              </w:rPr>
              <w:t xml:space="preserve"> treated in a hospital setting in Mexico City between July 2013 to December 2018. N = 451</w:t>
            </w:r>
          </w:p>
        </w:tc>
        <w:tc>
          <w:tcPr>
            <w:tcW w:w="2146" w:type="dxa"/>
            <w:tcBorders>
              <w:top w:val="single" w:sz="4" w:space="0" w:color="auto"/>
              <w:left w:val="single" w:sz="4" w:space="0" w:color="auto"/>
              <w:bottom w:val="single" w:sz="4" w:space="0" w:color="auto"/>
              <w:right w:val="single" w:sz="4" w:space="0" w:color="auto"/>
            </w:tcBorders>
            <w:hideMark/>
          </w:tcPr>
          <w:p w14:paraId="377365CF" w14:textId="56F8FDA9"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Resistance for three populations: carbapenem-non-susceptible </w:t>
            </w:r>
            <w:proofErr w:type="spellStart"/>
            <w:r w:rsidR="00FE2007" w:rsidRPr="00FE2007">
              <w:rPr>
                <w:rFonts w:asciiTheme="majorBidi" w:eastAsiaTheme="minorHAnsi" w:hAnsiTheme="majorBidi" w:cstheme="majorBidi"/>
                <w:i/>
                <w:iCs/>
                <w:lang w:eastAsia="en-US"/>
              </w:rPr>
              <w:t>Enterobacterales</w:t>
            </w:r>
            <w:proofErr w:type="spellEnd"/>
            <w:r w:rsidRPr="00AB4E6A">
              <w:rPr>
                <w:rFonts w:asciiTheme="majorBidi" w:eastAsiaTheme="minorHAnsi" w:hAnsiTheme="majorBidi" w:cstheme="majorBidi"/>
                <w:lang w:eastAsia="en-US"/>
              </w:rPr>
              <w:t>, CPE, and OXA-232 CPE. Evaluated for 17 AMs (DDD per 100 hospital patient-days).</w:t>
            </w:r>
          </w:p>
        </w:tc>
        <w:tc>
          <w:tcPr>
            <w:tcW w:w="1654" w:type="dxa"/>
            <w:tcBorders>
              <w:top w:val="single" w:sz="4" w:space="0" w:color="auto"/>
              <w:left w:val="single" w:sz="4" w:space="0" w:color="auto"/>
              <w:bottom w:val="single" w:sz="4" w:space="0" w:color="auto"/>
              <w:right w:val="single" w:sz="4" w:space="0" w:color="auto"/>
            </w:tcBorders>
            <w:hideMark/>
          </w:tcPr>
          <w:p w14:paraId="61159608"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For each population a positive association was only found for </w:t>
            </w:r>
            <w:proofErr w:type="spellStart"/>
            <w:r w:rsidRPr="00AB4E6A">
              <w:rPr>
                <w:rFonts w:asciiTheme="majorBidi" w:eastAsiaTheme="minorHAnsi" w:hAnsiTheme="majorBidi" w:cstheme="majorBidi"/>
                <w:lang w:eastAsia="en-US"/>
              </w:rPr>
              <w:t>Piperacilline</w:t>
            </w:r>
            <w:proofErr w:type="spellEnd"/>
            <w:r w:rsidRPr="00AB4E6A">
              <w:rPr>
                <w:rFonts w:asciiTheme="majorBidi" w:eastAsiaTheme="minorHAnsi" w:hAnsiTheme="majorBidi" w:cstheme="majorBidi"/>
                <w:lang w:eastAsia="en-US"/>
              </w:rPr>
              <w:t>-tazobactam at a six-month lag.</w:t>
            </w:r>
          </w:p>
        </w:tc>
      </w:tr>
      <w:tr w:rsidR="00AB4E6A" w:rsidRPr="00AB4E6A" w14:paraId="0C0E1E14" w14:textId="77777777" w:rsidTr="00AB4E6A">
        <w:tc>
          <w:tcPr>
            <w:tcW w:w="1353" w:type="dxa"/>
            <w:tcBorders>
              <w:top w:val="single" w:sz="4" w:space="0" w:color="auto"/>
              <w:left w:val="single" w:sz="4" w:space="0" w:color="auto"/>
              <w:bottom w:val="single" w:sz="4" w:space="0" w:color="auto"/>
              <w:right w:val="single" w:sz="4" w:space="0" w:color="auto"/>
            </w:tcBorders>
            <w:hideMark/>
          </w:tcPr>
          <w:p w14:paraId="1A911DFB" w14:textId="7E4C37AD" w:rsidR="00AB4E6A" w:rsidRPr="00AB4E6A" w:rsidRDefault="00AB4E6A" w:rsidP="00C83FB7">
            <w:pPr>
              <w:spacing w:after="160" w:line="259" w:lineRule="auto"/>
              <w:rPr>
                <w:rFonts w:asciiTheme="majorBidi" w:eastAsiaTheme="minorHAnsi" w:hAnsiTheme="majorBidi" w:cstheme="majorBidi"/>
                <w:lang w:eastAsia="en-US"/>
              </w:rPr>
            </w:pPr>
            <w:proofErr w:type="spellStart"/>
            <w:r w:rsidRPr="00AB4E6A">
              <w:rPr>
                <w:rFonts w:asciiTheme="majorBidi" w:eastAsiaTheme="minorHAnsi" w:hAnsiTheme="majorBidi" w:cstheme="majorBidi"/>
                <w:lang w:eastAsia="en-US"/>
              </w:rPr>
              <w:t>Gharbi</w:t>
            </w:r>
            <w:proofErr w:type="spellEnd"/>
            <w:r w:rsidRPr="00AB4E6A">
              <w:rPr>
                <w:rFonts w:asciiTheme="majorBidi" w:eastAsiaTheme="minorHAnsi" w:hAnsiTheme="majorBidi" w:cstheme="majorBidi"/>
                <w:lang w:eastAsia="en-US"/>
              </w:rPr>
              <w:t xml:space="preserve"> 2015 </w:t>
            </w:r>
            <w:bookmarkStart w:id="839" w:name="_Hlk84860115"/>
            <w:r w:rsidR="004B4D1C" w:rsidRPr="004B4D1C">
              <w:rPr>
                <w:rFonts w:asciiTheme="majorBidi" w:hAnsiTheme="majorBidi" w:cstheme="majorBidi"/>
                <w:noProof/>
                <w:vertAlign w:val="superscript"/>
              </w:rPr>
              <w:t>150</w:t>
            </w:r>
            <w:bookmarkEnd w:id="839"/>
          </w:p>
        </w:tc>
        <w:tc>
          <w:tcPr>
            <w:tcW w:w="1873" w:type="dxa"/>
            <w:tcBorders>
              <w:top w:val="single" w:sz="4" w:space="0" w:color="auto"/>
              <w:left w:val="single" w:sz="4" w:space="0" w:color="auto"/>
              <w:bottom w:val="single" w:sz="4" w:space="0" w:color="auto"/>
              <w:right w:val="single" w:sz="4" w:space="0" w:color="auto"/>
            </w:tcBorders>
            <w:hideMark/>
          </w:tcPr>
          <w:p w14:paraId="4C37EC04" w14:textId="77777777" w:rsidR="00AB4E6A" w:rsidRPr="00AB4E6A" w:rsidRDefault="00AB4E6A" w:rsidP="00AB4E6A">
            <w:pPr>
              <w:spacing w:after="160" w:line="259" w:lineRule="auto"/>
              <w:rPr>
                <w:rFonts w:asciiTheme="majorBidi" w:eastAsiaTheme="minorHAnsi" w:hAnsiTheme="majorBidi" w:cstheme="majorBidi"/>
                <w:lang w:eastAsia="en-US"/>
              </w:rPr>
            </w:pPr>
            <w:proofErr w:type="gramStart"/>
            <w:r w:rsidRPr="00AB4E6A">
              <w:rPr>
                <w:rFonts w:asciiTheme="majorBidi" w:eastAsiaTheme="minorHAnsi" w:hAnsiTheme="majorBidi" w:cstheme="majorBidi"/>
                <w:lang w:eastAsia="en-US"/>
              </w:rPr>
              <w:t>ARIMA  models</w:t>
            </w:r>
            <w:proofErr w:type="gramEnd"/>
            <w:r w:rsidRPr="00AB4E6A">
              <w:rPr>
                <w:rFonts w:asciiTheme="majorBidi" w:eastAsiaTheme="minorHAnsi" w:hAnsiTheme="majorBidi" w:cstheme="majorBidi"/>
                <w:lang w:eastAsia="en-US"/>
              </w:rPr>
              <w:t>. Considered multiple yearly lags (not stated).</w:t>
            </w:r>
          </w:p>
        </w:tc>
        <w:tc>
          <w:tcPr>
            <w:tcW w:w="1990" w:type="dxa"/>
            <w:tcBorders>
              <w:top w:val="single" w:sz="4" w:space="0" w:color="auto"/>
              <w:left w:val="single" w:sz="4" w:space="0" w:color="auto"/>
              <w:bottom w:val="single" w:sz="4" w:space="0" w:color="auto"/>
              <w:right w:val="single" w:sz="4" w:space="0" w:color="auto"/>
            </w:tcBorders>
            <w:hideMark/>
          </w:tcPr>
          <w:p w14:paraId="18663A62"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An outbreak of Klebsiella pneumoniae with OXA-48 in a London renal unit, January 2008 to April 2010, N = 13.</w:t>
            </w:r>
          </w:p>
        </w:tc>
        <w:tc>
          <w:tcPr>
            <w:tcW w:w="2146" w:type="dxa"/>
            <w:tcBorders>
              <w:top w:val="single" w:sz="4" w:space="0" w:color="auto"/>
              <w:left w:val="single" w:sz="4" w:space="0" w:color="auto"/>
              <w:bottom w:val="single" w:sz="4" w:space="0" w:color="auto"/>
              <w:right w:val="single" w:sz="4" w:space="0" w:color="auto"/>
            </w:tcBorders>
            <w:hideMark/>
          </w:tcPr>
          <w:p w14:paraId="24DA8EC8"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Meropenem consumption (DDD per 100 occupied bed days.</w:t>
            </w:r>
          </w:p>
        </w:tc>
        <w:tc>
          <w:tcPr>
            <w:tcW w:w="1654" w:type="dxa"/>
            <w:tcBorders>
              <w:top w:val="single" w:sz="4" w:space="0" w:color="auto"/>
              <w:left w:val="single" w:sz="4" w:space="0" w:color="auto"/>
              <w:bottom w:val="single" w:sz="4" w:space="0" w:color="auto"/>
              <w:right w:val="single" w:sz="4" w:space="0" w:color="auto"/>
            </w:tcBorders>
            <w:hideMark/>
          </w:tcPr>
          <w:p w14:paraId="6FA44593"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One-year lag had the largest correlation, with a coefficient from the ARIMA model of 1.07 (95% CI 0.10 to 2.05)</w:t>
            </w:r>
          </w:p>
        </w:tc>
      </w:tr>
      <w:tr w:rsidR="00AB4E6A" w:rsidRPr="00AB4E6A" w14:paraId="38AB3661" w14:textId="77777777" w:rsidTr="00AB4E6A">
        <w:tc>
          <w:tcPr>
            <w:tcW w:w="1353" w:type="dxa"/>
            <w:tcBorders>
              <w:top w:val="single" w:sz="4" w:space="0" w:color="auto"/>
              <w:left w:val="single" w:sz="4" w:space="0" w:color="auto"/>
              <w:bottom w:val="single" w:sz="4" w:space="0" w:color="auto"/>
              <w:right w:val="single" w:sz="4" w:space="0" w:color="auto"/>
            </w:tcBorders>
            <w:hideMark/>
          </w:tcPr>
          <w:p w14:paraId="14A49A8B" w14:textId="76A40629" w:rsidR="00AB4E6A" w:rsidRPr="00AB4E6A" w:rsidRDefault="00AB4E6A" w:rsidP="00C83FB7">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 xml:space="preserve">Berger 2004 </w:t>
            </w:r>
            <w:bookmarkStart w:id="840" w:name="_Hlk84860127"/>
            <w:r w:rsidR="004B4D1C" w:rsidRPr="004B4D1C">
              <w:rPr>
                <w:rFonts w:asciiTheme="majorBidi" w:hAnsiTheme="majorBidi" w:cstheme="majorBidi"/>
                <w:noProof/>
                <w:vertAlign w:val="superscript"/>
              </w:rPr>
              <w:t>151</w:t>
            </w:r>
            <w:bookmarkEnd w:id="840"/>
          </w:p>
        </w:tc>
        <w:tc>
          <w:tcPr>
            <w:tcW w:w="1873" w:type="dxa"/>
            <w:tcBorders>
              <w:top w:val="single" w:sz="4" w:space="0" w:color="auto"/>
              <w:left w:val="single" w:sz="4" w:space="0" w:color="auto"/>
              <w:bottom w:val="single" w:sz="4" w:space="0" w:color="auto"/>
              <w:right w:val="single" w:sz="4" w:space="0" w:color="auto"/>
            </w:tcBorders>
            <w:hideMark/>
          </w:tcPr>
          <w:p w14:paraId="09C97F98"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Generalised additive model. Tested monthly lags.</w:t>
            </w:r>
          </w:p>
        </w:tc>
        <w:tc>
          <w:tcPr>
            <w:tcW w:w="1990" w:type="dxa"/>
            <w:tcBorders>
              <w:top w:val="single" w:sz="4" w:space="0" w:color="auto"/>
              <w:left w:val="single" w:sz="4" w:space="0" w:color="auto"/>
              <w:bottom w:val="single" w:sz="4" w:space="0" w:color="auto"/>
              <w:right w:val="single" w:sz="4" w:space="0" w:color="auto"/>
            </w:tcBorders>
            <w:hideMark/>
          </w:tcPr>
          <w:p w14:paraId="1230AD6F"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Staphylococcus</w:t>
            </w:r>
          </w:p>
          <w:p w14:paraId="707A2C2D"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Aureus treated in hospitals in France, July 1997 to June 2000. N = 1116.</w:t>
            </w:r>
          </w:p>
        </w:tc>
        <w:tc>
          <w:tcPr>
            <w:tcW w:w="2146" w:type="dxa"/>
            <w:tcBorders>
              <w:top w:val="single" w:sz="4" w:space="0" w:color="auto"/>
              <w:left w:val="single" w:sz="4" w:space="0" w:color="auto"/>
              <w:bottom w:val="single" w:sz="4" w:space="0" w:color="auto"/>
              <w:right w:val="single" w:sz="4" w:space="0" w:color="auto"/>
            </w:tcBorders>
            <w:hideMark/>
          </w:tcPr>
          <w:p w14:paraId="19FDA4A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Fluoroquinolone (DDD per 1000 days of hospitalisation)</w:t>
            </w:r>
          </w:p>
        </w:tc>
        <w:tc>
          <w:tcPr>
            <w:tcW w:w="1654" w:type="dxa"/>
            <w:tcBorders>
              <w:top w:val="single" w:sz="4" w:space="0" w:color="auto"/>
              <w:left w:val="single" w:sz="4" w:space="0" w:color="auto"/>
              <w:bottom w:val="single" w:sz="4" w:space="0" w:color="auto"/>
              <w:right w:val="single" w:sz="4" w:space="0" w:color="auto"/>
            </w:tcBorders>
            <w:hideMark/>
          </w:tcPr>
          <w:p w14:paraId="32A32ABC" w14:textId="77777777" w:rsidR="00AB4E6A" w:rsidRPr="00AB4E6A" w:rsidRDefault="00AB4E6A" w:rsidP="00AB4E6A">
            <w:pPr>
              <w:spacing w:after="160" w:line="259" w:lineRule="auto"/>
              <w:rPr>
                <w:rFonts w:asciiTheme="majorBidi" w:eastAsiaTheme="minorHAnsi" w:hAnsiTheme="majorBidi" w:cstheme="majorBidi"/>
                <w:lang w:eastAsia="en-US"/>
              </w:rPr>
            </w:pPr>
            <w:r w:rsidRPr="00AB4E6A">
              <w:rPr>
                <w:rFonts w:asciiTheme="majorBidi" w:eastAsiaTheme="minorHAnsi" w:hAnsiTheme="majorBidi" w:cstheme="majorBidi"/>
                <w:lang w:eastAsia="en-US"/>
              </w:rPr>
              <w:t>The best fit was with a four-month lag. Increasing use from the 25</w:t>
            </w:r>
            <w:r w:rsidRPr="00AB4E6A">
              <w:rPr>
                <w:rFonts w:asciiTheme="majorBidi" w:eastAsiaTheme="minorHAnsi" w:hAnsiTheme="majorBidi" w:cstheme="majorBidi"/>
                <w:vertAlign w:val="superscript"/>
                <w:lang w:eastAsia="en-US"/>
              </w:rPr>
              <w:t>th</w:t>
            </w:r>
            <w:r w:rsidRPr="00AB4E6A">
              <w:rPr>
                <w:rFonts w:asciiTheme="majorBidi" w:eastAsiaTheme="minorHAnsi" w:hAnsiTheme="majorBidi" w:cstheme="majorBidi"/>
                <w:lang w:eastAsia="en-US"/>
              </w:rPr>
              <w:t xml:space="preserve"> to 75</w:t>
            </w:r>
            <w:r w:rsidRPr="00AB4E6A">
              <w:rPr>
                <w:rFonts w:asciiTheme="majorBidi" w:eastAsiaTheme="minorHAnsi" w:hAnsiTheme="majorBidi" w:cstheme="majorBidi"/>
                <w:vertAlign w:val="superscript"/>
                <w:lang w:eastAsia="en-US"/>
              </w:rPr>
              <w:t>th</w:t>
            </w:r>
            <w:r w:rsidRPr="00AB4E6A">
              <w:rPr>
                <w:rFonts w:asciiTheme="majorBidi" w:eastAsiaTheme="minorHAnsi" w:hAnsiTheme="majorBidi" w:cstheme="majorBidi"/>
                <w:lang w:eastAsia="en-US"/>
              </w:rPr>
              <w:t xml:space="preserve"> percentile had a relative risk of 1.27 (95% CI 1.13 to 1.42)</w:t>
            </w:r>
          </w:p>
        </w:tc>
      </w:tr>
    </w:tbl>
    <w:p w14:paraId="7773774C" w14:textId="77777777" w:rsidR="00934C21" w:rsidRDefault="00934C21" w:rsidP="00917737">
      <w:pPr>
        <w:spacing w:line="360" w:lineRule="auto"/>
        <w:rPr>
          <w:rFonts w:asciiTheme="majorBidi" w:hAnsiTheme="majorBidi" w:cstheme="majorBidi"/>
        </w:rPr>
      </w:pPr>
      <w:r w:rsidRPr="00AB4E6A">
        <w:rPr>
          <w:rFonts w:asciiTheme="majorBidi" w:hAnsiTheme="majorBidi" w:cstheme="majorBidi"/>
        </w:rPr>
        <w:t>CI: Confidence interval. DDD: Defined daily dose.</w:t>
      </w:r>
    </w:p>
    <w:p w14:paraId="0928E5D3" w14:textId="3D336341"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Whilst these studies were not used to estimate the link between AM use and AM resistance, they informed the approach to subsequent analysis. Two model types were used to assess the relationship between use and resistance: ARIMA models and generalised additive models. Of these, only the former </w:t>
      </w:r>
      <w:r w:rsidRPr="00AB4E6A">
        <w:rPr>
          <w:rFonts w:asciiTheme="majorBidi" w:hAnsiTheme="majorBidi" w:cstheme="majorBidi"/>
        </w:rPr>
        <w:lastRenderedPageBreak/>
        <w:t>are time-series models in the sense that they can capture autocorrelations within the data. Hence this model type was retained for the de novo analyses reported here. With regards to the time-lag to use, findings from the studies in Table 4 suggest that for monthly data a lag of four-to-six months would be appropriate, whilst for annual data a one-year lag should be used.</w:t>
      </w:r>
    </w:p>
    <w:p w14:paraId="01058096" w14:textId="77777777" w:rsidR="00AB4E6A" w:rsidRPr="00AB4E6A" w:rsidRDefault="00AB4E6A" w:rsidP="00AB4E6A">
      <w:pPr>
        <w:rPr>
          <w:rFonts w:asciiTheme="majorBidi" w:hAnsiTheme="majorBidi" w:cstheme="majorBidi"/>
        </w:rPr>
      </w:pPr>
    </w:p>
    <w:p w14:paraId="4B229F0F"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When performing a </w:t>
      </w:r>
      <w:r w:rsidRPr="00AB4E6A">
        <w:rPr>
          <w:rFonts w:asciiTheme="majorBidi" w:hAnsiTheme="majorBidi" w:cstheme="majorBidi"/>
          <w:i/>
          <w:iCs/>
        </w:rPr>
        <w:t xml:space="preserve">de novo </w:t>
      </w:r>
      <w:r w:rsidRPr="00AB4E6A">
        <w:rPr>
          <w:rFonts w:asciiTheme="majorBidi" w:hAnsiTheme="majorBidi" w:cstheme="majorBidi"/>
        </w:rPr>
        <w:t>analysis, two types of publicly available evidence were available:</w:t>
      </w:r>
    </w:p>
    <w:p w14:paraId="0A3CCE82" w14:textId="15498C19" w:rsidR="00AB4E6A" w:rsidRPr="00AB4E6A" w:rsidRDefault="00AB4E6A" w:rsidP="00A83123">
      <w:pPr>
        <w:numPr>
          <w:ilvl w:val="0"/>
          <w:numId w:val="32"/>
        </w:numPr>
        <w:spacing w:line="360" w:lineRule="auto"/>
        <w:rPr>
          <w:rFonts w:asciiTheme="majorBidi" w:hAnsiTheme="majorBidi" w:cstheme="majorBidi"/>
        </w:rPr>
      </w:pPr>
      <w:r w:rsidRPr="00AB4E6A">
        <w:rPr>
          <w:rFonts w:asciiTheme="majorBidi" w:hAnsiTheme="majorBidi" w:cstheme="majorBidi"/>
        </w:rPr>
        <w:t xml:space="preserve">English data on AM use and AM resistance, from the ‘AMR local indictors profile’ </w:t>
      </w:r>
      <w:r w:rsidR="004B4D1C" w:rsidRPr="004B4D1C">
        <w:rPr>
          <w:rFonts w:asciiTheme="majorBidi" w:hAnsiTheme="majorBidi" w:cstheme="majorBidi"/>
          <w:noProof/>
          <w:vertAlign w:val="superscript"/>
        </w:rPr>
        <w:t>157</w:t>
      </w:r>
      <w:r w:rsidRPr="00AB4E6A">
        <w:rPr>
          <w:rFonts w:asciiTheme="majorBidi" w:hAnsiTheme="majorBidi" w:cstheme="majorBidi"/>
        </w:rPr>
        <w:t>.</w:t>
      </w:r>
    </w:p>
    <w:p w14:paraId="59CAF7D0" w14:textId="31A6BD33" w:rsidR="00AB4E6A" w:rsidRPr="00AB4E6A" w:rsidRDefault="00AB4E6A" w:rsidP="00A83123">
      <w:pPr>
        <w:numPr>
          <w:ilvl w:val="0"/>
          <w:numId w:val="32"/>
        </w:numPr>
        <w:spacing w:line="360" w:lineRule="auto"/>
        <w:rPr>
          <w:rFonts w:asciiTheme="majorBidi" w:hAnsiTheme="majorBidi" w:cstheme="majorBidi"/>
        </w:rPr>
      </w:pPr>
      <w:r w:rsidRPr="00AB4E6A">
        <w:rPr>
          <w:rFonts w:asciiTheme="majorBidi" w:hAnsiTheme="majorBidi" w:cstheme="majorBidi"/>
        </w:rPr>
        <w:t xml:space="preserve">European data on AM use and AM resistance from EARS-Net and ESAC-Net, respectively </w:t>
      </w:r>
      <w:r w:rsidR="004B4D1C" w:rsidRPr="004B4D1C">
        <w:rPr>
          <w:rFonts w:asciiTheme="majorBidi" w:hAnsiTheme="majorBidi" w:cstheme="majorBidi"/>
          <w:noProof/>
          <w:vertAlign w:val="superscript"/>
        </w:rPr>
        <w:t>158,159</w:t>
      </w:r>
      <w:r w:rsidRPr="00AB4E6A">
        <w:rPr>
          <w:rFonts w:asciiTheme="majorBidi" w:hAnsiTheme="majorBidi" w:cstheme="majorBidi"/>
        </w:rPr>
        <w:t>.</w:t>
      </w:r>
    </w:p>
    <w:p w14:paraId="5A91D54E" w14:textId="77777777" w:rsidR="00AB4E6A" w:rsidRPr="00AB4E6A" w:rsidRDefault="00AB4E6A" w:rsidP="00917737">
      <w:pPr>
        <w:spacing w:line="360" w:lineRule="auto"/>
        <w:rPr>
          <w:rFonts w:asciiTheme="majorBidi" w:hAnsiTheme="majorBidi" w:cstheme="majorBidi"/>
        </w:rPr>
      </w:pPr>
    </w:p>
    <w:p w14:paraId="27B0FD02" w14:textId="50D2BDD6"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The England-specific data are made publicly available by PHE via the Fingertips database </w:t>
      </w:r>
      <w:r w:rsidR="00C83FB7" w:rsidRPr="00C83FB7">
        <w:rPr>
          <w:rFonts w:asciiTheme="majorBidi" w:hAnsiTheme="majorBidi" w:cstheme="majorBidi"/>
          <w:noProof/>
          <w:vertAlign w:val="superscript"/>
        </w:rPr>
        <w:t>208</w:t>
      </w:r>
      <w:r w:rsidRPr="00AB4E6A">
        <w:rPr>
          <w:rFonts w:asciiTheme="majorBidi" w:hAnsiTheme="majorBidi" w:cstheme="majorBidi"/>
        </w:rPr>
        <w:t xml:space="preserve">. Data on resistance are available for Escherichia coli bacteraemia for four AMs: gentamicin, </w:t>
      </w:r>
      <w:proofErr w:type="spellStart"/>
      <w:r w:rsidRPr="00AB4E6A">
        <w:rPr>
          <w:rFonts w:asciiTheme="majorBidi" w:hAnsiTheme="majorBidi" w:cstheme="majorBidi"/>
        </w:rPr>
        <w:t>ciproflaxin</w:t>
      </w:r>
      <w:proofErr w:type="spellEnd"/>
      <w:r w:rsidRPr="00AB4E6A">
        <w:rPr>
          <w:rFonts w:asciiTheme="majorBidi" w:hAnsiTheme="majorBidi" w:cstheme="majorBidi"/>
        </w:rPr>
        <w:t xml:space="preserve">, piperacillin/tazobactam, and </w:t>
      </w:r>
      <w:proofErr w:type="spellStart"/>
      <w:r w:rsidRPr="00AB4E6A">
        <w:rPr>
          <w:rFonts w:asciiTheme="majorBidi" w:hAnsiTheme="majorBidi" w:cstheme="majorBidi"/>
        </w:rPr>
        <w:t>cephlasporins</w:t>
      </w:r>
      <w:proofErr w:type="spellEnd"/>
      <w:r w:rsidRPr="00AB4E6A">
        <w:rPr>
          <w:rFonts w:asciiTheme="majorBidi" w:hAnsiTheme="majorBidi" w:cstheme="majorBidi"/>
        </w:rPr>
        <w:t xml:space="preserve">. Reporting of Escherichia coli has been mandatory for NHS acute trusts since June 2011, and Fingertips provides quarterly data since the last quarter of 2015 </w:t>
      </w:r>
      <w:r w:rsidR="00C83FB7" w:rsidRPr="00C83FB7">
        <w:rPr>
          <w:rFonts w:asciiTheme="majorBidi" w:hAnsiTheme="majorBidi" w:cstheme="majorBidi"/>
          <w:noProof/>
          <w:vertAlign w:val="superscript"/>
        </w:rPr>
        <w:t>209</w:t>
      </w:r>
      <w:r w:rsidRPr="00AB4E6A">
        <w:rPr>
          <w:rFonts w:asciiTheme="majorBidi" w:hAnsiTheme="majorBidi" w:cstheme="majorBidi"/>
        </w:rPr>
        <w:t xml:space="preserve">. Data on AM use cover both primary and secondary care. For primary care, data are available for both the total number of AM prescriptions and the total number of prescriptions of broad-spectrum AMs, defined as cephalosporins, fluoroquinolones, and co-amoxiclav. Secondary care AM use is available for the total number of AM prescriptions, the number of carbapenems prescriptions, and the number of prescriptions for each of the World Health Organisation’s access, watch, reserve categories </w:t>
      </w:r>
      <w:r w:rsidR="00C83FB7" w:rsidRPr="00C83FB7">
        <w:rPr>
          <w:rFonts w:asciiTheme="majorBidi" w:hAnsiTheme="majorBidi" w:cstheme="majorBidi"/>
          <w:noProof/>
          <w:vertAlign w:val="superscript"/>
        </w:rPr>
        <w:t>210</w:t>
      </w:r>
      <w:r w:rsidRPr="00AB4E6A">
        <w:rPr>
          <w:rFonts w:asciiTheme="majorBidi" w:hAnsiTheme="majorBidi" w:cstheme="majorBidi"/>
        </w:rPr>
        <w:t xml:space="preserve">. An alternative data source for AM prescriptions is OpenPrescribing.net </w:t>
      </w:r>
      <w:r w:rsidR="00C83FB7" w:rsidRPr="00C83FB7">
        <w:rPr>
          <w:rFonts w:asciiTheme="majorBidi" w:hAnsiTheme="majorBidi" w:cstheme="majorBidi"/>
          <w:noProof/>
          <w:vertAlign w:val="superscript"/>
        </w:rPr>
        <w:t>211</w:t>
      </w:r>
      <w:r w:rsidRPr="00AB4E6A">
        <w:rPr>
          <w:rFonts w:asciiTheme="majorBidi" w:hAnsiTheme="majorBidi" w:cstheme="majorBidi"/>
        </w:rPr>
        <w:t xml:space="preserve">. This provides information on primary care prescriptions for the last five years in England. This source does not include secondary care prescriptions but does include some of the drugs that are included in the Fingertips resistance data (gentamicin, </w:t>
      </w:r>
      <w:proofErr w:type="spellStart"/>
      <w:r w:rsidRPr="00AB4E6A">
        <w:rPr>
          <w:rFonts w:asciiTheme="majorBidi" w:hAnsiTheme="majorBidi" w:cstheme="majorBidi"/>
        </w:rPr>
        <w:t>ciproflaxin</w:t>
      </w:r>
      <w:proofErr w:type="spellEnd"/>
      <w:r w:rsidRPr="00AB4E6A">
        <w:rPr>
          <w:rFonts w:asciiTheme="majorBidi" w:hAnsiTheme="majorBidi" w:cstheme="majorBidi"/>
        </w:rPr>
        <w:t>, and piperacillin/tazobactam).</w:t>
      </w:r>
    </w:p>
    <w:p w14:paraId="4BE7103D" w14:textId="77777777" w:rsidR="00AB4E6A" w:rsidRPr="00AB4E6A" w:rsidRDefault="00AB4E6A" w:rsidP="00917737">
      <w:pPr>
        <w:spacing w:line="360" w:lineRule="auto"/>
        <w:rPr>
          <w:rFonts w:asciiTheme="majorBidi" w:hAnsiTheme="majorBidi" w:cstheme="majorBidi"/>
        </w:rPr>
      </w:pPr>
    </w:p>
    <w:p w14:paraId="7A66DE2E" w14:textId="2EEBBE71" w:rsidR="00AB4E6A" w:rsidRPr="00AB4E6A" w:rsidRDefault="00AB4E6A" w:rsidP="00A83123">
      <w:pPr>
        <w:spacing w:line="360" w:lineRule="auto"/>
        <w:rPr>
          <w:rFonts w:asciiTheme="majorBidi" w:hAnsiTheme="majorBidi" w:cstheme="majorBidi"/>
        </w:rPr>
      </w:pPr>
      <w:bookmarkStart w:id="841" w:name="_Hlk84860864"/>
      <w:r w:rsidRPr="00AB4E6A">
        <w:rPr>
          <w:rFonts w:asciiTheme="majorBidi" w:hAnsiTheme="majorBidi" w:cstheme="majorBidi"/>
        </w:rPr>
        <w:t xml:space="preserve">Thirty countries from the European Union contribute data to EARS-Net on AM resistance for up to eight pathogens </w:t>
      </w:r>
      <w:r w:rsidR="004B4D1C" w:rsidRPr="004B4D1C">
        <w:rPr>
          <w:rFonts w:asciiTheme="majorBidi" w:hAnsiTheme="majorBidi" w:cstheme="majorBidi"/>
          <w:noProof/>
          <w:vertAlign w:val="superscript"/>
        </w:rPr>
        <w:t>160</w:t>
      </w:r>
      <w:r w:rsidRPr="00AB4E6A">
        <w:rPr>
          <w:rFonts w:asciiTheme="majorBidi" w:hAnsiTheme="majorBidi" w:cstheme="majorBidi"/>
        </w:rPr>
        <w:t xml:space="preserve">. </w:t>
      </w:r>
      <w:bookmarkEnd w:id="841"/>
      <w:r w:rsidRPr="00AB4E6A">
        <w:rPr>
          <w:rFonts w:asciiTheme="majorBidi" w:hAnsiTheme="majorBidi" w:cstheme="majorBidi"/>
        </w:rPr>
        <w:t xml:space="preserve">The analyses reported here focused on two pathogens that overlapped with those in the HVCS: </w:t>
      </w:r>
      <w:bookmarkStart w:id="842" w:name="_Hlk84860910"/>
      <w:r w:rsidR="0066591E">
        <w:rPr>
          <w:rFonts w:asciiTheme="majorBidi" w:hAnsiTheme="majorBidi" w:cstheme="majorBidi"/>
          <w:i/>
          <w:iCs/>
        </w:rPr>
        <w:t>Escherichia coli</w:t>
      </w:r>
      <w:r w:rsidRPr="00AB4E6A">
        <w:rPr>
          <w:rFonts w:asciiTheme="majorBidi" w:hAnsiTheme="majorBidi" w:cstheme="majorBidi"/>
          <w:i/>
          <w:iCs/>
        </w:rPr>
        <w:t>, and Klebsiella pneumoniae</w:t>
      </w:r>
      <w:r w:rsidRPr="00AB4E6A">
        <w:rPr>
          <w:rFonts w:asciiTheme="majorBidi" w:hAnsiTheme="majorBidi" w:cstheme="majorBidi"/>
        </w:rPr>
        <w:t xml:space="preserve"> (as </w:t>
      </w:r>
      <w:proofErr w:type="spellStart"/>
      <w:r w:rsidR="00FE2007" w:rsidRPr="00FE2007">
        <w:rPr>
          <w:rFonts w:asciiTheme="majorBidi" w:hAnsiTheme="majorBidi" w:cstheme="majorBidi"/>
          <w:i/>
          <w:iCs/>
        </w:rPr>
        <w:t>Enterobacterales</w:t>
      </w:r>
      <w:proofErr w:type="spellEnd"/>
      <w:r w:rsidRPr="00AB4E6A">
        <w:rPr>
          <w:rFonts w:asciiTheme="majorBidi" w:hAnsiTheme="majorBidi" w:cstheme="majorBidi"/>
        </w:rPr>
        <w:t>)</w:t>
      </w:r>
      <w:r w:rsidR="0066591E">
        <w:rPr>
          <w:rFonts w:asciiTheme="majorBidi" w:hAnsiTheme="majorBidi" w:cstheme="majorBidi"/>
        </w:rPr>
        <w:t>.</w:t>
      </w:r>
      <w:r w:rsidRPr="00AB4E6A">
        <w:rPr>
          <w:rFonts w:asciiTheme="majorBidi" w:hAnsiTheme="majorBidi" w:cstheme="majorBidi"/>
        </w:rPr>
        <w:t xml:space="preserve"> </w:t>
      </w:r>
      <w:bookmarkEnd w:id="842"/>
      <w:r w:rsidRPr="00AB4E6A">
        <w:rPr>
          <w:rFonts w:asciiTheme="majorBidi" w:hAnsiTheme="majorBidi" w:cstheme="majorBidi"/>
        </w:rPr>
        <w:t xml:space="preserve">There was initially no restriction on the time-periods, countries or AMs considered. The AMs for which resistance data are available </w:t>
      </w:r>
      <w:proofErr w:type="gramStart"/>
      <w:r w:rsidRPr="00AB4E6A">
        <w:rPr>
          <w:rFonts w:asciiTheme="majorBidi" w:hAnsiTheme="majorBidi" w:cstheme="majorBidi"/>
        </w:rPr>
        <w:t>are:</w:t>
      </w:r>
      <w:proofErr w:type="gramEnd"/>
      <w:r w:rsidRPr="00AB4E6A">
        <w:rPr>
          <w:rFonts w:asciiTheme="majorBidi" w:hAnsiTheme="majorBidi" w:cstheme="majorBidi"/>
        </w:rPr>
        <w:t xml:space="preserve"> </w:t>
      </w:r>
      <w:r w:rsidRPr="00AB4E6A">
        <w:rPr>
          <w:rFonts w:asciiTheme="majorBidi" w:hAnsiTheme="majorBidi" w:cstheme="majorBidi"/>
          <w:i/>
          <w:iCs/>
        </w:rPr>
        <w:t>Escherichia coli</w:t>
      </w:r>
      <w:r w:rsidRPr="00AB4E6A">
        <w:rPr>
          <w:rFonts w:asciiTheme="majorBidi" w:hAnsiTheme="majorBidi" w:cstheme="majorBidi"/>
        </w:rPr>
        <w:t xml:space="preserve"> (aminoglycosides, aminopenicillins, carbapenems, fluoroquinolones, and cephalosporins), and </w:t>
      </w:r>
      <w:r w:rsidRPr="00AB4E6A">
        <w:rPr>
          <w:rFonts w:asciiTheme="majorBidi" w:hAnsiTheme="majorBidi" w:cstheme="majorBidi"/>
          <w:i/>
          <w:iCs/>
        </w:rPr>
        <w:t>Klebsiella pneumoniae</w:t>
      </w:r>
      <w:r w:rsidRPr="00AB4E6A">
        <w:rPr>
          <w:rFonts w:asciiTheme="majorBidi" w:hAnsiTheme="majorBidi" w:cstheme="majorBidi"/>
        </w:rPr>
        <w:t xml:space="preserve"> (aminoglycosides, carbapenems, fluoroquinolones, and cephalosporins)</w:t>
      </w:r>
      <w:r w:rsidR="0066591E">
        <w:rPr>
          <w:rFonts w:asciiTheme="majorBidi" w:hAnsiTheme="majorBidi" w:cstheme="majorBidi"/>
        </w:rPr>
        <w:t>.</w:t>
      </w:r>
      <w:r w:rsidRPr="00AB4E6A">
        <w:rPr>
          <w:rFonts w:asciiTheme="majorBidi" w:hAnsiTheme="majorBidi" w:cstheme="majorBidi"/>
        </w:rPr>
        <w:t xml:space="preserve"> </w:t>
      </w:r>
    </w:p>
    <w:p w14:paraId="57668BBD" w14:textId="77777777" w:rsidR="00AB4E6A" w:rsidRPr="00AB4E6A" w:rsidRDefault="00AB4E6A" w:rsidP="00917737">
      <w:pPr>
        <w:spacing w:line="360" w:lineRule="auto"/>
        <w:rPr>
          <w:rFonts w:asciiTheme="majorBidi" w:hAnsiTheme="majorBidi" w:cstheme="majorBidi"/>
        </w:rPr>
      </w:pPr>
    </w:p>
    <w:p w14:paraId="140BA369" w14:textId="48FEC2D1"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lastRenderedPageBreak/>
        <w:t>Data on AM consumption (</w:t>
      </w:r>
      <w:bookmarkStart w:id="843" w:name="_Hlk84861332"/>
      <w:r w:rsidRPr="00AB4E6A">
        <w:rPr>
          <w:rFonts w:asciiTheme="majorBidi" w:hAnsiTheme="majorBidi" w:cstheme="majorBidi"/>
        </w:rPr>
        <w:t>defined daily doses per 1,000 inhabitants per day</w:t>
      </w:r>
      <w:bookmarkEnd w:id="843"/>
      <w:r w:rsidRPr="00AB4E6A">
        <w:rPr>
          <w:rFonts w:asciiTheme="majorBidi" w:hAnsiTheme="majorBidi" w:cstheme="majorBidi"/>
        </w:rPr>
        <w:t xml:space="preserve">) were obtained from ESAC-Net, which provides use in both the community and hospitals </w:t>
      </w:r>
      <w:r w:rsidR="004B4D1C" w:rsidRPr="004B4D1C">
        <w:rPr>
          <w:rFonts w:asciiTheme="majorBidi" w:hAnsiTheme="majorBidi" w:cstheme="majorBidi"/>
          <w:noProof/>
          <w:vertAlign w:val="superscript"/>
        </w:rPr>
        <w:t>158</w:t>
      </w:r>
      <w:r w:rsidRPr="00AB4E6A">
        <w:rPr>
          <w:rFonts w:asciiTheme="majorBidi" w:hAnsiTheme="majorBidi" w:cstheme="majorBidi"/>
        </w:rPr>
        <w:t xml:space="preserve">. Data are drawn from a variety of sources; for example, AM use in acute hospitals is based on a point-prevalence survey, whilst both sales and reimbursement data could contribute to overall estimates of use. Defined daily doses were developed by the World Health Organisation Collaborating Centre for Drug Statistics Methodology and are the average maintenance dose per day for a drug when used in its main adult indication. There were two AMs for which surveillance data on both consumption and resistance were available: </w:t>
      </w:r>
      <w:bookmarkStart w:id="844" w:name="_Hlk84860969"/>
      <w:r w:rsidRPr="00AB4E6A">
        <w:rPr>
          <w:rFonts w:asciiTheme="majorBidi" w:hAnsiTheme="majorBidi" w:cstheme="majorBidi"/>
        </w:rPr>
        <w:t>cephalosporins and carbapenems</w:t>
      </w:r>
      <w:bookmarkEnd w:id="844"/>
      <w:r w:rsidRPr="00AB4E6A">
        <w:rPr>
          <w:rFonts w:asciiTheme="majorBidi" w:hAnsiTheme="majorBidi" w:cstheme="majorBidi"/>
        </w:rPr>
        <w:t xml:space="preserve">, hence analyses were restricted to these. Data for cephalosporins included first, second, third and fourth generation cephalosporins, as well as ‘other cephalosporins and </w:t>
      </w:r>
      <w:proofErr w:type="spellStart"/>
      <w:r w:rsidRPr="00AB4E6A">
        <w:rPr>
          <w:rFonts w:asciiTheme="majorBidi" w:hAnsiTheme="majorBidi" w:cstheme="majorBidi"/>
        </w:rPr>
        <w:t>penems</w:t>
      </w:r>
      <w:proofErr w:type="spellEnd"/>
      <w:r w:rsidRPr="00AB4E6A">
        <w:rPr>
          <w:rFonts w:asciiTheme="majorBidi" w:hAnsiTheme="majorBidi" w:cstheme="majorBidi"/>
        </w:rPr>
        <w:t>’.</w:t>
      </w:r>
    </w:p>
    <w:p w14:paraId="1D88AD24" w14:textId="77777777" w:rsidR="00AB4E6A" w:rsidRPr="00AB4E6A" w:rsidRDefault="00AB4E6A" w:rsidP="00917737">
      <w:pPr>
        <w:spacing w:line="360" w:lineRule="auto"/>
        <w:rPr>
          <w:rFonts w:asciiTheme="majorBidi" w:hAnsiTheme="majorBidi" w:cstheme="majorBidi"/>
        </w:rPr>
      </w:pPr>
    </w:p>
    <w:p w14:paraId="1F67082F" w14:textId="08FBBA0D"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The general aim was to identify trajectories of resistance to existing AMs, and for to assess the association with AM use. This would then provide a set of potential use-resistance trajectories which could then be applied to CAZ-AVI, for which levels of use would be estimated from the economic model. A two-stage approach was employed. In the first stage, resistance trajectories were visualised to identify any trajectories for which resistance started at a low level (as baseline resi</w:t>
      </w:r>
      <w:r w:rsidR="0015769A">
        <w:rPr>
          <w:rFonts w:asciiTheme="majorBidi" w:hAnsiTheme="majorBidi" w:cstheme="majorBidi"/>
        </w:rPr>
        <w:t>stance to CAZ-</w:t>
      </w:r>
      <w:proofErr w:type="gramStart"/>
      <w:r w:rsidR="0015769A">
        <w:rPr>
          <w:rFonts w:asciiTheme="majorBidi" w:hAnsiTheme="majorBidi" w:cstheme="majorBidi"/>
        </w:rPr>
        <w:t xml:space="preserve">AVI </w:t>
      </w:r>
      <w:r w:rsidRPr="00AB4E6A">
        <w:rPr>
          <w:rFonts w:asciiTheme="majorBidi" w:hAnsiTheme="majorBidi" w:cstheme="majorBidi"/>
        </w:rPr>
        <w:t xml:space="preserve"> was</w:t>
      </w:r>
      <w:proofErr w:type="gramEnd"/>
      <w:r w:rsidRPr="00AB4E6A">
        <w:rPr>
          <w:rFonts w:asciiTheme="majorBidi" w:hAnsiTheme="majorBidi" w:cstheme="majorBidi"/>
        </w:rPr>
        <w:t xml:space="preserve"> estimated to be </w:t>
      </w:r>
      <w:r w:rsidR="00B56603" w:rsidRPr="00B56603">
        <w:rPr>
          <w:rFonts w:asciiTheme="majorBidi" w:hAnsiTheme="majorBidi" w:cstheme="majorBidi"/>
        </w:rPr>
        <w:t>92% in Section 7.2.3</w:t>
      </w:r>
      <w:r w:rsidRPr="00AB4E6A">
        <w:rPr>
          <w:rFonts w:asciiTheme="majorBidi" w:hAnsiTheme="majorBidi" w:cstheme="majorBidi"/>
        </w:rPr>
        <w:t xml:space="preserve">). Trajectories were retained even if there was no apparent trend in resistance over time. This was because existing evidence suggested that for some AMs there may be no association between use and resistance </w:t>
      </w:r>
      <w:r w:rsidR="004B4D1C" w:rsidRPr="004B4D1C">
        <w:rPr>
          <w:rFonts w:asciiTheme="majorBidi" w:hAnsiTheme="majorBidi" w:cstheme="majorBidi"/>
          <w:noProof/>
          <w:vertAlign w:val="superscript"/>
        </w:rPr>
        <w:t>147</w:t>
      </w:r>
      <w:r w:rsidRPr="00AB4E6A">
        <w:rPr>
          <w:rFonts w:asciiTheme="majorBidi" w:hAnsiTheme="majorBidi" w:cstheme="majorBidi"/>
        </w:rPr>
        <w:t>. Within the England-specific data there were no clear examples of when resistance increased from a low baseline. Hence subsequent analyses were restricted to the European surveillance data.</w:t>
      </w:r>
    </w:p>
    <w:p w14:paraId="4EB1BF33" w14:textId="77777777" w:rsidR="00AB4E6A" w:rsidRPr="00AB4E6A" w:rsidRDefault="00AB4E6A" w:rsidP="00917737">
      <w:pPr>
        <w:spacing w:line="360" w:lineRule="auto"/>
        <w:rPr>
          <w:rFonts w:asciiTheme="majorBidi" w:hAnsiTheme="majorBidi" w:cstheme="majorBidi"/>
        </w:rPr>
      </w:pPr>
    </w:p>
    <w:p w14:paraId="1400F659" w14:textId="68BBAC86"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A visual inspection of the two </w:t>
      </w:r>
      <w:proofErr w:type="spellStart"/>
      <w:r w:rsidR="00FE2007" w:rsidRPr="00FE2007">
        <w:rPr>
          <w:rFonts w:asciiTheme="majorBidi" w:hAnsiTheme="majorBidi" w:cstheme="majorBidi"/>
          <w:i/>
          <w:iCs/>
        </w:rPr>
        <w:t>Enterobacterales</w:t>
      </w:r>
      <w:proofErr w:type="spellEnd"/>
      <w:r w:rsidRPr="00AB4E6A">
        <w:rPr>
          <w:rFonts w:asciiTheme="majorBidi" w:hAnsiTheme="majorBidi" w:cstheme="majorBidi"/>
        </w:rPr>
        <w:t xml:space="preserve"> pathogens showed that low initial levels of resistance were more common for </w:t>
      </w:r>
      <w:r w:rsidRPr="00AB4E6A">
        <w:rPr>
          <w:rFonts w:asciiTheme="majorBidi" w:hAnsiTheme="majorBidi" w:cstheme="majorBidi"/>
          <w:i/>
          <w:iCs/>
        </w:rPr>
        <w:t xml:space="preserve">Escherichia coli </w:t>
      </w:r>
      <w:r w:rsidRPr="00AB4E6A">
        <w:rPr>
          <w:rFonts w:asciiTheme="majorBidi" w:hAnsiTheme="majorBidi" w:cstheme="majorBidi"/>
        </w:rPr>
        <w:t xml:space="preserve">than </w:t>
      </w:r>
      <w:r w:rsidRPr="00AB4E6A">
        <w:rPr>
          <w:rFonts w:asciiTheme="majorBidi" w:hAnsiTheme="majorBidi" w:cstheme="majorBidi"/>
          <w:i/>
          <w:iCs/>
        </w:rPr>
        <w:t>Klebsiella pneumoniae</w:t>
      </w:r>
      <w:r w:rsidRPr="00AB4E6A">
        <w:rPr>
          <w:rFonts w:asciiTheme="majorBidi" w:hAnsiTheme="majorBidi" w:cstheme="majorBidi"/>
        </w:rPr>
        <w:t xml:space="preserve">, hence only the former was retained. For </w:t>
      </w:r>
      <w:r w:rsidRPr="00AB4E6A">
        <w:rPr>
          <w:rFonts w:asciiTheme="majorBidi" w:hAnsiTheme="majorBidi" w:cstheme="majorBidi"/>
          <w:i/>
          <w:iCs/>
        </w:rPr>
        <w:t>Escherichia coli</w:t>
      </w:r>
      <w:r w:rsidRPr="00AB4E6A">
        <w:rPr>
          <w:rFonts w:asciiTheme="majorBidi" w:hAnsiTheme="majorBidi" w:cstheme="majorBidi"/>
        </w:rPr>
        <w:t xml:space="preserve">, an initial filter was applied to only retain countries for which at least </w:t>
      </w:r>
      <w:bookmarkStart w:id="845" w:name="_Hlk84861057"/>
      <w:r w:rsidRPr="00AB4E6A">
        <w:rPr>
          <w:rFonts w:asciiTheme="majorBidi" w:hAnsiTheme="majorBidi" w:cstheme="majorBidi"/>
        </w:rPr>
        <w:t>5,000 isolates were tested, and baseline resistance (average over the first three years of available data) was less than 3</w:t>
      </w:r>
      <w:bookmarkEnd w:id="845"/>
      <w:r w:rsidR="001E26C4">
        <w:rPr>
          <w:rFonts w:asciiTheme="majorBidi" w:hAnsiTheme="majorBidi" w:cstheme="majorBidi"/>
        </w:rPr>
        <w:t xml:space="preserve">%.  </w:t>
      </w:r>
      <w:r w:rsidRPr="00AB4E6A">
        <w:rPr>
          <w:rFonts w:asciiTheme="majorBidi" w:hAnsiTheme="majorBidi" w:cstheme="majorBidi"/>
        </w:rPr>
        <w:t>As a result</w:t>
      </w:r>
      <w:r w:rsidR="00FD133B">
        <w:rPr>
          <w:rFonts w:asciiTheme="majorBidi" w:hAnsiTheme="majorBidi" w:cstheme="majorBidi"/>
        </w:rPr>
        <w:t>,</w:t>
      </w:r>
      <w:r w:rsidRPr="00AB4E6A">
        <w:rPr>
          <w:rFonts w:asciiTheme="majorBidi" w:hAnsiTheme="majorBidi" w:cstheme="majorBidi"/>
        </w:rPr>
        <w:t xml:space="preserve"> 27 countries were retained</w:t>
      </w:r>
      <w:r w:rsidR="001E26C4">
        <w:rPr>
          <w:rFonts w:asciiTheme="majorBidi" w:hAnsiTheme="majorBidi" w:cstheme="majorBidi"/>
        </w:rPr>
        <w:t xml:space="preserve">.  </w:t>
      </w:r>
      <w:r w:rsidRPr="00AB4E6A">
        <w:rPr>
          <w:rFonts w:asciiTheme="majorBidi" w:hAnsiTheme="majorBidi" w:cstheme="majorBidi"/>
        </w:rPr>
        <w:t xml:space="preserve">After visually examining plots of AM use and AM resistance for these countries, it was decided to further filter the list of countries by restricting the evidence for carbapenems to countries with at least ten non-zero observations for both AM use and AM resistance. For cephalosporins at least 15 non-zero observations were required, due to the large list of retained countries. </w:t>
      </w:r>
      <w:bookmarkStart w:id="846" w:name="_Hlk84861182"/>
      <w:r w:rsidRPr="00AB4E6A">
        <w:rPr>
          <w:rFonts w:asciiTheme="majorBidi" w:hAnsiTheme="majorBidi" w:cstheme="majorBidi"/>
        </w:rPr>
        <w:t>This</w:t>
      </w:r>
      <w:r w:rsidR="001E26C4">
        <w:rPr>
          <w:rFonts w:asciiTheme="majorBidi" w:hAnsiTheme="majorBidi" w:cstheme="majorBidi"/>
        </w:rPr>
        <w:t xml:space="preserve"> resulted in the following 16</w:t>
      </w:r>
      <w:r w:rsidRPr="00AB4E6A">
        <w:rPr>
          <w:rFonts w:asciiTheme="majorBidi" w:hAnsiTheme="majorBidi" w:cstheme="majorBidi"/>
        </w:rPr>
        <w:t xml:space="preserve"> pathogen-drug-country combinations:</w:t>
      </w:r>
    </w:p>
    <w:p w14:paraId="490DB710" w14:textId="016C578B" w:rsidR="00AB4E6A" w:rsidRPr="00AB4E6A" w:rsidRDefault="00B56603" w:rsidP="005A3BE6">
      <w:pPr>
        <w:numPr>
          <w:ilvl w:val="0"/>
          <w:numId w:val="45"/>
        </w:numPr>
        <w:spacing w:line="360" w:lineRule="auto"/>
        <w:rPr>
          <w:rFonts w:asciiTheme="majorBidi" w:hAnsiTheme="majorBidi" w:cstheme="majorBidi"/>
        </w:rPr>
      </w:pPr>
      <w:r>
        <w:rPr>
          <w:rFonts w:asciiTheme="majorBidi" w:hAnsiTheme="majorBidi" w:cstheme="majorBidi"/>
        </w:rPr>
        <w:t>C</w:t>
      </w:r>
      <w:r w:rsidR="00AB4E6A" w:rsidRPr="00AB4E6A">
        <w:rPr>
          <w:rFonts w:asciiTheme="majorBidi" w:hAnsiTheme="majorBidi" w:cstheme="majorBidi"/>
        </w:rPr>
        <w:t>arbapenems: France, Greece, Netherlands, Norway.</w:t>
      </w:r>
    </w:p>
    <w:p w14:paraId="2E34CB36" w14:textId="7A0131BF" w:rsidR="00AB4E6A" w:rsidRPr="00AB4E6A" w:rsidRDefault="00B56603" w:rsidP="005A3BE6">
      <w:pPr>
        <w:numPr>
          <w:ilvl w:val="0"/>
          <w:numId w:val="45"/>
        </w:numPr>
        <w:spacing w:line="360" w:lineRule="auto"/>
        <w:rPr>
          <w:rFonts w:asciiTheme="majorBidi" w:hAnsiTheme="majorBidi" w:cstheme="majorBidi"/>
        </w:rPr>
      </w:pPr>
      <w:r>
        <w:rPr>
          <w:rFonts w:asciiTheme="majorBidi" w:hAnsiTheme="majorBidi" w:cstheme="majorBidi"/>
        </w:rPr>
        <w:t>C</w:t>
      </w:r>
      <w:r w:rsidRPr="00AB4E6A">
        <w:rPr>
          <w:rFonts w:asciiTheme="majorBidi" w:hAnsiTheme="majorBidi" w:cstheme="majorBidi"/>
        </w:rPr>
        <w:t>ephalosporins</w:t>
      </w:r>
      <w:r w:rsidR="00AB4E6A" w:rsidRPr="00AB4E6A">
        <w:rPr>
          <w:rFonts w:asciiTheme="majorBidi" w:hAnsiTheme="majorBidi" w:cstheme="majorBidi"/>
        </w:rPr>
        <w:t>: Bulgaria, Croatia, Estonia, Finland, France, Greece, Ireland, Luxembourg, Malta, Norway, Slovenia, Sweden</w:t>
      </w:r>
    </w:p>
    <w:bookmarkEnd w:id="846"/>
    <w:p w14:paraId="3A64ADC2" w14:textId="77777777" w:rsidR="00AB4E6A" w:rsidRPr="00AB4E6A" w:rsidRDefault="00AB4E6A" w:rsidP="00917737">
      <w:pPr>
        <w:spacing w:line="360" w:lineRule="auto"/>
        <w:rPr>
          <w:rFonts w:asciiTheme="majorBidi" w:hAnsiTheme="majorBidi" w:cstheme="majorBidi"/>
        </w:rPr>
      </w:pPr>
    </w:p>
    <w:p w14:paraId="436ACED5" w14:textId="3C20310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 xml:space="preserve">For these countries, time-series models were used to assess the association between drug use in one year and resistance in the following year. This was achieved by fitting ARIMA models for which resistance over time was the outcome, and the lagged time-series of drug use was the predictor. The regression coefficient for this predictor provides inferences: if it is significantly different to zero this suggests that there is an association between AM use and resistance, with positive coefficients indicating that an increase (decrease) in use will lead to an increase (decrease) in resistance in the following year. Conversely, a negative coefficient indicates that an increase (decrease) in use will lead to a decrease (increase) in resistance in the following year. An overview of the coefficients for each retained country is provided in Table 28. Corresponding graphs are provided in Appendix </w:t>
      </w:r>
      <w:r w:rsidR="00B56603">
        <w:rPr>
          <w:rFonts w:asciiTheme="majorBidi" w:hAnsiTheme="majorBidi" w:cstheme="majorBidi"/>
        </w:rPr>
        <w:t>19</w:t>
      </w:r>
      <w:r w:rsidRPr="00AB4E6A">
        <w:rPr>
          <w:rFonts w:asciiTheme="majorBidi" w:hAnsiTheme="majorBidi" w:cstheme="majorBidi"/>
        </w:rPr>
        <w:t>.</w:t>
      </w:r>
    </w:p>
    <w:p w14:paraId="738D95AC" w14:textId="77777777" w:rsidR="00AB4E6A" w:rsidRPr="00AB4E6A" w:rsidRDefault="00AB4E6A" w:rsidP="00917737">
      <w:pPr>
        <w:spacing w:line="360" w:lineRule="auto"/>
        <w:rPr>
          <w:rFonts w:asciiTheme="majorBidi" w:hAnsiTheme="majorBidi" w:cstheme="majorBidi"/>
        </w:rPr>
      </w:pPr>
    </w:p>
    <w:p w14:paraId="19B3CE97" w14:textId="23B491C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In summary</w:t>
      </w:r>
      <w:bookmarkStart w:id="847" w:name="_Hlk84861347"/>
      <w:r w:rsidRPr="00AB4E6A">
        <w:rPr>
          <w:rFonts w:asciiTheme="majorBidi" w:hAnsiTheme="majorBidi" w:cstheme="majorBidi"/>
        </w:rPr>
        <w:t>, of the 16 combinations considered:</w:t>
      </w:r>
    </w:p>
    <w:p w14:paraId="220927F0" w14:textId="3D686CB7" w:rsidR="00AB4E6A" w:rsidRPr="00AB4E6A" w:rsidRDefault="0015769A" w:rsidP="005A3BE6">
      <w:pPr>
        <w:numPr>
          <w:ilvl w:val="0"/>
          <w:numId w:val="46"/>
        </w:numPr>
        <w:spacing w:line="360" w:lineRule="auto"/>
        <w:rPr>
          <w:rFonts w:asciiTheme="majorBidi" w:hAnsiTheme="majorBidi" w:cstheme="majorBidi"/>
        </w:rPr>
      </w:pPr>
      <w:r>
        <w:rPr>
          <w:rFonts w:asciiTheme="majorBidi" w:hAnsiTheme="majorBidi" w:cstheme="majorBidi"/>
        </w:rPr>
        <w:t>H</w:t>
      </w:r>
      <w:r w:rsidR="00AB4E6A" w:rsidRPr="00AB4E6A">
        <w:rPr>
          <w:rFonts w:asciiTheme="majorBidi" w:hAnsiTheme="majorBidi" w:cstheme="majorBidi"/>
        </w:rPr>
        <w:t>alf provided a significant association (8/</w:t>
      </w:r>
      <w:proofErr w:type="gramStart"/>
      <w:r w:rsidR="00AB4E6A" w:rsidRPr="00AB4E6A">
        <w:rPr>
          <w:rFonts w:asciiTheme="majorBidi" w:hAnsiTheme="majorBidi" w:cstheme="majorBidi"/>
        </w:rPr>
        <w:t>16;,</w:t>
      </w:r>
      <w:proofErr w:type="gramEnd"/>
      <w:r w:rsidR="00AB4E6A" w:rsidRPr="00AB4E6A">
        <w:rPr>
          <w:rFonts w:asciiTheme="majorBidi" w:hAnsiTheme="majorBidi" w:cstheme="majorBidi"/>
        </w:rPr>
        <w:t xml:space="preserve"> Escherichia coli = 2 /4 for carbapenems and 6 / 12 for cephalosporins).</w:t>
      </w:r>
    </w:p>
    <w:p w14:paraId="48E54E1C" w14:textId="614939CF" w:rsidR="00AB4E6A" w:rsidRPr="0015769A" w:rsidRDefault="00AB4E6A" w:rsidP="005A3BE6">
      <w:pPr>
        <w:numPr>
          <w:ilvl w:val="0"/>
          <w:numId w:val="46"/>
        </w:numPr>
        <w:spacing w:line="360" w:lineRule="auto"/>
        <w:rPr>
          <w:rFonts w:asciiTheme="majorBidi" w:hAnsiTheme="majorBidi" w:cstheme="majorBidi"/>
        </w:rPr>
      </w:pPr>
      <w:r w:rsidRPr="0015769A">
        <w:rPr>
          <w:rFonts w:asciiTheme="majorBidi" w:hAnsiTheme="majorBidi" w:cstheme="majorBidi"/>
        </w:rPr>
        <w:t xml:space="preserve">Of the 8 significant associations, four seven were positive associations (increasing use led to an increase in resistance), whilst four five were negative (decreasing use led to an increase in resistance). </w:t>
      </w:r>
      <w:proofErr w:type="gramStart"/>
      <w:r w:rsidRPr="0015769A">
        <w:rPr>
          <w:rFonts w:asciiTheme="majorBidi" w:hAnsiTheme="majorBidi" w:cstheme="majorBidi"/>
        </w:rPr>
        <w:t>All of</w:t>
      </w:r>
      <w:proofErr w:type="gramEnd"/>
      <w:r w:rsidRPr="0015769A">
        <w:rPr>
          <w:rFonts w:asciiTheme="majorBidi" w:hAnsiTheme="majorBidi" w:cstheme="majorBidi"/>
        </w:rPr>
        <w:t xml:space="preserve"> the negative associations were for Escherichia-cephalosporins</w:t>
      </w:r>
      <w:r w:rsidR="0015769A">
        <w:rPr>
          <w:rFonts w:asciiTheme="majorBidi" w:hAnsiTheme="majorBidi" w:cstheme="majorBidi"/>
        </w:rPr>
        <w:t>.</w:t>
      </w:r>
    </w:p>
    <w:p w14:paraId="1FF270C6"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Of note, this analysis was focused on datasets which demonstrated an increase in resistance overtime. Hence any significant associations between AM use and decreasing resistance were not explored.</w:t>
      </w:r>
    </w:p>
    <w:bookmarkEnd w:id="847"/>
    <w:p w14:paraId="32DD2549" w14:textId="1D7292C6" w:rsidR="00AB4E6A" w:rsidRDefault="00AB4E6A" w:rsidP="00AB4E6A">
      <w:pPr>
        <w:rPr>
          <w:rFonts w:asciiTheme="majorBidi" w:hAnsiTheme="majorBidi" w:cstheme="majorBidi"/>
        </w:rPr>
      </w:pPr>
    </w:p>
    <w:p w14:paraId="4F757BFD" w14:textId="668564B6" w:rsidR="0021430F" w:rsidRDefault="0021430F" w:rsidP="00AB4E6A">
      <w:pPr>
        <w:rPr>
          <w:rFonts w:asciiTheme="majorBidi" w:hAnsiTheme="majorBidi" w:cstheme="majorBidi"/>
        </w:rPr>
      </w:pPr>
    </w:p>
    <w:p w14:paraId="26757EBF" w14:textId="518A365A" w:rsidR="0021430F" w:rsidRDefault="0021430F" w:rsidP="00AB4E6A">
      <w:pPr>
        <w:rPr>
          <w:rFonts w:asciiTheme="majorBidi" w:hAnsiTheme="majorBidi" w:cstheme="majorBidi"/>
        </w:rPr>
      </w:pPr>
    </w:p>
    <w:p w14:paraId="3E53FD44" w14:textId="1EE5F2FC" w:rsidR="0021430F" w:rsidRDefault="0021430F" w:rsidP="00AB4E6A">
      <w:pPr>
        <w:rPr>
          <w:rFonts w:asciiTheme="majorBidi" w:hAnsiTheme="majorBidi" w:cstheme="majorBidi"/>
        </w:rPr>
      </w:pPr>
    </w:p>
    <w:p w14:paraId="76A75F12" w14:textId="0E12C961" w:rsidR="0021430F" w:rsidRDefault="0021430F" w:rsidP="00AB4E6A">
      <w:pPr>
        <w:rPr>
          <w:rFonts w:asciiTheme="majorBidi" w:hAnsiTheme="majorBidi" w:cstheme="majorBidi"/>
        </w:rPr>
      </w:pPr>
    </w:p>
    <w:p w14:paraId="01C43C06" w14:textId="065EF4A7" w:rsidR="0021430F" w:rsidRDefault="0021430F" w:rsidP="00AB4E6A">
      <w:pPr>
        <w:rPr>
          <w:rFonts w:asciiTheme="majorBidi" w:hAnsiTheme="majorBidi" w:cstheme="majorBidi"/>
        </w:rPr>
      </w:pPr>
    </w:p>
    <w:p w14:paraId="68EC34B0" w14:textId="5117F9D3" w:rsidR="00AB4E6A" w:rsidRPr="00917737" w:rsidRDefault="00AB4E6A" w:rsidP="00AB4E6A">
      <w:pPr>
        <w:rPr>
          <w:rFonts w:asciiTheme="majorBidi" w:hAnsiTheme="majorBidi" w:cstheme="majorBidi"/>
          <w:b/>
          <w:sz w:val="20"/>
          <w:szCs w:val="20"/>
        </w:rPr>
      </w:pPr>
      <w:bookmarkStart w:id="848" w:name="_Ref83291627"/>
      <w:bookmarkStart w:id="849" w:name="_Toc83589989"/>
      <w:bookmarkStart w:id="850" w:name="_Toc86419044"/>
      <w:r w:rsidRPr="00917737">
        <w:rPr>
          <w:rFonts w:asciiTheme="majorBidi" w:hAnsiTheme="majorBidi" w:cstheme="majorBidi"/>
          <w:b/>
          <w:sz w:val="20"/>
          <w:szCs w:val="20"/>
        </w:rPr>
        <w:t xml:space="preserve">Table </w:t>
      </w:r>
      <w:r w:rsidR="00F10F0A">
        <w:rPr>
          <w:rFonts w:asciiTheme="majorBidi" w:hAnsiTheme="majorBidi" w:cstheme="majorBidi"/>
          <w:b/>
          <w:noProof/>
          <w:sz w:val="20"/>
          <w:szCs w:val="20"/>
        </w:rPr>
        <w:t>67</w:t>
      </w:r>
      <w:bookmarkEnd w:id="848"/>
      <w:r w:rsidRPr="00917737">
        <w:rPr>
          <w:rFonts w:asciiTheme="majorBidi" w:hAnsiTheme="majorBidi" w:cstheme="majorBidi"/>
          <w:b/>
          <w:sz w:val="20"/>
          <w:szCs w:val="20"/>
        </w:rPr>
        <w:t>: Summary of estimates of the relationship between AM use and AM resistance</w:t>
      </w:r>
      <w:bookmarkEnd w:id="849"/>
      <w:bookmarkEnd w:id="850"/>
    </w:p>
    <w:tbl>
      <w:tblPr>
        <w:tblStyle w:val="TableGrid"/>
        <w:tblW w:w="5000" w:type="pct"/>
        <w:tblLook w:val="04A0" w:firstRow="1" w:lastRow="0" w:firstColumn="1" w:lastColumn="0" w:noHBand="0" w:noVBand="1"/>
      </w:tblPr>
      <w:tblGrid>
        <w:gridCol w:w="1943"/>
        <w:gridCol w:w="1353"/>
        <w:gridCol w:w="1873"/>
        <w:gridCol w:w="4089"/>
      </w:tblGrid>
      <w:tr w:rsidR="00FD133B" w:rsidRPr="00917737" w14:paraId="04A13682"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74F190F1" w14:textId="1AB86C23" w:rsidR="00FD133B" w:rsidRPr="00917737" w:rsidRDefault="00FD133B" w:rsidP="00AB4E6A">
            <w:pPr>
              <w:rPr>
                <w:rFonts w:asciiTheme="majorBidi" w:hAnsiTheme="majorBidi" w:cstheme="majorBidi"/>
                <w:b/>
                <w:bCs/>
                <w:lang w:val="en-US"/>
              </w:rPr>
            </w:pPr>
            <w:r>
              <w:rPr>
                <w:rFonts w:asciiTheme="majorBidi" w:hAnsiTheme="majorBidi" w:cstheme="majorBidi"/>
                <w:b/>
                <w:bCs/>
                <w:lang w:val="en-US"/>
              </w:rPr>
              <w:t>Combination</w:t>
            </w:r>
          </w:p>
        </w:tc>
        <w:tc>
          <w:tcPr>
            <w:tcW w:w="1078" w:type="dxa"/>
            <w:tcBorders>
              <w:top w:val="single" w:sz="4" w:space="0" w:color="auto"/>
              <w:left w:val="single" w:sz="4" w:space="0" w:color="auto"/>
              <w:bottom w:val="single" w:sz="4" w:space="0" w:color="auto"/>
              <w:right w:val="single" w:sz="4" w:space="0" w:color="auto"/>
            </w:tcBorders>
            <w:hideMark/>
          </w:tcPr>
          <w:p w14:paraId="5E4B43D6" w14:textId="052B9B4D" w:rsidR="00FD133B" w:rsidRPr="00917737" w:rsidRDefault="00FD133B"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val="en-US" w:eastAsia="en-US"/>
              </w:rPr>
              <w:t>Country</w:t>
            </w:r>
          </w:p>
        </w:tc>
        <w:tc>
          <w:tcPr>
            <w:tcW w:w="1921" w:type="dxa"/>
            <w:tcBorders>
              <w:top w:val="single" w:sz="4" w:space="0" w:color="auto"/>
              <w:left w:val="single" w:sz="4" w:space="0" w:color="auto"/>
              <w:bottom w:val="single" w:sz="4" w:space="0" w:color="auto"/>
              <w:right w:val="single" w:sz="4" w:space="0" w:color="auto"/>
            </w:tcBorders>
            <w:hideMark/>
          </w:tcPr>
          <w:p w14:paraId="0876625B" w14:textId="77777777" w:rsidR="00FD133B" w:rsidRPr="00917737" w:rsidRDefault="00FD133B"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val="en-US" w:eastAsia="en-US"/>
              </w:rPr>
              <w:t>Coefficient</w:t>
            </w:r>
            <w:r w:rsidRPr="00917737">
              <w:rPr>
                <w:rFonts w:asciiTheme="majorBidi" w:eastAsiaTheme="minorHAnsi" w:hAnsiTheme="majorBidi" w:cstheme="majorBidi"/>
                <w:b/>
                <w:bCs/>
                <w:lang w:val="en-US" w:eastAsia="en-US"/>
              </w:rPr>
              <w:br/>
              <w:t>(Standard error)</w:t>
            </w:r>
          </w:p>
        </w:tc>
        <w:tc>
          <w:tcPr>
            <w:tcW w:w="4279" w:type="dxa"/>
            <w:tcBorders>
              <w:top w:val="single" w:sz="4" w:space="0" w:color="auto"/>
              <w:left w:val="single" w:sz="4" w:space="0" w:color="auto"/>
              <w:bottom w:val="single" w:sz="4" w:space="0" w:color="auto"/>
              <w:right w:val="single" w:sz="4" w:space="0" w:color="auto"/>
            </w:tcBorders>
            <w:hideMark/>
          </w:tcPr>
          <w:p w14:paraId="40A7E8F8" w14:textId="77777777" w:rsidR="00FD133B" w:rsidRPr="00917737" w:rsidRDefault="00FD133B" w:rsidP="00AB4E6A">
            <w:pPr>
              <w:spacing w:after="160" w:line="259" w:lineRule="auto"/>
              <w:rPr>
                <w:rFonts w:asciiTheme="majorBidi" w:eastAsiaTheme="minorHAnsi" w:hAnsiTheme="majorBidi" w:cstheme="majorBidi"/>
                <w:b/>
                <w:bCs/>
                <w:lang w:eastAsia="en-US"/>
              </w:rPr>
            </w:pPr>
            <w:r w:rsidRPr="00917737">
              <w:rPr>
                <w:rFonts w:asciiTheme="majorBidi" w:eastAsiaTheme="minorHAnsi" w:hAnsiTheme="majorBidi" w:cstheme="majorBidi"/>
                <w:b/>
                <w:bCs/>
                <w:lang w:val="en-US" w:eastAsia="en-US"/>
              </w:rPr>
              <w:t>Interpretation</w:t>
            </w:r>
          </w:p>
        </w:tc>
      </w:tr>
      <w:tr w:rsidR="00FD133B" w:rsidRPr="00917737" w14:paraId="63B82A31"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432C6B60" w14:textId="7658A328"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Escherichia coli, carbapenems</w:t>
            </w:r>
          </w:p>
        </w:tc>
        <w:tc>
          <w:tcPr>
            <w:tcW w:w="1078" w:type="dxa"/>
            <w:tcBorders>
              <w:top w:val="single" w:sz="4" w:space="0" w:color="auto"/>
              <w:left w:val="single" w:sz="4" w:space="0" w:color="auto"/>
              <w:bottom w:val="single" w:sz="4" w:space="0" w:color="auto"/>
              <w:right w:val="single" w:sz="4" w:space="0" w:color="auto"/>
            </w:tcBorders>
            <w:hideMark/>
          </w:tcPr>
          <w:p w14:paraId="06E0AC27" w14:textId="41505DD4"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France</w:t>
            </w:r>
          </w:p>
        </w:tc>
        <w:tc>
          <w:tcPr>
            <w:tcW w:w="1921" w:type="dxa"/>
            <w:tcBorders>
              <w:top w:val="single" w:sz="4" w:space="0" w:color="auto"/>
              <w:left w:val="single" w:sz="4" w:space="0" w:color="auto"/>
              <w:bottom w:val="single" w:sz="4" w:space="0" w:color="auto"/>
              <w:right w:val="single" w:sz="4" w:space="0" w:color="auto"/>
            </w:tcBorders>
            <w:hideMark/>
          </w:tcPr>
          <w:p w14:paraId="7438F608"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1.07</w:t>
            </w:r>
            <w:r w:rsidRPr="00917737">
              <w:rPr>
                <w:rFonts w:asciiTheme="majorBidi" w:eastAsiaTheme="minorHAnsi" w:hAnsiTheme="majorBidi" w:cstheme="majorBidi"/>
                <w:lang w:val="en-US" w:eastAsia="en-US"/>
              </w:rPr>
              <w:br/>
              <w:t>(0.32)</w:t>
            </w:r>
          </w:p>
        </w:tc>
        <w:tc>
          <w:tcPr>
            <w:tcW w:w="4279" w:type="dxa"/>
            <w:tcBorders>
              <w:top w:val="single" w:sz="4" w:space="0" w:color="auto"/>
              <w:left w:val="single" w:sz="4" w:space="0" w:color="auto"/>
              <w:bottom w:val="single" w:sz="4" w:space="0" w:color="auto"/>
              <w:right w:val="single" w:sz="4" w:space="0" w:color="auto"/>
            </w:tcBorders>
            <w:hideMark/>
          </w:tcPr>
          <w:p w14:paraId="48439501"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increase in use → increase in resistance.</w:t>
            </w:r>
          </w:p>
        </w:tc>
      </w:tr>
      <w:tr w:rsidR="00FD133B" w:rsidRPr="00917737" w14:paraId="5AE84A6E"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5EB137AF" w14:textId="41783D9A"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Escherichia coli, carbapenems</w:t>
            </w:r>
          </w:p>
        </w:tc>
        <w:tc>
          <w:tcPr>
            <w:tcW w:w="1078" w:type="dxa"/>
            <w:tcBorders>
              <w:top w:val="single" w:sz="4" w:space="0" w:color="auto"/>
              <w:left w:val="single" w:sz="4" w:space="0" w:color="auto"/>
              <w:bottom w:val="single" w:sz="4" w:space="0" w:color="auto"/>
              <w:right w:val="single" w:sz="4" w:space="0" w:color="auto"/>
            </w:tcBorders>
            <w:hideMark/>
          </w:tcPr>
          <w:p w14:paraId="2B378A0C" w14:textId="1A202828"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Greece</w:t>
            </w:r>
          </w:p>
        </w:tc>
        <w:tc>
          <w:tcPr>
            <w:tcW w:w="1921" w:type="dxa"/>
            <w:tcBorders>
              <w:top w:val="single" w:sz="4" w:space="0" w:color="auto"/>
              <w:left w:val="single" w:sz="4" w:space="0" w:color="auto"/>
              <w:bottom w:val="single" w:sz="4" w:space="0" w:color="auto"/>
              <w:right w:val="single" w:sz="4" w:space="0" w:color="auto"/>
            </w:tcBorders>
            <w:hideMark/>
          </w:tcPr>
          <w:p w14:paraId="0CB7A596"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7.06</w:t>
            </w:r>
            <w:r w:rsidRPr="00917737">
              <w:rPr>
                <w:rFonts w:asciiTheme="majorBidi" w:eastAsiaTheme="minorHAnsi" w:hAnsiTheme="majorBidi" w:cstheme="majorBidi"/>
                <w:lang w:eastAsia="en-US"/>
              </w:rPr>
              <w:br/>
              <w:t>(0.71)</w:t>
            </w:r>
          </w:p>
        </w:tc>
        <w:tc>
          <w:tcPr>
            <w:tcW w:w="4279" w:type="dxa"/>
            <w:tcBorders>
              <w:top w:val="single" w:sz="4" w:space="0" w:color="auto"/>
              <w:left w:val="single" w:sz="4" w:space="0" w:color="auto"/>
              <w:bottom w:val="single" w:sz="4" w:space="0" w:color="auto"/>
              <w:right w:val="single" w:sz="4" w:space="0" w:color="auto"/>
            </w:tcBorders>
            <w:hideMark/>
          </w:tcPr>
          <w:p w14:paraId="7C5819F2"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increase in use → increase in resistance.</w:t>
            </w:r>
          </w:p>
        </w:tc>
      </w:tr>
      <w:tr w:rsidR="00FD133B" w:rsidRPr="00917737" w14:paraId="46C78E12"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7DC5BFD5" w14:textId="3CE01164"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lastRenderedPageBreak/>
              <w:t>Escherichia coli, carbapenems</w:t>
            </w:r>
          </w:p>
        </w:tc>
        <w:tc>
          <w:tcPr>
            <w:tcW w:w="1078" w:type="dxa"/>
            <w:tcBorders>
              <w:top w:val="single" w:sz="4" w:space="0" w:color="auto"/>
              <w:left w:val="single" w:sz="4" w:space="0" w:color="auto"/>
              <w:bottom w:val="single" w:sz="4" w:space="0" w:color="auto"/>
              <w:right w:val="single" w:sz="4" w:space="0" w:color="auto"/>
            </w:tcBorders>
            <w:hideMark/>
          </w:tcPr>
          <w:p w14:paraId="1C7C3EFF" w14:textId="4FB21468"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Netherlands</w:t>
            </w:r>
          </w:p>
        </w:tc>
        <w:tc>
          <w:tcPr>
            <w:tcW w:w="1921" w:type="dxa"/>
            <w:tcBorders>
              <w:top w:val="single" w:sz="4" w:space="0" w:color="auto"/>
              <w:left w:val="single" w:sz="4" w:space="0" w:color="auto"/>
              <w:bottom w:val="single" w:sz="4" w:space="0" w:color="auto"/>
              <w:right w:val="single" w:sz="4" w:space="0" w:color="auto"/>
            </w:tcBorders>
            <w:hideMark/>
          </w:tcPr>
          <w:p w14:paraId="658978BA"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-5.5</w:t>
            </w:r>
            <w:r w:rsidRPr="00917737">
              <w:rPr>
                <w:rFonts w:asciiTheme="majorBidi" w:eastAsiaTheme="minorHAnsi" w:hAnsiTheme="majorBidi" w:cstheme="majorBidi"/>
                <w:lang w:eastAsia="en-US"/>
              </w:rPr>
              <w:br/>
              <w:t>(3.25)</w:t>
            </w:r>
          </w:p>
        </w:tc>
        <w:tc>
          <w:tcPr>
            <w:tcW w:w="4279" w:type="dxa"/>
            <w:tcBorders>
              <w:top w:val="single" w:sz="4" w:space="0" w:color="auto"/>
              <w:left w:val="single" w:sz="4" w:space="0" w:color="auto"/>
              <w:bottom w:val="single" w:sz="4" w:space="0" w:color="auto"/>
              <w:right w:val="single" w:sz="4" w:space="0" w:color="auto"/>
            </w:tcBorders>
            <w:hideMark/>
          </w:tcPr>
          <w:p w14:paraId="65E96B55"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66BF9C94"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612163F7" w14:textId="7B07F800"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Escherichia coli, carbapenems</w:t>
            </w:r>
          </w:p>
        </w:tc>
        <w:tc>
          <w:tcPr>
            <w:tcW w:w="1078" w:type="dxa"/>
            <w:tcBorders>
              <w:top w:val="single" w:sz="4" w:space="0" w:color="auto"/>
              <w:left w:val="single" w:sz="4" w:space="0" w:color="auto"/>
              <w:bottom w:val="single" w:sz="4" w:space="0" w:color="auto"/>
              <w:right w:val="single" w:sz="4" w:space="0" w:color="auto"/>
            </w:tcBorders>
            <w:hideMark/>
          </w:tcPr>
          <w:p w14:paraId="70A21B7B" w14:textId="265D375B"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Norway</w:t>
            </w:r>
          </w:p>
        </w:tc>
        <w:tc>
          <w:tcPr>
            <w:tcW w:w="1921" w:type="dxa"/>
            <w:tcBorders>
              <w:top w:val="single" w:sz="4" w:space="0" w:color="auto"/>
              <w:left w:val="single" w:sz="4" w:space="0" w:color="auto"/>
              <w:bottom w:val="single" w:sz="4" w:space="0" w:color="auto"/>
              <w:right w:val="single" w:sz="4" w:space="0" w:color="auto"/>
            </w:tcBorders>
            <w:hideMark/>
          </w:tcPr>
          <w:p w14:paraId="160540D0"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-1.21</w:t>
            </w:r>
            <w:r w:rsidRPr="00917737">
              <w:rPr>
                <w:rFonts w:asciiTheme="majorBidi" w:eastAsiaTheme="minorHAnsi" w:hAnsiTheme="majorBidi" w:cstheme="majorBidi"/>
                <w:lang w:eastAsia="en-US"/>
              </w:rPr>
              <w:br/>
              <w:t>(0.91)</w:t>
            </w:r>
          </w:p>
        </w:tc>
        <w:tc>
          <w:tcPr>
            <w:tcW w:w="4279" w:type="dxa"/>
            <w:tcBorders>
              <w:top w:val="single" w:sz="4" w:space="0" w:color="auto"/>
              <w:left w:val="single" w:sz="4" w:space="0" w:color="auto"/>
              <w:bottom w:val="single" w:sz="4" w:space="0" w:color="auto"/>
              <w:right w:val="single" w:sz="4" w:space="0" w:color="auto"/>
            </w:tcBorders>
            <w:hideMark/>
          </w:tcPr>
          <w:p w14:paraId="62941A3E"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00BF943A"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0084F353" w14:textId="34D8152D"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61C8D43F" w14:textId="0EC6ED29"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Bulgaria</w:t>
            </w:r>
          </w:p>
        </w:tc>
        <w:tc>
          <w:tcPr>
            <w:tcW w:w="1921" w:type="dxa"/>
            <w:tcBorders>
              <w:top w:val="single" w:sz="4" w:space="0" w:color="auto"/>
              <w:left w:val="single" w:sz="4" w:space="0" w:color="auto"/>
              <w:bottom w:val="single" w:sz="4" w:space="0" w:color="auto"/>
              <w:right w:val="single" w:sz="4" w:space="0" w:color="auto"/>
            </w:tcBorders>
            <w:hideMark/>
          </w:tcPr>
          <w:p w14:paraId="70834F3F"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5.78</w:t>
            </w:r>
            <w:r w:rsidRPr="00917737">
              <w:rPr>
                <w:rFonts w:asciiTheme="majorBidi" w:eastAsiaTheme="minorHAnsi" w:hAnsiTheme="majorBidi" w:cstheme="majorBidi"/>
                <w:lang w:val="en-US" w:eastAsia="en-US"/>
              </w:rPr>
              <w:br/>
              <w:t>(1.16)</w:t>
            </w:r>
          </w:p>
        </w:tc>
        <w:tc>
          <w:tcPr>
            <w:tcW w:w="4279" w:type="dxa"/>
            <w:tcBorders>
              <w:top w:val="single" w:sz="4" w:space="0" w:color="auto"/>
              <w:left w:val="single" w:sz="4" w:space="0" w:color="auto"/>
              <w:bottom w:val="single" w:sz="4" w:space="0" w:color="auto"/>
              <w:right w:val="single" w:sz="4" w:space="0" w:color="auto"/>
            </w:tcBorders>
            <w:hideMark/>
          </w:tcPr>
          <w:p w14:paraId="78842655"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increase in use → increase in resistance.</w:t>
            </w:r>
          </w:p>
        </w:tc>
      </w:tr>
      <w:tr w:rsidR="00FD133B" w:rsidRPr="00917737" w14:paraId="60750D46"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0870F4A0" w14:textId="60B12195"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50A62699" w14:textId="077757D3"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Croatia</w:t>
            </w:r>
          </w:p>
        </w:tc>
        <w:tc>
          <w:tcPr>
            <w:tcW w:w="1921" w:type="dxa"/>
            <w:tcBorders>
              <w:top w:val="single" w:sz="4" w:space="0" w:color="auto"/>
              <w:left w:val="single" w:sz="4" w:space="0" w:color="auto"/>
              <w:bottom w:val="single" w:sz="4" w:space="0" w:color="auto"/>
              <w:right w:val="single" w:sz="4" w:space="0" w:color="auto"/>
            </w:tcBorders>
            <w:hideMark/>
          </w:tcPr>
          <w:p w14:paraId="112397E6"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0.69</w:t>
            </w:r>
            <w:r w:rsidRPr="00917737">
              <w:rPr>
                <w:rFonts w:asciiTheme="majorBidi" w:eastAsiaTheme="minorHAnsi" w:hAnsiTheme="majorBidi" w:cstheme="majorBidi"/>
                <w:lang w:eastAsia="en-US"/>
              </w:rPr>
              <w:br/>
              <w:t>(0.76)</w:t>
            </w:r>
          </w:p>
        </w:tc>
        <w:tc>
          <w:tcPr>
            <w:tcW w:w="4279" w:type="dxa"/>
            <w:tcBorders>
              <w:top w:val="single" w:sz="4" w:space="0" w:color="auto"/>
              <w:left w:val="single" w:sz="4" w:space="0" w:color="auto"/>
              <w:bottom w:val="single" w:sz="4" w:space="0" w:color="auto"/>
              <w:right w:val="single" w:sz="4" w:space="0" w:color="auto"/>
            </w:tcBorders>
            <w:hideMark/>
          </w:tcPr>
          <w:p w14:paraId="1D87091B"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159B2194"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7B69B1FF" w14:textId="066240DA"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058B26AD" w14:textId="70655B3A"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Estonia</w:t>
            </w:r>
          </w:p>
        </w:tc>
        <w:tc>
          <w:tcPr>
            <w:tcW w:w="1921" w:type="dxa"/>
            <w:tcBorders>
              <w:top w:val="single" w:sz="4" w:space="0" w:color="auto"/>
              <w:left w:val="single" w:sz="4" w:space="0" w:color="auto"/>
              <w:bottom w:val="single" w:sz="4" w:space="0" w:color="auto"/>
              <w:right w:val="single" w:sz="4" w:space="0" w:color="auto"/>
            </w:tcBorders>
            <w:hideMark/>
          </w:tcPr>
          <w:p w14:paraId="46577212"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10.11</w:t>
            </w:r>
            <w:r w:rsidRPr="00917737">
              <w:rPr>
                <w:rFonts w:asciiTheme="majorBidi" w:eastAsiaTheme="minorHAnsi" w:hAnsiTheme="majorBidi" w:cstheme="majorBidi"/>
                <w:lang w:eastAsia="en-US"/>
              </w:rPr>
              <w:br/>
              <w:t>(1.59)</w:t>
            </w:r>
          </w:p>
        </w:tc>
        <w:tc>
          <w:tcPr>
            <w:tcW w:w="4279" w:type="dxa"/>
            <w:tcBorders>
              <w:top w:val="single" w:sz="4" w:space="0" w:color="auto"/>
              <w:left w:val="single" w:sz="4" w:space="0" w:color="auto"/>
              <w:bottom w:val="single" w:sz="4" w:space="0" w:color="auto"/>
              <w:right w:val="single" w:sz="4" w:space="0" w:color="auto"/>
            </w:tcBorders>
            <w:hideMark/>
          </w:tcPr>
          <w:p w14:paraId="23BFF15C"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increase in use → increase in resistance.</w:t>
            </w:r>
          </w:p>
        </w:tc>
      </w:tr>
      <w:tr w:rsidR="00FD133B" w:rsidRPr="00917737" w14:paraId="132FA5F3"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11A8B58C" w14:textId="025E9802"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7B63E55B" w14:textId="20DE77DA"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 xml:space="preserve">Finland </w:t>
            </w:r>
          </w:p>
        </w:tc>
        <w:tc>
          <w:tcPr>
            <w:tcW w:w="1921" w:type="dxa"/>
            <w:tcBorders>
              <w:top w:val="single" w:sz="4" w:space="0" w:color="auto"/>
              <w:left w:val="single" w:sz="4" w:space="0" w:color="auto"/>
              <w:bottom w:val="single" w:sz="4" w:space="0" w:color="auto"/>
              <w:right w:val="single" w:sz="4" w:space="0" w:color="auto"/>
            </w:tcBorders>
            <w:hideMark/>
          </w:tcPr>
          <w:p w14:paraId="4262D5E9"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-0.88</w:t>
            </w:r>
            <w:r w:rsidRPr="00917737">
              <w:rPr>
                <w:rFonts w:asciiTheme="majorBidi" w:eastAsiaTheme="minorHAnsi" w:hAnsiTheme="majorBidi" w:cstheme="majorBidi"/>
                <w:lang w:eastAsia="en-US"/>
              </w:rPr>
              <w:br/>
              <w:t>(1.62)</w:t>
            </w:r>
          </w:p>
        </w:tc>
        <w:tc>
          <w:tcPr>
            <w:tcW w:w="4279" w:type="dxa"/>
            <w:tcBorders>
              <w:top w:val="single" w:sz="4" w:space="0" w:color="auto"/>
              <w:left w:val="single" w:sz="4" w:space="0" w:color="auto"/>
              <w:bottom w:val="single" w:sz="4" w:space="0" w:color="auto"/>
              <w:right w:val="single" w:sz="4" w:space="0" w:color="auto"/>
            </w:tcBorders>
            <w:hideMark/>
          </w:tcPr>
          <w:p w14:paraId="64B51D3D"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7AEDF917"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6E4F103F" w14:textId="01FA29AC"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25FE0743" w14:textId="10497D0D"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France</w:t>
            </w:r>
          </w:p>
        </w:tc>
        <w:tc>
          <w:tcPr>
            <w:tcW w:w="1921" w:type="dxa"/>
            <w:tcBorders>
              <w:top w:val="single" w:sz="4" w:space="0" w:color="auto"/>
              <w:left w:val="single" w:sz="4" w:space="0" w:color="auto"/>
              <w:bottom w:val="single" w:sz="4" w:space="0" w:color="auto"/>
              <w:right w:val="single" w:sz="4" w:space="0" w:color="auto"/>
            </w:tcBorders>
            <w:hideMark/>
          </w:tcPr>
          <w:p w14:paraId="1D6960B8"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-1.11</w:t>
            </w:r>
            <w:r w:rsidRPr="00917737">
              <w:rPr>
                <w:rFonts w:asciiTheme="majorBidi" w:eastAsiaTheme="minorHAnsi" w:hAnsiTheme="majorBidi" w:cstheme="majorBidi"/>
                <w:lang w:eastAsia="en-US"/>
              </w:rPr>
              <w:br/>
              <w:t>(0.64)</w:t>
            </w:r>
          </w:p>
        </w:tc>
        <w:tc>
          <w:tcPr>
            <w:tcW w:w="4279" w:type="dxa"/>
            <w:tcBorders>
              <w:top w:val="single" w:sz="4" w:space="0" w:color="auto"/>
              <w:left w:val="single" w:sz="4" w:space="0" w:color="auto"/>
              <w:bottom w:val="single" w:sz="4" w:space="0" w:color="auto"/>
              <w:right w:val="single" w:sz="4" w:space="0" w:color="auto"/>
            </w:tcBorders>
            <w:hideMark/>
          </w:tcPr>
          <w:p w14:paraId="6EB04257"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43FBCFD1"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2E06ED63" w14:textId="751D4DA7"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1679E05E" w14:textId="6A2F2763"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Greece</w:t>
            </w:r>
          </w:p>
        </w:tc>
        <w:tc>
          <w:tcPr>
            <w:tcW w:w="1921" w:type="dxa"/>
            <w:tcBorders>
              <w:top w:val="single" w:sz="4" w:space="0" w:color="auto"/>
              <w:left w:val="single" w:sz="4" w:space="0" w:color="auto"/>
              <w:bottom w:val="single" w:sz="4" w:space="0" w:color="auto"/>
              <w:right w:val="single" w:sz="4" w:space="0" w:color="auto"/>
            </w:tcBorders>
            <w:hideMark/>
          </w:tcPr>
          <w:p w14:paraId="5CA1371C"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0.18</w:t>
            </w:r>
            <w:r w:rsidRPr="00917737">
              <w:rPr>
                <w:rFonts w:asciiTheme="majorBidi" w:eastAsiaTheme="minorHAnsi" w:hAnsiTheme="majorBidi" w:cstheme="majorBidi"/>
                <w:lang w:eastAsia="en-US"/>
              </w:rPr>
              <w:br/>
              <w:t>(0.67)</w:t>
            </w:r>
          </w:p>
        </w:tc>
        <w:tc>
          <w:tcPr>
            <w:tcW w:w="4279" w:type="dxa"/>
            <w:tcBorders>
              <w:top w:val="single" w:sz="4" w:space="0" w:color="auto"/>
              <w:left w:val="single" w:sz="4" w:space="0" w:color="auto"/>
              <w:bottom w:val="single" w:sz="4" w:space="0" w:color="auto"/>
              <w:right w:val="single" w:sz="4" w:space="0" w:color="auto"/>
            </w:tcBorders>
            <w:hideMark/>
          </w:tcPr>
          <w:p w14:paraId="2FCC1985"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541934AC"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22A90381" w14:textId="0038E9EA"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2E607039" w14:textId="5ACDC26F"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Ireland</w:t>
            </w:r>
          </w:p>
        </w:tc>
        <w:tc>
          <w:tcPr>
            <w:tcW w:w="1921" w:type="dxa"/>
            <w:tcBorders>
              <w:top w:val="single" w:sz="4" w:space="0" w:color="auto"/>
              <w:left w:val="single" w:sz="4" w:space="0" w:color="auto"/>
              <w:bottom w:val="single" w:sz="4" w:space="0" w:color="auto"/>
              <w:right w:val="single" w:sz="4" w:space="0" w:color="auto"/>
            </w:tcBorders>
            <w:hideMark/>
          </w:tcPr>
          <w:p w14:paraId="44BE18BE"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-2.03</w:t>
            </w:r>
            <w:r w:rsidRPr="00917737">
              <w:rPr>
                <w:rFonts w:asciiTheme="majorBidi" w:eastAsiaTheme="minorHAnsi" w:hAnsiTheme="majorBidi" w:cstheme="majorBidi"/>
                <w:lang w:eastAsia="en-US"/>
              </w:rPr>
              <w:br/>
              <w:t>(1.59)</w:t>
            </w:r>
          </w:p>
        </w:tc>
        <w:tc>
          <w:tcPr>
            <w:tcW w:w="4279" w:type="dxa"/>
            <w:tcBorders>
              <w:top w:val="single" w:sz="4" w:space="0" w:color="auto"/>
              <w:left w:val="single" w:sz="4" w:space="0" w:color="auto"/>
              <w:bottom w:val="single" w:sz="4" w:space="0" w:color="auto"/>
              <w:right w:val="single" w:sz="4" w:space="0" w:color="auto"/>
            </w:tcBorders>
            <w:hideMark/>
          </w:tcPr>
          <w:p w14:paraId="4BC8094A"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7C5AD290" w14:textId="77777777" w:rsidTr="00FD133B">
        <w:trPr>
          <w:trHeight w:val="165"/>
        </w:trPr>
        <w:tc>
          <w:tcPr>
            <w:tcW w:w="1980" w:type="dxa"/>
            <w:tcBorders>
              <w:top w:val="single" w:sz="4" w:space="0" w:color="auto"/>
              <w:left w:val="single" w:sz="4" w:space="0" w:color="auto"/>
              <w:bottom w:val="single" w:sz="4" w:space="0" w:color="auto"/>
              <w:right w:val="single" w:sz="4" w:space="0" w:color="auto"/>
            </w:tcBorders>
          </w:tcPr>
          <w:p w14:paraId="72867663" w14:textId="227277B9"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66068DB0" w14:textId="48F823E9"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Luxembourg</w:t>
            </w:r>
          </w:p>
        </w:tc>
        <w:tc>
          <w:tcPr>
            <w:tcW w:w="1921" w:type="dxa"/>
            <w:tcBorders>
              <w:top w:val="single" w:sz="4" w:space="0" w:color="auto"/>
              <w:left w:val="single" w:sz="4" w:space="0" w:color="auto"/>
              <w:bottom w:val="single" w:sz="4" w:space="0" w:color="auto"/>
              <w:right w:val="single" w:sz="4" w:space="0" w:color="auto"/>
            </w:tcBorders>
            <w:hideMark/>
          </w:tcPr>
          <w:p w14:paraId="247685A9"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-2.08</w:t>
            </w:r>
            <w:r w:rsidRPr="00917737">
              <w:rPr>
                <w:rFonts w:asciiTheme="majorBidi" w:eastAsiaTheme="minorHAnsi" w:hAnsiTheme="majorBidi" w:cstheme="majorBidi"/>
                <w:lang w:eastAsia="en-US"/>
              </w:rPr>
              <w:br/>
              <w:t>(0.93)</w:t>
            </w:r>
          </w:p>
        </w:tc>
        <w:tc>
          <w:tcPr>
            <w:tcW w:w="4279" w:type="dxa"/>
            <w:tcBorders>
              <w:top w:val="single" w:sz="4" w:space="0" w:color="auto"/>
              <w:left w:val="single" w:sz="4" w:space="0" w:color="auto"/>
              <w:bottom w:val="single" w:sz="4" w:space="0" w:color="auto"/>
              <w:right w:val="single" w:sz="4" w:space="0" w:color="auto"/>
            </w:tcBorders>
            <w:hideMark/>
          </w:tcPr>
          <w:p w14:paraId="71F26D5F"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decrease in use → increase in resistance.</w:t>
            </w:r>
          </w:p>
        </w:tc>
      </w:tr>
      <w:tr w:rsidR="00FD133B" w:rsidRPr="00917737" w14:paraId="4808CEB2"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4D65ECD1" w14:textId="1C67B327"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434CE4A9" w14:textId="2B789E84"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Malta</w:t>
            </w:r>
          </w:p>
        </w:tc>
        <w:tc>
          <w:tcPr>
            <w:tcW w:w="1921" w:type="dxa"/>
            <w:tcBorders>
              <w:top w:val="single" w:sz="4" w:space="0" w:color="auto"/>
              <w:left w:val="single" w:sz="4" w:space="0" w:color="auto"/>
              <w:bottom w:val="single" w:sz="4" w:space="0" w:color="auto"/>
              <w:right w:val="single" w:sz="4" w:space="0" w:color="auto"/>
            </w:tcBorders>
            <w:hideMark/>
          </w:tcPr>
          <w:p w14:paraId="77ECF518"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1.31</w:t>
            </w:r>
            <w:r w:rsidRPr="00917737">
              <w:rPr>
                <w:rFonts w:asciiTheme="majorBidi" w:eastAsiaTheme="minorHAnsi" w:hAnsiTheme="majorBidi" w:cstheme="majorBidi"/>
                <w:lang w:eastAsia="en-US"/>
              </w:rPr>
              <w:br/>
              <w:t>(0.77)</w:t>
            </w:r>
          </w:p>
        </w:tc>
        <w:tc>
          <w:tcPr>
            <w:tcW w:w="4279" w:type="dxa"/>
            <w:tcBorders>
              <w:top w:val="single" w:sz="4" w:space="0" w:color="auto"/>
              <w:left w:val="single" w:sz="4" w:space="0" w:color="auto"/>
              <w:bottom w:val="single" w:sz="4" w:space="0" w:color="auto"/>
              <w:right w:val="single" w:sz="4" w:space="0" w:color="auto"/>
            </w:tcBorders>
            <w:hideMark/>
          </w:tcPr>
          <w:p w14:paraId="5883816B"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Not significant</w:t>
            </w:r>
          </w:p>
        </w:tc>
      </w:tr>
      <w:tr w:rsidR="00FD133B" w:rsidRPr="00917737" w14:paraId="04034E16"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2321A1A0" w14:textId="515090D8"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14EE60ED" w14:textId="5A3AF6F9"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Norway</w:t>
            </w:r>
          </w:p>
        </w:tc>
        <w:tc>
          <w:tcPr>
            <w:tcW w:w="1921" w:type="dxa"/>
            <w:tcBorders>
              <w:top w:val="single" w:sz="4" w:space="0" w:color="auto"/>
              <w:left w:val="single" w:sz="4" w:space="0" w:color="auto"/>
              <w:bottom w:val="single" w:sz="4" w:space="0" w:color="auto"/>
              <w:right w:val="single" w:sz="4" w:space="0" w:color="auto"/>
            </w:tcBorders>
            <w:hideMark/>
          </w:tcPr>
          <w:p w14:paraId="18092AE8"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-27.69</w:t>
            </w:r>
            <w:r w:rsidRPr="00917737">
              <w:rPr>
                <w:rFonts w:asciiTheme="majorBidi" w:eastAsiaTheme="minorHAnsi" w:hAnsiTheme="majorBidi" w:cstheme="majorBidi"/>
                <w:lang w:eastAsia="en-US"/>
              </w:rPr>
              <w:br/>
              <w:t>(2.27)</w:t>
            </w:r>
          </w:p>
        </w:tc>
        <w:tc>
          <w:tcPr>
            <w:tcW w:w="4279" w:type="dxa"/>
            <w:tcBorders>
              <w:top w:val="single" w:sz="4" w:space="0" w:color="auto"/>
              <w:left w:val="single" w:sz="4" w:space="0" w:color="auto"/>
              <w:bottom w:val="single" w:sz="4" w:space="0" w:color="auto"/>
              <w:right w:val="single" w:sz="4" w:space="0" w:color="auto"/>
            </w:tcBorders>
            <w:hideMark/>
          </w:tcPr>
          <w:p w14:paraId="32BFD2B6"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decrease in use → increase in resistance.</w:t>
            </w:r>
          </w:p>
        </w:tc>
      </w:tr>
      <w:tr w:rsidR="00FD133B" w:rsidRPr="00917737" w14:paraId="56266D73"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72747B96" w14:textId="1AD198B8"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0DD75DCA" w14:textId="5C423191"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Slovenia</w:t>
            </w:r>
          </w:p>
        </w:tc>
        <w:tc>
          <w:tcPr>
            <w:tcW w:w="1921" w:type="dxa"/>
            <w:tcBorders>
              <w:top w:val="single" w:sz="4" w:space="0" w:color="auto"/>
              <w:left w:val="single" w:sz="4" w:space="0" w:color="auto"/>
              <w:bottom w:val="single" w:sz="4" w:space="0" w:color="auto"/>
              <w:right w:val="single" w:sz="4" w:space="0" w:color="auto"/>
            </w:tcBorders>
            <w:hideMark/>
          </w:tcPr>
          <w:p w14:paraId="1A35BFEA"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-11.29</w:t>
            </w:r>
            <w:r w:rsidRPr="00917737">
              <w:rPr>
                <w:rFonts w:asciiTheme="majorBidi" w:eastAsiaTheme="minorHAnsi" w:hAnsiTheme="majorBidi" w:cstheme="majorBidi"/>
                <w:lang w:eastAsia="en-US"/>
              </w:rPr>
              <w:br/>
              <w:t>(3.71)</w:t>
            </w:r>
          </w:p>
        </w:tc>
        <w:tc>
          <w:tcPr>
            <w:tcW w:w="4279" w:type="dxa"/>
            <w:tcBorders>
              <w:top w:val="single" w:sz="4" w:space="0" w:color="auto"/>
              <w:left w:val="single" w:sz="4" w:space="0" w:color="auto"/>
              <w:bottom w:val="single" w:sz="4" w:space="0" w:color="auto"/>
              <w:right w:val="single" w:sz="4" w:space="0" w:color="auto"/>
            </w:tcBorders>
            <w:hideMark/>
          </w:tcPr>
          <w:p w14:paraId="1B1029F5"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decrease in use → increase in resistance.</w:t>
            </w:r>
          </w:p>
        </w:tc>
      </w:tr>
      <w:tr w:rsidR="00FD133B" w:rsidRPr="00917737" w14:paraId="6FC632B6" w14:textId="77777777" w:rsidTr="00FD133B">
        <w:trPr>
          <w:trHeight w:val="588"/>
        </w:trPr>
        <w:tc>
          <w:tcPr>
            <w:tcW w:w="1980" w:type="dxa"/>
            <w:tcBorders>
              <w:top w:val="single" w:sz="4" w:space="0" w:color="auto"/>
              <w:left w:val="single" w:sz="4" w:space="0" w:color="auto"/>
              <w:bottom w:val="single" w:sz="4" w:space="0" w:color="auto"/>
              <w:right w:val="single" w:sz="4" w:space="0" w:color="auto"/>
            </w:tcBorders>
          </w:tcPr>
          <w:p w14:paraId="5C67839D" w14:textId="75DC940C" w:rsidR="00FD133B" w:rsidRPr="00917737" w:rsidRDefault="00FD133B" w:rsidP="00AB4E6A">
            <w:pPr>
              <w:rPr>
                <w:rFonts w:asciiTheme="majorBidi" w:hAnsiTheme="majorBidi" w:cstheme="majorBidi"/>
                <w:lang w:val="en-US"/>
              </w:rPr>
            </w:pPr>
            <w:r w:rsidRPr="00917737">
              <w:rPr>
                <w:rFonts w:asciiTheme="majorBidi" w:eastAsiaTheme="minorHAnsi" w:hAnsiTheme="majorBidi" w:cstheme="majorBidi"/>
                <w:lang w:eastAsia="en-US"/>
              </w:rPr>
              <w:t xml:space="preserve">Escherichia coli, </w:t>
            </w:r>
            <w:proofErr w:type="spellStart"/>
            <w:r w:rsidRPr="00917737">
              <w:rPr>
                <w:rFonts w:asciiTheme="majorBidi" w:eastAsiaTheme="minorHAnsi" w:hAnsiTheme="majorBidi" w:cstheme="majorBidi"/>
                <w:lang w:eastAsia="en-US"/>
              </w:rPr>
              <w:t>cephalsporins</w:t>
            </w:r>
            <w:proofErr w:type="spellEnd"/>
          </w:p>
        </w:tc>
        <w:tc>
          <w:tcPr>
            <w:tcW w:w="1078" w:type="dxa"/>
            <w:tcBorders>
              <w:top w:val="single" w:sz="4" w:space="0" w:color="auto"/>
              <w:left w:val="single" w:sz="4" w:space="0" w:color="auto"/>
              <w:bottom w:val="single" w:sz="4" w:space="0" w:color="auto"/>
              <w:right w:val="single" w:sz="4" w:space="0" w:color="auto"/>
            </w:tcBorders>
            <w:hideMark/>
          </w:tcPr>
          <w:p w14:paraId="1B41BFA1" w14:textId="79B6299E"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Sweden</w:t>
            </w:r>
          </w:p>
        </w:tc>
        <w:tc>
          <w:tcPr>
            <w:tcW w:w="1921" w:type="dxa"/>
            <w:tcBorders>
              <w:top w:val="single" w:sz="4" w:space="0" w:color="auto"/>
              <w:left w:val="single" w:sz="4" w:space="0" w:color="auto"/>
              <w:bottom w:val="single" w:sz="4" w:space="0" w:color="auto"/>
              <w:right w:val="single" w:sz="4" w:space="0" w:color="auto"/>
            </w:tcBorders>
            <w:hideMark/>
          </w:tcPr>
          <w:p w14:paraId="446137B7"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eastAsia="en-US"/>
              </w:rPr>
              <w:t>-12.63</w:t>
            </w:r>
            <w:r w:rsidRPr="00917737">
              <w:rPr>
                <w:rFonts w:asciiTheme="majorBidi" w:eastAsiaTheme="minorHAnsi" w:hAnsiTheme="majorBidi" w:cstheme="majorBidi"/>
                <w:lang w:eastAsia="en-US"/>
              </w:rPr>
              <w:br/>
              <w:t>(2.01)</w:t>
            </w:r>
          </w:p>
        </w:tc>
        <w:tc>
          <w:tcPr>
            <w:tcW w:w="4279" w:type="dxa"/>
            <w:tcBorders>
              <w:top w:val="single" w:sz="4" w:space="0" w:color="auto"/>
              <w:left w:val="single" w:sz="4" w:space="0" w:color="auto"/>
              <w:bottom w:val="single" w:sz="4" w:space="0" w:color="auto"/>
              <w:right w:val="single" w:sz="4" w:space="0" w:color="auto"/>
            </w:tcBorders>
            <w:hideMark/>
          </w:tcPr>
          <w:p w14:paraId="60A3321B" w14:textId="77777777" w:rsidR="00FD133B" w:rsidRPr="00917737" w:rsidRDefault="00FD133B" w:rsidP="00AB4E6A">
            <w:pPr>
              <w:spacing w:after="160" w:line="259" w:lineRule="auto"/>
              <w:rPr>
                <w:rFonts w:asciiTheme="majorBidi" w:eastAsiaTheme="minorHAnsi" w:hAnsiTheme="majorBidi" w:cstheme="majorBidi"/>
                <w:lang w:eastAsia="en-US"/>
              </w:rPr>
            </w:pPr>
            <w:r w:rsidRPr="00917737">
              <w:rPr>
                <w:rFonts w:asciiTheme="majorBidi" w:eastAsiaTheme="minorHAnsi" w:hAnsiTheme="majorBidi" w:cstheme="majorBidi"/>
                <w:lang w:val="en-US" w:eastAsia="en-US"/>
              </w:rPr>
              <w:t>Significant: decrease in use → increase in resistance.</w:t>
            </w:r>
          </w:p>
        </w:tc>
      </w:tr>
    </w:tbl>
    <w:p w14:paraId="21946874" w14:textId="77777777" w:rsidR="00AB4E6A" w:rsidRPr="00AB4E6A" w:rsidRDefault="00AB4E6A" w:rsidP="00AB4E6A">
      <w:pPr>
        <w:rPr>
          <w:rFonts w:asciiTheme="majorBidi" w:hAnsiTheme="majorBidi" w:cstheme="majorBidi"/>
        </w:rPr>
      </w:pPr>
    </w:p>
    <w:p w14:paraId="5577F930" w14:textId="77777777" w:rsidR="00AB4E6A" w:rsidRPr="00AB4E6A" w:rsidRDefault="00AB4E6A" w:rsidP="00AB4E6A">
      <w:pPr>
        <w:rPr>
          <w:rFonts w:asciiTheme="majorBidi" w:hAnsiTheme="majorBidi" w:cstheme="majorBidi"/>
        </w:rPr>
      </w:pPr>
      <w:r w:rsidRPr="00AB4E6A">
        <w:rPr>
          <w:rFonts w:asciiTheme="majorBidi" w:hAnsiTheme="majorBidi" w:cstheme="majorBidi"/>
        </w:rPr>
        <w:t>Based on this we decided to explore three associations between increasing AM use and resistance:</w:t>
      </w:r>
    </w:p>
    <w:p w14:paraId="769F987A" w14:textId="77777777" w:rsidR="00AB4E6A" w:rsidRPr="00AB4E6A" w:rsidRDefault="00AB4E6A" w:rsidP="005A3BE6">
      <w:pPr>
        <w:numPr>
          <w:ilvl w:val="0"/>
          <w:numId w:val="47"/>
        </w:numPr>
        <w:rPr>
          <w:rFonts w:asciiTheme="majorBidi" w:hAnsiTheme="majorBidi" w:cstheme="majorBidi"/>
        </w:rPr>
      </w:pPr>
      <w:r w:rsidRPr="00AB4E6A">
        <w:rPr>
          <w:rFonts w:asciiTheme="majorBidi" w:hAnsiTheme="majorBidi" w:cstheme="majorBidi"/>
        </w:rPr>
        <w:t>No association.</w:t>
      </w:r>
    </w:p>
    <w:p w14:paraId="63A96BB1" w14:textId="77777777" w:rsidR="00AB4E6A" w:rsidRPr="00AB4E6A" w:rsidRDefault="00AB4E6A" w:rsidP="005A3BE6">
      <w:pPr>
        <w:numPr>
          <w:ilvl w:val="0"/>
          <w:numId w:val="47"/>
        </w:numPr>
        <w:rPr>
          <w:rFonts w:asciiTheme="majorBidi" w:hAnsiTheme="majorBidi" w:cstheme="majorBidi"/>
        </w:rPr>
      </w:pPr>
      <w:r w:rsidRPr="00AB4E6A">
        <w:rPr>
          <w:rFonts w:asciiTheme="majorBidi" w:hAnsiTheme="majorBidi" w:cstheme="majorBidi"/>
        </w:rPr>
        <w:t>A weak positive association.</w:t>
      </w:r>
    </w:p>
    <w:p w14:paraId="75954A60" w14:textId="77777777" w:rsidR="00AB4E6A" w:rsidRPr="00AB4E6A" w:rsidRDefault="00AB4E6A" w:rsidP="005A3BE6">
      <w:pPr>
        <w:numPr>
          <w:ilvl w:val="0"/>
          <w:numId w:val="47"/>
        </w:numPr>
        <w:rPr>
          <w:rFonts w:asciiTheme="majorBidi" w:hAnsiTheme="majorBidi" w:cstheme="majorBidi"/>
        </w:rPr>
      </w:pPr>
      <w:r w:rsidRPr="00AB4E6A">
        <w:rPr>
          <w:rFonts w:asciiTheme="majorBidi" w:hAnsiTheme="majorBidi" w:cstheme="majorBidi"/>
        </w:rPr>
        <w:t>A strong positive association.</w:t>
      </w:r>
    </w:p>
    <w:p w14:paraId="7B534659" w14:textId="77777777" w:rsidR="00AB4E6A" w:rsidRPr="00AB4E6A" w:rsidRDefault="00AB4E6A" w:rsidP="00AB4E6A">
      <w:pPr>
        <w:rPr>
          <w:rFonts w:asciiTheme="majorBidi" w:hAnsiTheme="majorBidi" w:cstheme="majorBidi"/>
        </w:rPr>
      </w:pPr>
    </w:p>
    <w:p w14:paraId="44BEBFBD" w14:textId="609434C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lastRenderedPageBreak/>
        <w:t xml:space="preserve">There were four significant positive associations from the Escherichia coli analyses, ranging from 1.07 (France, carbapenems) to 10.11 (Estonia, </w:t>
      </w:r>
      <w:proofErr w:type="spellStart"/>
      <w:r w:rsidRPr="00AB4E6A">
        <w:rPr>
          <w:rFonts w:asciiTheme="majorBidi" w:hAnsiTheme="majorBidi" w:cstheme="majorBidi"/>
        </w:rPr>
        <w:t>cephalsporins</w:t>
      </w:r>
      <w:proofErr w:type="spellEnd"/>
      <w:r w:rsidRPr="00AB4E6A">
        <w:rPr>
          <w:rFonts w:asciiTheme="majorBidi" w:hAnsiTheme="majorBidi" w:cstheme="majorBidi"/>
        </w:rPr>
        <w:t xml:space="preserve">). Hence these values were used to represent weak and strong associations for the CPE population respectively. </w:t>
      </w:r>
    </w:p>
    <w:p w14:paraId="6455684E" w14:textId="77777777" w:rsidR="00AB4E6A" w:rsidRPr="00AB4E6A" w:rsidRDefault="00AB4E6A" w:rsidP="006E4E83">
      <w:pPr>
        <w:pStyle w:val="EEPRUnumberedLevel3Headingnew"/>
      </w:pPr>
      <w:bookmarkStart w:id="851" w:name="_Toc87463147"/>
      <w:r w:rsidRPr="00AB4E6A">
        <w:t>Use-resistance association: statistical models considered</w:t>
      </w:r>
      <w:bookmarkEnd w:id="851"/>
    </w:p>
    <w:p w14:paraId="3B8F7731" w14:textId="77777777" w:rsidR="00AB4E6A" w:rsidRPr="00917737" w:rsidRDefault="00AB4E6A" w:rsidP="00AB4E6A">
      <w:pPr>
        <w:rPr>
          <w:rFonts w:asciiTheme="majorBidi" w:hAnsiTheme="majorBidi" w:cstheme="majorBidi"/>
          <w:b/>
          <w:bCs/>
          <w:i/>
          <w:iCs/>
        </w:rPr>
      </w:pPr>
      <w:r w:rsidRPr="00917737">
        <w:rPr>
          <w:rFonts w:asciiTheme="majorBidi" w:hAnsiTheme="majorBidi" w:cstheme="majorBidi"/>
          <w:b/>
          <w:bCs/>
          <w:i/>
          <w:iCs/>
        </w:rPr>
        <w:t>Time series model</w:t>
      </w:r>
    </w:p>
    <w:p w14:paraId="09DC5A23" w14:textId="26ED3470"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An ARIMA time-series model was used because, in contrast to exponential smoothing models, software exists to fit models that include covariate effects. This provides the time-series version of a linear regression for which the outcome is the rate of resistance, and the dependent variable is AM use over time </w:t>
      </w:r>
      <w:r w:rsidR="00C83FB7" w:rsidRPr="00C83FB7">
        <w:rPr>
          <w:rFonts w:asciiTheme="majorBidi" w:hAnsiTheme="majorBidi" w:cstheme="majorBidi"/>
          <w:noProof/>
          <w:vertAlign w:val="superscript"/>
        </w:rPr>
        <w:t>204</w:t>
      </w:r>
      <w:r w:rsidRPr="00AB4E6A">
        <w:rPr>
          <w:rFonts w:asciiTheme="majorBidi" w:hAnsiTheme="majorBidi" w:cstheme="majorBidi"/>
        </w:rPr>
        <w:t xml:space="preserve">. </w:t>
      </w:r>
    </w:p>
    <w:p w14:paraId="657AA131" w14:textId="77777777" w:rsidR="00AB4E6A" w:rsidRPr="00AB4E6A" w:rsidRDefault="00AB4E6A" w:rsidP="00917737">
      <w:pPr>
        <w:spacing w:line="360" w:lineRule="auto"/>
        <w:rPr>
          <w:rFonts w:asciiTheme="majorBidi" w:hAnsiTheme="majorBidi" w:cstheme="majorBidi"/>
        </w:rPr>
      </w:pPr>
    </w:p>
    <w:p w14:paraId="2C86C2A6"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An advantage of using time-series methods (in preference to regression models) is that they capture autocorrelations amongst the data. That is, observations closer together in time are likely to be more similar than observations further apart in time. Incorporating this temporal structure is of particular importance when producing estimates of future values (extrapolations). In general, the further into the future predictions are required, the more uncertain they will be. This extrapolation uncertainty is accommodated by time-series models, but not standard regression models.</w:t>
      </w:r>
    </w:p>
    <w:p w14:paraId="48E618B8" w14:textId="77777777" w:rsidR="00AB4E6A" w:rsidRPr="00AB4E6A" w:rsidRDefault="00AB4E6A" w:rsidP="00917737">
      <w:pPr>
        <w:spacing w:line="360" w:lineRule="auto"/>
        <w:rPr>
          <w:rFonts w:asciiTheme="majorBidi" w:hAnsiTheme="majorBidi" w:cstheme="majorBidi"/>
        </w:rPr>
      </w:pPr>
    </w:p>
    <w:p w14:paraId="3E4F3072" w14:textId="1979D557"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 key property of time-series methods is that predictions of the future </w:t>
      </w:r>
      <w:proofErr w:type="gramStart"/>
      <w:r w:rsidRPr="00AB4E6A">
        <w:rPr>
          <w:rFonts w:asciiTheme="majorBidi" w:hAnsiTheme="majorBidi" w:cstheme="majorBidi"/>
        </w:rPr>
        <w:t>are based on the assumption</w:t>
      </w:r>
      <w:proofErr w:type="gramEnd"/>
      <w:r w:rsidRPr="00AB4E6A">
        <w:rPr>
          <w:rFonts w:asciiTheme="majorBidi" w:hAnsiTheme="majorBidi" w:cstheme="majorBidi"/>
        </w:rPr>
        <w:t xml:space="preserve"> that trends observed in the historical data will continue into the future. External factors may alter these trends and hence lead to inaccurate forecasts. For example, an increased use or effectiveness of antimicrobial stewardship strategies/campaigns may lead to a reduced rate of resistance gain </w:t>
      </w:r>
      <w:r w:rsidR="00C83FB7" w:rsidRPr="00C83FB7">
        <w:rPr>
          <w:rFonts w:asciiTheme="majorBidi" w:hAnsiTheme="majorBidi" w:cstheme="majorBidi"/>
          <w:noProof/>
          <w:vertAlign w:val="superscript"/>
        </w:rPr>
        <w:t>212</w:t>
      </w:r>
      <w:r w:rsidRPr="00AB4E6A">
        <w:rPr>
          <w:rFonts w:asciiTheme="majorBidi" w:hAnsiTheme="majorBidi" w:cstheme="majorBidi"/>
        </w:rPr>
        <w:t xml:space="preserve">. This may apply to both the AMs evaluated here and existing AMs such as carbapenems. UK examples of stewardship campaigns include the ‘Antibiotic Guardians’ and the Quality premium </w:t>
      </w:r>
      <w:r w:rsidR="00C83FB7" w:rsidRPr="00C83FB7">
        <w:rPr>
          <w:rFonts w:asciiTheme="majorBidi" w:hAnsiTheme="majorBidi" w:cstheme="majorBidi"/>
          <w:noProof/>
          <w:vertAlign w:val="superscript"/>
        </w:rPr>
        <w:t>206,213</w:t>
      </w:r>
      <w:r w:rsidRPr="00AB4E6A">
        <w:rPr>
          <w:rFonts w:asciiTheme="majorBidi" w:hAnsiTheme="majorBidi" w:cstheme="majorBidi"/>
        </w:rPr>
        <w:t xml:space="preserve">. Use of a damped-trend model can partly mitigate against this, as it successively reduces the extrapolated trend as the extrapolated time horizon increases. There is also empirical evidence from the literature that long-term forecasts from a time series model with a damped trend will generally outperform similar models without a damped trend </w:t>
      </w:r>
      <w:r w:rsidR="00C83FB7" w:rsidRPr="00C83FB7">
        <w:rPr>
          <w:rFonts w:asciiTheme="majorBidi" w:hAnsiTheme="majorBidi" w:cstheme="majorBidi"/>
          <w:noProof/>
          <w:vertAlign w:val="superscript"/>
        </w:rPr>
        <w:t>214</w:t>
      </w:r>
      <w:r w:rsidRPr="00AB4E6A">
        <w:rPr>
          <w:rFonts w:asciiTheme="majorBidi" w:hAnsiTheme="majorBidi" w:cstheme="majorBidi"/>
        </w:rPr>
        <w:t>.</w:t>
      </w:r>
    </w:p>
    <w:p w14:paraId="7F026AF0" w14:textId="77777777" w:rsidR="00AB4E6A" w:rsidRPr="00AB4E6A" w:rsidRDefault="00AB4E6A" w:rsidP="00AB4E6A">
      <w:pPr>
        <w:rPr>
          <w:rFonts w:asciiTheme="majorBidi" w:hAnsiTheme="majorBidi" w:cstheme="majorBidi"/>
        </w:rPr>
      </w:pPr>
    </w:p>
    <w:p w14:paraId="1ACD7E1D" w14:textId="77777777" w:rsidR="00AB4E6A" w:rsidRPr="00917737" w:rsidRDefault="00AB4E6A" w:rsidP="00AB4E6A">
      <w:pPr>
        <w:rPr>
          <w:rFonts w:asciiTheme="majorBidi" w:hAnsiTheme="majorBidi" w:cstheme="majorBidi"/>
          <w:b/>
          <w:bCs/>
          <w:i/>
          <w:iCs/>
        </w:rPr>
      </w:pPr>
      <w:bookmarkStart w:id="852" w:name="_Hlk84861392"/>
      <w:r w:rsidRPr="00917737">
        <w:rPr>
          <w:rFonts w:asciiTheme="majorBidi" w:hAnsiTheme="majorBidi" w:cstheme="majorBidi"/>
          <w:b/>
          <w:bCs/>
          <w:i/>
          <w:iCs/>
        </w:rPr>
        <w:t>Differential equations model</w:t>
      </w:r>
    </w:p>
    <w:bookmarkEnd w:id="852"/>
    <w:p w14:paraId="586BDB00" w14:textId="4A5DCAB2"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A </w:t>
      </w:r>
      <w:r w:rsidRPr="00AB4E6A">
        <w:rPr>
          <w:rFonts w:asciiTheme="majorBidi" w:hAnsiTheme="majorBidi" w:cstheme="majorBidi"/>
          <w:i/>
          <w:iCs/>
        </w:rPr>
        <w:t xml:space="preserve">de novo </w:t>
      </w:r>
      <w:r w:rsidRPr="00AB4E6A">
        <w:rPr>
          <w:rFonts w:asciiTheme="majorBidi" w:hAnsiTheme="majorBidi" w:cstheme="majorBidi"/>
        </w:rPr>
        <w:t xml:space="preserve">model was developed to link the rate of change in AM resistance to AM use and other factors: natural mutations leading to resistance, loss of resistance (reflecting ‘fitness’ cost) and deaths amongst people with a resistant infection. This model was developed to provide a more comprehensive quantification of the differing potential drivers of AM resistance. Model conceptualisation was informed </w:t>
      </w:r>
      <w:r w:rsidRPr="00AB4E6A">
        <w:rPr>
          <w:rFonts w:asciiTheme="majorBidi" w:hAnsiTheme="majorBidi" w:cstheme="majorBidi"/>
        </w:rPr>
        <w:lastRenderedPageBreak/>
        <w:t xml:space="preserve">by both an existing review-based modelling framework </w:t>
      </w:r>
      <w:r w:rsidR="00C83FB7" w:rsidRPr="00C83FB7">
        <w:rPr>
          <w:rFonts w:asciiTheme="majorBidi" w:hAnsiTheme="majorBidi" w:cstheme="majorBidi"/>
          <w:noProof/>
          <w:vertAlign w:val="superscript"/>
        </w:rPr>
        <w:t>215</w:t>
      </w:r>
      <w:r w:rsidRPr="00AB4E6A">
        <w:rPr>
          <w:rFonts w:asciiTheme="majorBidi" w:hAnsiTheme="majorBidi" w:cstheme="majorBidi"/>
        </w:rPr>
        <w:t xml:space="preserve">, and a new literature search. </w:t>
      </w:r>
      <w:r w:rsidR="00BE5092" w:rsidRPr="00AB4E6A">
        <w:rPr>
          <w:rFonts w:asciiTheme="majorBidi" w:hAnsiTheme="majorBidi" w:cstheme="majorBidi"/>
        </w:rPr>
        <w:t>The Appendix</w:t>
      </w:r>
      <w:r w:rsidRPr="00AB4E6A">
        <w:rPr>
          <w:rFonts w:asciiTheme="majorBidi" w:hAnsiTheme="majorBidi" w:cstheme="majorBidi"/>
        </w:rPr>
        <w:t xml:space="preserve"> provides details on both the model specification and the supporting literature search. </w:t>
      </w:r>
    </w:p>
    <w:p w14:paraId="3CBD7F3E" w14:textId="77777777" w:rsidR="00AB4E6A" w:rsidRPr="00AB4E6A" w:rsidRDefault="00AB4E6A" w:rsidP="00917737">
      <w:pPr>
        <w:spacing w:line="360" w:lineRule="auto"/>
        <w:rPr>
          <w:rFonts w:asciiTheme="majorBidi" w:hAnsiTheme="majorBidi" w:cstheme="majorBidi"/>
        </w:rPr>
      </w:pPr>
    </w:p>
    <w:p w14:paraId="4CC74B1C" w14:textId="77777777" w:rsidR="00AB4E6A" w:rsidRPr="00AB4E6A" w:rsidRDefault="00AB4E6A" w:rsidP="00917737">
      <w:pPr>
        <w:spacing w:line="360" w:lineRule="auto"/>
        <w:rPr>
          <w:rFonts w:asciiTheme="majorBidi" w:hAnsiTheme="majorBidi" w:cstheme="majorBidi"/>
        </w:rPr>
      </w:pPr>
      <w:r w:rsidRPr="00AB4E6A">
        <w:rPr>
          <w:rFonts w:asciiTheme="majorBidi" w:hAnsiTheme="majorBidi" w:cstheme="majorBidi"/>
        </w:rPr>
        <w:t>Due to the relatively large number of parameters in the model, there was a danger that some of the parameters may lack identifiability (</w:t>
      </w:r>
      <w:proofErr w:type="spellStart"/>
      <w:r w:rsidRPr="00AB4E6A">
        <w:rPr>
          <w:rFonts w:asciiTheme="majorBidi" w:hAnsiTheme="majorBidi" w:cstheme="majorBidi"/>
        </w:rPr>
        <w:t>can not</w:t>
      </w:r>
      <w:proofErr w:type="spellEnd"/>
      <w:r w:rsidRPr="00AB4E6A">
        <w:rPr>
          <w:rFonts w:asciiTheme="majorBidi" w:hAnsiTheme="majorBidi" w:cstheme="majorBidi"/>
        </w:rPr>
        <w:t xml:space="preserve"> be estimated from the available data). To explore this possibility, a simulation study was conducted. This study (reported in the Appendix) had two objectives: first to identify the sample size required and secondly to quantify any bias in parameter estimates. This suggested that approximately fifteen observations were required, and that whilst estimates of rates of natural resistance gain and loss were unbiased, there was a persistent under-estimation of the effect of AM use on AM resistance. Due to this bias, the differential equations model was not pursued further.</w:t>
      </w:r>
    </w:p>
    <w:p w14:paraId="73646CEE" w14:textId="77777777" w:rsidR="00917737" w:rsidRDefault="00917737" w:rsidP="00AB4E6A">
      <w:pPr>
        <w:rPr>
          <w:rFonts w:asciiTheme="majorBidi" w:hAnsiTheme="majorBidi" w:cstheme="majorBidi"/>
          <w:b/>
          <w:bCs/>
          <w:i/>
          <w:iCs/>
        </w:rPr>
      </w:pPr>
    </w:p>
    <w:p w14:paraId="571EEC6D" w14:textId="0CF02266" w:rsidR="00AB4E6A" w:rsidRPr="00917737" w:rsidRDefault="00AB4E6A" w:rsidP="00AB4E6A">
      <w:pPr>
        <w:rPr>
          <w:rFonts w:asciiTheme="majorBidi" w:hAnsiTheme="majorBidi" w:cstheme="majorBidi"/>
          <w:b/>
          <w:bCs/>
          <w:i/>
          <w:iCs/>
        </w:rPr>
      </w:pPr>
      <w:r w:rsidRPr="00917737">
        <w:rPr>
          <w:rFonts w:asciiTheme="majorBidi" w:hAnsiTheme="majorBidi" w:cstheme="majorBidi"/>
          <w:b/>
          <w:bCs/>
          <w:i/>
          <w:iCs/>
        </w:rPr>
        <w:t>Model of no association</w:t>
      </w:r>
    </w:p>
    <w:p w14:paraId="5860F28E" w14:textId="20D9DB40" w:rsidR="00AB4E6A" w:rsidRPr="00AB4E6A" w:rsidRDefault="00AB4E6A" w:rsidP="00A83123">
      <w:pPr>
        <w:spacing w:line="360" w:lineRule="auto"/>
        <w:rPr>
          <w:rFonts w:asciiTheme="majorBidi" w:hAnsiTheme="majorBidi" w:cstheme="majorBidi"/>
        </w:rPr>
      </w:pPr>
      <w:r w:rsidRPr="00AB4E6A">
        <w:rPr>
          <w:rFonts w:asciiTheme="majorBidi" w:hAnsiTheme="majorBidi" w:cstheme="majorBidi"/>
        </w:rPr>
        <w:t xml:space="preserve">The sensitivity analysis exploring no relationship between AM use and resistance was motivated by existing literature demonstrating no, or very weak, association in certain settings </w:t>
      </w:r>
      <w:r w:rsidR="004B4D1C" w:rsidRPr="004B4D1C">
        <w:rPr>
          <w:rFonts w:asciiTheme="majorBidi" w:hAnsiTheme="majorBidi" w:cstheme="majorBidi"/>
          <w:noProof/>
          <w:vertAlign w:val="superscript"/>
        </w:rPr>
        <w:t>147,148</w:t>
      </w:r>
      <w:r w:rsidRPr="00AB4E6A">
        <w:rPr>
          <w:rFonts w:asciiTheme="majorBidi" w:hAnsiTheme="majorBidi" w:cstheme="majorBidi"/>
        </w:rPr>
        <w:t>. This is likely to be because there are many drivers of resistance beyond AM use. This includes use in other populations (including other countries) as well as natural mutations. Hence it may be that relative to these other drivers, use in the populations of interest plays a minimal role, so does not need to be explicitly modelled.</w:t>
      </w:r>
    </w:p>
    <w:p w14:paraId="1A460D13" w14:textId="77777777" w:rsidR="00AB4E6A" w:rsidRPr="00AB4E6A" w:rsidRDefault="00AB4E6A" w:rsidP="00AB4E6A">
      <w:pPr>
        <w:rPr>
          <w:rFonts w:asciiTheme="majorBidi" w:hAnsiTheme="majorBidi" w:cstheme="majorBidi"/>
        </w:rPr>
      </w:pPr>
    </w:p>
    <w:p w14:paraId="0C70636E" w14:textId="2731944F" w:rsidR="00917737" w:rsidRDefault="00917737">
      <w:pPr>
        <w:rPr>
          <w:rFonts w:asciiTheme="majorBidi" w:hAnsiTheme="majorBidi" w:cstheme="majorBidi"/>
        </w:rPr>
      </w:pPr>
      <w:r>
        <w:rPr>
          <w:rFonts w:asciiTheme="majorBidi" w:hAnsiTheme="majorBidi" w:cstheme="majorBidi"/>
        </w:rPr>
        <w:br w:type="page"/>
      </w:r>
    </w:p>
    <w:p w14:paraId="4EA3180D" w14:textId="709DCD6C" w:rsidR="00AB4E6A" w:rsidRPr="00097E31" w:rsidRDefault="0015769A" w:rsidP="008E6F0E">
      <w:pPr>
        <w:pStyle w:val="Heading2"/>
        <w:ind w:left="720" w:hanging="720"/>
        <w:jc w:val="both"/>
        <w:rPr>
          <w:sz w:val="32"/>
          <w:szCs w:val="32"/>
        </w:rPr>
      </w:pPr>
      <w:bookmarkStart w:id="853" w:name="_Toc87463148"/>
      <w:r w:rsidRPr="00097E31">
        <w:rPr>
          <w:sz w:val="32"/>
          <w:szCs w:val="32"/>
        </w:rPr>
        <w:lastRenderedPageBreak/>
        <w:t>Appendix 1</w:t>
      </w:r>
      <w:r w:rsidR="008E6F0E" w:rsidRPr="00097E31">
        <w:rPr>
          <w:sz w:val="32"/>
          <w:szCs w:val="32"/>
        </w:rPr>
        <w:t>6</w:t>
      </w:r>
      <w:r w:rsidR="00364012" w:rsidRPr="00097E31">
        <w:rPr>
          <w:sz w:val="32"/>
          <w:szCs w:val="32"/>
        </w:rPr>
        <w:t>:</w:t>
      </w:r>
      <w:r w:rsidRPr="00097E31">
        <w:rPr>
          <w:sz w:val="32"/>
          <w:szCs w:val="32"/>
        </w:rPr>
        <w:t xml:space="preserve"> </w:t>
      </w:r>
      <w:r w:rsidR="00AB4E6A" w:rsidRPr="00097E31">
        <w:rPr>
          <w:sz w:val="32"/>
          <w:szCs w:val="32"/>
        </w:rPr>
        <w:t>Transmission model linking usage to resistance</w:t>
      </w:r>
      <w:bookmarkEnd w:id="853"/>
    </w:p>
    <w:p w14:paraId="61DE8130" w14:textId="77777777" w:rsidR="00AB4E6A" w:rsidRPr="00AB4E6A" w:rsidRDefault="00AB4E6A" w:rsidP="00AB4E6A">
      <w:pPr>
        <w:rPr>
          <w:rFonts w:asciiTheme="majorBidi" w:hAnsiTheme="majorBidi" w:cstheme="majorBidi"/>
        </w:rPr>
      </w:pPr>
    </w:p>
    <w:p w14:paraId="300EFFCE" w14:textId="15D2A2B3" w:rsidR="00AB4E6A" w:rsidRPr="00AB4E6A" w:rsidRDefault="00097E31" w:rsidP="00917737">
      <w:pPr>
        <w:pStyle w:val="EEPRUnumberedlevel4"/>
        <w:ind w:left="0" w:firstLine="0"/>
      </w:pPr>
      <w:bookmarkStart w:id="854" w:name="_Toc535480421"/>
      <w:bookmarkEnd w:id="854"/>
      <w:r>
        <w:tab/>
      </w:r>
      <w:bookmarkStart w:id="855" w:name="_Toc87463149"/>
      <w:r w:rsidR="00364012">
        <w:t>A</w:t>
      </w:r>
      <w:r w:rsidR="0015769A">
        <w:t>1</w:t>
      </w:r>
      <w:r w:rsidR="008E6F0E">
        <w:t>6</w:t>
      </w:r>
      <w:r w:rsidR="0015769A">
        <w:t xml:space="preserve">.1 </w:t>
      </w:r>
      <w:r w:rsidR="00AB4E6A" w:rsidRPr="00AB4E6A">
        <w:t>Methods</w:t>
      </w:r>
      <w:bookmarkEnd w:id="855"/>
    </w:p>
    <w:p w14:paraId="4A7854DB" w14:textId="77777777" w:rsidR="00AB4E6A" w:rsidRPr="00AB4E6A" w:rsidRDefault="00AB4E6A" w:rsidP="00AB4E6A">
      <w:pPr>
        <w:rPr>
          <w:rFonts w:asciiTheme="majorBidi" w:hAnsiTheme="majorBidi" w:cstheme="majorBidi"/>
          <w:b/>
          <w:bCs/>
          <w:u w:val="single"/>
        </w:rPr>
      </w:pPr>
      <w:r w:rsidRPr="00AB4E6A">
        <w:rPr>
          <w:rFonts w:asciiTheme="majorBidi" w:hAnsiTheme="majorBidi" w:cstheme="majorBidi"/>
          <w:b/>
          <w:bCs/>
          <w:u w:val="single"/>
        </w:rPr>
        <w:t>Population</w:t>
      </w:r>
    </w:p>
    <w:p w14:paraId="055C394B" w14:textId="77777777" w:rsidR="00AB4E6A" w:rsidRPr="00AB4E6A" w:rsidRDefault="00AB4E6A" w:rsidP="00917737">
      <w:pPr>
        <w:spacing w:line="360" w:lineRule="auto"/>
        <w:rPr>
          <w:rFonts w:asciiTheme="majorBidi" w:hAnsiTheme="majorBidi" w:cstheme="majorBidi"/>
          <w:lang w:val="en-US"/>
        </w:rPr>
      </w:pPr>
      <w:r w:rsidRPr="00AB4E6A">
        <w:rPr>
          <w:rFonts w:asciiTheme="majorBidi" w:hAnsiTheme="majorBidi" w:cstheme="majorBidi"/>
          <w:lang w:val="en-US"/>
        </w:rPr>
        <w:t xml:space="preserve">The target population was people in hospital who would be eligible for susceptibility testing. We assumed that at the start of the model these people are either exposed to or </w:t>
      </w:r>
      <w:proofErr w:type="spellStart"/>
      <w:r w:rsidRPr="00AB4E6A">
        <w:rPr>
          <w:rFonts w:asciiTheme="majorBidi" w:hAnsiTheme="majorBidi" w:cstheme="majorBidi"/>
          <w:lang w:val="en-US"/>
        </w:rPr>
        <w:t>colonised</w:t>
      </w:r>
      <w:proofErr w:type="spellEnd"/>
      <w:r w:rsidRPr="00AB4E6A">
        <w:rPr>
          <w:rFonts w:asciiTheme="majorBidi" w:hAnsiTheme="majorBidi" w:cstheme="majorBidi"/>
          <w:lang w:val="en-US"/>
        </w:rPr>
        <w:t xml:space="preserve"> with the bacteria of interest, and at the end of the model have clearance of their </w:t>
      </w:r>
      <w:proofErr w:type="spellStart"/>
      <w:r w:rsidRPr="00AB4E6A">
        <w:rPr>
          <w:rFonts w:asciiTheme="majorBidi" w:hAnsiTheme="majorBidi" w:cstheme="majorBidi"/>
          <w:lang w:val="en-US"/>
        </w:rPr>
        <w:t>colonisation</w:t>
      </w:r>
      <w:proofErr w:type="spellEnd"/>
      <w:r w:rsidRPr="00AB4E6A">
        <w:rPr>
          <w:rFonts w:asciiTheme="majorBidi" w:hAnsiTheme="majorBidi" w:cstheme="majorBidi"/>
          <w:lang w:val="en-US"/>
        </w:rPr>
        <w:t>, death, or discharge from hospital.</w:t>
      </w:r>
    </w:p>
    <w:p w14:paraId="3E0E9CA8" w14:textId="77777777" w:rsidR="00AB4E6A" w:rsidRPr="00AB4E6A" w:rsidRDefault="00AB4E6A" w:rsidP="00917737">
      <w:pPr>
        <w:spacing w:line="360" w:lineRule="auto"/>
        <w:rPr>
          <w:rFonts w:asciiTheme="majorBidi" w:hAnsiTheme="majorBidi" w:cstheme="majorBidi"/>
          <w:lang w:val="en-US"/>
        </w:rPr>
      </w:pPr>
    </w:p>
    <w:p w14:paraId="519CAB87" w14:textId="77777777" w:rsidR="00AB4E6A" w:rsidRPr="00AB4E6A" w:rsidRDefault="00AB4E6A" w:rsidP="00917737">
      <w:pPr>
        <w:spacing w:line="360" w:lineRule="auto"/>
        <w:rPr>
          <w:rFonts w:asciiTheme="majorBidi" w:hAnsiTheme="majorBidi" w:cstheme="majorBidi"/>
          <w:b/>
          <w:bCs/>
          <w:u w:val="single"/>
        </w:rPr>
      </w:pPr>
      <w:bookmarkStart w:id="856" w:name="Mathematical_model"/>
      <w:bookmarkStart w:id="857" w:name="_bookmark2"/>
      <w:bookmarkEnd w:id="856"/>
      <w:bookmarkEnd w:id="857"/>
      <w:r w:rsidRPr="00AB4E6A">
        <w:rPr>
          <w:rFonts w:asciiTheme="majorBidi" w:hAnsiTheme="majorBidi" w:cstheme="majorBidi"/>
          <w:b/>
          <w:bCs/>
          <w:u w:val="single"/>
        </w:rPr>
        <w:t>Mathematical model</w:t>
      </w:r>
    </w:p>
    <w:p w14:paraId="026D335D" w14:textId="77777777" w:rsidR="00AB4E6A" w:rsidRPr="00AB4E6A" w:rsidRDefault="00AB4E6A" w:rsidP="00917737">
      <w:pPr>
        <w:spacing w:line="360" w:lineRule="auto"/>
        <w:rPr>
          <w:rFonts w:asciiTheme="majorBidi" w:hAnsiTheme="majorBidi" w:cstheme="majorBidi"/>
          <w:lang w:val="en-US"/>
        </w:rPr>
      </w:pPr>
      <w:r w:rsidRPr="00AB4E6A">
        <w:rPr>
          <w:rFonts w:asciiTheme="majorBidi" w:hAnsiTheme="majorBidi" w:cstheme="majorBidi"/>
          <w:lang w:val="en-US"/>
        </w:rPr>
        <w:t xml:space="preserve">We developed a statistical model to quantify the parameters driven the dynamics of the gain and loss of bacteria that are resistant to AMs. We aimed to apply the model when there is insufficient evidence in the literature to directly identify drivers of resistance and estimate their impact. </w:t>
      </w:r>
      <w:proofErr w:type="gramStart"/>
      <w:r w:rsidRPr="00AB4E6A">
        <w:rPr>
          <w:rFonts w:asciiTheme="majorBidi" w:hAnsiTheme="majorBidi" w:cstheme="majorBidi"/>
          <w:lang w:val="en-US"/>
        </w:rPr>
        <w:t>In particular, this</w:t>
      </w:r>
      <w:proofErr w:type="gramEnd"/>
      <w:r w:rsidRPr="00AB4E6A">
        <w:rPr>
          <w:rFonts w:asciiTheme="majorBidi" w:hAnsiTheme="majorBidi" w:cstheme="majorBidi"/>
          <w:lang w:val="en-US"/>
        </w:rPr>
        <w:t xml:space="preserve"> model focused on the impact of AM use on AM resistance</w:t>
      </w:r>
    </w:p>
    <w:p w14:paraId="325817AE" w14:textId="77777777" w:rsidR="00AB4E6A" w:rsidRPr="00AB4E6A" w:rsidRDefault="00AB4E6A" w:rsidP="00917737">
      <w:pPr>
        <w:spacing w:line="360" w:lineRule="auto"/>
        <w:rPr>
          <w:rFonts w:asciiTheme="majorBidi" w:hAnsiTheme="majorBidi" w:cstheme="majorBidi"/>
          <w:lang w:val="en-US"/>
        </w:rPr>
      </w:pPr>
    </w:p>
    <w:p w14:paraId="78913E15" w14:textId="77777777" w:rsidR="00AB4E6A" w:rsidRPr="00AB4E6A" w:rsidRDefault="00AB4E6A" w:rsidP="00917737">
      <w:pPr>
        <w:spacing w:line="360" w:lineRule="auto"/>
        <w:rPr>
          <w:rFonts w:asciiTheme="majorBidi" w:hAnsiTheme="majorBidi" w:cstheme="majorBidi"/>
          <w:b/>
        </w:rPr>
      </w:pPr>
      <w:r w:rsidRPr="00AB4E6A">
        <w:rPr>
          <w:rFonts w:asciiTheme="majorBidi" w:hAnsiTheme="majorBidi" w:cstheme="majorBidi"/>
          <w:b/>
        </w:rPr>
        <w:t>Key assumptions and components.</w:t>
      </w:r>
    </w:p>
    <w:p w14:paraId="7707B498" w14:textId="77777777" w:rsidR="00AB4E6A" w:rsidRPr="00AB4E6A" w:rsidRDefault="00AB4E6A" w:rsidP="005A3BE6">
      <w:pPr>
        <w:numPr>
          <w:ilvl w:val="2"/>
          <w:numId w:val="82"/>
        </w:numPr>
        <w:spacing w:line="360" w:lineRule="auto"/>
        <w:rPr>
          <w:rFonts w:asciiTheme="majorBidi" w:hAnsiTheme="majorBidi" w:cstheme="majorBidi"/>
        </w:rPr>
      </w:pPr>
      <w:r w:rsidRPr="00AB4E6A">
        <w:rPr>
          <w:rFonts w:asciiTheme="majorBidi" w:hAnsiTheme="majorBidi" w:cstheme="majorBidi"/>
        </w:rPr>
        <w:t>The proportional resistant for both incidence and prevalence are identical.</w:t>
      </w:r>
    </w:p>
    <w:p w14:paraId="7DA82CEB" w14:textId="77777777" w:rsidR="00AB4E6A" w:rsidRPr="00AB4E6A" w:rsidRDefault="00AB4E6A" w:rsidP="005A3BE6">
      <w:pPr>
        <w:numPr>
          <w:ilvl w:val="2"/>
          <w:numId w:val="82"/>
        </w:numPr>
        <w:spacing w:line="360" w:lineRule="auto"/>
        <w:rPr>
          <w:rFonts w:asciiTheme="majorBidi" w:hAnsiTheme="majorBidi" w:cstheme="majorBidi"/>
        </w:rPr>
      </w:pPr>
      <w:r w:rsidRPr="00AB4E6A">
        <w:rPr>
          <w:rFonts w:asciiTheme="majorBidi" w:hAnsiTheme="majorBidi" w:cstheme="majorBidi"/>
        </w:rPr>
        <w:t>The effects of demographic dynamics can be ignored.</w:t>
      </w:r>
    </w:p>
    <w:p w14:paraId="37D01D65" w14:textId="77777777" w:rsidR="00AB4E6A" w:rsidRPr="00AB4E6A" w:rsidRDefault="00AB4E6A" w:rsidP="005A3BE6">
      <w:pPr>
        <w:numPr>
          <w:ilvl w:val="2"/>
          <w:numId w:val="82"/>
        </w:numPr>
        <w:spacing w:line="360" w:lineRule="auto"/>
        <w:rPr>
          <w:rFonts w:asciiTheme="majorBidi" w:hAnsiTheme="majorBidi" w:cstheme="majorBidi"/>
        </w:rPr>
      </w:pPr>
      <w:r w:rsidRPr="00AB4E6A">
        <w:rPr>
          <w:rFonts w:asciiTheme="majorBidi" w:hAnsiTheme="majorBidi" w:cstheme="majorBidi"/>
        </w:rPr>
        <w:t>Resistance gained from transmission is considered with natural mutation (no transmission model component)</w:t>
      </w:r>
    </w:p>
    <w:p w14:paraId="4604866E" w14:textId="77777777" w:rsidR="00AB4E6A" w:rsidRPr="00AB4E6A" w:rsidRDefault="00AB4E6A" w:rsidP="00AB4E6A">
      <w:pPr>
        <w:rPr>
          <w:rFonts w:asciiTheme="majorBidi" w:hAnsiTheme="majorBidi" w:cstheme="majorBidi"/>
          <w:lang w:val="en-US"/>
        </w:rPr>
      </w:pPr>
    </w:p>
    <w:p w14:paraId="36A60287" w14:textId="77777777" w:rsidR="00AB4E6A" w:rsidRPr="00AB4E6A" w:rsidRDefault="00AB4E6A" w:rsidP="00AB4E6A">
      <w:pPr>
        <w:rPr>
          <w:rFonts w:asciiTheme="majorBidi" w:hAnsiTheme="majorBidi" w:cstheme="majorBidi"/>
          <w:b/>
        </w:rPr>
      </w:pPr>
      <w:r w:rsidRPr="00AB4E6A">
        <w:rPr>
          <w:rFonts w:asciiTheme="majorBidi" w:hAnsiTheme="majorBidi" w:cstheme="majorBidi"/>
          <w:b/>
        </w:rPr>
        <w:t>Equations</w:t>
      </w:r>
    </w:p>
    <w:p w14:paraId="19BBC358" w14:textId="77777777" w:rsidR="00AB4E6A" w:rsidRPr="00AB4E6A" w:rsidRDefault="00AB4E6A" w:rsidP="00AB4E6A">
      <w:pPr>
        <w:rPr>
          <w:rFonts w:asciiTheme="majorBidi" w:hAnsiTheme="majorBidi" w:cstheme="majorBidi"/>
          <w:i/>
        </w:rPr>
      </w:pPr>
      <w:proofErr w:type="spellStart"/>
      <w:r w:rsidRPr="00AB4E6A">
        <w:rPr>
          <w:rFonts w:asciiTheme="majorBidi" w:hAnsiTheme="majorBidi" w:cstheme="majorBidi"/>
          <w:i/>
        </w:rPr>
        <w:t>dX</w:t>
      </w:r>
      <w:proofErr w:type="spellEnd"/>
    </w:p>
    <w:p w14:paraId="5341D9B0" w14:textId="77777777" w:rsidR="00AB4E6A" w:rsidRPr="00AB4E6A" w:rsidRDefault="00AB4E6A" w:rsidP="00AB4E6A">
      <w:pPr>
        <w:rPr>
          <w:rFonts w:asciiTheme="majorBidi" w:hAnsiTheme="majorBidi" w:cstheme="majorBidi"/>
          <w:i/>
        </w:rPr>
      </w:pPr>
      <w:r w:rsidRPr="00AB4E6A">
        <w:rPr>
          <w:rFonts w:asciiTheme="majorBidi" w:hAnsiTheme="majorBidi" w:cstheme="majorBidi"/>
          <w:noProof/>
          <w:lang w:eastAsia="en-GB"/>
        </w:rPr>
        <mc:AlternateContent>
          <mc:Choice Requires="wps">
            <w:drawing>
              <wp:anchor distT="0" distB="0" distL="114300" distR="114300" simplePos="0" relativeHeight="251678720" behindDoc="0" locked="0" layoutInCell="1" allowOverlap="1" wp14:anchorId="48DF573C" wp14:editId="7E2324A2">
                <wp:simplePos x="0" y="0"/>
                <wp:positionH relativeFrom="page">
                  <wp:posOffset>2774315</wp:posOffset>
                </wp:positionH>
                <wp:positionV relativeFrom="paragraph">
                  <wp:posOffset>66040</wp:posOffset>
                </wp:positionV>
                <wp:extent cx="180975" cy="0"/>
                <wp:effectExtent l="0" t="0" r="0" b="0"/>
                <wp:wrapNone/>
                <wp:docPr id="46"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AEF5A" id="Line 36" o:spid="_x0000_s1026" alt="&quot;&quot;"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45pt,5.2pt" to="232.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" strokeweight=".14042mm">
                <w10:wrap anchorx="page"/>
              </v:line>
            </w:pict>
          </mc:Fallback>
        </mc:AlternateContent>
      </w:r>
      <w:r w:rsidRPr="00AB4E6A">
        <w:rPr>
          <w:rFonts w:asciiTheme="majorBidi" w:hAnsiTheme="majorBidi" w:cstheme="majorBidi"/>
          <w:noProof/>
          <w:lang w:eastAsia="en-GB"/>
        </w:rPr>
        <mc:AlternateContent>
          <mc:Choice Requires="wps">
            <w:drawing>
              <wp:anchor distT="0" distB="0" distL="114300" distR="114300" simplePos="0" relativeHeight="251679744" behindDoc="0" locked="0" layoutInCell="1" allowOverlap="1" wp14:anchorId="332D2D8B" wp14:editId="709866D6">
                <wp:simplePos x="0" y="0"/>
                <wp:positionH relativeFrom="page">
                  <wp:posOffset>2809240</wp:posOffset>
                </wp:positionH>
                <wp:positionV relativeFrom="paragraph">
                  <wp:posOffset>89535</wp:posOffset>
                </wp:positionV>
                <wp:extent cx="111760" cy="127000"/>
                <wp:effectExtent l="0" t="0" r="0" b="0"/>
                <wp:wrapNone/>
                <wp:docPr id="110"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6C318" w14:textId="77777777" w:rsidR="008E01D0" w:rsidRDefault="008E01D0" w:rsidP="00AB4E6A">
                            <w:pPr>
                              <w:spacing w:line="196" w:lineRule="exact"/>
                              <w:rPr>
                                <w:rFonts w:ascii="Bookman Old Style"/>
                                <w:i/>
                                <w:sz w:val="20"/>
                              </w:rPr>
                            </w:pPr>
                            <w:r>
                              <w:rPr>
                                <w:rFonts w:ascii="Bookman Old Style"/>
                                <w:i/>
                                <w:w w:val="85"/>
                                <w:sz w:val="20"/>
                              </w:rPr>
                              <w:t>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2D8B" id="docshape2" o:spid="_x0000_s1065" type="#_x0000_t202" alt="&quot;&quot;" style="position:absolute;margin-left:221.2pt;margin-top:7.05pt;width:8.8pt;height:1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" filled="f" stroked="f">
                <v:textbox inset="0,0,0,0">
                  <w:txbxContent>
                    <w:p w14:paraId="2F36C318" w14:textId="77777777" w:rsidR="008E01D0" w:rsidRDefault="008E01D0" w:rsidP="00AB4E6A">
                      <w:pPr>
                        <w:spacing w:line="196" w:lineRule="exact"/>
                        <w:rPr>
                          <w:rFonts w:ascii="Bookman Old Style"/>
                          <w:i/>
                          <w:sz w:val="20"/>
                        </w:rPr>
                      </w:pPr>
                      <w:r>
                        <w:rPr>
                          <w:rFonts w:ascii="Bookman Old Style"/>
                          <w:i/>
                          <w:w w:val="85"/>
                          <w:sz w:val="20"/>
                        </w:rPr>
                        <w:t>dt</w:t>
                      </w:r>
                    </w:p>
                  </w:txbxContent>
                </v:textbox>
                <w10:wrap anchorx="page"/>
              </v:shape>
            </w:pict>
          </mc:Fallback>
        </mc:AlternateContent>
      </w:r>
      <w:r w:rsidRPr="00AB4E6A">
        <w:rPr>
          <w:rFonts w:asciiTheme="majorBidi" w:hAnsiTheme="majorBidi" w:cstheme="majorBidi"/>
        </w:rPr>
        <w:t xml:space="preserve">= </w:t>
      </w:r>
      <w:proofErr w:type="spellStart"/>
      <w:r w:rsidRPr="00AB4E6A">
        <w:rPr>
          <w:rFonts w:asciiTheme="majorBidi" w:hAnsiTheme="majorBidi" w:cstheme="majorBidi"/>
          <w:i/>
        </w:rPr>
        <w:t>qX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θX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δTX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σY</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γ</w:t>
      </w:r>
      <w:r w:rsidRPr="00AB4E6A">
        <w:rPr>
          <w:rFonts w:asciiTheme="majorBidi" w:hAnsiTheme="majorBidi" w:cstheme="majorBidi"/>
          <w:i/>
          <w:vertAlign w:val="subscript"/>
        </w:rPr>
        <w:t>x</w:t>
      </w:r>
      <w:r w:rsidRPr="00AB4E6A">
        <w:rPr>
          <w:rFonts w:asciiTheme="majorBidi" w:hAnsiTheme="majorBidi" w:cstheme="majorBidi"/>
          <w:i/>
        </w:rPr>
        <w:t>X</w:t>
      </w:r>
      <w:proofErr w:type="spellEnd"/>
    </w:p>
    <w:p w14:paraId="20492329" w14:textId="77777777" w:rsidR="00AB4E6A" w:rsidRPr="00AB4E6A" w:rsidRDefault="00AB4E6A" w:rsidP="00AB4E6A">
      <w:pPr>
        <w:rPr>
          <w:rFonts w:asciiTheme="majorBidi" w:hAnsiTheme="majorBidi" w:cstheme="majorBidi"/>
          <w:i/>
        </w:rPr>
      </w:pPr>
      <w:r w:rsidRPr="00AB4E6A">
        <w:rPr>
          <w:rFonts w:asciiTheme="majorBidi" w:hAnsiTheme="majorBidi" w:cstheme="majorBidi"/>
        </w:rPr>
        <w:t>= −</w:t>
      </w:r>
      <w:proofErr w:type="spellStart"/>
      <w:r w:rsidRPr="00AB4E6A">
        <w:rPr>
          <w:rFonts w:asciiTheme="majorBidi" w:hAnsiTheme="majorBidi" w:cstheme="majorBidi"/>
          <w:i/>
        </w:rPr>
        <w:t>δTX</w:t>
      </w:r>
      <w:proofErr w:type="spellEnd"/>
      <w:r w:rsidRPr="00AB4E6A">
        <w:rPr>
          <w:rFonts w:asciiTheme="majorBidi" w:hAnsiTheme="majorBidi" w:cstheme="majorBidi"/>
          <w:i/>
        </w:rPr>
        <w:t xml:space="preserve"> </w:t>
      </w:r>
      <w:r w:rsidRPr="00AB4E6A">
        <w:rPr>
          <w:rFonts w:asciiTheme="majorBidi" w:hAnsiTheme="majorBidi" w:cstheme="majorBidi"/>
        </w:rPr>
        <w:t>+ (</w:t>
      </w:r>
      <w:r w:rsidRPr="00AB4E6A">
        <w:rPr>
          <w:rFonts w:asciiTheme="majorBidi" w:hAnsiTheme="majorBidi" w:cstheme="majorBidi"/>
          <w:i/>
        </w:rPr>
        <w:t xml:space="preserve">q </w:t>
      </w:r>
      <w:r w:rsidRPr="00AB4E6A">
        <w:rPr>
          <w:rFonts w:asciiTheme="majorBidi" w:hAnsiTheme="majorBidi" w:cstheme="majorBidi"/>
        </w:rPr>
        <w:t xml:space="preserve">− </w:t>
      </w:r>
      <w:r w:rsidRPr="00AB4E6A">
        <w:rPr>
          <w:rFonts w:asciiTheme="majorBidi" w:hAnsiTheme="majorBidi" w:cstheme="majorBidi"/>
          <w:i/>
        </w:rPr>
        <w:t xml:space="preserve">θ </w:t>
      </w:r>
      <w:r w:rsidRPr="00AB4E6A">
        <w:rPr>
          <w:rFonts w:asciiTheme="majorBidi" w:hAnsiTheme="majorBidi" w:cstheme="majorBidi"/>
        </w:rPr>
        <w:t xml:space="preserve">− </w:t>
      </w:r>
      <w:proofErr w:type="spellStart"/>
      <w:r w:rsidRPr="00AB4E6A">
        <w:rPr>
          <w:rFonts w:asciiTheme="majorBidi" w:hAnsiTheme="majorBidi" w:cstheme="majorBidi"/>
          <w:i/>
        </w:rPr>
        <w:t>γ</w:t>
      </w:r>
      <w:proofErr w:type="gramStart"/>
      <w:r w:rsidRPr="00AB4E6A">
        <w:rPr>
          <w:rFonts w:asciiTheme="majorBidi" w:hAnsiTheme="majorBidi" w:cstheme="majorBidi"/>
          <w:i/>
          <w:vertAlign w:val="subscript"/>
        </w:rPr>
        <w:t>x</w:t>
      </w:r>
      <w:proofErr w:type="spellEnd"/>
      <w:r w:rsidRPr="00AB4E6A">
        <w:rPr>
          <w:rFonts w:asciiTheme="majorBidi" w:hAnsiTheme="majorBidi" w:cstheme="majorBidi"/>
        </w:rPr>
        <w:t>)</w:t>
      </w:r>
      <w:r w:rsidRPr="00AB4E6A">
        <w:rPr>
          <w:rFonts w:asciiTheme="majorBidi" w:hAnsiTheme="majorBidi" w:cstheme="majorBidi"/>
          <w:i/>
        </w:rPr>
        <w:t>X</w:t>
      </w:r>
      <w:proofErr w:type="gram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σY</w:t>
      </w:r>
      <w:proofErr w:type="spellEnd"/>
    </w:p>
    <w:p w14:paraId="30D696CA" w14:textId="77777777" w:rsidR="00AB4E6A" w:rsidRPr="00AB4E6A" w:rsidRDefault="00AB4E6A" w:rsidP="00AB4E6A">
      <w:pPr>
        <w:rPr>
          <w:rFonts w:asciiTheme="majorBidi" w:hAnsiTheme="majorBidi" w:cstheme="majorBidi"/>
          <w:i/>
        </w:rPr>
      </w:pPr>
      <w:proofErr w:type="spellStart"/>
      <w:r w:rsidRPr="00AB4E6A">
        <w:rPr>
          <w:rFonts w:asciiTheme="majorBidi" w:hAnsiTheme="majorBidi" w:cstheme="majorBidi"/>
          <w:i/>
        </w:rPr>
        <w:t>dY</w:t>
      </w:r>
      <w:proofErr w:type="spellEnd"/>
    </w:p>
    <w:p w14:paraId="33639462" w14:textId="77777777" w:rsidR="00AB4E6A" w:rsidRPr="00AB4E6A" w:rsidRDefault="00AB4E6A" w:rsidP="00AB4E6A">
      <w:pPr>
        <w:rPr>
          <w:rFonts w:asciiTheme="majorBidi" w:hAnsiTheme="majorBidi" w:cstheme="majorBidi"/>
          <w:i/>
        </w:rPr>
      </w:pPr>
      <w:r w:rsidRPr="00AB4E6A">
        <w:rPr>
          <w:rFonts w:asciiTheme="majorBidi" w:hAnsiTheme="majorBidi" w:cstheme="majorBidi"/>
          <w:noProof/>
          <w:lang w:eastAsia="en-GB"/>
        </w:rPr>
        <mc:AlternateContent>
          <mc:Choice Requires="wps">
            <w:drawing>
              <wp:anchor distT="0" distB="0" distL="114300" distR="114300" simplePos="0" relativeHeight="251680768" behindDoc="1" locked="0" layoutInCell="1" allowOverlap="1" wp14:anchorId="1106897D" wp14:editId="254158A8">
                <wp:simplePos x="0" y="0"/>
                <wp:positionH relativeFrom="page">
                  <wp:posOffset>2780665</wp:posOffset>
                </wp:positionH>
                <wp:positionV relativeFrom="paragraph">
                  <wp:posOffset>84455</wp:posOffset>
                </wp:positionV>
                <wp:extent cx="174625" cy="0"/>
                <wp:effectExtent l="0" t="0" r="0" b="0"/>
                <wp:wrapNone/>
                <wp:docPr id="111"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041F" id="Line 34" o:spid="_x0000_s1026" alt="&quot;&quot;"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95pt,6.65pt" to="23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" strokeweight=".14042mm">
                <w10:wrap anchorx="page"/>
              </v:line>
            </w:pict>
          </mc:Fallback>
        </mc:AlternateContent>
      </w:r>
      <w:r w:rsidRPr="00AB4E6A">
        <w:rPr>
          <w:rFonts w:asciiTheme="majorBidi" w:hAnsiTheme="majorBidi" w:cstheme="majorBidi"/>
          <w:i/>
        </w:rPr>
        <w:t xml:space="preserve">dt </w:t>
      </w:r>
      <w:r w:rsidRPr="00AB4E6A">
        <w:rPr>
          <w:rFonts w:asciiTheme="majorBidi" w:hAnsiTheme="majorBidi" w:cstheme="majorBidi"/>
        </w:rPr>
        <w:t xml:space="preserve">= </w:t>
      </w:r>
      <w:proofErr w:type="spellStart"/>
      <w:r w:rsidRPr="00AB4E6A">
        <w:rPr>
          <w:rFonts w:asciiTheme="majorBidi" w:hAnsiTheme="majorBidi" w:cstheme="majorBidi"/>
          <w:i/>
        </w:rPr>
        <w:t>qY</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θX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δTX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σY</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γ</w:t>
      </w:r>
      <w:r w:rsidRPr="00AB4E6A">
        <w:rPr>
          <w:rFonts w:asciiTheme="majorBidi" w:hAnsiTheme="majorBidi" w:cstheme="majorBidi"/>
          <w:i/>
          <w:vertAlign w:val="subscript"/>
        </w:rPr>
        <w:t>y</w:t>
      </w:r>
      <w:r w:rsidRPr="00AB4E6A">
        <w:rPr>
          <w:rFonts w:asciiTheme="majorBidi" w:hAnsiTheme="majorBidi" w:cstheme="majorBidi"/>
          <w:i/>
        </w:rPr>
        <w:t>Y</w:t>
      </w:r>
      <w:proofErr w:type="spellEnd"/>
    </w:p>
    <w:p w14:paraId="0E4034A5" w14:textId="77777777" w:rsidR="00AB4E6A" w:rsidRPr="00AB4E6A" w:rsidRDefault="00AB4E6A" w:rsidP="00AB4E6A">
      <w:pPr>
        <w:rPr>
          <w:rFonts w:asciiTheme="majorBidi" w:hAnsiTheme="majorBidi" w:cstheme="majorBidi"/>
        </w:rPr>
      </w:pPr>
      <w:r w:rsidRPr="00AB4E6A">
        <w:rPr>
          <w:rFonts w:asciiTheme="majorBidi" w:hAnsiTheme="majorBidi" w:cstheme="majorBidi"/>
        </w:rPr>
        <w:t xml:space="preserve">= </w:t>
      </w:r>
      <w:proofErr w:type="spellStart"/>
      <w:r w:rsidRPr="00AB4E6A">
        <w:rPr>
          <w:rFonts w:asciiTheme="majorBidi" w:hAnsiTheme="majorBidi" w:cstheme="majorBidi"/>
          <w:i/>
        </w:rPr>
        <w:t>δTX</w:t>
      </w:r>
      <w:proofErr w:type="spellEnd"/>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θX</w:t>
      </w:r>
      <w:proofErr w:type="spellEnd"/>
      <w:r w:rsidRPr="00AB4E6A">
        <w:rPr>
          <w:rFonts w:asciiTheme="majorBidi" w:hAnsiTheme="majorBidi" w:cstheme="majorBidi"/>
          <w:i/>
        </w:rPr>
        <w:t xml:space="preserve"> </w:t>
      </w:r>
      <w:r w:rsidRPr="00AB4E6A">
        <w:rPr>
          <w:rFonts w:asciiTheme="majorBidi" w:hAnsiTheme="majorBidi" w:cstheme="majorBidi"/>
        </w:rPr>
        <w:t>+ (</w:t>
      </w:r>
      <w:r w:rsidRPr="00AB4E6A">
        <w:rPr>
          <w:rFonts w:asciiTheme="majorBidi" w:hAnsiTheme="majorBidi" w:cstheme="majorBidi"/>
          <w:i/>
        </w:rPr>
        <w:t xml:space="preserve">q </w:t>
      </w:r>
      <w:r w:rsidRPr="00AB4E6A">
        <w:rPr>
          <w:rFonts w:asciiTheme="majorBidi" w:hAnsiTheme="majorBidi" w:cstheme="majorBidi"/>
        </w:rPr>
        <w:t xml:space="preserve">− </w:t>
      </w:r>
      <w:r w:rsidRPr="00AB4E6A">
        <w:rPr>
          <w:rFonts w:asciiTheme="majorBidi" w:hAnsiTheme="majorBidi" w:cstheme="majorBidi"/>
          <w:i/>
        </w:rPr>
        <w:t xml:space="preserve">σ </w:t>
      </w:r>
      <w:r w:rsidRPr="00AB4E6A">
        <w:rPr>
          <w:rFonts w:asciiTheme="majorBidi" w:hAnsiTheme="majorBidi" w:cstheme="majorBidi"/>
        </w:rPr>
        <w:t xml:space="preserve">− </w:t>
      </w:r>
      <w:proofErr w:type="spellStart"/>
      <w:r w:rsidRPr="00AB4E6A">
        <w:rPr>
          <w:rFonts w:asciiTheme="majorBidi" w:hAnsiTheme="majorBidi" w:cstheme="majorBidi"/>
          <w:i/>
        </w:rPr>
        <w:t>γ</w:t>
      </w:r>
      <w:proofErr w:type="gramStart"/>
      <w:r w:rsidRPr="00AB4E6A">
        <w:rPr>
          <w:rFonts w:asciiTheme="majorBidi" w:hAnsiTheme="majorBidi" w:cstheme="majorBidi"/>
          <w:i/>
          <w:vertAlign w:val="subscript"/>
        </w:rPr>
        <w:t>y</w:t>
      </w:r>
      <w:proofErr w:type="spellEnd"/>
      <w:r w:rsidRPr="00AB4E6A">
        <w:rPr>
          <w:rFonts w:asciiTheme="majorBidi" w:hAnsiTheme="majorBidi" w:cstheme="majorBidi"/>
        </w:rPr>
        <w:t>)</w:t>
      </w:r>
      <w:r w:rsidRPr="00AB4E6A">
        <w:rPr>
          <w:rFonts w:asciiTheme="majorBidi" w:hAnsiTheme="majorBidi" w:cstheme="majorBidi"/>
          <w:i/>
        </w:rPr>
        <w:t>Y</w:t>
      </w:r>
      <w:proofErr w:type="gramEnd"/>
      <w:r w:rsidRPr="00AB4E6A">
        <w:rPr>
          <w:rFonts w:asciiTheme="majorBidi" w:hAnsiTheme="majorBidi" w:cstheme="majorBidi"/>
          <w:i/>
        </w:rPr>
        <w:t xml:space="preserve"> X </w:t>
      </w:r>
      <w:r w:rsidRPr="00AB4E6A">
        <w:rPr>
          <w:rFonts w:asciiTheme="majorBidi" w:hAnsiTheme="majorBidi" w:cstheme="majorBidi"/>
        </w:rPr>
        <w:t xml:space="preserve">= </w:t>
      </w:r>
      <w:r w:rsidRPr="00AB4E6A">
        <w:rPr>
          <w:rFonts w:asciiTheme="majorBidi" w:hAnsiTheme="majorBidi" w:cstheme="majorBidi"/>
          <w:i/>
        </w:rPr>
        <w:t>π</w:t>
      </w:r>
      <w:r w:rsidRPr="00AB4E6A">
        <w:rPr>
          <w:rFonts w:asciiTheme="majorBidi" w:hAnsiTheme="majorBidi" w:cstheme="majorBidi"/>
          <w:i/>
          <w:vertAlign w:val="subscript"/>
        </w:rPr>
        <w:t>t</w:t>
      </w:r>
      <w:r w:rsidRPr="00AB4E6A">
        <w:rPr>
          <w:rFonts w:asciiTheme="majorBidi" w:hAnsiTheme="majorBidi" w:cstheme="majorBidi"/>
          <w:i/>
        </w:rPr>
        <w:t xml:space="preserve"> </w:t>
      </w:r>
      <w:r w:rsidRPr="00AB4E6A">
        <w:rPr>
          <w:rFonts w:asciiTheme="majorBidi" w:hAnsiTheme="majorBidi" w:cstheme="majorBidi"/>
        </w:rPr>
        <w:t xml:space="preserve">× (1 − </w:t>
      </w:r>
      <w:r w:rsidRPr="00AB4E6A">
        <w:rPr>
          <w:rFonts w:asciiTheme="majorBidi" w:hAnsiTheme="majorBidi" w:cstheme="majorBidi"/>
          <w:i/>
        </w:rPr>
        <w:t xml:space="preserve">P </w:t>
      </w:r>
      <w:r w:rsidRPr="00AB4E6A">
        <w:rPr>
          <w:rFonts w:asciiTheme="majorBidi" w:hAnsiTheme="majorBidi" w:cstheme="majorBidi"/>
        </w:rPr>
        <w:t>(</w:t>
      </w:r>
      <w:r w:rsidRPr="00AB4E6A">
        <w:rPr>
          <w:rFonts w:asciiTheme="majorBidi" w:hAnsiTheme="majorBidi" w:cstheme="majorBidi"/>
          <w:i/>
        </w:rPr>
        <w:t>Res</w:t>
      </w:r>
      <w:r w:rsidRPr="00AB4E6A">
        <w:rPr>
          <w:rFonts w:asciiTheme="majorBidi" w:hAnsiTheme="majorBidi" w:cstheme="majorBidi"/>
        </w:rPr>
        <w:t>))</w:t>
      </w:r>
    </w:p>
    <w:p w14:paraId="50304487" w14:textId="77777777" w:rsidR="00AB4E6A" w:rsidRPr="00AB4E6A" w:rsidRDefault="00AB4E6A" w:rsidP="00AB4E6A">
      <w:pPr>
        <w:rPr>
          <w:rFonts w:asciiTheme="majorBidi" w:hAnsiTheme="majorBidi" w:cstheme="majorBidi"/>
        </w:rPr>
      </w:pPr>
      <w:r w:rsidRPr="00AB4E6A">
        <w:rPr>
          <w:rFonts w:asciiTheme="majorBidi" w:hAnsiTheme="majorBidi" w:cstheme="majorBidi"/>
          <w:i/>
        </w:rPr>
        <w:t xml:space="preserve">Y </w:t>
      </w:r>
      <w:r w:rsidRPr="00AB4E6A">
        <w:rPr>
          <w:rFonts w:asciiTheme="majorBidi" w:hAnsiTheme="majorBidi" w:cstheme="majorBidi"/>
        </w:rPr>
        <w:t xml:space="preserve">= </w:t>
      </w:r>
      <w:r w:rsidRPr="00AB4E6A">
        <w:rPr>
          <w:rFonts w:asciiTheme="majorBidi" w:hAnsiTheme="majorBidi" w:cstheme="majorBidi"/>
          <w:i/>
        </w:rPr>
        <w:t>π</w:t>
      </w:r>
      <w:r w:rsidRPr="00AB4E6A">
        <w:rPr>
          <w:rFonts w:asciiTheme="majorBidi" w:hAnsiTheme="majorBidi" w:cstheme="majorBidi"/>
          <w:i/>
          <w:vertAlign w:val="subscript"/>
        </w:rPr>
        <w:t>t</w:t>
      </w:r>
      <w:r w:rsidRPr="00AB4E6A">
        <w:rPr>
          <w:rFonts w:asciiTheme="majorBidi" w:hAnsiTheme="majorBidi" w:cstheme="majorBidi"/>
          <w:i/>
        </w:rPr>
        <w:t xml:space="preserve"> </w:t>
      </w:r>
      <w:r w:rsidRPr="00AB4E6A">
        <w:rPr>
          <w:rFonts w:asciiTheme="majorBidi" w:hAnsiTheme="majorBidi" w:cstheme="majorBidi"/>
        </w:rPr>
        <w:t xml:space="preserve">× </w:t>
      </w:r>
      <w:r w:rsidRPr="00AB4E6A">
        <w:rPr>
          <w:rFonts w:asciiTheme="majorBidi" w:hAnsiTheme="majorBidi" w:cstheme="majorBidi"/>
          <w:i/>
        </w:rPr>
        <w:t xml:space="preserve">P </w:t>
      </w:r>
      <w:r w:rsidRPr="00AB4E6A">
        <w:rPr>
          <w:rFonts w:asciiTheme="majorBidi" w:hAnsiTheme="majorBidi" w:cstheme="majorBidi"/>
        </w:rPr>
        <w:t>(</w:t>
      </w:r>
      <w:r w:rsidRPr="00AB4E6A">
        <w:rPr>
          <w:rFonts w:asciiTheme="majorBidi" w:hAnsiTheme="majorBidi" w:cstheme="majorBidi"/>
          <w:i/>
        </w:rPr>
        <w:t>Res</w:t>
      </w:r>
      <w:r w:rsidRPr="00AB4E6A">
        <w:rPr>
          <w:rFonts w:asciiTheme="majorBidi" w:hAnsiTheme="majorBidi" w:cstheme="majorBidi"/>
        </w:rPr>
        <w:t>)</w:t>
      </w:r>
    </w:p>
    <w:p w14:paraId="66C1DDC9"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lang w:val="en-US"/>
        </w:rPr>
        <w:lastRenderedPageBreak/>
        <w:t xml:space="preserve">where </w:t>
      </w:r>
      <w:r w:rsidRPr="00AB4E6A">
        <w:rPr>
          <w:rFonts w:asciiTheme="majorBidi" w:hAnsiTheme="majorBidi" w:cstheme="majorBidi"/>
          <w:i/>
          <w:lang w:val="en-US"/>
        </w:rPr>
        <w:t xml:space="preserve">X </w:t>
      </w:r>
      <w:r w:rsidRPr="00AB4E6A">
        <w:rPr>
          <w:rFonts w:asciiTheme="majorBidi" w:hAnsiTheme="majorBidi" w:cstheme="majorBidi"/>
          <w:lang w:val="en-US"/>
        </w:rPr>
        <w:t xml:space="preserve">and </w:t>
      </w:r>
      <w:r w:rsidRPr="00AB4E6A">
        <w:rPr>
          <w:rFonts w:asciiTheme="majorBidi" w:hAnsiTheme="majorBidi" w:cstheme="majorBidi"/>
          <w:i/>
          <w:lang w:val="en-US"/>
        </w:rPr>
        <w:t xml:space="preserve">Y </w:t>
      </w:r>
      <w:r w:rsidRPr="00AB4E6A">
        <w:rPr>
          <w:rFonts w:asciiTheme="majorBidi" w:hAnsiTheme="majorBidi" w:cstheme="majorBidi"/>
          <w:lang w:val="en-US"/>
        </w:rPr>
        <w:t xml:space="preserve">indicate the prevalence of infected people bacteria without and with drug resistance respectively and </w:t>
      </w:r>
      <w:r w:rsidRPr="00AB4E6A">
        <w:rPr>
          <w:rFonts w:asciiTheme="majorBidi" w:hAnsiTheme="majorBidi" w:cstheme="majorBidi"/>
          <w:i/>
          <w:lang w:val="en-US"/>
        </w:rPr>
        <w:t xml:space="preserve">T </w:t>
      </w:r>
      <w:r w:rsidRPr="00AB4E6A">
        <w:rPr>
          <w:rFonts w:asciiTheme="majorBidi" w:hAnsiTheme="majorBidi" w:cstheme="majorBidi"/>
          <w:lang w:val="en-US"/>
        </w:rPr>
        <w:t xml:space="preserve">denote the use of antimicrobial; </w:t>
      </w:r>
      <w:r w:rsidRPr="00AB4E6A">
        <w:rPr>
          <w:rFonts w:asciiTheme="majorBidi" w:hAnsiTheme="majorBidi" w:cstheme="majorBidi"/>
          <w:i/>
          <w:lang w:val="en-US"/>
        </w:rPr>
        <w:t xml:space="preserve">P </w:t>
      </w:r>
      <w:r w:rsidRPr="00AB4E6A">
        <w:rPr>
          <w:rFonts w:asciiTheme="majorBidi" w:hAnsiTheme="majorBidi" w:cstheme="majorBidi"/>
          <w:lang w:val="en-US"/>
        </w:rPr>
        <w:t>(</w:t>
      </w:r>
      <w:r w:rsidRPr="00AB4E6A">
        <w:rPr>
          <w:rFonts w:asciiTheme="majorBidi" w:hAnsiTheme="majorBidi" w:cstheme="majorBidi"/>
          <w:i/>
          <w:lang w:val="en-US"/>
        </w:rPr>
        <w:t>Res</w:t>
      </w:r>
      <w:r w:rsidRPr="00AB4E6A">
        <w:rPr>
          <w:rFonts w:asciiTheme="majorBidi" w:hAnsiTheme="majorBidi" w:cstheme="majorBidi"/>
          <w:lang w:val="en-US"/>
        </w:rPr>
        <w:t>) is proportional resistant sourcing from data.</w:t>
      </w:r>
    </w:p>
    <w:p w14:paraId="366653B1" w14:textId="77777777" w:rsidR="00AB4E6A" w:rsidRPr="00AB4E6A" w:rsidRDefault="00AB4E6A" w:rsidP="00AB4E6A">
      <w:pPr>
        <w:rPr>
          <w:rFonts w:asciiTheme="majorBidi" w:hAnsiTheme="majorBidi" w:cstheme="majorBidi"/>
          <w:lang w:val="en-US"/>
        </w:rPr>
      </w:pPr>
    </w:p>
    <w:p w14:paraId="0EA587D1" w14:textId="77777777" w:rsidR="00AB4E6A" w:rsidRPr="00AB4E6A" w:rsidRDefault="00AB4E6A" w:rsidP="00AB4E6A">
      <w:pPr>
        <w:rPr>
          <w:rFonts w:asciiTheme="majorBidi" w:hAnsiTheme="majorBidi" w:cstheme="majorBidi"/>
          <w:b/>
        </w:rPr>
      </w:pPr>
      <w:r w:rsidRPr="00AB4E6A">
        <w:rPr>
          <w:rFonts w:asciiTheme="majorBidi" w:hAnsiTheme="majorBidi" w:cstheme="majorBidi"/>
          <w:b/>
        </w:rPr>
        <w:t>Parameters</w:t>
      </w:r>
    </w:p>
    <w:p w14:paraId="7F582095"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i/>
          <w:lang w:val="en-US"/>
        </w:rPr>
        <w:t>π</w:t>
      </w:r>
      <w:r w:rsidRPr="00AB4E6A">
        <w:rPr>
          <w:rFonts w:asciiTheme="majorBidi" w:hAnsiTheme="majorBidi" w:cstheme="majorBidi"/>
          <w:i/>
          <w:vertAlign w:val="subscript"/>
          <w:lang w:val="en-US"/>
        </w:rPr>
        <w:t>t</w:t>
      </w:r>
      <w:r w:rsidRPr="00AB4E6A">
        <w:rPr>
          <w:rFonts w:asciiTheme="majorBidi" w:hAnsiTheme="majorBidi" w:cstheme="majorBidi"/>
          <w:i/>
          <w:lang w:val="en-US"/>
        </w:rPr>
        <w:t xml:space="preserve"> </w:t>
      </w:r>
      <w:r w:rsidRPr="00AB4E6A">
        <w:rPr>
          <w:rFonts w:asciiTheme="majorBidi" w:hAnsiTheme="majorBidi" w:cstheme="majorBidi"/>
          <w:lang w:val="en-US"/>
        </w:rPr>
        <w:t xml:space="preserve">prevalence of the eligible population at time </w:t>
      </w:r>
      <w:r w:rsidRPr="00AB4E6A">
        <w:rPr>
          <w:rFonts w:asciiTheme="majorBidi" w:hAnsiTheme="majorBidi" w:cstheme="majorBidi"/>
          <w:i/>
          <w:lang w:val="en-US"/>
        </w:rPr>
        <w:t xml:space="preserve">t q </w:t>
      </w:r>
      <w:r w:rsidRPr="00AB4E6A">
        <w:rPr>
          <w:rFonts w:asciiTheme="majorBidi" w:hAnsiTheme="majorBidi" w:cstheme="majorBidi"/>
          <w:lang w:val="en-US"/>
        </w:rPr>
        <w:t>ratio of incidence over prevalence</w:t>
      </w:r>
    </w:p>
    <w:p w14:paraId="72E6F527"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i/>
          <w:lang w:val="en-US"/>
        </w:rPr>
        <w:t xml:space="preserve">θ </w:t>
      </w:r>
      <w:r w:rsidRPr="00AB4E6A">
        <w:rPr>
          <w:rFonts w:asciiTheme="majorBidi" w:hAnsiTheme="majorBidi" w:cstheme="majorBidi"/>
          <w:lang w:val="en-US"/>
        </w:rPr>
        <w:t>rate of resistance development due to natural mutation</w:t>
      </w:r>
    </w:p>
    <w:p w14:paraId="2157D148"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i/>
          <w:lang w:val="en-US"/>
        </w:rPr>
        <w:t xml:space="preserve">δ </w:t>
      </w:r>
      <w:r w:rsidRPr="00AB4E6A">
        <w:rPr>
          <w:rFonts w:asciiTheme="majorBidi" w:hAnsiTheme="majorBidi" w:cstheme="majorBidi"/>
          <w:lang w:val="en-US"/>
        </w:rPr>
        <w:t>rate of resistance amplification due to respective antimicrobial treatment</w:t>
      </w:r>
    </w:p>
    <w:p w14:paraId="4104713A"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i/>
          <w:lang w:val="en-US"/>
        </w:rPr>
        <w:t xml:space="preserve">σ </w:t>
      </w:r>
      <w:r w:rsidRPr="00AB4E6A">
        <w:rPr>
          <w:rFonts w:asciiTheme="majorBidi" w:hAnsiTheme="majorBidi" w:cstheme="majorBidi"/>
          <w:lang w:val="en-US"/>
        </w:rPr>
        <w:t>rate of resistance loss</w:t>
      </w:r>
    </w:p>
    <w:p w14:paraId="62788F24" w14:textId="77777777" w:rsidR="00AB4E6A" w:rsidRPr="00AB4E6A" w:rsidRDefault="00AB4E6A" w:rsidP="00AB4E6A">
      <w:pPr>
        <w:rPr>
          <w:rFonts w:asciiTheme="majorBidi" w:hAnsiTheme="majorBidi" w:cstheme="majorBidi"/>
          <w:lang w:val="en-US"/>
        </w:rPr>
      </w:pPr>
      <w:proofErr w:type="spellStart"/>
      <w:r w:rsidRPr="00AB4E6A">
        <w:rPr>
          <w:rFonts w:asciiTheme="majorBidi" w:hAnsiTheme="majorBidi" w:cstheme="majorBidi"/>
          <w:i/>
          <w:lang w:val="en-US"/>
        </w:rPr>
        <w:t>γ</w:t>
      </w:r>
      <w:r w:rsidRPr="00AB4E6A">
        <w:rPr>
          <w:rFonts w:asciiTheme="majorBidi" w:hAnsiTheme="majorBidi" w:cstheme="majorBidi"/>
          <w:i/>
          <w:vertAlign w:val="subscript"/>
          <w:lang w:val="en-US"/>
        </w:rPr>
        <w:t>x</w:t>
      </w:r>
      <w:proofErr w:type="spellEnd"/>
      <w:r w:rsidRPr="00AB4E6A">
        <w:rPr>
          <w:rFonts w:asciiTheme="majorBidi" w:hAnsiTheme="majorBidi" w:cstheme="majorBidi"/>
          <w:i/>
          <w:lang w:val="en-US"/>
        </w:rPr>
        <w:t xml:space="preserve"> </w:t>
      </w:r>
      <w:r w:rsidRPr="00AB4E6A">
        <w:rPr>
          <w:rFonts w:asciiTheme="majorBidi" w:hAnsiTheme="majorBidi" w:cstheme="majorBidi"/>
          <w:lang w:val="en-US"/>
        </w:rPr>
        <w:t>outflow rate of the drug susceptible, including self-clearance, death, treatment successful.</w:t>
      </w:r>
    </w:p>
    <w:p w14:paraId="46184673" w14:textId="77777777" w:rsidR="00AB4E6A" w:rsidRPr="00AB4E6A" w:rsidRDefault="00AB4E6A" w:rsidP="00AB4E6A">
      <w:pPr>
        <w:rPr>
          <w:rFonts w:asciiTheme="majorBidi" w:hAnsiTheme="majorBidi" w:cstheme="majorBidi"/>
          <w:lang w:val="en-US"/>
        </w:rPr>
      </w:pPr>
      <w:proofErr w:type="spellStart"/>
      <w:r w:rsidRPr="00AB4E6A">
        <w:rPr>
          <w:rFonts w:asciiTheme="majorBidi" w:hAnsiTheme="majorBidi" w:cstheme="majorBidi"/>
          <w:i/>
          <w:lang w:val="en-US"/>
        </w:rPr>
        <w:t>γ</w:t>
      </w:r>
      <w:r w:rsidRPr="00AB4E6A">
        <w:rPr>
          <w:rFonts w:asciiTheme="majorBidi" w:hAnsiTheme="majorBidi" w:cstheme="majorBidi"/>
          <w:i/>
          <w:vertAlign w:val="subscript"/>
          <w:lang w:val="en-US"/>
        </w:rPr>
        <w:t>y</w:t>
      </w:r>
      <w:proofErr w:type="spellEnd"/>
      <w:r w:rsidRPr="00AB4E6A">
        <w:rPr>
          <w:rFonts w:asciiTheme="majorBidi" w:hAnsiTheme="majorBidi" w:cstheme="majorBidi"/>
          <w:i/>
          <w:lang w:val="en-US"/>
        </w:rPr>
        <w:t xml:space="preserve"> </w:t>
      </w:r>
      <w:r w:rsidRPr="00AB4E6A">
        <w:rPr>
          <w:rFonts w:asciiTheme="majorBidi" w:hAnsiTheme="majorBidi" w:cstheme="majorBidi"/>
          <w:lang w:val="en-US"/>
        </w:rPr>
        <w:t>outflow rate of the drug resistant, including self-clearance, death, treatment successful.</w:t>
      </w:r>
    </w:p>
    <w:p w14:paraId="2C53729C" w14:textId="77777777" w:rsidR="00AB4E6A" w:rsidRPr="00AB4E6A" w:rsidRDefault="00AB4E6A" w:rsidP="00AB4E6A">
      <w:pPr>
        <w:rPr>
          <w:rFonts w:asciiTheme="majorBidi" w:hAnsiTheme="majorBidi" w:cstheme="majorBidi"/>
          <w:lang w:val="en-US"/>
        </w:rPr>
      </w:pPr>
    </w:p>
    <w:p w14:paraId="1860936E" w14:textId="77777777" w:rsidR="00AB4E6A" w:rsidRPr="00AB4E6A" w:rsidRDefault="00AB4E6A" w:rsidP="00AB4E6A">
      <w:pPr>
        <w:rPr>
          <w:rFonts w:asciiTheme="majorBidi" w:hAnsiTheme="majorBidi" w:cstheme="majorBidi"/>
          <w:b/>
          <w:bCs/>
          <w:u w:val="single"/>
        </w:rPr>
      </w:pPr>
      <w:r w:rsidRPr="00AB4E6A">
        <w:rPr>
          <w:rFonts w:asciiTheme="majorBidi" w:hAnsiTheme="majorBidi" w:cstheme="majorBidi"/>
          <w:b/>
          <w:bCs/>
          <w:u w:val="single"/>
        </w:rPr>
        <w:t>Empirical model</w:t>
      </w:r>
    </w:p>
    <w:p w14:paraId="4C04A4BF" w14:textId="77777777" w:rsidR="00AB4E6A" w:rsidRPr="00AB4E6A" w:rsidRDefault="00AB4E6A" w:rsidP="00917737">
      <w:pPr>
        <w:spacing w:line="360" w:lineRule="auto"/>
        <w:rPr>
          <w:rFonts w:asciiTheme="majorBidi" w:hAnsiTheme="majorBidi" w:cstheme="majorBidi"/>
          <w:lang w:val="en-US"/>
        </w:rPr>
      </w:pPr>
      <w:r w:rsidRPr="00AB4E6A">
        <w:rPr>
          <w:rFonts w:asciiTheme="majorBidi" w:hAnsiTheme="majorBidi" w:cstheme="majorBidi"/>
          <w:lang w:val="en-US"/>
        </w:rPr>
        <w:t xml:space="preserve">We </w:t>
      </w:r>
      <w:proofErr w:type="spellStart"/>
      <w:r w:rsidRPr="00AB4E6A">
        <w:rPr>
          <w:rFonts w:asciiTheme="majorBidi" w:hAnsiTheme="majorBidi" w:cstheme="majorBidi"/>
          <w:lang w:val="en-US"/>
        </w:rPr>
        <w:t>discretised</w:t>
      </w:r>
      <w:proofErr w:type="spellEnd"/>
      <w:r w:rsidRPr="00AB4E6A">
        <w:rPr>
          <w:rFonts w:asciiTheme="majorBidi" w:hAnsiTheme="majorBidi" w:cstheme="majorBidi"/>
          <w:lang w:val="en-US"/>
        </w:rPr>
        <w:t xml:space="preserve"> the above differential equations with a central difference approach. That is, we can analogue a differential equation model with a difference equation:</w:t>
      </w:r>
    </w:p>
    <w:p w14:paraId="69311FA8" w14:textId="77777777" w:rsidR="00AB4E6A" w:rsidRPr="00454CF5" w:rsidRDefault="00AB4E6A" w:rsidP="00AB4E6A">
      <w:pPr>
        <w:rPr>
          <w:rFonts w:asciiTheme="majorBidi" w:hAnsiTheme="majorBidi" w:cstheme="majorBidi"/>
          <w:i/>
          <w:lang w:val="fr-FR"/>
        </w:rPr>
      </w:pPr>
      <w:proofErr w:type="gramStart"/>
      <w:r w:rsidRPr="00454CF5">
        <w:rPr>
          <w:rFonts w:asciiTheme="majorBidi" w:hAnsiTheme="majorBidi" w:cstheme="majorBidi"/>
          <w:i/>
          <w:lang w:val="fr-FR"/>
        </w:rPr>
        <w:t>du</w:t>
      </w:r>
      <w:proofErr w:type="gramEnd"/>
    </w:p>
    <w:p w14:paraId="1C985BEE" w14:textId="77777777" w:rsidR="00AB4E6A" w:rsidRPr="00454CF5" w:rsidRDefault="00AB4E6A" w:rsidP="00AB4E6A">
      <w:pPr>
        <w:rPr>
          <w:rFonts w:asciiTheme="majorBidi" w:hAnsiTheme="majorBidi" w:cstheme="majorBidi"/>
          <w:lang w:val="fr-FR"/>
        </w:rPr>
      </w:pPr>
      <w:r w:rsidRPr="00AB4E6A">
        <w:rPr>
          <w:rFonts w:asciiTheme="majorBidi" w:hAnsiTheme="majorBidi" w:cstheme="majorBidi"/>
          <w:noProof/>
          <w:lang w:eastAsia="en-GB"/>
        </w:rPr>
        <mc:AlternateContent>
          <mc:Choice Requires="wps">
            <w:drawing>
              <wp:anchor distT="0" distB="0" distL="114300" distR="114300" simplePos="0" relativeHeight="251681792" behindDoc="0" locked="0" layoutInCell="1" allowOverlap="1" wp14:anchorId="07D86147" wp14:editId="56F2FDF8">
                <wp:simplePos x="0" y="0"/>
                <wp:positionH relativeFrom="page">
                  <wp:posOffset>3104515</wp:posOffset>
                </wp:positionH>
                <wp:positionV relativeFrom="paragraph">
                  <wp:posOffset>56515</wp:posOffset>
                </wp:positionV>
                <wp:extent cx="138430" cy="0"/>
                <wp:effectExtent l="0" t="0" r="0" b="0"/>
                <wp:wrapNone/>
                <wp:docPr id="112"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1285B" id="Line 33" o:spid="_x0000_s1026" alt="&quot;&quot;"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45pt,4.45pt" to="25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" strokeweight=".14042mm">
                <w10:wrap anchorx="page"/>
              </v:line>
            </w:pict>
          </mc:Fallback>
        </mc:AlternateContent>
      </w:r>
      <w:r w:rsidRPr="00454CF5">
        <w:rPr>
          <w:rFonts w:asciiTheme="majorBidi" w:hAnsiTheme="majorBidi" w:cstheme="majorBidi"/>
          <w:lang w:val="fr-FR"/>
        </w:rPr>
        <w:t xml:space="preserve">= </w:t>
      </w:r>
      <w:r w:rsidRPr="00454CF5">
        <w:rPr>
          <w:rFonts w:asciiTheme="majorBidi" w:hAnsiTheme="majorBidi" w:cstheme="majorBidi"/>
          <w:i/>
          <w:lang w:val="fr-FR"/>
        </w:rPr>
        <w:t xml:space="preserve">f </w:t>
      </w:r>
      <w:r w:rsidRPr="00454CF5">
        <w:rPr>
          <w:rFonts w:asciiTheme="majorBidi" w:hAnsiTheme="majorBidi" w:cstheme="majorBidi"/>
          <w:lang w:val="fr-FR"/>
        </w:rPr>
        <w:t>(</w:t>
      </w:r>
      <w:r w:rsidRPr="00454CF5">
        <w:rPr>
          <w:rFonts w:asciiTheme="majorBidi" w:hAnsiTheme="majorBidi" w:cstheme="majorBidi"/>
          <w:i/>
          <w:lang w:val="fr-FR"/>
        </w:rPr>
        <w:t>t</w:t>
      </w:r>
      <w:r w:rsidRPr="00454CF5">
        <w:rPr>
          <w:rFonts w:asciiTheme="majorBidi" w:hAnsiTheme="majorBidi" w:cstheme="majorBidi"/>
          <w:lang w:val="fr-FR"/>
        </w:rPr>
        <w:t>)</w:t>
      </w:r>
    </w:p>
    <w:p w14:paraId="1C0B8285" w14:textId="77777777" w:rsidR="00AB4E6A" w:rsidRPr="00454CF5" w:rsidRDefault="00AB4E6A" w:rsidP="00AB4E6A">
      <w:pPr>
        <w:rPr>
          <w:rFonts w:asciiTheme="majorBidi" w:hAnsiTheme="majorBidi" w:cstheme="majorBidi"/>
          <w:i/>
          <w:lang w:val="fr-FR"/>
        </w:rPr>
      </w:pPr>
      <w:proofErr w:type="spellStart"/>
      <w:proofErr w:type="gramStart"/>
      <w:r w:rsidRPr="00454CF5">
        <w:rPr>
          <w:rFonts w:asciiTheme="majorBidi" w:hAnsiTheme="majorBidi" w:cstheme="majorBidi"/>
          <w:i/>
          <w:lang w:val="fr-FR"/>
        </w:rPr>
        <w:t>dt</w:t>
      </w:r>
      <w:proofErr w:type="spellEnd"/>
      <w:proofErr w:type="gramEnd"/>
    </w:p>
    <w:p w14:paraId="009ADF9E" w14:textId="77777777" w:rsidR="00AB4E6A" w:rsidRPr="00454CF5" w:rsidRDefault="00AB4E6A" w:rsidP="00AB4E6A">
      <w:pPr>
        <w:rPr>
          <w:rFonts w:asciiTheme="majorBidi" w:hAnsiTheme="majorBidi" w:cstheme="majorBidi"/>
          <w:lang w:val="fr-FR"/>
        </w:rPr>
      </w:pPr>
      <w:r w:rsidRPr="00AB4E6A">
        <w:rPr>
          <w:rFonts w:asciiTheme="majorBidi" w:hAnsiTheme="majorBidi" w:cstheme="majorBidi"/>
          <w:noProof/>
          <w:lang w:eastAsia="en-GB"/>
        </w:rPr>
        <mc:AlternateContent>
          <mc:Choice Requires="wps">
            <w:drawing>
              <wp:anchor distT="0" distB="0" distL="114300" distR="114300" simplePos="0" relativeHeight="251682816" behindDoc="1" locked="0" layoutInCell="1" allowOverlap="1" wp14:anchorId="336F908C" wp14:editId="21AE0738">
                <wp:simplePos x="0" y="0"/>
                <wp:positionH relativeFrom="page">
                  <wp:posOffset>2873375</wp:posOffset>
                </wp:positionH>
                <wp:positionV relativeFrom="paragraph">
                  <wp:posOffset>207010</wp:posOffset>
                </wp:positionV>
                <wp:extent cx="151130" cy="127000"/>
                <wp:effectExtent l="0" t="0" r="0" b="0"/>
                <wp:wrapNone/>
                <wp:docPr id="47"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FD94" w14:textId="77777777" w:rsidR="008E01D0" w:rsidRDefault="008E01D0" w:rsidP="00AB4E6A">
                            <w:pPr>
                              <w:spacing w:line="196" w:lineRule="exact"/>
                              <w:rPr>
                                <w:rFonts w:ascii="Bookman Old Style" w:hAnsi="Bookman Old Style"/>
                                <w:i/>
                                <w:sz w:val="20"/>
                              </w:rPr>
                            </w:pPr>
                            <w:r>
                              <w:rPr>
                                <w:w w:val="115"/>
                                <w:sz w:val="20"/>
                              </w:rPr>
                              <w:t>∆</w:t>
                            </w:r>
                            <w:r>
                              <w:rPr>
                                <w:rFonts w:ascii="Bookman Old Style" w:hAnsi="Bookman Old Style"/>
                                <w:i/>
                                <w:w w:val="115"/>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F908C" id="docshape3" o:spid="_x0000_s1066" type="#_x0000_t202" alt="&quot;&quot;" style="position:absolute;margin-left:226.25pt;margin-top:16.3pt;width:11.9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" filled="f" stroked="f">
                <v:textbox inset="0,0,0,0">
                  <w:txbxContent>
                    <w:p w14:paraId="5BD2FD94" w14:textId="77777777" w:rsidR="008E01D0" w:rsidRDefault="008E01D0" w:rsidP="00AB4E6A">
                      <w:pPr>
                        <w:spacing w:line="196" w:lineRule="exact"/>
                        <w:rPr>
                          <w:rFonts w:ascii="Bookman Old Style" w:hAnsi="Bookman Old Style"/>
                          <w:i/>
                          <w:sz w:val="20"/>
                        </w:rPr>
                      </w:pPr>
                      <w:r>
                        <w:rPr>
                          <w:w w:val="115"/>
                          <w:sz w:val="20"/>
                        </w:rPr>
                        <w:t>∆</w:t>
                      </w:r>
                      <w:r>
                        <w:rPr>
                          <w:rFonts w:ascii="Bookman Old Style" w:hAnsi="Bookman Old Style"/>
                          <w:i/>
                          <w:w w:val="115"/>
                          <w:sz w:val="20"/>
                        </w:rPr>
                        <w:t>t</w:t>
                      </w:r>
                    </w:p>
                  </w:txbxContent>
                </v:textbox>
                <w10:wrap anchorx="page"/>
              </v:shape>
            </w:pict>
          </mc:Fallback>
        </mc:AlternateContent>
      </w:r>
      <w:r w:rsidRPr="00AB4E6A">
        <w:rPr>
          <w:rFonts w:asciiTheme="majorBidi" w:hAnsiTheme="majorBidi" w:cstheme="majorBidi"/>
          <w:noProof/>
          <w:lang w:eastAsia="en-GB"/>
        </w:rPr>
        <mc:AlternateContent>
          <mc:Choice Requires="wps">
            <w:drawing>
              <wp:anchor distT="0" distB="0" distL="114300" distR="114300" simplePos="0" relativeHeight="251683840" behindDoc="1" locked="0" layoutInCell="1" allowOverlap="1" wp14:anchorId="29595527" wp14:editId="2C57C357">
                <wp:simplePos x="0" y="0"/>
                <wp:positionH relativeFrom="page">
                  <wp:posOffset>3811270</wp:posOffset>
                </wp:positionH>
                <wp:positionV relativeFrom="paragraph">
                  <wp:posOffset>207010</wp:posOffset>
                </wp:positionV>
                <wp:extent cx="63500" cy="127000"/>
                <wp:effectExtent l="0" t="0" r="0" b="0"/>
                <wp:wrapNone/>
                <wp:docPr id="4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EC42" w14:textId="77777777" w:rsidR="008E01D0" w:rsidRDefault="008E01D0" w:rsidP="00AB4E6A">
                            <w:pPr>
                              <w:pStyle w:val="BodyText"/>
                              <w:spacing w:line="193" w:lineRule="exact"/>
                            </w:pPr>
                            <w:r>
                              <w:rPr>
                                <w:w w:val="8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95527" id="docshape4" o:spid="_x0000_s1067" type="#_x0000_t202" alt="&quot;&quot;" style="position:absolute;margin-left:300.1pt;margin-top:16.3pt;width:5pt;height:1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" filled="f" stroked="f">
                <v:textbox inset="0,0,0,0">
                  <w:txbxContent>
                    <w:p w14:paraId="4E7DEC42" w14:textId="77777777" w:rsidR="008E01D0" w:rsidRDefault="008E01D0" w:rsidP="00AB4E6A">
                      <w:pPr>
                        <w:pStyle w:val="BodyText"/>
                        <w:spacing w:line="193" w:lineRule="exact"/>
                      </w:pPr>
                      <w:r>
                        <w:rPr>
                          <w:w w:val="89"/>
                        </w:rPr>
                        <w:t>2</w:t>
                      </w:r>
                    </w:p>
                  </w:txbxContent>
                </v:textbox>
                <w10:wrap anchorx="page"/>
              </v:shape>
            </w:pict>
          </mc:Fallback>
        </mc:AlternateContent>
      </w:r>
      <w:r w:rsidRPr="00AB4E6A">
        <w:rPr>
          <w:rFonts w:asciiTheme="majorBidi" w:hAnsiTheme="majorBidi" w:cstheme="majorBidi"/>
          <w:noProof/>
          <w:lang w:eastAsia="en-GB"/>
        </w:rPr>
        <mc:AlternateContent>
          <mc:Choice Requires="wps">
            <w:drawing>
              <wp:anchor distT="0" distB="0" distL="114300" distR="114300" simplePos="0" relativeHeight="251684864" behindDoc="1" locked="0" layoutInCell="1" allowOverlap="1" wp14:anchorId="0AFADE7E" wp14:editId="3DEDABD5">
                <wp:simplePos x="0" y="0"/>
                <wp:positionH relativeFrom="page">
                  <wp:posOffset>4584700</wp:posOffset>
                </wp:positionH>
                <wp:positionV relativeFrom="paragraph">
                  <wp:posOffset>207010</wp:posOffset>
                </wp:positionV>
                <wp:extent cx="63500" cy="127000"/>
                <wp:effectExtent l="0" t="0" r="0" b="0"/>
                <wp:wrapNone/>
                <wp:docPr id="4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A174" w14:textId="77777777" w:rsidR="008E01D0" w:rsidRDefault="008E01D0" w:rsidP="00AB4E6A">
                            <w:pPr>
                              <w:pStyle w:val="BodyText"/>
                              <w:spacing w:line="193" w:lineRule="exact"/>
                            </w:pPr>
                            <w:r>
                              <w:rPr>
                                <w:w w:val="8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DE7E" id="docshape5" o:spid="_x0000_s1068" type="#_x0000_t202" alt="&quot;&quot;" style="position:absolute;margin-left:361pt;margin-top:16.3pt;width:5pt;height:1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" filled="f" stroked="f">
                <v:textbox inset="0,0,0,0">
                  <w:txbxContent>
                    <w:p w14:paraId="0099A174" w14:textId="77777777" w:rsidR="008E01D0" w:rsidRDefault="008E01D0" w:rsidP="00AB4E6A">
                      <w:pPr>
                        <w:pStyle w:val="BodyText"/>
                        <w:spacing w:line="193" w:lineRule="exact"/>
                      </w:pPr>
                      <w:r>
                        <w:rPr>
                          <w:w w:val="89"/>
                        </w:rPr>
                        <w:t>2</w:t>
                      </w:r>
                    </w:p>
                  </w:txbxContent>
                </v:textbox>
                <w10:wrap anchorx="page"/>
              </v:shape>
            </w:pict>
          </mc:Fallback>
        </mc:AlternateContent>
      </w:r>
      <w:r w:rsidRPr="00454CF5">
        <w:rPr>
          <w:rFonts w:ascii="Cambria Math" w:hAnsi="Cambria Math" w:cs="Cambria Math"/>
          <w:lang w:val="fr-FR"/>
        </w:rPr>
        <w:t>⇒</w:t>
      </w:r>
      <w:r w:rsidRPr="00454CF5">
        <w:rPr>
          <w:rFonts w:asciiTheme="majorBidi" w:hAnsiTheme="majorBidi" w:cstheme="majorBidi"/>
          <w:lang w:val="fr-FR"/>
        </w:rPr>
        <w:t xml:space="preserve"> </w:t>
      </w:r>
      <w:r w:rsidRPr="00454CF5">
        <w:rPr>
          <w:rFonts w:asciiTheme="majorBidi" w:hAnsiTheme="majorBidi" w:cstheme="majorBidi"/>
          <w:i/>
          <w:u w:val="single"/>
          <w:lang w:val="fr-FR"/>
        </w:rPr>
        <w:t>u</w:t>
      </w:r>
      <w:r w:rsidRPr="00454CF5">
        <w:rPr>
          <w:rFonts w:asciiTheme="majorBidi" w:hAnsiTheme="majorBidi" w:cstheme="majorBidi"/>
          <w:i/>
          <w:u w:val="single"/>
          <w:vertAlign w:val="subscript"/>
          <w:lang w:val="fr-FR"/>
        </w:rPr>
        <w:t>t</w:t>
      </w:r>
      <w:r w:rsidRPr="00454CF5">
        <w:rPr>
          <w:rFonts w:asciiTheme="majorBidi" w:hAnsiTheme="majorBidi" w:cstheme="majorBidi"/>
          <w:u w:val="single"/>
          <w:vertAlign w:val="subscript"/>
          <w:lang w:val="fr-FR"/>
        </w:rPr>
        <w:t>+∆</w:t>
      </w:r>
      <w:r w:rsidRPr="00454CF5">
        <w:rPr>
          <w:rFonts w:asciiTheme="majorBidi" w:hAnsiTheme="majorBidi" w:cstheme="majorBidi"/>
          <w:i/>
          <w:u w:val="single"/>
          <w:vertAlign w:val="subscript"/>
          <w:lang w:val="fr-FR"/>
        </w:rPr>
        <w:t>t</w:t>
      </w:r>
      <w:r w:rsidRPr="00454CF5">
        <w:rPr>
          <w:rFonts w:asciiTheme="majorBidi" w:hAnsiTheme="majorBidi" w:cstheme="majorBidi"/>
          <w:i/>
          <w:u w:val="single"/>
          <w:lang w:val="fr-FR"/>
        </w:rPr>
        <w:t xml:space="preserve"> </w:t>
      </w:r>
      <w:r w:rsidRPr="00454CF5">
        <w:rPr>
          <w:rFonts w:asciiTheme="majorBidi" w:hAnsiTheme="majorBidi" w:cstheme="majorBidi"/>
          <w:u w:val="single"/>
          <w:lang w:val="fr-FR"/>
        </w:rPr>
        <w:t xml:space="preserve">− </w:t>
      </w:r>
      <w:r w:rsidRPr="00454CF5">
        <w:rPr>
          <w:rFonts w:asciiTheme="majorBidi" w:hAnsiTheme="majorBidi" w:cstheme="majorBidi"/>
          <w:i/>
          <w:u w:val="single"/>
          <w:lang w:val="fr-FR"/>
        </w:rPr>
        <w:t>u</w:t>
      </w:r>
      <w:r w:rsidRPr="00454CF5">
        <w:rPr>
          <w:rFonts w:asciiTheme="majorBidi" w:hAnsiTheme="majorBidi" w:cstheme="majorBidi"/>
          <w:i/>
          <w:u w:val="single"/>
          <w:vertAlign w:val="subscript"/>
          <w:lang w:val="fr-FR"/>
        </w:rPr>
        <w:t>t</w:t>
      </w:r>
      <w:r w:rsidRPr="00454CF5">
        <w:rPr>
          <w:rFonts w:asciiTheme="majorBidi" w:hAnsiTheme="majorBidi" w:cstheme="majorBidi"/>
          <w:i/>
          <w:lang w:val="fr-FR"/>
        </w:rPr>
        <w:t xml:space="preserve"> </w:t>
      </w:r>
      <w:r w:rsidRPr="00454CF5">
        <w:rPr>
          <w:rFonts w:asciiTheme="majorBidi" w:hAnsiTheme="majorBidi" w:cstheme="majorBidi"/>
          <w:lang w:val="fr-FR"/>
        </w:rPr>
        <w:t xml:space="preserve">= </w:t>
      </w:r>
      <w:r w:rsidRPr="00454CF5">
        <w:rPr>
          <w:rFonts w:asciiTheme="majorBidi" w:hAnsiTheme="majorBidi" w:cstheme="majorBidi"/>
          <w:i/>
          <w:lang w:val="fr-FR"/>
        </w:rPr>
        <w:t xml:space="preserve">f </w:t>
      </w:r>
      <w:r w:rsidRPr="00454CF5">
        <w:rPr>
          <w:rFonts w:asciiTheme="majorBidi" w:hAnsiTheme="majorBidi" w:cstheme="majorBidi"/>
          <w:lang w:val="fr-FR"/>
        </w:rPr>
        <w:t>(</w:t>
      </w:r>
      <w:r w:rsidRPr="00454CF5">
        <w:rPr>
          <w:rFonts w:asciiTheme="majorBidi" w:hAnsiTheme="majorBidi" w:cstheme="majorBidi"/>
          <w:i/>
          <w:lang w:val="fr-FR"/>
        </w:rPr>
        <w:t xml:space="preserve">t </w:t>
      </w:r>
      <w:r w:rsidRPr="00454CF5">
        <w:rPr>
          <w:rFonts w:asciiTheme="majorBidi" w:hAnsiTheme="majorBidi" w:cstheme="majorBidi"/>
          <w:lang w:val="fr-FR"/>
        </w:rPr>
        <w:t xml:space="preserve">+ </w:t>
      </w:r>
      <w:r w:rsidRPr="00454CF5">
        <w:rPr>
          <w:rFonts w:asciiTheme="majorBidi" w:hAnsiTheme="majorBidi" w:cstheme="majorBidi"/>
          <w:u w:val="single"/>
          <w:lang w:val="fr-FR"/>
        </w:rPr>
        <w:t>∆</w:t>
      </w:r>
      <w:proofErr w:type="gramStart"/>
      <w:r w:rsidRPr="00454CF5">
        <w:rPr>
          <w:rFonts w:asciiTheme="majorBidi" w:hAnsiTheme="majorBidi" w:cstheme="majorBidi"/>
          <w:i/>
          <w:u w:val="single"/>
          <w:lang w:val="fr-FR"/>
        </w:rPr>
        <w:t>t</w:t>
      </w:r>
      <w:r w:rsidRPr="00454CF5">
        <w:rPr>
          <w:rFonts w:asciiTheme="majorBidi" w:hAnsiTheme="majorBidi" w:cstheme="majorBidi"/>
          <w:i/>
          <w:lang w:val="fr-FR"/>
        </w:rPr>
        <w:t xml:space="preserve"> </w:t>
      </w:r>
      <w:r w:rsidRPr="00454CF5">
        <w:rPr>
          <w:rFonts w:asciiTheme="majorBidi" w:hAnsiTheme="majorBidi" w:cstheme="majorBidi"/>
          <w:lang w:val="fr-FR"/>
        </w:rPr>
        <w:t>)</w:t>
      </w:r>
      <w:proofErr w:type="gramEnd"/>
      <w:r w:rsidRPr="00454CF5">
        <w:rPr>
          <w:rFonts w:asciiTheme="majorBidi" w:hAnsiTheme="majorBidi" w:cstheme="majorBidi"/>
          <w:lang w:val="fr-FR"/>
        </w:rPr>
        <w:t xml:space="preserve"> ~ </w:t>
      </w:r>
      <w:r w:rsidRPr="00454CF5">
        <w:rPr>
          <w:rFonts w:asciiTheme="majorBidi" w:hAnsiTheme="majorBidi" w:cstheme="majorBidi"/>
          <w:i/>
          <w:u w:val="single"/>
          <w:lang w:val="fr-FR"/>
        </w:rPr>
        <w:t>f</w:t>
      </w:r>
      <w:r w:rsidRPr="00454CF5">
        <w:rPr>
          <w:rFonts w:asciiTheme="majorBidi" w:hAnsiTheme="majorBidi" w:cstheme="majorBidi"/>
          <w:i/>
          <w:lang w:val="fr-FR"/>
        </w:rPr>
        <w:t xml:space="preserve"> </w:t>
      </w:r>
      <w:r w:rsidRPr="00454CF5">
        <w:rPr>
          <w:rFonts w:asciiTheme="majorBidi" w:hAnsiTheme="majorBidi" w:cstheme="majorBidi"/>
          <w:u w:val="single"/>
          <w:lang w:val="fr-FR"/>
        </w:rPr>
        <w:t>(</w:t>
      </w:r>
      <w:r w:rsidRPr="00454CF5">
        <w:rPr>
          <w:rFonts w:asciiTheme="majorBidi" w:hAnsiTheme="majorBidi" w:cstheme="majorBidi"/>
          <w:i/>
          <w:u w:val="single"/>
          <w:lang w:val="fr-FR"/>
        </w:rPr>
        <w:t xml:space="preserve">t </w:t>
      </w:r>
      <w:r w:rsidRPr="00454CF5">
        <w:rPr>
          <w:rFonts w:asciiTheme="majorBidi" w:hAnsiTheme="majorBidi" w:cstheme="majorBidi"/>
          <w:u w:val="single"/>
          <w:lang w:val="fr-FR"/>
        </w:rPr>
        <w:t>+ ∆</w:t>
      </w:r>
      <w:r w:rsidRPr="00454CF5">
        <w:rPr>
          <w:rFonts w:asciiTheme="majorBidi" w:hAnsiTheme="majorBidi" w:cstheme="majorBidi"/>
          <w:i/>
          <w:u w:val="single"/>
          <w:lang w:val="fr-FR"/>
        </w:rPr>
        <w:t>t</w:t>
      </w:r>
      <w:r w:rsidRPr="00454CF5">
        <w:rPr>
          <w:rFonts w:asciiTheme="majorBidi" w:hAnsiTheme="majorBidi" w:cstheme="majorBidi"/>
          <w:u w:val="single"/>
          <w:lang w:val="fr-FR"/>
        </w:rPr>
        <w:t xml:space="preserve">) + </w:t>
      </w:r>
      <w:r w:rsidRPr="00454CF5">
        <w:rPr>
          <w:rFonts w:asciiTheme="majorBidi" w:hAnsiTheme="majorBidi" w:cstheme="majorBidi"/>
          <w:i/>
          <w:u w:val="single"/>
          <w:lang w:val="fr-FR"/>
        </w:rPr>
        <w:t>f</w:t>
      </w:r>
      <w:r w:rsidRPr="00454CF5">
        <w:rPr>
          <w:rFonts w:asciiTheme="majorBidi" w:hAnsiTheme="majorBidi" w:cstheme="majorBidi"/>
          <w:i/>
          <w:lang w:val="fr-FR"/>
        </w:rPr>
        <w:t xml:space="preserve"> </w:t>
      </w:r>
      <w:r w:rsidRPr="00454CF5">
        <w:rPr>
          <w:rFonts w:asciiTheme="majorBidi" w:hAnsiTheme="majorBidi" w:cstheme="majorBidi"/>
          <w:u w:val="single"/>
          <w:lang w:val="fr-FR"/>
        </w:rPr>
        <w:t>(</w:t>
      </w:r>
      <w:r w:rsidRPr="00454CF5">
        <w:rPr>
          <w:rFonts w:asciiTheme="majorBidi" w:hAnsiTheme="majorBidi" w:cstheme="majorBidi"/>
          <w:i/>
          <w:u w:val="single"/>
          <w:lang w:val="fr-FR"/>
        </w:rPr>
        <w:t>t</w:t>
      </w:r>
      <w:r w:rsidRPr="00454CF5">
        <w:rPr>
          <w:rFonts w:asciiTheme="majorBidi" w:hAnsiTheme="majorBidi" w:cstheme="majorBidi"/>
          <w:u w:val="single"/>
          <w:lang w:val="fr-FR"/>
        </w:rPr>
        <w:t>)</w:t>
      </w:r>
    </w:p>
    <w:p w14:paraId="508165D2" w14:textId="77777777" w:rsidR="00AB4E6A" w:rsidRPr="00454CF5" w:rsidRDefault="00AB4E6A" w:rsidP="00AB4E6A">
      <w:pPr>
        <w:rPr>
          <w:rFonts w:asciiTheme="majorBidi" w:hAnsiTheme="majorBidi" w:cstheme="majorBidi"/>
          <w:lang w:val="fr-FR"/>
        </w:rPr>
      </w:pPr>
    </w:p>
    <w:p w14:paraId="0F2C16B0"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lang w:val="en-US"/>
        </w:rPr>
        <w:t>Therefore, our model can be reformatted as</w:t>
      </w:r>
    </w:p>
    <w:p w14:paraId="296F245F"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noProof/>
          <w:lang w:eastAsia="en-GB"/>
        </w:rPr>
        <w:drawing>
          <wp:inline distT="0" distB="0" distL="0" distR="0" wp14:anchorId="1B8EE34E" wp14:editId="569FCAFE">
            <wp:extent cx="3143250" cy="866775"/>
            <wp:effectExtent l="0" t="0" r="0" b="9525"/>
            <wp:docPr id="148" name="Picture 148" descr="Equation text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quation text shown&#10;"/>
                    <pic:cNvPicPr/>
                  </pic:nvPicPr>
                  <pic:blipFill>
                    <a:blip r:embed="rId95"/>
                    <a:stretch>
                      <a:fillRect/>
                    </a:stretch>
                  </pic:blipFill>
                  <pic:spPr>
                    <a:xfrm>
                      <a:off x="0" y="0"/>
                      <a:ext cx="3143250" cy="866775"/>
                    </a:xfrm>
                    <a:prstGeom prst="rect">
                      <a:avLst/>
                    </a:prstGeom>
                  </pic:spPr>
                </pic:pic>
              </a:graphicData>
            </a:graphic>
          </wp:inline>
        </w:drawing>
      </w:r>
    </w:p>
    <w:p w14:paraId="27D32076" w14:textId="0542D013" w:rsidR="00AB4E6A" w:rsidRPr="00AB4E6A" w:rsidRDefault="00AB4E6A" w:rsidP="00AB4E6A">
      <w:pPr>
        <w:rPr>
          <w:rFonts w:asciiTheme="majorBidi" w:hAnsiTheme="majorBidi" w:cstheme="majorBidi"/>
        </w:rPr>
      </w:pPr>
      <w:r w:rsidRPr="00AB4E6A">
        <w:rPr>
          <w:rFonts w:asciiTheme="majorBidi" w:hAnsiTheme="majorBidi" w:cstheme="majorBidi"/>
        </w:rPr>
        <w:t xml:space="preserve">where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t</m:t>
            </m:r>
          </m:sub>
        </m:sSub>
      </m:oMath>
      <w:r w:rsidRPr="00AB4E6A">
        <w:rPr>
          <w:rFonts w:asciiTheme="majorBidi" w:hAnsiTheme="majorBidi" w:cstheme="majorBidi"/>
        </w:rPr>
        <w:t>= (</w:t>
      </w:r>
      <w:proofErr w:type="spellStart"/>
      <w:r w:rsidRPr="00AB4E6A">
        <w:rPr>
          <w:rFonts w:asciiTheme="majorBidi" w:hAnsiTheme="majorBidi" w:cstheme="majorBidi"/>
          <w:i/>
        </w:rPr>
        <w:t>X</w:t>
      </w:r>
      <w:r w:rsidRPr="00AB4E6A">
        <w:rPr>
          <w:rFonts w:asciiTheme="majorBidi" w:hAnsiTheme="majorBidi" w:cstheme="majorBidi"/>
          <w:i/>
          <w:vertAlign w:val="subscript"/>
        </w:rPr>
        <w:t>t</w:t>
      </w:r>
      <w:proofErr w:type="spellEnd"/>
      <w:r w:rsidRPr="00AB4E6A">
        <w:rPr>
          <w:rFonts w:asciiTheme="majorBidi" w:hAnsiTheme="majorBidi" w:cstheme="majorBidi"/>
          <w:vertAlign w:val="subscript"/>
        </w:rPr>
        <w:t>+∆</w:t>
      </w:r>
      <w:r w:rsidRPr="00AB4E6A">
        <w:rPr>
          <w:rFonts w:asciiTheme="majorBidi" w:hAnsiTheme="majorBidi" w:cstheme="majorBidi"/>
          <w:i/>
          <w:vertAlign w:val="subscript"/>
        </w:rPr>
        <w:t>t</w:t>
      </w:r>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X</w:t>
      </w:r>
      <w:r w:rsidRPr="00AB4E6A">
        <w:rPr>
          <w:rFonts w:asciiTheme="majorBidi" w:hAnsiTheme="majorBidi" w:cstheme="majorBidi"/>
          <w:i/>
          <w:vertAlign w:val="subscript"/>
        </w:rPr>
        <w:t>t</w:t>
      </w:r>
      <w:proofErr w:type="spellEnd"/>
      <w:r w:rsidRPr="00AB4E6A">
        <w:rPr>
          <w:rFonts w:asciiTheme="majorBidi" w:hAnsiTheme="majorBidi" w:cstheme="majorBidi"/>
        </w:rPr>
        <w:t>)</w:t>
      </w:r>
      <w:r w:rsidRPr="00AB4E6A">
        <w:rPr>
          <w:rFonts w:asciiTheme="majorBidi" w:hAnsiTheme="majorBidi" w:cstheme="majorBidi"/>
          <w:i/>
        </w:rPr>
        <w:t>/</w:t>
      </w:r>
      <w:r w:rsidRPr="00AB4E6A">
        <w:rPr>
          <w:rFonts w:asciiTheme="majorBidi" w:hAnsiTheme="majorBidi" w:cstheme="majorBidi"/>
        </w:rPr>
        <w:t xml:space="preserve">2,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Y</m:t>
                </m:r>
              </m:e>
            </m:acc>
          </m:e>
          <m:sub>
            <m:r>
              <w:rPr>
                <w:rFonts w:ascii="Cambria Math" w:hAnsi="Cambria Math" w:cstheme="majorBidi"/>
              </w:rPr>
              <m:t>t</m:t>
            </m:r>
          </m:sub>
        </m:sSub>
      </m:oMath>
      <w:r w:rsidRPr="00AB4E6A">
        <w:rPr>
          <w:rFonts w:asciiTheme="majorBidi" w:hAnsiTheme="majorBidi" w:cstheme="majorBidi"/>
          <w:i/>
        </w:rPr>
        <w:t xml:space="preserve"> </w:t>
      </w:r>
      <w:r w:rsidRPr="00AB4E6A">
        <w:rPr>
          <w:rFonts w:asciiTheme="majorBidi" w:hAnsiTheme="majorBidi" w:cstheme="majorBidi"/>
        </w:rPr>
        <w:t>= (</w:t>
      </w:r>
      <w:proofErr w:type="spellStart"/>
      <w:r w:rsidRPr="00AB4E6A">
        <w:rPr>
          <w:rFonts w:asciiTheme="majorBidi" w:hAnsiTheme="majorBidi" w:cstheme="majorBidi"/>
          <w:i/>
        </w:rPr>
        <w:t>Y</w:t>
      </w:r>
      <w:r w:rsidRPr="00AB4E6A">
        <w:rPr>
          <w:rFonts w:asciiTheme="majorBidi" w:hAnsiTheme="majorBidi" w:cstheme="majorBidi"/>
          <w:i/>
          <w:vertAlign w:val="subscript"/>
        </w:rPr>
        <w:t>t</w:t>
      </w:r>
      <w:proofErr w:type="spellEnd"/>
      <w:r w:rsidRPr="00AB4E6A">
        <w:rPr>
          <w:rFonts w:asciiTheme="majorBidi" w:hAnsiTheme="majorBidi" w:cstheme="majorBidi"/>
          <w:vertAlign w:val="subscript"/>
        </w:rPr>
        <w:t>+∆</w:t>
      </w:r>
      <w:r w:rsidRPr="00AB4E6A">
        <w:rPr>
          <w:rFonts w:asciiTheme="majorBidi" w:hAnsiTheme="majorBidi" w:cstheme="majorBidi"/>
          <w:i/>
          <w:vertAlign w:val="subscript"/>
        </w:rPr>
        <w:t>t</w:t>
      </w:r>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Y</w:t>
      </w:r>
      <w:r w:rsidRPr="00AB4E6A">
        <w:rPr>
          <w:rFonts w:asciiTheme="majorBidi" w:hAnsiTheme="majorBidi" w:cstheme="majorBidi"/>
          <w:i/>
          <w:vertAlign w:val="subscript"/>
        </w:rPr>
        <w:t>t</w:t>
      </w:r>
      <w:proofErr w:type="spellEnd"/>
      <w:r w:rsidRPr="00AB4E6A">
        <w:rPr>
          <w:rFonts w:asciiTheme="majorBidi" w:hAnsiTheme="majorBidi" w:cstheme="majorBidi"/>
        </w:rPr>
        <w:t>)</w:t>
      </w:r>
      <w:r w:rsidRPr="00AB4E6A">
        <w:rPr>
          <w:rFonts w:asciiTheme="majorBidi" w:hAnsiTheme="majorBidi" w:cstheme="majorBidi"/>
          <w:i/>
        </w:rPr>
        <w:t>/</w:t>
      </w:r>
      <w:r w:rsidRPr="00AB4E6A">
        <w:rPr>
          <w:rFonts w:asciiTheme="majorBidi" w:hAnsiTheme="majorBidi" w:cstheme="majorBidi"/>
        </w:rPr>
        <w:t xml:space="preserve">2, and </w:t>
      </w: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XT</m:t>
                </m:r>
              </m:e>
            </m:acc>
          </m:e>
          <m:sub>
            <m:r>
              <w:rPr>
                <w:rFonts w:ascii="Cambria Math" w:hAnsi="Cambria Math" w:cstheme="majorBidi"/>
              </w:rPr>
              <m:t>t</m:t>
            </m:r>
          </m:sub>
        </m:sSub>
      </m:oMath>
      <w:r w:rsidRPr="00AB4E6A">
        <w:rPr>
          <w:rFonts w:asciiTheme="majorBidi" w:hAnsiTheme="majorBidi" w:cstheme="majorBidi"/>
          <w:i/>
        </w:rPr>
        <w:t xml:space="preserve"> </w:t>
      </w:r>
      <w:r w:rsidRPr="00AB4E6A">
        <w:rPr>
          <w:rFonts w:asciiTheme="majorBidi" w:hAnsiTheme="majorBidi" w:cstheme="majorBidi"/>
        </w:rPr>
        <w:t>= (</w:t>
      </w:r>
      <w:proofErr w:type="spellStart"/>
      <w:r w:rsidRPr="00AB4E6A">
        <w:rPr>
          <w:rFonts w:asciiTheme="majorBidi" w:hAnsiTheme="majorBidi" w:cstheme="majorBidi"/>
          <w:i/>
        </w:rPr>
        <w:t>X</w:t>
      </w:r>
      <w:r w:rsidRPr="00AB4E6A">
        <w:rPr>
          <w:rFonts w:asciiTheme="majorBidi" w:hAnsiTheme="majorBidi" w:cstheme="majorBidi"/>
          <w:i/>
          <w:vertAlign w:val="subscript"/>
        </w:rPr>
        <w:t>t</w:t>
      </w:r>
      <w:proofErr w:type="spellEnd"/>
      <w:r w:rsidRPr="00AB4E6A">
        <w:rPr>
          <w:rFonts w:asciiTheme="majorBidi" w:hAnsiTheme="majorBidi" w:cstheme="majorBidi"/>
          <w:vertAlign w:val="subscript"/>
        </w:rPr>
        <w:t>+∆</w:t>
      </w:r>
      <w:proofErr w:type="spellStart"/>
      <w:r w:rsidRPr="00AB4E6A">
        <w:rPr>
          <w:rFonts w:asciiTheme="majorBidi" w:hAnsiTheme="majorBidi" w:cstheme="majorBidi"/>
          <w:i/>
          <w:vertAlign w:val="subscript"/>
        </w:rPr>
        <w:t>t</w:t>
      </w:r>
      <w:r w:rsidRPr="00AB4E6A">
        <w:rPr>
          <w:rFonts w:asciiTheme="majorBidi" w:hAnsiTheme="majorBidi" w:cstheme="majorBidi"/>
          <w:i/>
        </w:rPr>
        <w:t>T</w:t>
      </w:r>
      <w:r w:rsidRPr="00AB4E6A">
        <w:rPr>
          <w:rFonts w:asciiTheme="majorBidi" w:hAnsiTheme="majorBidi" w:cstheme="majorBidi"/>
          <w:i/>
          <w:vertAlign w:val="subscript"/>
        </w:rPr>
        <w:t>t</w:t>
      </w:r>
      <w:proofErr w:type="spellEnd"/>
      <w:r w:rsidRPr="00AB4E6A">
        <w:rPr>
          <w:rFonts w:asciiTheme="majorBidi" w:hAnsiTheme="majorBidi" w:cstheme="majorBidi"/>
          <w:vertAlign w:val="subscript"/>
        </w:rPr>
        <w:t>+∆</w:t>
      </w:r>
      <w:r w:rsidRPr="00AB4E6A">
        <w:rPr>
          <w:rFonts w:asciiTheme="majorBidi" w:hAnsiTheme="majorBidi" w:cstheme="majorBidi"/>
          <w:i/>
          <w:vertAlign w:val="subscript"/>
        </w:rPr>
        <w:t>t</w:t>
      </w:r>
      <w:r w:rsidRPr="00AB4E6A">
        <w:rPr>
          <w:rFonts w:asciiTheme="majorBidi" w:hAnsiTheme="majorBidi" w:cstheme="majorBidi"/>
          <w:i/>
        </w:rPr>
        <w:t xml:space="preserve"> </w:t>
      </w:r>
      <w:r w:rsidRPr="00AB4E6A">
        <w:rPr>
          <w:rFonts w:asciiTheme="majorBidi" w:hAnsiTheme="majorBidi" w:cstheme="majorBidi"/>
        </w:rPr>
        <w:t xml:space="preserve">+ </w:t>
      </w:r>
      <w:proofErr w:type="spellStart"/>
      <w:r w:rsidRPr="00AB4E6A">
        <w:rPr>
          <w:rFonts w:asciiTheme="majorBidi" w:hAnsiTheme="majorBidi" w:cstheme="majorBidi"/>
          <w:i/>
        </w:rPr>
        <w:t>X</w:t>
      </w:r>
      <w:r w:rsidRPr="00AB4E6A">
        <w:rPr>
          <w:rFonts w:asciiTheme="majorBidi" w:hAnsiTheme="majorBidi" w:cstheme="majorBidi"/>
          <w:i/>
          <w:vertAlign w:val="subscript"/>
        </w:rPr>
        <w:t>t</w:t>
      </w:r>
      <w:r w:rsidRPr="00AB4E6A">
        <w:rPr>
          <w:rFonts w:asciiTheme="majorBidi" w:hAnsiTheme="majorBidi" w:cstheme="majorBidi"/>
          <w:i/>
        </w:rPr>
        <w:t>T</w:t>
      </w:r>
      <w:r w:rsidRPr="00AB4E6A">
        <w:rPr>
          <w:rFonts w:asciiTheme="majorBidi" w:hAnsiTheme="majorBidi" w:cstheme="majorBidi"/>
          <w:i/>
          <w:vertAlign w:val="subscript"/>
        </w:rPr>
        <w:t>t</w:t>
      </w:r>
      <w:proofErr w:type="spellEnd"/>
      <w:r w:rsidRPr="00AB4E6A">
        <w:rPr>
          <w:rFonts w:asciiTheme="majorBidi" w:hAnsiTheme="majorBidi" w:cstheme="majorBidi"/>
        </w:rPr>
        <w:t>)</w:t>
      </w:r>
      <w:r w:rsidRPr="00AB4E6A">
        <w:rPr>
          <w:rFonts w:asciiTheme="majorBidi" w:hAnsiTheme="majorBidi" w:cstheme="majorBidi"/>
          <w:i/>
        </w:rPr>
        <w:t>/</w:t>
      </w:r>
      <w:r w:rsidRPr="00AB4E6A">
        <w:rPr>
          <w:rFonts w:asciiTheme="majorBidi" w:hAnsiTheme="majorBidi" w:cstheme="majorBidi"/>
        </w:rPr>
        <w:t>2; ∆</w:t>
      </w:r>
      <w:r w:rsidRPr="00AB4E6A">
        <w:rPr>
          <w:rFonts w:asciiTheme="majorBidi" w:hAnsiTheme="majorBidi" w:cstheme="majorBidi"/>
          <w:i/>
        </w:rPr>
        <w:t xml:space="preserve">t </w:t>
      </w:r>
      <w:r w:rsidRPr="00AB4E6A">
        <w:rPr>
          <w:rFonts w:asciiTheme="majorBidi" w:hAnsiTheme="majorBidi" w:cstheme="majorBidi"/>
        </w:rPr>
        <w:t>= 1 for</w:t>
      </w:r>
    </w:p>
    <w:p w14:paraId="69912170"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lang w:val="en-US"/>
        </w:rPr>
        <w:t>annually data and ∆</w:t>
      </w:r>
      <w:r w:rsidRPr="00AB4E6A">
        <w:rPr>
          <w:rFonts w:asciiTheme="majorBidi" w:hAnsiTheme="majorBidi" w:cstheme="majorBidi"/>
          <w:i/>
          <w:lang w:val="en-US"/>
        </w:rPr>
        <w:t xml:space="preserve">t </w:t>
      </w:r>
      <w:r w:rsidRPr="00AB4E6A">
        <w:rPr>
          <w:rFonts w:asciiTheme="majorBidi" w:hAnsiTheme="majorBidi" w:cstheme="majorBidi"/>
          <w:lang w:val="en-US"/>
        </w:rPr>
        <w:t>= 0</w:t>
      </w:r>
      <w:r w:rsidRPr="00AB4E6A">
        <w:rPr>
          <w:rFonts w:asciiTheme="majorBidi" w:hAnsiTheme="majorBidi" w:cstheme="majorBidi"/>
          <w:i/>
          <w:lang w:val="en-US"/>
        </w:rPr>
        <w:t>.</w:t>
      </w:r>
      <w:r w:rsidRPr="00AB4E6A">
        <w:rPr>
          <w:rFonts w:asciiTheme="majorBidi" w:hAnsiTheme="majorBidi" w:cstheme="majorBidi"/>
          <w:lang w:val="en-US"/>
        </w:rPr>
        <w:t>25 for quarterly data.</w:t>
      </w:r>
    </w:p>
    <w:p w14:paraId="7FBCA5F7" w14:textId="77777777" w:rsidR="00AB4E6A" w:rsidRPr="00AB4E6A" w:rsidRDefault="00AB4E6A" w:rsidP="00AB4E6A">
      <w:pPr>
        <w:rPr>
          <w:rFonts w:asciiTheme="majorBidi" w:hAnsiTheme="majorBidi" w:cstheme="majorBidi"/>
          <w:lang w:val="en-US"/>
        </w:rPr>
      </w:pPr>
    </w:p>
    <w:p w14:paraId="03380499" w14:textId="77777777" w:rsidR="00AB4E6A" w:rsidRPr="00AB4E6A" w:rsidRDefault="00AB4E6A" w:rsidP="00AB4E6A">
      <w:pPr>
        <w:rPr>
          <w:rFonts w:asciiTheme="majorBidi" w:hAnsiTheme="majorBidi" w:cstheme="majorBidi"/>
          <w:b/>
          <w:bCs/>
          <w:u w:val="single"/>
        </w:rPr>
      </w:pPr>
      <w:r w:rsidRPr="00AB4E6A">
        <w:rPr>
          <w:rFonts w:asciiTheme="majorBidi" w:hAnsiTheme="majorBidi" w:cstheme="majorBidi"/>
          <w:b/>
          <w:bCs/>
          <w:u w:val="single"/>
        </w:rPr>
        <w:t>1.3.1</w:t>
      </w:r>
      <w:r w:rsidRPr="00AB4E6A">
        <w:rPr>
          <w:rFonts w:asciiTheme="majorBidi" w:hAnsiTheme="majorBidi" w:cstheme="majorBidi"/>
          <w:b/>
          <w:bCs/>
          <w:u w:val="single"/>
        </w:rPr>
        <w:tab/>
        <w:t>The Bayesian approach</w:t>
      </w:r>
    </w:p>
    <w:p w14:paraId="17150B78" w14:textId="77777777" w:rsidR="00AB4E6A" w:rsidRPr="00AB4E6A" w:rsidRDefault="00AB4E6A" w:rsidP="00AB4E6A">
      <w:pPr>
        <w:rPr>
          <w:rFonts w:asciiTheme="majorBidi" w:hAnsiTheme="majorBidi" w:cstheme="majorBidi"/>
          <w:b/>
          <w:lang w:val="en-US"/>
        </w:rPr>
      </w:pPr>
    </w:p>
    <w:p w14:paraId="1D65C2AE" w14:textId="77777777" w:rsidR="00AB4E6A" w:rsidRPr="00AB4E6A" w:rsidRDefault="00AB4E6A" w:rsidP="00917737">
      <w:pPr>
        <w:spacing w:line="360" w:lineRule="auto"/>
        <w:rPr>
          <w:rFonts w:asciiTheme="majorBidi" w:hAnsiTheme="majorBidi" w:cstheme="majorBidi"/>
          <w:lang w:val="en-US"/>
        </w:rPr>
      </w:pPr>
      <w:r w:rsidRPr="00AB4E6A">
        <w:rPr>
          <w:rFonts w:asciiTheme="majorBidi" w:hAnsiTheme="majorBidi" w:cstheme="majorBidi"/>
          <w:lang w:val="en-US"/>
        </w:rPr>
        <w:t xml:space="preserve">We proposed the following Bayesian model with the time-series data of onset rates (Λ), proportional resistant </w:t>
      </w:r>
      <w:r w:rsidRPr="00AB4E6A">
        <w:rPr>
          <w:rFonts w:asciiTheme="majorBidi" w:hAnsiTheme="majorBidi" w:cstheme="majorBidi"/>
          <w:i/>
          <w:lang w:val="en-US"/>
        </w:rPr>
        <w:t xml:space="preserve">P </w:t>
      </w:r>
      <w:r w:rsidRPr="00AB4E6A">
        <w:rPr>
          <w:rFonts w:asciiTheme="majorBidi" w:hAnsiTheme="majorBidi" w:cstheme="majorBidi"/>
          <w:lang w:val="en-US"/>
        </w:rPr>
        <w:t>(</w:t>
      </w:r>
      <w:r w:rsidRPr="00AB4E6A">
        <w:rPr>
          <w:rFonts w:asciiTheme="majorBidi" w:hAnsiTheme="majorBidi" w:cstheme="majorBidi"/>
          <w:i/>
          <w:lang w:val="en-US"/>
        </w:rPr>
        <w:t>Res</w:t>
      </w:r>
      <w:r w:rsidRPr="00AB4E6A">
        <w:rPr>
          <w:rFonts w:asciiTheme="majorBidi" w:hAnsiTheme="majorBidi" w:cstheme="majorBidi"/>
          <w:lang w:val="en-US"/>
        </w:rPr>
        <w:t xml:space="preserve">), </w:t>
      </w:r>
      <w:proofErr w:type="gramStart"/>
      <w:r w:rsidRPr="00AB4E6A">
        <w:rPr>
          <w:rFonts w:asciiTheme="majorBidi" w:hAnsiTheme="majorBidi" w:cstheme="majorBidi"/>
          <w:lang w:val="en-US"/>
        </w:rPr>
        <w:t>and .</w:t>
      </w:r>
      <w:proofErr w:type="gramEnd"/>
    </w:p>
    <w:p w14:paraId="63EA4DA6" w14:textId="77777777" w:rsidR="00AB4E6A" w:rsidRPr="00AB4E6A" w:rsidRDefault="00AB4E6A" w:rsidP="00AB4E6A">
      <w:pPr>
        <w:rPr>
          <w:rFonts w:asciiTheme="majorBidi" w:hAnsiTheme="majorBidi" w:cstheme="majorBidi"/>
          <w:lang w:val="en-US"/>
        </w:rPr>
      </w:pPr>
    </w:p>
    <w:p w14:paraId="2EB1BB3D" w14:textId="77777777" w:rsidR="00AB4E6A" w:rsidRPr="00AB4E6A" w:rsidRDefault="00AB4E6A" w:rsidP="00AB4E6A">
      <w:pPr>
        <w:rPr>
          <w:rFonts w:asciiTheme="majorBidi" w:hAnsiTheme="majorBidi" w:cstheme="majorBidi"/>
          <w:b/>
        </w:rPr>
      </w:pPr>
      <w:r w:rsidRPr="00AB4E6A">
        <w:rPr>
          <w:rFonts w:asciiTheme="majorBidi" w:hAnsiTheme="majorBidi" w:cstheme="majorBidi"/>
          <w:b/>
        </w:rPr>
        <w:lastRenderedPageBreak/>
        <w:t>Priors for the parameters with the log-Normal distribution</w:t>
      </w:r>
    </w:p>
    <w:p w14:paraId="7368D625" w14:textId="77777777" w:rsidR="00AB4E6A" w:rsidRPr="00AB4E6A" w:rsidRDefault="00AB4E6A" w:rsidP="00AB4E6A">
      <w:pPr>
        <w:rPr>
          <w:rFonts w:asciiTheme="majorBidi" w:hAnsiTheme="majorBidi" w:cstheme="majorBidi"/>
          <w:b/>
          <w:lang w:val="en-US"/>
        </w:rPr>
      </w:pPr>
    </w:p>
    <w:p w14:paraId="17EC321E" w14:textId="77777777" w:rsidR="00AB4E6A" w:rsidRPr="00AB4E6A" w:rsidRDefault="00AB4E6A" w:rsidP="00AB4E6A">
      <w:pPr>
        <w:rPr>
          <w:rFonts w:asciiTheme="majorBidi" w:hAnsiTheme="majorBidi" w:cstheme="majorBidi"/>
        </w:rPr>
      </w:pPr>
      <w:r w:rsidRPr="00AB4E6A">
        <w:rPr>
          <w:rFonts w:asciiTheme="majorBidi" w:hAnsiTheme="majorBidi" w:cstheme="majorBidi"/>
          <w:i/>
        </w:rPr>
        <w:t xml:space="preserve">π </w:t>
      </w:r>
      <w:r w:rsidRPr="00AB4E6A">
        <w:rPr>
          <w:rFonts w:ascii="Cambria Math" w:hAnsi="Cambria Math" w:cs="Cambria Math"/>
        </w:rPr>
        <w:t>∼</w:t>
      </w:r>
      <w:r w:rsidRPr="00AB4E6A">
        <w:rPr>
          <w:rFonts w:asciiTheme="majorBidi" w:hAnsiTheme="majorBidi" w:cstheme="majorBidi"/>
        </w:rPr>
        <w:t xml:space="preserve"> </w:t>
      </w:r>
      <w:proofErr w:type="gramStart"/>
      <w:r w:rsidRPr="00AB4E6A">
        <w:rPr>
          <w:rFonts w:asciiTheme="majorBidi" w:hAnsiTheme="majorBidi" w:cstheme="majorBidi"/>
          <w:i/>
        </w:rPr>
        <w:t>Uniform</w:t>
      </w:r>
      <w:r w:rsidRPr="00AB4E6A">
        <w:rPr>
          <w:rFonts w:asciiTheme="majorBidi" w:hAnsiTheme="majorBidi" w:cstheme="majorBidi"/>
        </w:rPr>
        <w:t>(</w:t>
      </w:r>
      <w:proofErr w:type="gram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1)</w:t>
      </w:r>
    </w:p>
    <w:p w14:paraId="5B4B794C" w14:textId="77777777" w:rsidR="00AB4E6A" w:rsidRPr="00AB4E6A" w:rsidRDefault="00AB4E6A" w:rsidP="00AB4E6A">
      <w:pPr>
        <w:rPr>
          <w:rFonts w:asciiTheme="majorBidi" w:hAnsiTheme="majorBidi" w:cstheme="majorBidi"/>
        </w:rPr>
      </w:pPr>
      <w:r w:rsidRPr="00AB4E6A">
        <w:rPr>
          <w:rFonts w:asciiTheme="majorBidi" w:hAnsiTheme="majorBidi" w:cstheme="majorBidi"/>
          <w:i/>
        </w:rPr>
        <w:t xml:space="preserve">δ </w:t>
      </w:r>
      <w:r w:rsidRPr="00AB4E6A">
        <w:rPr>
          <w:rFonts w:ascii="Cambria Math" w:hAnsi="Cambria Math" w:cs="Cambria Math"/>
        </w:rPr>
        <w:t>∼</w:t>
      </w:r>
      <w:r w:rsidRPr="00AB4E6A">
        <w:rPr>
          <w:rFonts w:asciiTheme="majorBidi" w:hAnsiTheme="majorBidi" w:cstheme="majorBidi"/>
        </w:rPr>
        <w:t xml:space="preserve"> </w:t>
      </w:r>
      <w:proofErr w:type="spellStart"/>
      <w:proofErr w:type="gramStart"/>
      <w:r w:rsidRPr="00AB4E6A">
        <w:rPr>
          <w:rFonts w:asciiTheme="majorBidi" w:hAnsiTheme="majorBidi" w:cstheme="majorBidi"/>
          <w:i/>
        </w:rPr>
        <w:t>LogNormal</w:t>
      </w:r>
      <w:proofErr w:type="spellEnd"/>
      <w:r w:rsidRPr="00AB4E6A">
        <w:rPr>
          <w:rFonts w:asciiTheme="majorBidi" w:hAnsiTheme="majorBidi" w:cstheme="majorBidi"/>
        </w:rPr>
        <w:t>(</w:t>
      </w:r>
      <w:proofErr w:type="gram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1)</w:t>
      </w:r>
    </w:p>
    <w:p w14:paraId="79792EA0" w14:textId="77777777" w:rsidR="00AB4E6A" w:rsidRPr="00AB4E6A" w:rsidRDefault="00AB4E6A" w:rsidP="00AB4E6A">
      <w:pPr>
        <w:rPr>
          <w:rFonts w:asciiTheme="majorBidi" w:hAnsiTheme="majorBidi" w:cstheme="majorBidi"/>
        </w:rPr>
      </w:pPr>
      <w:r w:rsidRPr="00AB4E6A">
        <w:rPr>
          <w:rFonts w:ascii="Cambria Math" w:hAnsi="Cambria Math" w:cs="Cambria Math"/>
        </w:rPr>
        <w:t>∼</w:t>
      </w:r>
      <w:r w:rsidRPr="00AB4E6A">
        <w:rPr>
          <w:rFonts w:asciiTheme="majorBidi" w:hAnsiTheme="majorBidi" w:cstheme="majorBidi"/>
        </w:rPr>
        <w:t xml:space="preserve"> </w:t>
      </w:r>
      <w:proofErr w:type="spellStart"/>
      <w:proofErr w:type="gramStart"/>
      <w:r w:rsidRPr="00AB4E6A">
        <w:rPr>
          <w:rFonts w:asciiTheme="majorBidi" w:hAnsiTheme="majorBidi" w:cstheme="majorBidi"/>
          <w:i/>
        </w:rPr>
        <w:t>LogNormal</w:t>
      </w:r>
      <w:proofErr w:type="spellEnd"/>
      <w:r w:rsidRPr="00AB4E6A">
        <w:rPr>
          <w:rFonts w:asciiTheme="majorBidi" w:hAnsiTheme="majorBidi" w:cstheme="majorBidi"/>
        </w:rPr>
        <w:t>(</w:t>
      </w:r>
      <w:proofErr w:type="gram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 xml:space="preserve">1) </w:t>
      </w:r>
      <w:r w:rsidRPr="00AB4E6A">
        <w:rPr>
          <w:rFonts w:asciiTheme="majorBidi" w:hAnsiTheme="majorBidi" w:cstheme="majorBidi"/>
          <w:i/>
        </w:rPr>
        <w:t xml:space="preserve">σ </w:t>
      </w:r>
      <w:r w:rsidRPr="00AB4E6A">
        <w:rPr>
          <w:rFonts w:ascii="Cambria Math" w:hAnsi="Cambria Math" w:cs="Cambria Math"/>
        </w:rPr>
        <w:t>∼</w:t>
      </w:r>
      <w:r w:rsidRPr="00AB4E6A">
        <w:rPr>
          <w:rFonts w:asciiTheme="majorBidi" w:hAnsiTheme="majorBidi" w:cstheme="majorBidi"/>
        </w:rPr>
        <w:t xml:space="preserve"> </w:t>
      </w:r>
      <w:proofErr w:type="spellStart"/>
      <w:r w:rsidRPr="00AB4E6A">
        <w:rPr>
          <w:rFonts w:asciiTheme="majorBidi" w:hAnsiTheme="majorBidi" w:cstheme="majorBidi"/>
          <w:i/>
        </w:rPr>
        <w:t>LogNormal</w:t>
      </w:r>
      <w:proofErr w:type="spell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 xml:space="preserve">1) </w:t>
      </w:r>
      <w:proofErr w:type="spellStart"/>
      <w:r w:rsidRPr="00AB4E6A">
        <w:rPr>
          <w:rFonts w:asciiTheme="majorBidi" w:hAnsiTheme="majorBidi" w:cstheme="majorBidi"/>
          <w:i/>
        </w:rPr>
        <w:t>γ</w:t>
      </w:r>
      <w:r w:rsidRPr="00AB4E6A">
        <w:rPr>
          <w:rFonts w:asciiTheme="majorBidi" w:hAnsiTheme="majorBidi" w:cstheme="majorBidi"/>
          <w:i/>
          <w:vertAlign w:val="subscript"/>
        </w:rPr>
        <w:t>x</w:t>
      </w:r>
      <w:proofErr w:type="spellEnd"/>
      <w:r w:rsidRPr="00AB4E6A">
        <w:rPr>
          <w:rFonts w:asciiTheme="majorBidi" w:hAnsiTheme="majorBidi" w:cstheme="majorBidi"/>
          <w:i/>
        </w:rPr>
        <w:t xml:space="preserve"> </w:t>
      </w:r>
      <w:r w:rsidRPr="00AB4E6A">
        <w:rPr>
          <w:rFonts w:ascii="Cambria Math" w:hAnsi="Cambria Math" w:cs="Cambria Math"/>
        </w:rPr>
        <w:t>∼</w:t>
      </w:r>
      <w:r w:rsidRPr="00AB4E6A">
        <w:rPr>
          <w:rFonts w:asciiTheme="majorBidi" w:hAnsiTheme="majorBidi" w:cstheme="majorBidi"/>
        </w:rPr>
        <w:t xml:space="preserve"> </w:t>
      </w:r>
      <w:proofErr w:type="spellStart"/>
      <w:r w:rsidRPr="00AB4E6A">
        <w:rPr>
          <w:rFonts w:asciiTheme="majorBidi" w:hAnsiTheme="majorBidi" w:cstheme="majorBidi"/>
          <w:i/>
        </w:rPr>
        <w:t>LogNormal</w:t>
      </w:r>
      <w:proofErr w:type="spell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 xml:space="preserve">1) </w:t>
      </w:r>
      <w:proofErr w:type="spellStart"/>
      <w:r w:rsidRPr="00AB4E6A">
        <w:rPr>
          <w:rFonts w:asciiTheme="majorBidi" w:hAnsiTheme="majorBidi" w:cstheme="majorBidi"/>
          <w:i/>
        </w:rPr>
        <w:t>γ</w:t>
      </w:r>
      <w:r w:rsidRPr="00AB4E6A">
        <w:rPr>
          <w:rFonts w:asciiTheme="majorBidi" w:hAnsiTheme="majorBidi" w:cstheme="majorBidi"/>
          <w:i/>
          <w:vertAlign w:val="subscript"/>
        </w:rPr>
        <w:t>y</w:t>
      </w:r>
      <w:proofErr w:type="spellEnd"/>
      <w:r w:rsidRPr="00AB4E6A">
        <w:rPr>
          <w:rFonts w:asciiTheme="majorBidi" w:hAnsiTheme="majorBidi" w:cstheme="majorBidi"/>
          <w:i/>
        </w:rPr>
        <w:t xml:space="preserve"> </w:t>
      </w:r>
      <w:r w:rsidRPr="00AB4E6A">
        <w:rPr>
          <w:rFonts w:ascii="Cambria Math" w:hAnsi="Cambria Math" w:cs="Cambria Math"/>
        </w:rPr>
        <w:t>∼</w:t>
      </w:r>
      <w:r w:rsidRPr="00AB4E6A">
        <w:rPr>
          <w:rFonts w:asciiTheme="majorBidi" w:hAnsiTheme="majorBidi" w:cstheme="majorBidi"/>
        </w:rPr>
        <w:t xml:space="preserve"> </w:t>
      </w:r>
      <w:proofErr w:type="spellStart"/>
      <w:r w:rsidRPr="00AB4E6A">
        <w:rPr>
          <w:rFonts w:asciiTheme="majorBidi" w:hAnsiTheme="majorBidi" w:cstheme="majorBidi"/>
          <w:i/>
        </w:rPr>
        <w:t>LogNormal</w:t>
      </w:r>
      <w:proofErr w:type="spellEnd"/>
      <w:r w:rsidRPr="00AB4E6A">
        <w:rPr>
          <w:rFonts w:asciiTheme="majorBidi" w:hAnsiTheme="majorBidi" w:cstheme="majorBidi"/>
        </w:rPr>
        <w:t>(0</w:t>
      </w:r>
      <w:r w:rsidRPr="00AB4E6A">
        <w:rPr>
          <w:rFonts w:asciiTheme="majorBidi" w:hAnsiTheme="majorBidi" w:cstheme="majorBidi"/>
          <w:i/>
        </w:rPr>
        <w:t xml:space="preserve">, </w:t>
      </w:r>
      <w:r w:rsidRPr="00AB4E6A">
        <w:rPr>
          <w:rFonts w:asciiTheme="majorBidi" w:hAnsiTheme="majorBidi" w:cstheme="majorBidi"/>
        </w:rPr>
        <w:t>1)</w:t>
      </w:r>
    </w:p>
    <w:p w14:paraId="38FE9E0C" w14:textId="77777777" w:rsidR="00AB4E6A" w:rsidRPr="00AB4E6A" w:rsidRDefault="00AB4E6A" w:rsidP="00AB4E6A">
      <w:pPr>
        <w:rPr>
          <w:rFonts w:asciiTheme="majorBidi" w:hAnsiTheme="majorBidi" w:cstheme="majorBidi"/>
          <w:b/>
        </w:rPr>
      </w:pPr>
      <w:r w:rsidRPr="00AB4E6A">
        <w:rPr>
          <w:rFonts w:asciiTheme="majorBidi" w:hAnsiTheme="majorBidi" w:cstheme="majorBidi"/>
          <w:b/>
        </w:rPr>
        <w:t>Priors for random errors with the inverse-Gamma distribution</w:t>
      </w:r>
    </w:p>
    <w:p w14:paraId="1B01F7D2" w14:textId="77777777" w:rsidR="00AB4E6A" w:rsidRPr="00AB4E6A" w:rsidRDefault="00AB4E6A" w:rsidP="00AB4E6A">
      <w:pPr>
        <w:rPr>
          <w:rFonts w:asciiTheme="majorBidi" w:hAnsiTheme="majorBidi" w:cstheme="majorBidi"/>
          <w:b/>
          <w:lang w:val="en-US"/>
        </w:rPr>
      </w:pPr>
    </w:p>
    <w:p w14:paraId="358CF560" w14:textId="77777777" w:rsidR="00AB4E6A" w:rsidRPr="00AB4E6A" w:rsidRDefault="00AB4E6A" w:rsidP="00AB4E6A">
      <w:pPr>
        <w:rPr>
          <w:rFonts w:asciiTheme="majorBidi" w:hAnsiTheme="majorBidi" w:cstheme="majorBidi"/>
        </w:rPr>
      </w:pPr>
      <w:r w:rsidRPr="00AB4E6A">
        <w:rPr>
          <w:rFonts w:asciiTheme="majorBidi" w:hAnsiTheme="majorBidi" w:cstheme="majorBidi"/>
          <w:i/>
        </w:rPr>
        <w:t>E</w:t>
      </w:r>
      <w:r w:rsidRPr="00AB4E6A">
        <w:rPr>
          <w:rFonts w:asciiTheme="majorBidi" w:hAnsiTheme="majorBidi" w:cstheme="majorBidi"/>
          <w:i/>
          <w:vertAlign w:val="subscript"/>
        </w:rPr>
        <w:t>x</w:t>
      </w:r>
      <w:r w:rsidRPr="00AB4E6A">
        <w:rPr>
          <w:rFonts w:asciiTheme="majorBidi" w:hAnsiTheme="majorBidi" w:cstheme="majorBidi"/>
          <w:i/>
        </w:rPr>
        <w:t xml:space="preserve"> </w:t>
      </w:r>
      <w:r w:rsidRPr="00AB4E6A">
        <w:rPr>
          <w:rFonts w:ascii="Cambria Math" w:hAnsi="Cambria Math" w:cs="Cambria Math"/>
        </w:rPr>
        <w:t>∼</w:t>
      </w:r>
      <w:r w:rsidRPr="00AB4E6A">
        <w:rPr>
          <w:rFonts w:asciiTheme="majorBidi" w:hAnsiTheme="majorBidi" w:cstheme="majorBidi"/>
        </w:rPr>
        <w:t xml:space="preserve"> </w:t>
      </w:r>
      <w:proofErr w:type="spellStart"/>
      <w:proofErr w:type="gramStart"/>
      <w:r w:rsidRPr="00AB4E6A">
        <w:rPr>
          <w:rFonts w:asciiTheme="majorBidi" w:hAnsiTheme="majorBidi" w:cstheme="majorBidi"/>
          <w:i/>
        </w:rPr>
        <w:t>InvGamma</w:t>
      </w:r>
      <w:proofErr w:type="spellEnd"/>
      <w:r w:rsidRPr="00AB4E6A">
        <w:rPr>
          <w:rFonts w:asciiTheme="majorBidi" w:hAnsiTheme="majorBidi" w:cstheme="majorBidi"/>
        </w:rPr>
        <w:t>(</w:t>
      </w:r>
      <w:proofErr w:type="gramEnd"/>
      <w:r w:rsidRPr="00AB4E6A">
        <w:rPr>
          <w:rFonts w:asciiTheme="majorBidi" w:hAnsiTheme="majorBidi" w:cstheme="majorBidi"/>
        </w:rPr>
        <w:t>1</w:t>
      </w:r>
      <w:r w:rsidRPr="00AB4E6A">
        <w:rPr>
          <w:rFonts w:asciiTheme="majorBidi" w:hAnsiTheme="majorBidi" w:cstheme="majorBidi"/>
          <w:i/>
        </w:rPr>
        <w:t xml:space="preserve">, </w:t>
      </w:r>
      <w:r w:rsidRPr="00AB4E6A">
        <w:rPr>
          <w:rFonts w:asciiTheme="majorBidi" w:hAnsiTheme="majorBidi" w:cstheme="majorBidi"/>
        </w:rPr>
        <w:t xml:space="preserve">1) </w:t>
      </w:r>
      <w:proofErr w:type="spellStart"/>
      <w:r w:rsidRPr="00AB4E6A">
        <w:rPr>
          <w:rFonts w:asciiTheme="majorBidi" w:hAnsiTheme="majorBidi" w:cstheme="majorBidi"/>
          <w:i/>
        </w:rPr>
        <w:t>E</w:t>
      </w:r>
      <w:r w:rsidRPr="00AB4E6A">
        <w:rPr>
          <w:rFonts w:asciiTheme="majorBidi" w:hAnsiTheme="majorBidi" w:cstheme="majorBidi"/>
          <w:i/>
          <w:vertAlign w:val="subscript"/>
        </w:rPr>
        <w:t>y</w:t>
      </w:r>
      <w:proofErr w:type="spellEnd"/>
      <w:r w:rsidRPr="00AB4E6A">
        <w:rPr>
          <w:rFonts w:asciiTheme="majorBidi" w:hAnsiTheme="majorBidi" w:cstheme="majorBidi"/>
          <w:i/>
        </w:rPr>
        <w:t xml:space="preserve"> </w:t>
      </w:r>
      <w:r w:rsidRPr="00AB4E6A">
        <w:rPr>
          <w:rFonts w:ascii="Cambria Math" w:hAnsi="Cambria Math" w:cs="Cambria Math"/>
        </w:rPr>
        <w:t>∼</w:t>
      </w:r>
      <w:r w:rsidRPr="00AB4E6A">
        <w:rPr>
          <w:rFonts w:asciiTheme="majorBidi" w:hAnsiTheme="majorBidi" w:cstheme="majorBidi"/>
        </w:rPr>
        <w:t xml:space="preserve"> </w:t>
      </w:r>
      <w:proofErr w:type="spellStart"/>
      <w:r w:rsidRPr="00AB4E6A">
        <w:rPr>
          <w:rFonts w:asciiTheme="majorBidi" w:hAnsiTheme="majorBidi" w:cstheme="majorBidi"/>
          <w:i/>
        </w:rPr>
        <w:t>InvGamma</w:t>
      </w:r>
      <w:proofErr w:type="spellEnd"/>
      <w:r w:rsidRPr="00AB4E6A">
        <w:rPr>
          <w:rFonts w:asciiTheme="majorBidi" w:hAnsiTheme="majorBidi" w:cstheme="majorBidi"/>
        </w:rPr>
        <w:t>(1</w:t>
      </w:r>
      <w:r w:rsidRPr="00AB4E6A">
        <w:rPr>
          <w:rFonts w:asciiTheme="majorBidi" w:hAnsiTheme="majorBidi" w:cstheme="majorBidi"/>
          <w:i/>
        </w:rPr>
        <w:t xml:space="preserve">, </w:t>
      </w:r>
      <w:r w:rsidRPr="00AB4E6A">
        <w:rPr>
          <w:rFonts w:asciiTheme="majorBidi" w:hAnsiTheme="majorBidi" w:cstheme="majorBidi"/>
        </w:rPr>
        <w:t xml:space="preserve">1) </w:t>
      </w:r>
      <w:r w:rsidRPr="00AB4E6A">
        <w:rPr>
          <w:rFonts w:asciiTheme="majorBidi" w:hAnsiTheme="majorBidi" w:cstheme="majorBidi"/>
          <w:i/>
        </w:rPr>
        <w:t xml:space="preserve">ω </w:t>
      </w:r>
      <w:r w:rsidRPr="00AB4E6A">
        <w:rPr>
          <w:rFonts w:ascii="Cambria Math" w:hAnsi="Cambria Math" w:cs="Cambria Math"/>
        </w:rPr>
        <w:t>∼</w:t>
      </w:r>
      <w:r w:rsidRPr="00AB4E6A">
        <w:rPr>
          <w:rFonts w:asciiTheme="majorBidi" w:hAnsiTheme="majorBidi" w:cstheme="majorBidi"/>
        </w:rPr>
        <w:t xml:space="preserve"> </w:t>
      </w:r>
      <w:proofErr w:type="spellStart"/>
      <w:r w:rsidRPr="00AB4E6A">
        <w:rPr>
          <w:rFonts w:asciiTheme="majorBidi" w:hAnsiTheme="majorBidi" w:cstheme="majorBidi"/>
          <w:i/>
        </w:rPr>
        <w:t>InvGamma</w:t>
      </w:r>
      <w:proofErr w:type="spellEnd"/>
      <w:r w:rsidRPr="00AB4E6A">
        <w:rPr>
          <w:rFonts w:asciiTheme="majorBidi" w:hAnsiTheme="majorBidi" w:cstheme="majorBidi"/>
        </w:rPr>
        <w:t>(1</w:t>
      </w:r>
      <w:r w:rsidRPr="00AB4E6A">
        <w:rPr>
          <w:rFonts w:asciiTheme="majorBidi" w:hAnsiTheme="majorBidi" w:cstheme="majorBidi"/>
          <w:i/>
        </w:rPr>
        <w:t xml:space="preserve">, </w:t>
      </w:r>
      <w:r w:rsidRPr="00AB4E6A">
        <w:rPr>
          <w:rFonts w:asciiTheme="majorBidi" w:hAnsiTheme="majorBidi" w:cstheme="majorBidi"/>
        </w:rPr>
        <w:t>1)</w:t>
      </w:r>
    </w:p>
    <w:p w14:paraId="7BAE45A7" w14:textId="77777777" w:rsidR="00AB4E6A" w:rsidRPr="00AB4E6A" w:rsidRDefault="00AB4E6A" w:rsidP="00917737">
      <w:pPr>
        <w:spacing w:line="360" w:lineRule="auto"/>
        <w:rPr>
          <w:rFonts w:asciiTheme="majorBidi" w:hAnsiTheme="majorBidi" w:cstheme="majorBidi"/>
          <w:lang w:val="en-US"/>
        </w:rPr>
      </w:pPr>
      <w:r w:rsidRPr="00AB4E6A">
        <w:rPr>
          <w:rFonts w:asciiTheme="majorBidi" w:hAnsiTheme="majorBidi" w:cstheme="majorBidi"/>
          <w:b/>
          <w:lang w:val="en-US"/>
        </w:rPr>
        <w:t xml:space="preserve">Main model fitting to data </w:t>
      </w:r>
      <w:r w:rsidRPr="00AB4E6A">
        <w:rPr>
          <w:rFonts w:asciiTheme="majorBidi" w:hAnsiTheme="majorBidi" w:cstheme="majorBidi"/>
          <w:lang w:val="en-US"/>
        </w:rPr>
        <w:t xml:space="preserve">We fixed </w:t>
      </w:r>
      <w:r w:rsidRPr="00AB4E6A">
        <w:rPr>
          <w:rFonts w:asciiTheme="majorBidi" w:hAnsiTheme="majorBidi" w:cstheme="majorBidi"/>
          <w:i/>
          <w:lang w:val="en-US"/>
        </w:rPr>
        <w:t xml:space="preserve">q </w:t>
      </w:r>
      <w:r w:rsidRPr="00AB4E6A">
        <w:rPr>
          <w:rFonts w:asciiTheme="majorBidi" w:hAnsiTheme="majorBidi" w:cstheme="majorBidi"/>
          <w:lang w:val="en-US"/>
        </w:rPr>
        <w:t>at 1 (or any other value with exogenous data source) for ensuring the identifiability of the other parameters. The main model links the parameters to data.</w:t>
      </w:r>
    </w:p>
    <w:p w14:paraId="67B31971"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noProof/>
          <w:lang w:eastAsia="en-GB"/>
        </w:rPr>
        <w:drawing>
          <wp:inline distT="0" distB="0" distL="0" distR="0" wp14:anchorId="120AD203" wp14:editId="03F3B7E3">
            <wp:extent cx="3124200" cy="1581150"/>
            <wp:effectExtent l="0" t="0" r="0" b="0"/>
            <wp:docPr id="150" name="Picture 150" descr="Equation tex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Equation text shown"/>
                    <pic:cNvPicPr/>
                  </pic:nvPicPr>
                  <pic:blipFill>
                    <a:blip r:embed="rId96"/>
                    <a:stretch>
                      <a:fillRect/>
                    </a:stretch>
                  </pic:blipFill>
                  <pic:spPr>
                    <a:xfrm>
                      <a:off x="0" y="0"/>
                      <a:ext cx="3124200" cy="1581150"/>
                    </a:xfrm>
                    <a:prstGeom prst="rect">
                      <a:avLst/>
                    </a:prstGeom>
                  </pic:spPr>
                </pic:pic>
              </a:graphicData>
            </a:graphic>
          </wp:inline>
        </w:drawing>
      </w:r>
    </w:p>
    <w:p w14:paraId="5CE3F4F7" w14:textId="77777777" w:rsidR="00AB4E6A" w:rsidRPr="00AB4E6A" w:rsidRDefault="00AB4E6A" w:rsidP="00AB4E6A">
      <w:pPr>
        <w:rPr>
          <w:rFonts w:asciiTheme="majorBidi" w:hAnsiTheme="majorBidi" w:cstheme="majorBidi"/>
          <w:lang w:val="en-US"/>
        </w:rPr>
      </w:pPr>
    </w:p>
    <w:p w14:paraId="30399DAB" w14:textId="6FEDEE0F" w:rsidR="00AB4E6A" w:rsidRPr="00AB4E6A" w:rsidRDefault="00097E31" w:rsidP="00364012">
      <w:pPr>
        <w:pStyle w:val="EEPRUnumberedLevel2Headingnew"/>
        <w:numPr>
          <w:ilvl w:val="0"/>
          <w:numId w:val="0"/>
        </w:numPr>
      </w:pPr>
      <w:bookmarkStart w:id="858" w:name="Empirical_model"/>
      <w:bookmarkStart w:id="859" w:name="_bookmark3"/>
      <w:bookmarkEnd w:id="858"/>
      <w:bookmarkEnd w:id="859"/>
      <w:r>
        <w:tab/>
      </w:r>
      <w:bookmarkStart w:id="860" w:name="_Toc87463150"/>
      <w:r w:rsidR="00364012">
        <w:t xml:space="preserve">A16.2. </w:t>
      </w:r>
      <w:r w:rsidR="00AB4E6A" w:rsidRPr="00AB4E6A">
        <w:t>Results: simulation study</w:t>
      </w:r>
      <w:bookmarkEnd w:id="860"/>
    </w:p>
    <w:p w14:paraId="2D627F37" w14:textId="2E64D721" w:rsidR="00AB4E6A" w:rsidRPr="00AB4E6A" w:rsidRDefault="00AB4E6A" w:rsidP="0021430F">
      <w:pPr>
        <w:spacing w:line="360" w:lineRule="auto"/>
        <w:rPr>
          <w:rFonts w:asciiTheme="majorBidi" w:hAnsiTheme="majorBidi" w:cstheme="majorBidi"/>
          <w:lang w:val="en-US"/>
        </w:rPr>
      </w:pPr>
      <w:r w:rsidRPr="00AB4E6A">
        <w:rPr>
          <w:rFonts w:asciiTheme="majorBidi" w:hAnsiTheme="majorBidi" w:cstheme="majorBidi"/>
          <w:lang w:val="en-US"/>
        </w:rPr>
        <w:t>We started with a simulation study for checking (1) sample size needed for this model and (2) potential bias of the parameter estimators. Firstly, we started with a parameter set of (</w:t>
      </w:r>
      <w:r w:rsidRPr="00AB4E6A">
        <w:rPr>
          <w:rFonts w:asciiTheme="majorBidi" w:hAnsiTheme="majorBidi" w:cstheme="majorBidi"/>
          <w:i/>
          <w:lang w:val="en-US"/>
        </w:rPr>
        <w:t xml:space="preserve">theta </w:t>
      </w:r>
      <w:r w:rsidRPr="00AB4E6A">
        <w:rPr>
          <w:rFonts w:asciiTheme="majorBidi" w:hAnsiTheme="majorBidi" w:cstheme="majorBidi"/>
          <w:lang w:val="en-US"/>
        </w:rPr>
        <w:t>= 0</w:t>
      </w:r>
      <w:r w:rsidRPr="00AB4E6A">
        <w:rPr>
          <w:rFonts w:asciiTheme="majorBidi" w:hAnsiTheme="majorBidi" w:cstheme="majorBidi"/>
          <w:i/>
          <w:lang w:val="en-US"/>
        </w:rPr>
        <w:t>.</w:t>
      </w:r>
      <w:r w:rsidRPr="00AB4E6A">
        <w:rPr>
          <w:rFonts w:asciiTheme="majorBidi" w:hAnsiTheme="majorBidi" w:cstheme="majorBidi"/>
          <w:lang w:val="en-US"/>
        </w:rPr>
        <w:t xml:space="preserve">02, </w:t>
      </w:r>
      <w:r w:rsidRPr="00AB4E6A">
        <w:rPr>
          <w:rFonts w:asciiTheme="majorBidi" w:hAnsiTheme="majorBidi" w:cstheme="majorBidi"/>
          <w:i/>
          <w:lang w:val="en-US"/>
        </w:rPr>
        <w:t xml:space="preserve">delta </w:t>
      </w:r>
      <w:r w:rsidRPr="00AB4E6A">
        <w:rPr>
          <w:rFonts w:asciiTheme="majorBidi" w:hAnsiTheme="majorBidi" w:cstheme="majorBidi"/>
          <w:lang w:val="en-US"/>
        </w:rPr>
        <w:t>= 0</w:t>
      </w:r>
      <w:r w:rsidRPr="00AB4E6A">
        <w:rPr>
          <w:rFonts w:asciiTheme="majorBidi" w:hAnsiTheme="majorBidi" w:cstheme="majorBidi"/>
          <w:i/>
          <w:lang w:val="en-US"/>
        </w:rPr>
        <w:t>.</w:t>
      </w:r>
      <w:r w:rsidRPr="00AB4E6A">
        <w:rPr>
          <w:rFonts w:asciiTheme="majorBidi" w:hAnsiTheme="majorBidi" w:cstheme="majorBidi"/>
          <w:lang w:val="en-US"/>
        </w:rPr>
        <w:t xml:space="preserve">02, </w:t>
      </w:r>
      <w:r w:rsidRPr="00AB4E6A">
        <w:rPr>
          <w:rFonts w:asciiTheme="majorBidi" w:hAnsiTheme="majorBidi" w:cstheme="majorBidi"/>
          <w:i/>
          <w:lang w:val="en-US"/>
        </w:rPr>
        <w:t xml:space="preserve">sigma </w:t>
      </w:r>
      <w:r w:rsidRPr="00AB4E6A">
        <w:rPr>
          <w:rFonts w:asciiTheme="majorBidi" w:hAnsiTheme="majorBidi" w:cstheme="majorBidi"/>
          <w:lang w:val="en-US"/>
        </w:rPr>
        <w:t>= 0</w:t>
      </w:r>
      <w:r w:rsidRPr="00AB4E6A">
        <w:rPr>
          <w:rFonts w:asciiTheme="majorBidi" w:hAnsiTheme="majorBidi" w:cstheme="majorBidi"/>
          <w:i/>
          <w:lang w:val="en-US"/>
        </w:rPr>
        <w:t>.</w:t>
      </w:r>
      <w:r w:rsidRPr="00AB4E6A">
        <w:rPr>
          <w:rFonts w:asciiTheme="majorBidi" w:hAnsiTheme="majorBidi" w:cstheme="majorBidi"/>
          <w:lang w:val="en-US"/>
        </w:rPr>
        <w:t xml:space="preserve">05) and tested the bias in percentage. </w:t>
      </w:r>
      <w:r w:rsidR="0021430F">
        <w:rPr>
          <w:rFonts w:asciiTheme="majorBidi" w:hAnsiTheme="majorBidi" w:cstheme="majorBidi"/>
          <w:lang w:val="en-US"/>
        </w:rPr>
        <w:t>45</w:t>
      </w:r>
      <w:r w:rsidRPr="00AB4E6A">
        <w:rPr>
          <w:rFonts w:asciiTheme="majorBidi" w:hAnsiTheme="majorBidi" w:cstheme="majorBidi"/>
          <w:lang w:val="en-US"/>
        </w:rPr>
        <w:t xml:space="preserve"> shows that the model estimators start to converge when the lengths of time-series larger than 15.</w:t>
      </w:r>
    </w:p>
    <w:p w14:paraId="36B72F82" w14:textId="77777777" w:rsidR="00AB4E6A" w:rsidRPr="00AB4E6A" w:rsidRDefault="00AB4E6A" w:rsidP="00AB4E6A">
      <w:pPr>
        <w:rPr>
          <w:rFonts w:asciiTheme="majorBidi" w:hAnsiTheme="majorBidi" w:cstheme="majorBidi"/>
          <w:i/>
          <w:iCs/>
        </w:rPr>
      </w:pPr>
    </w:p>
    <w:p w14:paraId="535FC03E" w14:textId="77777777" w:rsidR="00097E31" w:rsidRDefault="00097E31" w:rsidP="00AB4E6A">
      <w:pPr>
        <w:rPr>
          <w:rFonts w:asciiTheme="majorBidi" w:hAnsiTheme="majorBidi" w:cstheme="majorBidi"/>
          <w:b/>
        </w:rPr>
      </w:pPr>
      <w:bookmarkStart w:id="861" w:name="_Ref84420021"/>
    </w:p>
    <w:p w14:paraId="235A2ABA" w14:textId="77777777" w:rsidR="00097E31" w:rsidRDefault="00097E31" w:rsidP="00AB4E6A">
      <w:pPr>
        <w:rPr>
          <w:rFonts w:asciiTheme="majorBidi" w:hAnsiTheme="majorBidi" w:cstheme="majorBidi"/>
          <w:b/>
        </w:rPr>
      </w:pPr>
    </w:p>
    <w:p w14:paraId="27D55A3F" w14:textId="77777777" w:rsidR="00097E31" w:rsidRDefault="00097E31" w:rsidP="00AB4E6A">
      <w:pPr>
        <w:rPr>
          <w:rFonts w:asciiTheme="majorBidi" w:hAnsiTheme="majorBidi" w:cstheme="majorBidi"/>
          <w:b/>
        </w:rPr>
      </w:pPr>
    </w:p>
    <w:p w14:paraId="31475C57" w14:textId="77777777" w:rsidR="00097E31" w:rsidRDefault="00097E31" w:rsidP="00AB4E6A">
      <w:pPr>
        <w:rPr>
          <w:rFonts w:asciiTheme="majorBidi" w:hAnsiTheme="majorBidi" w:cstheme="majorBidi"/>
          <w:b/>
        </w:rPr>
      </w:pPr>
    </w:p>
    <w:p w14:paraId="4AC6ACA7" w14:textId="77777777" w:rsidR="00097E31" w:rsidRDefault="00097E31" w:rsidP="00AB4E6A">
      <w:pPr>
        <w:rPr>
          <w:rFonts w:asciiTheme="majorBidi" w:hAnsiTheme="majorBidi" w:cstheme="majorBidi"/>
          <w:b/>
        </w:rPr>
      </w:pPr>
    </w:p>
    <w:p w14:paraId="4E0D598B" w14:textId="77777777" w:rsidR="00097E31" w:rsidRDefault="00097E31" w:rsidP="00AB4E6A">
      <w:pPr>
        <w:rPr>
          <w:rFonts w:asciiTheme="majorBidi" w:hAnsiTheme="majorBidi" w:cstheme="majorBidi"/>
          <w:b/>
        </w:rPr>
      </w:pPr>
    </w:p>
    <w:p w14:paraId="035F0921" w14:textId="77777777" w:rsidR="00097E31" w:rsidRDefault="00097E31" w:rsidP="00AB4E6A">
      <w:pPr>
        <w:rPr>
          <w:rFonts w:asciiTheme="majorBidi" w:hAnsiTheme="majorBidi" w:cstheme="majorBidi"/>
          <w:b/>
        </w:rPr>
      </w:pPr>
    </w:p>
    <w:bookmarkEnd w:id="861"/>
    <w:p w14:paraId="48D4942B" w14:textId="77777777" w:rsidR="0021430F" w:rsidRDefault="0021430F" w:rsidP="0021430F">
      <w:pPr>
        <w:pStyle w:val="Caption"/>
        <w:rPr>
          <w:rFonts w:asciiTheme="majorBidi" w:hAnsiTheme="majorBidi" w:cstheme="majorBidi"/>
          <w:b/>
          <w:bCs/>
          <w:i w:val="0"/>
          <w:iCs w:val="0"/>
          <w:sz w:val="20"/>
          <w:szCs w:val="20"/>
        </w:rPr>
      </w:pPr>
    </w:p>
    <w:p w14:paraId="12027D0C" w14:textId="3782F8DE" w:rsidR="000E449C" w:rsidRDefault="0021430F" w:rsidP="0021430F">
      <w:pPr>
        <w:pStyle w:val="Caption"/>
        <w:rPr>
          <w:rFonts w:asciiTheme="majorBidi" w:hAnsiTheme="majorBidi" w:cstheme="majorBidi"/>
          <w:b/>
          <w:bCs/>
          <w:i w:val="0"/>
          <w:iCs w:val="0"/>
          <w:sz w:val="20"/>
          <w:szCs w:val="20"/>
        </w:rPr>
      </w:pPr>
      <w:bookmarkStart w:id="862" w:name="_Toc86419090"/>
      <w:r w:rsidRPr="0021430F">
        <w:rPr>
          <w:rFonts w:asciiTheme="majorBidi" w:hAnsiTheme="majorBidi" w:cstheme="majorBidi"/>
          <w:b/>
          <w:bCs/>
          <w:i w:val="0"/>
          <w:iCs w:val="0"/>
          <w:sz w:val="20"/>
          <w:szCs w:val="20"/>
        </w:rPr>
        <w:lastRenderedPageBreak/>
        <w:t xml:space="preserve">Figure </w:t>
      </w:r>
      <w:r>
        <w:rPr>
          <w:rFonts w:asciiTheme="majorBidi" w:hAnsiTheme="majorBidi" w:cstheme="majorBidi"/>
          <w:b/>
          <w:bCs/>
          <w:i w:val="0"/>
          <w:iCs w:val="0"/>
          <w:noProof/>
          <w:sz w:val="20"/>
          <w:szCs w:val="20"/>
        </w:rPr>
        <w:t>45</w:t>
      </w:r>
      <w:r w:rsidRPr="0021430F">
        <w:rPr>
          <w:rFonts w:asciiTheme="majorBidi" w:hAnsiTheme="majorBidi" w:cstheme="majorBidi"/>
          <w:b/>
          <w:bCs/>
          <w:i w:val="0"/>
          <w:iCs w:val="0"/>
          <w:sz w:val="20"/>
          <w:szCs w:val="20"/>
        </w:rPr>
        <w:t xml:space="preserve"> length of time-series and convergence</w:t>
      </w:r>
      <w:bookmarkEnd w:id="862"/>
    </w:p>
    <w:p w14:paraId="2551BF95" w14:textId="77777777" w:rsidR="0021430F" w:rsidRPr="0021430F" w:rsidRDefault="0021430F" w:rsidP="0021430F"/>
    <w:p w14:paraId="03445045" w14:textId="77777777" w:rsidR="00AB4E6A" w:rsidRPr="00AB4E6A" w:rsidRDefault="00AB4E6A" w:rsidP="00AB4E6A">
      <w:pPr>
        <w:rPr>
          <w:rFonts w:asciiTheme="majorBidi" w:hAnsiTheme="majorBidi" w:cstheme="majorBidi"/>
          <w:i/>
          <w:iCs/>
        </w:rPr>
      </w:pPr>
      <w:r w:rsidRPr="00AB4E6A">
        <w:rPr>
          <w:rFonts w:asciiTheme="majorBidi" w:hAnsiTheme="majorBidi" w:cstheme="majorBidi"/>
          <w:i/>
          <w:iCs/>
          <w:noProof/>
          <w:lang w:eastAsia="en-GB"/>
        </w:rPr>
        <w:drawing>
          <wp:inline distT="0" distB="0" distL="0" distR="0" wp14:anchorId="366CCF7D" wp14:editId="111AE12E">
            <wp:extent cx="2270760" cy="3207002"/>
            <wp:effectExtent l="0" t="0" r="0" b="0"/>
            <wp:docPr id="151" name="image1.png" descr="Length of time-series and con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png" descr="Length of time-series and convergenc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78112" cy="3217386"/>
                    </a:xfrm>
                    <a:prstGeom prst="rect">
                      <a:avLst/>
                    </a:prstGeom>
                  </pic:spPr>
                </pic:pic>
              </a:graphicData>
            </a:graphic>
          </wp:inline>
        </w:drawing>
      </w:r>
    </w:p>
    <w:p w14:paraId="0EF6C96E" w14:textId="7621E50A" w:rsidR="00AB4E6A" w:rsidRPr="00AB4E6A" w:rsidRDefault="00AB4E6A" w:rsidP="0021430F">
      <w:pPr>
        <w:spacing w:line="360" w:lineRule="auto"/>
        <w:rPr>
          <w:rFonts w:asciiTheme="majorBidi" w:hAnsiTheme="majorBidi" w:cstheme="majorBidi"/>
          <w:lang w:val="en-US"/>
        </w:rPr>
      </w:pPr>
      <w:r w:rsidRPr="00AB4E6A">
        <w:rPr>
          <w:rFonts w:asciiTheme="majorBidi" w:hAnsiTheme="majorBidi" w:cstheme="majorBidi"/>
          <w:lang w:val="en-US"/>
        </w:rPr>
        <w:t xml:space="preserve">Then, we expanded the parameter space with </w:t>
      </w:r>
      <w:r w:rsidRPr="00AB4E6A">
        <w:rPr>
          <w:rFonts w:asciiTheme="majorBidi" w:hAnsiTheme="majorBidi" w:cstheme="majorBidi"/>
          <w:i/>
          <w:lang w:val="en-US"/>
        </w:rPr>
        <w:t xml:space="preserve">θ </w:t>
      </w:r>
      <w:r w:rsidRPr="00AB4E6A">
        <w:rPr>
          <w:rFonts w:ascii="Cambria Math" w:hAnsi="Cambria Math" w:cs="Cambria Math"/>
          <w:lang w:val="en-US"/>
        </w:rPr>
        <w:t>∈</w:t>
      </w:r>
      <w:r w:rsidRPr="00AB4E6A">
        <w:rPr>
          <w:rFonts w:asciiTheme="majorBidi" w:hAnsiTheme="majorBidi" w:cstheme="majorBidi"/>
          <w:lang w:val="en-US"/>
        </w:rPr>
        <w:t xml:space="preserve"> (0</w:t>
      </w:r>
      <w:r w:rsidRPr="00AB4E6A">
        <w:rPr>
          <w:rFonts w:asciiTheme="majorBidi" w:hAnsiTheme="majorBidi" w:cstheme="majorBidi"/>
          <w:i/>
          <w:lang w:val="en-US"/>
        </w:rPr>
        <w:t>.</w:t>
      </w:r>
      <w:r w:rsidRPr="00AB4E6A">
        <w:rPr>
          <w:rFonts w:asciiTheme="majorBidi" w:hAnsiTheme="majorBidi" w:cstheme="majorBidi"/>
          <w:lang w:val="en-US"/>
        </w:rPr>
        <w:t>01</w:t>
      </w:r>
      <w:r w:rsidRPr="00AB4E6A">
        <w:rPr>
          <w:rFonts w:asciiTheme="majorBidi" w:hAnsiTheme="majorBidi" w:cstheme="majorBidi"/>
          <w:i/>
          <w:lang w:val="en-US"/>
        </w:rPr>
        <w:t xml:space="preserve">, </w:t>
      </w:r>
      <w:r w:rsidRPr="00AB4E6A">
        <w:rPr>
          <w:rFonts w:asciiTheme="majorBidi" w:hAnsiTheme="majorBidi" w:cstheme="majorBidi"/>
          <w:lang w:val="en-US"/>
        </w:rPr>
        <w:t>0</w:t>
      </w:r>
      <w:r w:rsidRPr="00AB4E6A">
        <w:rPr>
          <w:rFonts w:asciiTheme="majorBidi" w:hAnsiTheme="majorBidi" w:cstheme="majorBidi"/>
          <w:i/>
          <w:lang w:val="en-US"/>
        </w:rPr>
        <w:t>.</w:t>
      </w:r>
      <w:r w:rsidRPr="00AB4E6A">
        <w:rPr>
          <w:rFonts w:asciiTheme="majorBidi" w:hAnsiTheme="majorBidi" w:cstheme="majorBidi"/>
          <w:lang w:val="en-US"/>
        </w:rPr>
        <w:t xml:space="preserve">05), </w:t>
      </w:r>
      <w:r w:rsidRPr="00AB4E6A">
        <w:rPr>
          <w:rFonts w:asciiTheme="majorBidi" w:hAnsiTheme="majorBidi" w:cstheme="majorBidi"/>
          <w:i/>
          <w:lang w:val="en-US"/>
        </w:rPr>
        <w:t xml:space="preserve">δ </w:t>
      </w:r>
      <w:r w:rsidRPr="00AB4E6A">
        <w:rPr>
          <w:rFonts w:ascii="Cambria Math" w:hAnsi="Cambria Math" w:cs="Cambria Math"/>
          <w:lang w:val="en-US"/>
        </w:rPr>
        <w:t>∈</w:t>
      </w:r>
      <w:r w:rsidRPr="00AB4E6A">
        <w:rPr>
          <w:rFonts w:asciiTheme="majorBidi" w:hAnsiTheme="majorBidi" w:cstheme="majorBidi"/>
          <w:lang w:val="en-US"/>
        </w:rPr>
        <w:t xml:space="preserve"> (0</w:t>
      </w:r>
      <w:r w:rsidRPr="00AB4E6A">
        <w:rPr>
          <w:rFonts w:asciiTheme="majorBidi" w:hAnsiTheme="majorBidi" w:cstheme="majorBidi"/>
          <w:i/>
          <w:lang w:val="en-US"/>
        </w:rPr>
        <w:t>.</w:t>
      </w:r>
      <w:r w:rsidRPr="00AB4E6A">
        <w:rPr>
          <w:rFonts w:asciiTheme="majorBidi" w:hAnsiTheme="majorBidi" w:cstheme="majorBidi"/>
          <w:lang w:val="en-US"/>
        </w:rPr>
        <w:t>01</w:t>
      </w:r>
      <w:r w:rsidRPr="00AB4E6A">
        <w:rPr>
          <w:rFonts w:asciiTheme="majorBidi" w:hAnsiTheme="majorBidi" w:cstheme="majorBidi"/>
          <w:i/>
          <w:lang w:val="en-US"/>
        </w:rPr>
        <w:t xml:space="preserve">, </w:t>
      </w:r>
      <w:r w:rsidRPr="00AB4E6A">
        <w:rPr>
          <w:rFonts w:asciiTheme="majorBidi" w:hAnsiTheme="majorBidi" w:cstheme="majorBidi"/>
          <w:lang w:val="en-US"/>
        </w:rPr>
        <w:t>0</w:t>
      </w:r>
      <w:r w:rsidRPr="00AB4E6A">
        <w:rPr>
          <w:rFonts w:asciiTheme="majorBidi" w:hAnsiTheme="majorBidi" w:cstheme="majorBidi"/>
          <w:i/>
          <w:lang w:val="en-US"/>
        </w:rPr>
        <w:t>.</w:t>
      </w:r>
      <w:r w:rsidRPr="00AB4E6A">
        <w:rPr>
          <w:rFonts w:asciiTheme="majorBidi" w:hAnsiTheme="majorBidi" w:cstheme="majorBidi"/>
          <w:lang w:val="en-US"/>
        </w:rPr>
        <w:t xml:space="preserve">05), and </w:t>
      </w:r>
      <w:r w:rsidRPr="00AB4E6A">
        <w:rPr>
          <w:rFonts w:asciiTheme="majorBidi" w:hAnsiTheme="majorBidi" w:cstheme="majorBidi"/>
          <w:i/>
          <w:lang w:val="en-US"/>
        </w:rPr>
        <w:t xml:space="preserve">σ </w:t>
      </w:r>
      <w:r w:rsidRPr="00AB4E6A">
        <w:rPr>
          <w:rFonts w:ascii="Cambria Math" w:hAnsi="Cambria Math" w:cs="Cambria Math"/>
          <w:lang w:val="en-US"/>
        </w:rPr>
        <w:t>∈</w:t>
      </w:r>
      <w:r w:rsidRPr="00AB4E6A">
        <w:rPr>
          <w:rFonts w:asciiTheme="majorBidi" w:hAnsiTheme="majorBidi" w:cstheme="majorBidi"/>
          <w:lang w:val="en-US"/>
        </w:rPr>
        <w:t xml:space="preserve"> (0</w:t>
      </w:r>
      <w:r w:rsidRPr="00AB4E6A">
        <w:rPr>
          <w:rFonts w:asciiTheme="majorBidi" w:hAnsiTheme="majorBidi" w:cstheme="majorBidi"/>
          <w:i/>
          <w:lang w:val="en-US"/>
        </w:rPr>
        <w:t>.</w:t>
      </w:r>
      <w:r w:rsidRPr="00AB4E6A">
        <w:rPr>
          <w:rFonts w:asciiTheme="majorBidi" w:hAnsiTheme="majorBidi" w:cstheme="majorBidi"/>
          <w:lang w:val="en-US"/>
        </w:rPr>
        <w:t>01</w:t>
      </w:r>
      <w:r w:rsidRPr="00AB4E6A">
        <w:rPr>
          <w:rFonts w:asciiTheme="majorBidi" w:hAnsiTheme="majorBidi" w:cstheme="majorBidi"/>
          <w:i/>
          <w:lang w:val="en-US"/>
        </w:rPr>
        <w:t xml:space="preserve">, </w:t>
      </w:r>
      <w:r w:rsidRPr="00AB4E6A">
        <w:rPr>
          <w:rFonts w:asciiTheme="majorBidi" w:hAnsiTheme="majorBidi" w:cstheme="majorBidi"/>
          <w:lang w:val="en-US"/>
        </w:rPr>
        <w:t>0</w:t>
      </w:r>
      <w:r w:rsidRPr="00AB4E6A">
        <w:rPr>
          <w:rFonts w:asciiTheme="majorBidi" w:hAnsiTheme="majorBidi" w:cstheme="majorBidi"/>
          <w:i/>
          <w:lang w:val="en-US"/>
        </w:rPr>
        <w:t>.</w:t>
      </w:r>
      <w:r w:rsidRPr="00AB4E6A">
        <w:rPr>
          <w:rFonts w:asciiTheme="majorBidi" w:hAnsiTheme="majorBidi" w:cstheme="majorBidi"/>
          <w:lang w:val="en-US"/>
        </w:rPr>
        <w:t xml:space="preserve">1) </w:t>
      </w:r>
      <w:proofErr w:type="spellStart"/>
      <w:r w:rsidRPr="00AB4E6A">
        <w:rPr>
          <w:rFonts w:asciiTheme="majorBidi" w:hAnsiTheme="majorBidi" w:cstheme="majorBidi"/>
          <w:lang w:val="en-US"/>
        </w:rPr>
        <w:t>tocheck</w:t>
      </w:r>
      <w:proofErr w:type="spellEnd"/>
      <w:r w:rsidRPr="00AB4E6A">
        <w:rPr>
          <w:rFonts w:asciiTheme="majorBidi" w:hAnsiTheme="majorBidi" w:cstheme="majorBidi"/>
          <w:lang w:val="en-US"/>
        </w:rPr>
        <w:t xml:space="preserve"> if the model can provide unbiased estimators. </w:t>
      </w:r>
      <w:r w:rsidR="0021430F">
        <w:rPr>
          <w:rFonts w:asciiTheme="majorBidi" w:hAnsiTheme="majorBidi" w:cstheme="majorBidi"/>
          <w:lang w:val="en-US"/>
        </w:rPr>
        <w:t>46</w:t>
      </w:r>
      <w:r w:rsidRPr="00AB4E6A">
        <w:rPr>
          <w:rFonts w:asciiTheme="majorBidi" w:hAnsiTheme="majorBidi" w:cstheme="majorBidi"/>
          <w:lang w:val="en-US"/>
        </w:rPr>
        <w:t xml:space="preserve"> and </w:t>
      </w:r>
      <w:r w:rsidR="0021430F">
        <w:rPr>
          <w:rFonts w:asciiTheme="majorBidi" w:hAnsiTheme="majorBidi" w:cstheme="majorBidi"/>
          <w:lang w:val="en-US"/>
        </w:rPr>
        <w:t>47</w:t>
      </w:r>
      <w:r w:rsidRPr="00AB4E6A">
        <w:rPr>
          <w:rFonts w:asciiTheme="majorBidi" w:hAnsiTheme="majorBidi" w:cstheme="majorBidi"/>
          <w:lang w:val="en-US"/>
        </w:rPr>
        <w:t xml:space="preserve"> demonstrate that </w:t>
      </w:r>
      <w:r w:rsidRPr="00AB4E6A">
        <w:rPr>
          <w:rFonts w:asciiTheme="majorBidi" w:hAnsiTheme="majorBidi" w:cstheme="majorBidi"/>
          <w:i/>
          <w:lang w:val="en-US"/>
        </w:rPr>
        <w:t xml:space="preserve">θ </w:t>
      </w:r>
      <w:r w:rsidRPr="00AB4E6A">
        <w:rPr>
          <w:rFonts w:asciiTheme="majorBidi" w:hAnsiTheme="majorBidi" w:cstheme="majorBidi"/>
          <w:lang w:val="en-US"/>
        </w:rPr>
        <w:t xml:space="preserve">and </w:t>
      </w:r>
      <w:r w:rsidRPr="00AB4E6A">
        <w:rPr>
          <w:rFonts w:asciiTheme="majorBidi" w:hAnsiTheme="majorBidi" w:cstheme="majorBidi"/>
          <w:i/>
          <w:lang w:val="en-US"/>
        </w:rPr>
        <w:t xml:space="preserve">σ </w:t>
      </w:r>
      <w:r w:rsidRPr="00AB4E6A">
        <w:rPr>
          <w:rFonts w:asciiTheme="majorBidi" w:hAnsiTheme="majorBidi" w:cstheme="majorBidi"/>
          <w:lang w:val="en-US"/>
        </w:rPr>
        <w:t xml:space="preserve">are unbiased while Figure 4suggests that there is a system bias of </w:t>
      </w:r>
      <w:r w:rsidRPr="00AB4E6A">
        <w:rPr>
          <w:rFonts w:asciiTheme="majorBidi" w:hAnsiTheme="majorBidi" w:cstheme="majorBidi"/>
          <w:i/>
          <w:lang w:val="en-US"/>
        </w:rPr>
        <w:t xml:space="preserve">δ </w:t>
      </w:r>
      <w:r w:rsidRPr="00AB4E6A">
        <w:rPr>
          <w:rFonts w:asciiTheme="majorBidi" w:hAnsiTheme="majorBidi" w:cstheme="majorBidi"/>
          <w:lang w:val="en-US"/>
        </w:rPr>
        <w:t>causing underestimation.</w:t>
      </w:r>
    </w:p>
    <w:p w14:paraId="2C9A41A0" w14:textId="77777777" w:rsidR="00AB4E6A" w:rsidRPr="00AB4E6A" w:rsidRDefault="00AB4E6A" w:rsidP="002659E9">
      <w:pPr>
        <w:spacing w:line="360" w:lineRule="auto"/>
        <w:rPr>
          <w:rFonts w:asciiTheme="majorBidi" w:hAnsiTheme="majorBidi" w:cstheme="majorBidi"/>
          <w:lang w:val="en-US"/>
        </w:rPr>
      </w:pPr>
    </w:p>
    <w:p w14:paraId="46C2A0B7" w14:textId="77777777" w:rsidR="002659E9" w:rsidRDefault="002659E9" w:rsidP="00AB4E6A">
      <w:pPr>
        <w:rPr>
          <w:rFonts w:asciiTheme="majorBidi" w:hAnsiTheme="majorBidi" w:cstheme="majorBidi"/>
          <w:b/>
          <w:sz w:val="20"/>
          <w:szCs w:val="20"/>
        </w:rPr>
      </w:pPr>
      <w:bookmarkStart w:id="863" w:name="_Ref84420263"/>
    </w:p>
    <w:p w14:paraId="108FDAAA" w14:textId="77777777" w:rsidR="002659E9" w:rsidRDefault="002659E9" w:rsidP="00AB4E6A">
      <w:pPr>
        <w:rPr>
          <w:rFonts w:asciiTheme="majorBidi" w:hAnsiTheme="majorBidi" w:cstheme="majorBidi"/>
          <w:b/>
          <w:sz w:val="20"/>
          <w:szCs w:val="20"/>
        </w:rPr>
      </w:pPr>
    </w:p>
    <w:p w14:paraId="7F1BA03B" w14:textId="77777777" w:rsidR="002659E9" w:rsidRDefault="002659E9" w:rsidP="00AB4E6A">
      <w:pPr>
        <w:rPr>
          <w:rFonts w:asciiTheme="majorBidi" w:hAnsiTheme="majorBidi" w:cstheme="majorBidi"/>
          <w:b/>
          <w:sz w:val="20"/>
          <w:szCs w:val="20"/>
        </w:rPr>
      </w:pPr>
    </w:p>
    <w:p w14:paraId="40E9044F" w14:textId="77777777" w:rsidR="002659E9" w:rsidRDefault="002659E9" w:rsidP="00AB4E6A">
      <w:pPr>
        <w:rPr>
          <w:rFonts w:asciiTheme="majorBidi" w:hAnsiTheme="majorBidi" w:cstheme="majorBidi"/>
          <w:b/>
          <w:sz w:val="20"/>
          <w:szCs w:val="20"/>
        </w:rPr>
      </w:pPr>
    </w:p>
    <w:p w14:paraId="16C5C375" w14:textId="77777777" w:rsidR="002659E9" w:rsidRDefault="002659E9" w:rsidP="00AB4E6A">
      <w:pPr>
        <w:rPr>
          <w:rFonts w:asciiTheme="majorBidi" w:hAnsiTheme="majorBidi" w:cstheme="majorBidi"/>
          <w:b/>
          <w:sz w:val="20"/>
          <w:szCs w:val="20"/>
        </w:rPr>
      </w:pPr>
    </w:p>
    <w:p w14:paraId="5118D9C3" w14:textId="77777777" w:rsidR="002659E9" w:rsidRDefault="002659E9" w:rsidP="00AB4E6A">
      <w:pPr>
        <w:rPr>
          <w:rFonts w:asciiTheme="majorBidi" w:hAnsiTheme="majorBidi" w:cstheme="majorBidi"/>
          <w:b/>
          <w:sz w:val="20"/>
          <w:szCs w:val="20"/>
        </w:rPr>
      </w:pPr>
    </w:p>
    <w:p w14:paraId="22548116" w14:textId="77777777" w:rsidR="002659E9" w:rsidRDefault="002659E9" w:rsidP="00AB4E6A">
      <w:pPr>
        <w:rPr>
          <w:rFonts w:asciiTheme="majorBidi" w:hAnsiTheme="majorBidi" w:cstheme="majorBidi"/>
          <w:b/>
          <w:sz w:val="20"/>
          <w:szCs w:val="20"/>
        </w:rPr>
      </w:pPr>
    </w:p>
    <w:p w14:paraId="67F40707" w14:textId="77777777" w:rsidR="002659E9" w:rsidRDefault="002659E9" w:rsidP="00AB4E6A">
      <w:pPr>
        <w:rPr>
          <w:rFonts w:asciiTheme="majorBidi" w:hAnsiTheme="majorBidi" w:cstheme="majorBidi"/>
          <w:b/>
          <w:sz w:val="20"/>
          <w:szCs w:val="20"/>
        </w:rPr>
      </w:pPr>
    </w:p>
    <w:p w14:paraId="04E7768A" w14:textId="77777777" w:rsidR="002659E9" w:rsidRDefault="002659E9" w:rsidP="00AB4E6A">
      <w:pPr>
        <w:rPr>
          <w:rFonts w:asciiTheme="majorBidi" w:hAnsiTheme="majorBidi" w:cstheme="majorBidi"/>
          <w:b/>
          <w:sz w:val="20"/>
          <w:szCs w:val="20"/>
        </w:rPr>
      </w:pPr>
    </w:p>
    <w:p w14:paraId="2EBB09E8" w14:textId="77777777" w:rsidR="002659E9" w:rsidRDefault="002659E9" w:rsidP="00AB4E6A">
      <w:pPr>
        <w:rPr>
          <w:rFonts w:asciiTheme="majorBidi" w:hAnsiTheme="majorBidi" w:cstheme="majorBidi"/>
          <w:b/>
          <w:sz w:val="20"/>
          <w:szCs w:val="20"/>
        </w:rPr>
      </w:pPr>
    </w:p>
    <w:p w14:paraId="0AB58969" w14:textId="77777777" w:rsidR="002659E9" w:rsidRDefault="002659E9" w:rsidP="00AB4E6A">
      <w:pPr>
        <w:rPr>
          <w:rFonts w:asciiTheme="majorBidi" w:hAnsiTheme="majorBidi" w:cstheme="majorBidi"/>
          <w:b/>
          <w:sz w:val="20"/>
          <w:szCs w:val="20"/>
        </w:rPr>
      </w:pPr>
    </w:p>
    <w:p w14:paraId="53F0DA4D" w14:textId="77777777" w:rsidR="002659E9" w:rsidRDefault="002659E9" w:rsidP="00AB4E6A">
      <w:pPr>
        <w:rPr>
          <w:rFonts w:asciiTheme="majorBidi" w:hAnsiTheme="majorBidi" w:cstheme="majorBidi"/>
          <w:b/>
          <w:sz w:val="20"/>
          <w:szCs w:val="20"/>
        </w:rPr>
      </w:pPr>
    </w:p>
    <w:p w14:paraId="7334024C" w14:textId="77777777" w:rsidR="002659E9" w:rsidRDefault="002659E9" w:rsidP="00AB4E6A">
      <w:pPr>
        <w:rPr>
          <w:rFonts w:asciiTheme="majorBidi" w:hAnsiTheme="majorBidi" w:cstheme="majorBidi"/>
          <w:b/>
          <w:sz w:val="20"/>
          <w:szCs w:val="20"/>
        </w:rPr>
      </w:pPr>
    </w:p>
    <w:p w14:paraId="67CD5488" w14:textId="77777777" w:rsidR="002659E9" w:rsidRDefault="002659E9" w:rsidP="00AB4E6A">
      <w:pPr>
        <w:rPr>
          <w:rFonts w:asciiTheme="majorBidi" w:hAnsiTheme="majorBidi" w:cstheme="majorBidi"/>
          <w:b/>
          <w:sz w:val="20"/>
          <w:szCs w:val="20"/>
        </w:rPr>
      </w:pPr>
    </w:p>
    <w:p w14:paraId="2DD14440" w14:textId="77777777" w:rsidR="002659E9" w:rsidRDefault="002659E9" w:rsidP="00AB4E6A">
      <w:pPr>
        <w:rPr>
          <w:rFonts w:asciiTheme="majorBidi" w:hAnsiTheme="majorBidi" w:cstheme="majorBidi"/>
          <w:b/>
          <w:sz w:val="20"/>
          <w:szCs w:val="20"/>
        </w:rPr>
      </w:pPr>
    </w:p>
    <w:p w14:paraId="7A016639" w14:textId="77777777" w:rsidR="002659E9" w:rsidRDefault="002659E9" w:rsidP="00AB4E6A">
      <w:pPr>
        <w:rPr>
          <w:rFonts w:asciiTheme="majorBidi" w:hAnsiTheme="majorBidi" w:cstheme="majorBidi"/>
          <w:b/>
          <w:sz w:val="20"/>
          <w:szCs w:val="20"/>
        </w:rPr>
      </w:pPr>
    </w:p>
    <w:p w14:paraId="30BB3863" w14:textId="4F894EFA" w:rsidR="002659E9" w:rsidRDefault="0021430F" w:rsidP="0021430F">
      <w:pPr>
        <w:pStyle w:val="Caption"/>
        <w:rPr>
          <w:rFonts w:asciiTheme="majorBidi" w:hAnsiTheme="majorBidi" w:cstheme="majorBidi"/>
          <w:b/>
          <w:bCs/>
          <w:i w:val="0"/>
          <w:iCs w:val="0"/>
          <w:sz w:val="20"/>
          <w:szCs w:val="20"/>
        </w:rPr>
      </w:pPr>
      <w:bookmarkStart w:id="864" w:name="_Toc86419091"/>
      <w:bookmarkEnd w:id="863"/>
      <w:r w:rsidRPr="0021430F">
        <w:rPr>
          <w:rFonts w:asciiTheme="majorBidi" w:hAnsiTheme="majorBidi" w:cstheme="majorBidi"/>
          <w:b/>
          <w:bCs/>
          <w:i w:val="0"/>
          <w:iCs w:val="0"/>
          <w:sz w:val="20"/>
          <w:szCs w:val="20"/>
        </w:rPr>
        <w:t xml:space="preserve">Figure </w:t>
      </w:r>
      <w:r>
        <w:rPr>
          <w:rFonts w:asciiTheme="majorBidi" w:hAnsiTheme="majorBidi" w:cstheme="majorBidi"/>
          <w:b/>
          <w:bCs/>
          <w:i w:val="0"/>
          <w:iCs w:val="0"/>
          <w:noProof/>
          <w:sz w:val="20"/>
          <w:szCs w:val="20"/>
        </w:rPr>
        <w:t>46</w:t>
      </w:r>
      <w:r w:rsidRPr="0021430F">
        <w:rPr>
          <w:rFonts w:asciiTheme="majorBidi" w:hAnsiTheme="majorBidi" w:cstheme="majorBidi"/>
          <w:b/>
          <w:bCs/>
          <w:i w:val="0"/>
          <w:iCs w:val="0"/>
          <w:sz w:val="20"/>
          <w:szCs w:val="20"/>
        </w:rPr>
        <w:t xml:space="preserve"> Resistance development, natural mutation (θ)</w:t>
      </w:r>
      <w:bookmarkEnd w:id="864"/>
    </w:p>
    <w:p w14:paraId="7F3C1DE5" w14:textId="77777777" w:rsidR="0021430F" w:rsidRPr="0021430F" w:rsidRDefault="0021430F" w:rsidP="0021430F"/>
    <w:p w14:paraId="53973591"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noProof/>
          <w:lang w:eastAsia="en-GB"/>
        </w:rPr>
        <w:drawing>
          <wp:inline distT="0" distB="0" distL="0" distR="0" wp14:anchorId="2648586D" wp14:editId="7B8EB922">
            <wp:extent cx="4114800" cy="4093200"/>
            <wp:effectExtent l="0" t="0" r="0" b="3175"/>
            <wp:docPr id="152" name="image2.png" descr="Resistance development, natural mutation (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descr="Resistance development, natural mutation (θ)"/>
                    <pic:cNvPicPr/>
                  </pic:nvPicPr>
                  <pic:blipFill>
                    <a:blip r:embed="rId98" cstate="print"/>
                    <a:stretch>
                      <a:fillRect/>
                    </a:stretch>
                  </pic:blipFill>
                  <pic:spPr>
                    <a:xfrm>
                      <a:off x="0" y="0"/>
                      <a:ext cx="4114800" cy="4093200"/>
                    </a:xfrm>
                    <a:prstGeom prst="rect">
                      <a:avLst/>
                    </a:prstGeom>
                  </pic:spPr>
                </pic:pic>
              </a:graphicData>
            </a:graphic>
          </wp:inline>
        </w:drawing>
      </w:r>
    </w:p>
    <w:p w14:paraId="6AEEE579" w14:textId="77777777" w:rsidR="00AB4E6A" w:rsidRPr="00AB4E6A" w:rsidRDefault="00AB4E6A" w:rsidP="00AB4E6A">
      <w:pPr>
        <w:rPr>
          <w:rFonts w:asciiTheme="majorBidi" w:hAnsiTheme="majorBidi" w:cstheme="majorBidi"/>
          <w:lang w:val="en-US"/>
        </w:rPr>
      </w:pPr>
    </w:p>
    <w:p w14:paraId="69E63F14" w14:textId="77777777" w:rsidR="00AB4E6A" w:rsidRPr="00AB4E6A" w:rsidRDefault="00AB4E6A" w:rsidP="00AB4E6A">
      <w:pPr>
        <w:rPr>
          <w:rFonts w:asciiTheme="majorBidi" w:hAnsiTheme="majorBidi" w:cstheme="majorBidi"/>
        </w:rPr>
        <w:sectPr w:rsidR="00AB4E6A" w:rsidRPr="00AB4E6A" w:rsidSect="006F4DEE">
          <w:pgSz w:w="11910" w:h="16840"/>
          <w:pgMar w:top="1582" w:right="1321" w:bottom="1582" w:left="1321" w:header="0" w:footer="1389" w:gutter="0"/>
          <w:cols w:space="720"/>
        </w:sectPr>
      </w:pPr>
    </w:p>
    <w:p w14:paraId="37F22DE1" w14:textId="1C3C8DAE" w:rsidR="002659E9" w:rsidRDefault="0021430F" w:rsidP="0021430F">
      <w:pPr>
        <w:pStyle w:val="Caption"/>
        <w:rPr>
          <w:rFonts w:asciiTheme="majorBidi" w:hAnsiTheme="majorBidi" w:cstheme="majorBidi"/>
          <w:b/>
          <w:bCs/>
          <w:i w:val="0"/>
          <w:iCs w:val="0"/>
          <w:sz w:val="20"/>
          <w:szCs w:val="20"/>
        </w:rPr>
      </w:pPr>
      <w:bookmarkStart w:id="865" w:name="_Toc86419092"/>
      <w:r w:rsidRPr="0021430F">
        <w:rPr>
          <w:rFonts w:asciiTheme="majorBidi" w:hAnsiTheme="majorBidi" w:cstheme="majorBidi"/>
          <w:b/>
          <w:bCs/>
          <w:i w:val="0"/>
          <w:iCs w:val="0"/>
          <w:sz w:val="20"/>
          <w:szCs w:val="20"/>
        </w:rPr>
        <w:lastRenderedPageBreak/>
        <w:t xml:space="preserve">Figure </w:t>
      </w:r>
      <w:r>
        <w:rPr>
          <w:rFonts w:asciiTheme="majorBidi" w:hAnsiTheme="majorBidi" w:cstheme="majorBidi"/>
          <w:b/>
          <w:bCs/>
          <w:i w:val="0"/>
          <w:iCs w:val="0"/>
          <w:noProof/>
          <w:sz w:val="20"/>
          <w:szCs w:val="20"/>
        </w:rPr>
        <w:t>47</w:t>
      </w:r>
      <w:r w:rsidRPr="0021430F">
        <w:rPr>
          <w:rFonts w:asciiTheme="majorBidi" w:hAnsiTheme="majorBidi" w:cstheme="majorBidi"/>
          <w:b/>
          <w:bCs/>
          <w:i w:val="0"/>
          <w:iCs w:val="0"/>
          <w:sz w:val="20"/>
          <w:szCs w:val="20"/>
        </w:rPr>
        <w:t xml:space="preserve"> Resistance development, amplification (δ)</w:t>
      </w:r>
      <w:bookmarkEnd w:id="865"/>
    </w:p>
    <w:p w14:paraId="4C2C6ECA" w14:textId="77777777" w:rsidR="0021430F" w:rsidRPr="0021430F" w:rsidRDefault="0021430F" w:rsidP="0021430F"/>
    <w:p w14:paraId="6DF4223C" w14:textId="77777777" w:rsidR="00AB4E6A" w:rsidRPr="00AB4E6A" w:rsidRDefault="00AB4E6A" w:rsidP="00AB4E6A">
      <w:pPr>
        <w:rPr>
          <w:rFonts w:asciiTheme="majorBidi" w:hAnsiTheme="majorBidi" w:cstheme="majorBidi"/>
          <w:lang w:val="en-US"/>
        </w:rPr>
      </w:pPr>
      <w:r w:rsidRPr="00AB4E6A">
        <w:rPr>
          <w:rFonts w:asciiTheme="majorBidi" w:hAnsiTheme="majorBidi" w:cstheme="majorBidi"/>
          <w:noProof/>
          <w:lang w:eastAsia="en-GB"/>
        </w:rPr>
        <w:drawing>
          <wp:inline distT="0" distB="0" distL="0" distR="0" wp14:anchorId="64F8F916" wp14:editId="5BA21D9F">
            <wp:extent cx="4143600" cy="4125600"/>
            <wp:effectExtent l="0" t="0" r="9525" b="8255"/>
            <wp:docPr id="153" name="image3.png" descr="Resistance development, amplification (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png" descr="Resistance development, amplification (δ)"/>
                    <pic:cNvPicPr/>
                  </pic:nvPicPr>
                  <pic:blipFill>
                    <a:blip r:embed="rId99" cstate="print"/>
                    <a:stretch>
                      <a:fillRect/>
                    </a:stretch>
                  </pic:blipFill>
                  <pic:spPr>
                    <a:xfrm>
                      <a:off x="0" y="0"/>
                      <a:ext cx="4143600" cy="4125600"/>
                    </a:xfrm>
                    <a:prstGeom prst="rect">
                      <a:avLst/>
                    </a:prstGeom>
                  </pic:spPr>
                </pic:pic>
              </a:graphicData>
            </a:graphic>
          </wp:inline>
        </w:drawing>
      </w:r>
    </w:p>
    <w:p w14:paraId="49D256F3" w14:textId="77777777" w:rsidR="00AB4E6A" w:rsidRPr="00AB4E6A" w:rsidRDefault="00AB4E6A" w:rsidP="00AB4E6A">
      <w:pPr>
        <w:rPr>
          <w:rFonts w:asciiTheme="majorBidi" w:hAnsiTheme="majorBidi" w:cstheme="majorBidi"/>
          <w:lang w:val="en-US"/>
        </w:rPr>
      </w:pPr>
    </w:p>
    <w:p w14:paraId="78448C93" w14:textId="77777777" w:rsidR="00E4115A" w:rsidRDefault="00E4115A" w:rsidP="00BE5092">
      <w:pPr>
        <w:rPr>
          <w:rFonts w:asciiTheme="majorBidi" w:hAnsiTheme="majorBidi" w:cstheme="majorBidi"/>
          <w:b/>
          <w:sz w:val="20"/>
          <w:szCs w:val="20"/>
          <w:lang w:val="it-IT"/>
        </w:rPr>
      </w:pPr>
      <w:bookmarkStart w:id="866" w:name="_Ref84420276"/>
    </w:p>
    <w:p w14:paraId="3EB3140A" w14:textId="77777777" w:rsidR="00E4115A" w:rsidRDefault="00E4115A" w:rsidP="00BE5092">
      <w:pPr>
        <w:rPr>
          <w:rFonts w:asciiTheme="majorBidi" w:hAnsiTheme="majorBidi" w:cstheme="majorBidi"/>
          <w:b/>
          <w:sz w:val="20"/>
          <w:szCs w:val="20"/>
          <w:lang w:val="it-IT"/>
        </w:rPr>
      </w:pPr>
    </w:p>
    <w:p w14:paraId="166538A7" w14:textId="77777777" w:rsidR="00E4115A" w:rsidRDefault="00E4115A" w:rsidP="00BE5092">
      <w:pPr>
        <w:rPr>
          <w:rFonts w:asciiTheme="majorBidi" w:hAnsiTheme="majorBidi" w:cstheme="majorBidi"/>
          <w:b/>
          <w:sz w:val="20"/>
          <w:szCs w:val="20"/>
          <w:lang w:val="it-IT"/>
        </w:rPr>
      </w:pPr>
    </w:p>
    <w:p w14:paraId="0DF79680" w14:textId="3E9E31AD" w:rsidR="00E4115A" w:rsidRDefault="00E4115A" w:rsidP="00BE5092">
      <w:pPr>
        <w:rPr>
          <w:rFonts w:asciiTheme="majorBidi" w:hAnsiTheme="majorBidi" w:cstheme="majorBidi"/>
          <w:b/>
          <w:sz w:val="20"/>
          <w:szCs w:val="20"/>
          <w:lang w:val="it-IT"/>
        </w:rPr>
      </w:pPr>
    </w:p>
    <w:p w14:paraId="55E490FD" w14:textId="18123080" w:rsidR="00E4115A" w:rsidRDefault="00E4115A" w:rsidP="00BE5092">
      <w:pPr>
        <w:rPr>
          <w:rFonts w:asciiTheme="majorBidi" w:hAnsiTheme="majorBidi" w:cstheme="majorBidi"/>
          <w:b/>
          <w:sz w:val="20"/>
          <w:szCs w:val="20"/>
          <w:lang w:val="it-IT"/>
        </w:rPr>
      </w:pPr>
    </w:p>
    <w:p w14:paraId="0CDB69CE" w14:textId="526E34D1" w:rsidR="00E4115A" w:rsidRDefault="00E4115A" w:rsidP="00BE5092">
      <w:pPr>
        <w:rPr>
          <w:rFonts w:asciiTheme="majorBidi" w:hAnsiTheme="majorBidi" w:cstheme="majorBidi"/>
          <w:b/>
          <w:sz w:val="20"/>
          <w:szCs w:val="20"/>
          <w:lang w:val="it-IT"/>
        </w:rPr>
      </w:pPr>
    </w:p>
    <w:p w14:paraId="68ED1887" w14:textId="2C91AB84" w:rsidR="00E4115A" w:rsidRDefault="00E4115A" w:rsidP="00BE5092">
      <w:pPr>
        <w:rPr>
          <w:rFonts w:asciiTheme="majorBidi" w:hAnsiTheme="majorBidi" w:cstheme="majorBidi"/>
          <w:b/>
          <w:sz w:val="20"/>
          <w:szCs w:val="20"/>
          <w:lang w:val="it-IT"/>
        </w:rPr>
      </w:pPr>
    </w:p>
    <w:p w14:paraId="6B6DAD29" w14:textId="2E33BB3E" w:rsidR="00E4115A" w:rsidRDefault="00E4115A" w:rsidP="00BE5092">
      <w:pPr>
        <w:rPr>
          <w:rFonts w:asciiTheme="majorBidi" w:hAnsiTheme="majorBidi" w:cstheme="majorBidi"/>
          <w:b/>
          <w:sz w:val="20"/>
          <w:szCs w:val="20"/>
          <w:lang w:val="it-IT"/>
        </w:rPr>
      </w:pPr>
    </w:p>
    <w:p w14:paraId="11A2F77E" w14:textId="1297E03D" w:rsidR="00E4115A" w:rsidRDefault="00E4115A" w:rsidP="00BE5092">
      <w:pPr>
        <w:rPr>
          <w:rFonts w:asciiTheme="majorBidi" w:hAnsiTheme="majorBidi" w:cstheme="majorBidi"/>
          <w:b/>
          <w:sz w:val="20"/>
          <w:szCs w:val="20"/>
          <w:lang w:val="it-IT"/>
        </w:rPr>
      </w:pPr>
    </w:p>
    <w:p w14:paraId="67822CB2" w14:textId="7FA2A9DA" w:rsidR="00E4115A" w:rsidRDefault="00E4115A" w:rsidP="00BE5092">
      <w:pPr>
        <w:rPr>
          <w:rFonts w:asciiTheme="majorBidi" w:hAnsiTheme="majorBidi" w:cstheme="majorBidi"/>
          <w:b/>
          <w:sz w:val="20"/>
          <w:szCs w:val="20"/>
          <w:lang w:val="it-IT"/>
        </w:rPr>
      </w:pPr>
    </w:p>
    <w:p w14:paraId="1E5B12CC" w14:textId="39972F46" w:rsidR="00E4115A" w:rsidRDefault="00E4115A" w:rsidP="00BE5092">
      <w:pPr>
        <w:rPr>
          <w:rFonts w:asciiTheme="majorBidi" w:hAnsiTheme="majorBidi" w:cstheme="majorBidi"/>
          <w:b/>
          <w:sz w:val="20"/>
          <w:szCs w:val="20"/>
          <w:lang w:val="it-IT"/>
        </w:rPr>
      </w:pPr>
    </w:p>
    <w:p w14:paraId="77FD63BF" w14:textId="79085FED" w:rsidR="00E4115A" w:rsidRDefault="00E4115A" w:rsidP="00BE5092">
      <w:pPr>
        <w:rPr>
          <w:rFonts w:asciiTheme="majorBidi" w:hAnsiTheme="majorBidi" w:cstheme="majorBidi"/>
          <w:b/>
          <w:sz w:val="20"/>
          <w:szCs w:val="20"/>
          <w:lang w:val="it-IT"/>
        </w:rPr>
      </w:pPr>
    </w:p>
    <w:p w14:paraId="51550666" w14:textId="3A16ED5E" w:rsidR="00E4115A" w:rsidRDefault="00E4115A" w:rsidP="00BE5092">
      <w:pPr>
        <w:rPr>
          <w:rFonts w:asciiTheme="majorBidi" w:hAnsiTheme="majorBidi" w:cstheme="majorBidi"/>
          <w:b/>
          <w:sz w:val="20"/>
          <w:szCs w:val="20"/>
          <w:lang w:val="it-IT"/>
        </w:rPr>
      </w:pPr>
    </w:p>
    <w:p w14:paraId="1C9D00D3" w14:textId="6431FAAA" w:rsidR="00E4115A" w:rsidRDefault="00E4115A" w:rsidP="00BE5092">
      <w:pPr>
        <w:rPr>
          <w:rFonts w:asciiTheme="majorBidi" w:hAnsiTheme="majorBidi" w:cstheme="majorBidi"/>
          <w:b/>
          <w:sz w:val="20"/>
          <w:szCs w:val="20"/>
          <w:lang w:val="it-IT"/>
        </w:rPr>
      </w:pPr>
    </w:p>
    <w:p w14:paraId="73C76D68" w14:textId="1527D0E3" w:rsidR="0021430F" w:rsidRPr="0021430F" w:rsidRDefault="0021430F" w:rsidP="0021430F">
      <w:pPr>
        <w:pStyle w:val="Caption"/>
        <w:rPr>
          <w:rFonts w:asciiTheme="majorBidi" w:hAnsiTheme="majorBidi" w:cstheme="majorBidi"/>
          <w:b/>
          <w:bCs/>
          <w:i w:val="0"/>
          <w:iCs w:val="0"/>
          <w:noProof/>
          <w:sz w:val="20"/>
          <w:szCs w:val="20"/>
          <w:lang w:eastAsia="zh-CN"/>
        </w:rPr>
      </w:pPr>
      <w:bookmarkStart w:id="867" w:name="_Toc86419093"/>
      <w:r w:rsidRPr="0021430F">
        <w:rPr>
          <w:rFonts w:asciiTheme="majorBidi" w:hAnsiTheme="majorBidi" w:cstheme="majorBidi"/>
          <w:b/>
          <w:bCs/>
          <w:i w:val="0"/>
          <w:iCs w:val="0"/>
          <w:sz w:val="20"/>
          <w:szCs w:val="20"/>
        </w:rPr>
        <w:lastRenderedPageBreak/>
        <w:t xml:space="preserve">Figure </w:t>
      </w:r>
      <w:r w:rsidRPr="0021430F">
        <w:rPr>
          <w:rFonts w:asciiTheme="majorBidi" w:hAnsiTheme="majorBidi" w:cstheme="majorBidi"/>
          <w:b/>
          <w:bCs/>
          <w:i w:val="0"/>
          <w:iCs w:val="0"/>
          <w:noProof/>
          <w:sz w:val="20"/>
          <w:szCs w:val="20"/>
        </w:rPr>
        <w:t>48</w:t>
      </w:r>
      <w:r w:rsidRPr="0021430F">
        <w:rPr>
          <w:rFonts w:asciiTheme="majorBidi" w:hAnsiTheme="majorBidi" w:cstheme="majorBidi"/>
          <w:b/>
          <w:bCs/>
          <w:i w:val="0"/>
          <w:iCs w:val="0"/>
          <w:sz w:val="20"/>
          <w:szCs w:val="20"/>
        </w:rPr>
        <w:t xml:space="preserve"> Resistance loss (σ)</w:t>
      </w:r>
      <w:bookmarkEnd w:id="867"/>
    </w:p>
    <w:p w14:paraId="3BD30D14" w14:textId="77777777" w:rsidR="0021430F" w:rsidRDefault="0021430F" w:rsidP="00BE5092">
      <w:pPr>
        <w:rPr>
          <w:rFonts w:asciiTheme="majorBidi" w:hAnsiTheme="majorBidi" w:cstheme="majorBidi"/>
          <w:noProof/>
          <w:lang w:eastAsia="zh-CN"/>
        </w:rPr>
      </w:pPr>
    </w:p>
    <w:p w14:paraId="371CBA47" w14:textId="7885B08D" w:rsidR="00AB4E6A" w:rsidRPr="0021430F" w:rsidRDefault="00E4115A" w:rsidP="00BE5092">
      <w:pPr>
        <w:rPr>
          <w:rFonts w:asciiTheme="majorBidi" w:hAnsiTheme="majorBidi" w:cstheme="majorBidi"/>
        </w:rPr>
      </w:pPr>
      <w:r w:rsidRPr="00AB4E6A">
        <w:rPr>
          <w:rFonts w:asciiTheme="majorBidi" w:hAnsiTheme="majorBidi" w:cstheme="majorBidi"/>
          <w:noProof/>
          <w:lang w:eastAsia="en-GB"/>
        </w:rPr>
        <w:drawing>
          <wp:inline distT="0" distB="0" distL="0" distR="0" wp14:anchorId="13ABC6E1" wp14:editId="1A15D15A">
            <wp:extent cx="4024630" cy="4267200"/>
            <wp:effectExtent l="0" t="0" r="0" b="0"/>
            <wp:docPr id="154" name="image4.png" descr="Resistance loss (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descr="Resistance loss (σ)"/>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024630" cy="4267200"/>
                    </a:xfrm>
                    <a:prstGeom prst="rect">
                      <a:avLst/>
                    </a:prstGeom>
                  </pic:spPr>
                </pic:pic>
              </a:graphicData>
            </a:graphic>
          </wp:inline>
        </w:drawing>
      </w:r>
      <w:bookmarkEnd w:id="866"/>
      <w:r w:rsidR="00AB4E6A" w:rsidRPr="0021430F">
        <w:rPr>
          <w:rFonts w:asciiTheme="majorBidi" w:hAnsiTheme="majorBidi" w:cstheme="majorBidi"/>
        </w:rPr>
        <w:br w:type="page"/>
      </w:r>
    </w:p>
    <w:p w14:paraId="6422FAA6" w14:textId="7D15826A" w:rsidR="00AB4E6A" w:rsidRPr="00097E31" w:rsidRDefault="0015769A" w:rsidP="008E6F0E">
      <w:pPr>
        <w:pStyle w:val="Heading2"/>
        <w:ind w:left="720" w:hanging="720"/>
        <w:jc w:val="both"/>
        <w:rPr>
          <w:sz w:val="32"/>
          <w:szCs w:val="32"/>
        </w:rPr>
      </w:pPr>
      <w:bookmarkStart w:id="868" w:name="_Toc87463151"/>
      <w:r w:rsidRPr="00097E31">
        <w:rPr>
          <w:sz w:val="32"/>
          <w:szCs w:val="32"/>
        </w:rPr>
        <w:lastRenderedPageBreak/>
        <w:t>Appendix 1</w:t>
      </w:r>
      <w:r w:rsidR="008E6F0E" w:rsidRPr="00097E31">
        <w:rPr>
          <w:sz w:val="32"/>
          <w:szCs w:val="32"/>
        </w:rPr>
        <w:t>7</w:t>
      </w:r>
      <w:r w:rsidR="00364012" w:rsidRPr="00097E31">
        <w:rPr>
          <w:sz w:val="32"/>
          <w:szCs w:val="32"/>
        </w:rPr>
        <w:t xml:space="preserve">: </w:t>
      </w:r>
      <w:r w:rsidR="00AB4E6A" w:rsidRPr="00097E31">
        <w:rPr>
          <w:sz w:val="32"/>
          <w:szCs w:val="32"/>
        </w:rPr>
        <w:t xml:space="preserve">Implementing the relationship between drug use and </w:t>
      </w:r>
      <w:r w:rsidR="00097E31">
        <w:rPr>
          <w:sz w:val="32"/>
          <w:szCs w:val="32"/>
        </w:rPr>
        <w:tab/>
      </w:r>
      <w:r w:rsidR="00097E31">
        <w:rPr>
          <w:sz w:val="32"/>
          <w:szCs w:val="32"/>
        </w:rPr>
        <w:tab/>
      </w:r>
      <w:r w:rsidR="00AB4E6A" w:rsidRPr="00097E31">
        <w:rPr>
          <w:sz w:val="32"/>
          <w:szCs w:val="32"/>
        </w:rPr>
        <w:t>resistance.</w:t>
      </w:r>
      <w:bookmarkEnd w:id="868"/>
    </w:p>
    <w:p w14:paraId="2CF6AFBC" w14:textId="77777777" w:rsidR="00AB4E6A" w:rsidRPr="00AB4E6A" w:rsidRDefault="00AB4E6A" w:rsidP="00AB4E6A">
      <w:pPr>
        <w:rPr>
          <w:rFonts w:asciiTheme="majorBidi" w:hAnsiTheme="majorBidi" w:cstheme="majorBidi"/>
        </w:rPr>
      </w:pPr>
    </w:p>
    <w:p w14:paraId="0EC09BB0" w14:textId="77777777" w:rsidR="00AB4E6A" w:rsidRPr="00AB4E6A" w:rsidRDefault="00AB4E6A" w:rsidP="002659E9">
      <w:pPr>
        <w:spacing w:line="360" w:lineRule="auto"/>
        <w:rPr>
          <w:rFonts w:asciiTheme="majorBidi" w:hAnsiTheme="majorBidi" w:cstheme="majorBidi"/>
        </w:rPr>
      </w:pPr>
      <w:r w:rsidRPr="00AB4E6A">
        <w:rPr>
          <w:rFonts w:asciiTheme="majorBidi" w:hAnsiTheme="majorBidi" w:cstheme="majorBidi"/>
        </w:rPr>
        <w:t>For illustration, this will use the estimated strong association value from the Escherichia coli analyses (coefficient of 10.11). The following steps were implemented:</w:t>
      </w:r>
    </w:p>
    <w:p w14:paraId="0E2160FE" w14:textId="2DCB9E55" w:rsidR="00AB4E6A" w:rsidRPr="00AB4E6A" w:rsidRDefault="00AB4E6A" w:rsidP="005A3BE6">
      <w:pPr>
        <w:numPr>
          <w:ilvl w:val="0"/>
          <w:numId w:val="83"/>
        </w:numPr>
        <w:spacing w:line="360" w:lineRule="auto"/>
        <w:rPr>
          <w:rFonts w:asciiTheme="majorBidi" w:hAnsiTheme="majorBidi" w:cstheme="majorBidi"/>
        </w:rPr>
      </w:pPr>
      <w:r w:rsidRPr="00AB4E6A">
        <w:rPr>
          <w:rFonts w:asciiTheme="majorBidi" w:hAnsiTheme="majorBidi" w:cstheme="majorBidi"/>
        </w:rPr>
        <w:t xml:space="preserve">Obtain estimates of the numbers treated per year with CAZ-AVI. The derivation of these estimates is described in Section </w:t>
      </w:r>
      <w:r w:rsidR="008D2A3F">
        <w:rPr>
          <w:rFonts w:asciiTheme="majorBidi" w:hAnsiTheme="majorBidi" w:cstheme="majorBidi"/>
        </w:rPr>
        <w:t>3.5.2.6</w:t>
      </w:r>
      <w:r w:rsidRPr="00AB4E6A">
        <w:rPr>
          <w:rFonts w:asciiTheme="majorBidi" w:hAnsiTheme="majorBidi" w:cstheme="majorBidi"/>
        </w:rPr>
        <w:t xml:space="preserve">. This was done separately for the two clinical sites of </w:t>
      </w:r>
      <w:proofErr w:type="spellStart"/>
      <w:r w:rsidRPr="00AB4E6A">
        <w:rPr>
          <w:rFonts w:asciiTheme="majorBidi" w:hAnsiTheme="majorBidi" w:cstheme="majorBidi"/>
        </w:rPr>
        <w:t>cUTI</w:t>
      </w:r>
      <w:proofErr w:type="spellEnd"/>
      <w:r w:rsidRPr="00AB4E6A">
        <w:rPr>
          <w:rFonts w:asciiTheme="majorBidi" w:hAnsiTheme="majorBidi" w:cstheme="majorBidi"/>
        </w:rPr>
        <w:t xml:space="preserve"> and HAP/VAP. To obtain an extreme estimate of the impact of AM use on resistance, it was assumed that these sites also included:</w:t>
      </w:r>
    </w:p>
    <w:p w14:paraId="3192B0A3" w14:textId="77777777" w:rsidR="00AB4E6A" w:rsidRPr="00AB4E6A" w:rsidRDefault="00AB4E6A" w:rsidP="005A3BE6">
      <w:pPr>
        <w:numPr>
          <w:ilvl w:val="1"/>
          <w:numId w:val="83"/>
        </w:numPr>
        <w:spacing w:line="360" w:lineRule="auto"/>
        <w:rPr>
          <w:rFonts w:asciiTheme="majorBidi" w:hAnsiTheme="majorBidi" w:cstheme="majorBidi"/>
        </w:rPr>
      </w:pPr>
      <w:r w:rsidRPr="00AB4E6A">
        <w:rPr>
          <w:rFonts w:asciiTheme="majorBidi" w:hAnsiTheme="majorBidi" w:cstheme="majorBidi"/>
        </w:rPr>
        <w:t xml:space="preserve">For </w:t>
      </w:r>
      <w:proofErr w:type="spellStart"/>
      <w:r w:rsidRPr="00AB4E6A">
        <w:rPr>
          <w:rFonts w:asciiTheme="majorBidi" w:hAnsiTheme="majorBidi" w:cstheme="majorBidi"/>
        </w:rPr>
        <w:t>cUTI</w:t>
      </w:r>
      <w:proofErr w:type="spellEnd"/>
      <w:r w:rsidRPr="00AB4E6A">
        <w:rPr>
          <w:rFonts w:asciiTheme="majorBidi" w:hAnsiTheme="majorBidi" w:cstheme="majorBidi"/>
        </w:rPr>
        <w:t>, IAI was also included.</w:t>
      </w:r>
    </w:p>
    <w:p w14:paraId="638F382D" w14:textId="77777777" w:rsidR="00AB4E6A" w:rsidRPr="00AB4E6A" w:rsidRDefault="00AB4E6A" w:rsidP="005A3BE6">
      <w:pPr>
        <w:numPr>
          <w:ilvl w:val="1"/>
          <w:numId w:val="83"/>
        </w:numPr>
        <w:spacing w:line="360" w:lineRule="auto"/>
        <w:rPr>
          <w:rFonts w:asciiTheme="majorBidi" w:hAnsiTheme="majorBidi" w:cstheme="majorBidi"/>
        </w:rPr>
      </w:pPr>
      <w:r w:rsidRPr="00AB4E6A">
        <w:rPr>
          <w:rFonts w:asciiTheme="majorBidi" w:hAnsiTheme="majorBidi" w:cstheme="majorBidi"/>
        </w:rPr>
        <w:t>For HAP/VAP, BSI was also included.</w:t>
      </w:r>
    </w:p>
    <w:p w14:paraId="0C7E513B" w14:textId="77777777" w:rsidR="00AB4E6A" w:rsidRPr="00AB4E6A" w:rsidRDefault="00AB4E6A" w:rsidP="005A3BE6">
      <w:pPr>
        <w:numPr>
          <w:ilvl w:val="0"/>
          <w:numId w:val="83"/>
        </w:numPr>
        <w:spacing w:line="360" w:lineRule="auto"/>
        <w:rPr>
          <w:rFonts w:asciiTheme="majorBidi" w:hAnsiTheme="majorBidi" w:cstheme="majorBidi"/>
        </w:rPr>
      </w:pPr>
      <w:r w:rsidRPr="00AB4E6A">
        <w:rPr>
          <w:rFonts w:asciiTheme="majorBidi" w:hAnsiTheme="majorBidi" w:cstheme="majorBidi"/>
        </w:rPr>
        <w:t xml:space="preserve">The impact of these assumptions </w:t>
      </w:r>
      <w:proofErr w:type="gramStart"/>
      <w:r w:rsidRPr="00AB4E6A">
        <w:rPr>
          <w:rFonts w:asciiTheme="majorBidi" w:hAnsiTheme="majorBidi" w:cstheme="majorBidi"/>
        </w:rPr>
        <w:t>were</w:t>
      </w:r>
      <w:proofErr w:type="gramEnd"/>
      <w:r w:rsidRPr="00AB4E6A">
        <w:rPr>
          <w:rFonts w:asciiTheme="majorBidi" w:hAnsiTheme="majorBidi" w:cstheme="majorBidi"/>
        </w:rPr>
        <w:t xml:space="preserve"> to concentrate all of the increase in resistance (due to use amongst a broad patient population) in the HVCS.</w:t>
      </w:r>
    </w:p>
    <w:p w14:paraId="64FEF1EA" w14:textId="29403D56" w:rsidR="00AB4E6A" w:rsidRPr="00AB4E6A" w:rsidRDefault="00B56603" w:rsidP="005A3BE6">
      <w:pPr>
        <w:numPr>
          <w:ilvl w:val="0"/>
          <w:numId w:val="83"/>
        </w:numPr>
        <w:spacing w:line="360" w:lineRule="auto"/>
        <w:rPr>
          <w:rFonts w:asciiTheme="majorBidi" w:hAnsiTheme="majorBidi" w:cstheme="majorBidi"/>
        </w:rPr>
      </w:pPr>
      <w:r>
        <w:rPr>
          <w:rFonts w:asciiTheme="majorBidi" w:hAnsiTheme="majorBidi" w:cstheme="majorBidi"/>
        </w:rPr>
        <w:t xml:space="preserve">Evidence on hospital </w:t>
      </w:r>
      <w:r w:rsidR="005B4EB8">
        <w:rPr>
          <w:rFonts w:ascii="Times New Roman" w:hAnsi="Times New Roman" w:cs="Times New Roman"/>
        </w:rPr>
        <w:t>LOS</w:t>
      </w:r>
      <w:r w:rsidRPr="00B56603">
        <w:rPr>
          <w:rFonts w:ascii="Times New Roman" w:hAnsi="Times New Roman" w:cs="Times New Roman"/>
        </w:rPr>
        <w:t xml:space="preserve"> was obtained from Table </w:t>
      </w:r>
      <w:r w:rsidRPr="00B56603">
        <w:rPr>
          <w:rFonts w:ascii="Times New Roman" w:hAnsi="Times New Roman" w:cs="Times New Roman"/>
          <w:noProof/>
        </w:rPr>
        <w:t>30</w:t>
      </w:r>
      <w:r w:rsidR="0015769A" w:rsidRPr="00B56603">
        <w:rPr>
          <w:rFonts w:ascii="Times New Roman" w:hAnsi="Times New Roman" w:cs="Times New Roman"/>
        </w:rPr>
        <w:t>.</w:t>
      </w:r>
    </w:p>
    <w:p w14:paraId="239381AA" w14:textId="77777777" w:rsidR="00AB4E6A" w:rsidRPr="00AB4E6A" w:rsidRDefault="00AB4E6A" w:rsidP="005A3BE6">
      <w:pPr>
        <w:numPr>
          <w:ilvl w:val="0"/>
          <w:numId w:val="83"/>
        </w:numPr>
        <w:spacing w:line="360" w:lineRule="auto"/>
        <w:rPr>
          <w:rFonts w:asciiTheme="majorBidi" w:hAnsiTheme="majorBidi" w:cstheme="majorBidi"/>
        </w:rPr>
      </w:pPr>
      <w:r w:rsidRPr="00AB4E6A">
        <w:rPr>
          <w:rFonts w:asciiTheme="majorBidi" w:hAnsiTheme="majorBidi" w:cstheme="majorBidi"/>
        </w:rPr>
        <w:t>It was assumed that multiplying the number of people treated by their duration of treatment and dividing by 365.25 would provide the defined daily doses per day. To support this assumption, the recommended indications for each AM in the British National Formulary (BNF) were compared with defined daily doses (DDDs) provided by the World Health Organization (WHO). The two were deemed to be sufficiently similar. For example, for colistin (</w:t>
      </w:r>
      <w:proofErr w:type="spellStart"/>
      <w:r w:rsidRPr="00AB4E6A">
        <w:rPr>
          <w:rFonts w:asciiTheme="majorBidi" w:hAnsiTheme="majorBidi" w:cstheme="majorBidi"/>
        </w:rPr>
        <w:t>colistimethate</w:t>
      </w:r>
      <w:proofErr w:type="spellEnd"/>
      <w:r w:rsidRPr="00AB4E6A">
        <w:rPr>
          <w:rFonts w:asciiTheme="majorBidi" w:hAnsiTheme="majorBidi" w:cstheme="majorBidi"/>
        </w:rPr>
        <w:t xml:space="preserve"> sodium) the BNF provides an indication of 9 million units daily by intravenous infusion for adults with “serious infections due to selected aerobic Gram-negative bacteria in patients with limited treatment options”. This is the same as the DDD for colistin provided by the WHO. Similarly, the BNF indication for tigecycline is 0.1g per day by intravenous infusion for “complicated intra-abdominal infections (when other antibiotics are not suitable)”. This is again the same as the WHO DDD.</w:t>
      </w:r>
    </w:p>
    <w:p w14:paraId="6CE2208F" w14:textId="77777777" w:rsidR="00AB4E6A" w:rsidRPr="00AB4E6A" w:rsidRDefault="00AB4E6A" w:rsidP="005A3BE6">
      <w:pPr>
        <w:numPr>
          <w:ilvl w:val="0"/>
          <w:numId w:val="83"/>
        </w:numPr>
        <w:spacing w:line="360" w:lineRule="auto"/>
        <w:rPr>
          <w:rFonts w:asciiTheme="majorBidi" w:hAnsiTheme="majorBidi" w:cstheme="majorBidi"/>
        </w:rPr>
      </w:pPr>
      <w:r w:rsidRPr="00AB4E6A">
        <w:rPr>
          <w:rFonts w:asciiTheme="majorBidi" w:hAnsiTheme="majorBidi" w:cstheme="majorBidi"/>
        </w:rPr>
        <w:t xml:space="preserve">This value was then multiplied by 1,000 and divided by the Office for National Statistics' Mid-Year Population Estimate for the United Kingdom (June 2020). The value for the entire population was used (67,081,234) for consistency with the definition of AM use provided by ESAC-Net. </w:t>
      </w:r>
    </w:p>
    <w:p w14:paraId="3A080AEE" w14:textId="2CF740DE" w:rsidR="00AB4E6A" w:rsidRPr="00AB4E6A" w:rsidRDefault="00AB4E6A" w:rsidP="005A3BE6">
      <w:pPr>
        <w:numPr>
          <w:ilvl w:val="0"/>
          <w:numId w:val="83"/>
        </w:numPr>
        <w:spacing w:line="360" w:lineRule="auto"/>
        <w:rPr>
          <w:rFonts w:asciiTheme="majorBidi" w:hAnsiTheme="majorBidi" w:cstheme="majorBidi"/>
        </w:rPr>
      </w:pPr>
      <w:r w:rsidRPr="00AB4E6A">
        <w:rPr>
          <w:rFonts w:asciiTheme="majorBidi" w:hAnsiTheme="majorBidi" w:cstheme="majorBidi"/>
        </w:rPr>
        <w:t xml:space="preserve">The year-on-year increase in resistance was calculated by </w:t>
      </w:r>
      <w:proofErr w:type="spellStart"/>
      <w:r w:rsidRPr="00AB4E6A">
        <w:rPr>
          <w:rFonts w:asciiTheme="majorBidi" w:hAnsiTheme="majorBidi" w:cstheme="majorBidi"/>
        </w:rPr>
        <w:t>mutlipling</w:t>
      </w:r>
      <w:proofErr w:type="spellEnd"/>
      <w:r w:rsidRPr="00AB4E6A">
        <w:rPr>
          <w:rFonts w:asciiTheme="majorBidi" w:hAnsiTheme="majorBidi" w:cstheme="majorBidi"/>
        </w:rPr>
        <w:t xml:space="preserve"> the year-on-year increase in AM use (DDD per 1,000 inhabitants) by the coefficient of 10.11. This provided the absolute increase in resistance. It was assumed that to begin with there was no use of CAZ-AVI. This will </w:t>
      </w:r>
      <w:r w:rsidRPr="00AB4E6A">
        <w:rPr>
          <w:rFonts w:asciiTheme="majorBidi" w:hAnsiTheme="majorBidi" w:cstheme="majorBidi"/>
        </w:rPr>
        <w:lastRenderedPageBreak/>
        <w:t>be a slight under-estimate and hence the subsequent increase in resistance will be a slight over-estimate.</w:t>
      </w:r>
    </w:p>
    <w:p w14:paraId="61982566" w14:textId="77777777" w:rsidR="00AB4E6A" w:rsidRPr="00AB4E6A" w:rsidRDefault="00AB4E6A" w:rsidP="002659E9">
      <w:pPr>
        <w:spacing w:line="360" w:lineRule="auto"/>
        <w:rPr>
          <w:rFonts w:asciiTheme="majorBidi" w:hAnsiTheme="majorBidi" w:cstheme="majorBidi"/>
        </w:rPr>
      </w:pPr>
    </w:p>
    <w:p w14:paraId="24DFAB33" w14:textId="271CBE60" w:rsidR="00AB4E6A" w:rsidRPr="00AB4E6A" w:rsidRDefault="00AB4E6A" w:rsidP="002659E9">
      <w:pPr>
        <w:spacing w:line="360" w:lineRule="auto"/>
        <w:rPr>
          <w:rFonts w:asciiTheme="majorBidi" w:hAnsiTheme="majorBidi" w:cstheme="majorBidi"/>
        </w:rPr>
      </w:pPr>
      <w:r w:rsidRPr="00AB4E6A">
        <w:rPr>
          <w:rFonts w:asciiTheme="majorBidi" w:hAnsiTheme="majorBidi" w:cstheme="majorBidi"/>
        </w:rPr>
        <w:t>This approach led to estimated very small increases in resistance: over 20 years the resistance to CAZ-AVI l increased by 0.</w:t>
      </w:r>
      <w:r w:rsidR="00BC05FD">
        <w:rPr>
          <w:rFonts w:asciiTheme="majorBidi" w:hAnsiTheme="majorBidi" w:cstheme="majorBidi"/>
        </w:rPr>
        <w:t>03</w:t>
      </w:r>
      <w:r w:rsidRPr="00AB4E6A">
        <w:rPr>
          <w:rFonts w:asciiTheme="majorBidi" w:hAnsiTheme="majorBidi" w:cstheme="majorBidi"/>
        </w:rPr>
        <w:t xml:space="preserve">%. Hence alternative scenarios were considered to explore more extreme increases in resistance over time. An exploratory analysis used the same surveillance data (used to estimate the relationship between AM use and resistance) to inform absolute rates of change in susceptibility over time. This was motivated by noting that there are several potential drivers for AM resistance beyond AM use. For each country a linear regression was fit with resistance level as the outcome (range 0 to 100) and time in years as the independent variable. The statistical significance of the trend coefficient was used to identify countries for which there was a significant increase in resistance over time during the period for which data was available. Statistical significance was originally taken to be a p-value of less than 0.05. Of these significant associations, the most extreme (largest trend coefficient) was used to represent an extreme scenario of growth in susceptibility. For the Escherichia coli cephalosporins, </w:t>
      </w:r>
      <w:proofErr w:type="gramStart"/>
      <w:r w:rsidRPr="00AB4E6A">
        <w:rPr>
          <w:rFonts w:asciiTheme="majorBidi" w:hAnsiTheme="majorBidi" w:cstheme="majorBidi"/>
        </w:rPr>
        <w:t>all of</w:t>
      </w:r>
      <w:proofErr w:type="gramEnd"/>
      <w:r w:rsidRPr="00AB4E6A">
        <w:rPr>
          <w:rFonts w:asciiTheme="majorBidi" w:hAnsiTheme="majorBidi" w:cstheme="majorBidi"/>
        </w:rPr>
        <w:t xml:space="preserve"> the regressions were statistically significant, with trend coefficients ranging </w:t>
      </w:r>
      <w:proofErr w:type="spellStart"/>
      <w:r w:rsidRPr="00AB4E6A">
        <w:rPr>
          <w:rFonts w:asciiTheme="majorBidi" w:hAnsiTheme="majorBidi" w:cstheme="majorBidi"/>
        </w:rPr>
        <w:t>form</w:t>
      </w:r>
      <w:proofErr w:type="spellEnd"/>
      <w:r w:rsidRPr="00AB4E6A">
        <w:rPr>
          <w:rFonts w:asciiTheme="majorBidi" w:hAnsiTheme="majorBidi" w:cstheme="majorBidi"/>
        </w:rPr>
        <w:t xml:space="preserve"> 0.41 (Malta) to 1.65 (Bulgaria). The only significant positive association for the Escherichia coli carbapenems was for Greece (0.04). Hence, for the CPE analyses an increase in resistance of 1.65% per year was used.</w:t>
      </w:r>
    </w:p>
    <w:p w14:paraId="33B781A5" w14:textId="752DE8D0" w:rsidR="00AB4E6A" w:rsidRPr="00AB4E6A" w:rsidRDefault="00AB4E6A" w:rsidP="002659E9">
      <w:pPr>
        <w:spacing w:line="360" w:lineRule="auto"/>
        <w:rPr>
          <w:rFonts w:asciiTheme="majorBidi" w:hAnsiTheme="majorBidi" w:cstheme="majorBidi"/>
        </w:rPr>
      </w:pPr>
      <w:r w:rsidRPr="00AB4E6A">
        <w:rPr>
          <w:rFonts w:asciiTheme="majorBidi" w:hAnsiTheme="majorBidi" w:cstheme="majorBidi"/>
        </w:rPr>
        <w:t>Employing this absolute increase led to an absolute twenty-year i</w:t>
      </w:r>
      <w:r w:rsidR="0015769A">
        <w:rPr>
          <w:rFonts w:asciiTheme="majorBidi" w:hAnsiTheme="majorBidi" w:cstheme="majorBidi"/>
        </w:rPr>
        <w:t xml:space="preserve">ncrease in resistance of 33.07%. </w:t>
      </w:r>
      <w:r w:rsidRPr="00AB4E6A">
        <w:rPr>
          <w:rFonts w:asciiTheme="majorBidi" w:hAnsiTheme="majorBidi" w:cstheme="majorBidi"/>
        </w:rPr>
        <w:t xml:space="preserve"> The second largest increase over 20 years was 19% for Greece. As a result, a twenty-year increase of 30% was viewed to represent the most extreme possible increase in resistance. </w:t>
      </w:r>
      <w:proofErr w:type="gramStart"/>
      <w:r w:rsidRPr="00AB4E6A">
        <w:rPr>
          <w:rFonts w:asciiTheme="majorBidi" w:hAnsiTheme="majorBidi" w:cstheme="majorBidi"/>
        </w:rPr>
        <w:t>Hence</w:t>
      </w:r>
      <w:proofErr w:type="gramEnd"/>
      <w:r w:rsidRPr="00AB4E6A">
        <w:rPr>
          <w:rFonts w:asciiTheme="majorBidi" w:hAnsiTheme="majorBidi" w:cstheme="majorBidi"/>
        </w:rPr>
        <w:t xml:space="preserve"> we considered scenarios in which the twenty-year increase in resistance to CAZ-AVI was 1%, 5%, 10%, and 30%.</w:t>
      </w:r>
    </w:p>
    <w:p w14:paraId="21F560AC" w14:textId="77777777" w:rsidR="00AB4E6A" w:rsidRPr="00AB4E6A" w:rsidRDefault="00AB4E6A" w:rsidP="002659E9">
      <w:pPr>
        <w:spacing w:line="360" w:lineRule="auto"/>
        <w:rPr>
          <w:rFonts w:asciiTheme="majorBidi" w:hAnsiTheme="majorBidi" w:cstheme="majorBidi"/>
        </w:rPr>
      </w:pPr>
    </w:p>
    <w:p w14:paraId="5D8A7622" w14:textId="77777777" w:rsidR="00AB4E6A" w:rsidRPr="00AB4E6A" w:rsidRDefault="00AB4E6A" w:rsidP="002659E9">
      <w:pPr>
        <w:spacing w:line="360" w:lineRule="auto"/>
        <w:rPr>
          <w:rFonts w:asciiTheme="majorBidi" w:hAnsiTheme="majorBidi" w:cstheme="majorBidi"/>
        </w:rPr>
      </w:pPr>
    </w:p>
    <w:p w14:paraId="23E2D36A" w14:textId="77777777" w:rsidR="00AB4E6A" w:rsidRPr="00AB4E6A" w:rsidRDefault="00AB4E6A" w:rsidP="002659E9">
      <w:pPr>
        <w:spacing w:line="360" w:lineRule="auto"/>
        <w:rPr>
          <w:rFonts w:asciiTheme="majorBidi" w:hAnsiTheme="majorBidi" w:cstheme="majorBidi"/>
        </w:rPr>
      </w:pPr>
      <w:r w:rsidRPr="00AB4E6A">
        <w:rPr>
          <w:rFonts w:asciiTheme="majorBidi" w:hAnsiTheme="majorBidi" w:cstheme="majorBidi"/>
        </w:rPr>
        <w:br w:type="page"/>
      </w:r>
    </w:p>
    <w:p w14:paraId="4FD553E9" w14:textId="7BEAAF33" w:rsidR="00AB4E6A" w:rsidRPr="00097E31" w:rsidRDefault="00F16893" w:rsidP="00F16893">
      <w:pPr>
        <w:pStyle w:val="Heading2"/>
        <w:ind w:left="720" w:hanging="720"/>
        <w:jc w:val="both"/>
        <w:rPr>
          <w:sz w:val="32"/>
          <w:szCs w:val="32"/>
        </w:rPr>
      </w:pPr>
      <w:bookmarkStart w:id="869" w:name="_Toc87463152"/>
      <w:r w:rsidRPr="00097E31">
        <w:rPr>
          <w:sz w:val="32"/>
          <w:szCs w:val="32"/>
        </w:rPr>
        <w:lastRenderedPageBreak/>
        <w:t xml:space="preserve">Appendix 18: </w:t>
      </w:r>
      <w:r w:rsidR="00AB4E6A" w:rsidRPr="00097E31">
        <w:rPr>
          <w:sz w:val="32"/>
          <w:szCs w:val="32"/>
        </w:rPr>
        <w:t xml:space="preserve">Plots of antimicrobial resistance over time: </w:t>
      </w:r>
      <w:proofErr w:type="gramStart"/>
      <w:r w:rsidR="00AB4E6A" w:rsidRPr="00097E31">
        <w:rPr>
          <w:sz w:val="32"/>
          <w:szCs w:val="32"/>
        </w:rPr>
        <w:t xml:space="preserve">Public </w:t>
      </w:r>
      <w:r w:rsidR="00097E31">
        <w:rPr>
          <w:sz w:val="32"/>
          <w:szCs w:val="32"/>
        </w:rPr>
        <w:t xml:space="preserve"> </w:t>
      </w:r>
      <w:r w:rsidR="00097E31">
        <w:rPr>
          <w:sz w:val="32"/>
          <w:szCs w:val="32"/>
        </w:rPr>
        <w:tab/>
      </w:r>
      <w:proofErr w:type="gramEnd"/>
      <w:r w:rsidR="00097E31">
        <w:rPr>
          <w:sz w:val="32"/>
          <w:szCs w:val="32"/>
        </w:rPr>
        <w:tab/>
      </w:r>
      <w:r w:rsidR="00AB4E6A" w:rsidRPr="00097E31">
        <w:rPr>
          <w:sz w:val="32"/>
          <w:szCs w:val="32"/>
        </w:rPr>
        <w:t>Health England data.</w:t>
      </w:r>
      <w:bookmarkEnd w:id="869"/>
    </w:p>
    <w:p w14:paraId="4600F9A5"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311F2D1E" wp14:editId="433A5499">
            <wp:extent cx="2815200" cy="2012400"/>
            <wp:effectExtent l="0" t="0" r="4445" b="6985"/>
            <wp:docPr id="155" name="Picture 155" descr="Plots of antimicrobial resistance over time: Public Health England data.&#10;OXA-48: Aminoglyco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lots of antimicrobial resistance over time: Public Health England data.&#10;OXA-48: Aminoglycosides."/>
                    <pic:cNvPicPr/>
                  </pic:nvPicPr>
                  <pic:blipFill>
                    <a:blip r:embed="rId101"/>
                    <a:stretch>
                      <a:fillRect/>
                    </a:stretch>
                  </pic:blipFill>
                  <pic:spPr>
                    <a:xfrm>
                      <a:off x="0" y="0"/>
                      <a:ext cx="2815200" cy="2012400"/>
                    </a:xfrm>
                    <a:prstGeom prst="rect">
                      <a:avLst/>
                    </a:prstGeom>
                  </pic:spPr>
                </pic:pic>
              </a:graphicData>
            </a:graphic>
          </wp:inline>
        </w:drawing>
      </w:r>
      <w:r w:rsidRPr="00AB4E6A">
        <w:rPr>
          <w:rFonts w:asciiTheme="majorBidi" w:hAnsiTheme="majorBidi" w:cstheme="majorBidi"/>
        </w:rPr>
        <w:t xml:space="preserve">  </w:t>
      </w:r>
      <w:r w:rsidRPr="00AB4E6A">
        <w:rPr>
          <w:rFonts w:asciiTheme="majorBidi" w:hAnsiTheme="majorBidi" w:cstheme="majorBidi"/>
          <w:noProof/>
          <w:lang w:eastAsia="en-GB"/>
        </w:rPr>
        <w:drawing>
          <wp:inline distT="0" distB="0" distL="0" distR="0" wp14:anchorId="2A39C85B" wp14:editId="582DC14C">
            <wp:extent cx="2818800" cy="2012400"/>
            <wp:effectExtent l="0" t="0" r="635" b="6985"/>
            <wp:docPr id="156" name="Picture 156" descr="Plots of antimicrobial resistance over time: Public Health England data.&#10;OXA-48: Aztreo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lots of antimicrobial resistance over time: Public Health England data.&#10;OXA-48: Aztreonam."/>
                    <pic:cNvPicPr/>
                  </pic:nvPicPr>
                  <pic:blipFill>
                    <a:blip r:embed="rId102"/>
                    <a:stretch>
                      <a:fillRect/>
                    </a:stretch>
                  </pic:blipFill>
                  <pic:spPr>
                    <a:xfrm>
                      <a:off x="0" y="0"/>
                      <a:ext cx="2818800" cy="2012400"/>
                    </a:xfrm>
                    <a:prstGeom prst="rect">
                      <a:avLst/>
                    </a:prstGeom>
                  </pic:spPr>
                </pic:pic>
              </a:graphicData>
            </a:graphic>
          </wp:inline>
        </w:drawing>
      </w:r>
    </w:p>
    <w:p w14:paraId="2E760D47"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651D9832" wp14:editId="610865C3">
            <wp:extent cx="2833200" cy="2023200"/>
            <wp:effectExtent l="0" t="0" r="5715" b="0"/>
            <wp:docPr id="157" name="Picture 157" descr="Plots of antimicrobial resistance over time: Public Health England data.&#10;OXA-48: Cephalospo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lots of antimicrobial resistance over time: Public Health England data.&#10;OXA-48: Cephalosporins."/>
                    <pic:cNvPicPr/>
                  </pic:nvPicPr>
                  <pic:blipFill>
                    <a:blip r:embed="rId103"/>
                    <a:stretch>
                      <a:fillRect/>
                    </a:stretch>
                  </pic:blipFill>
                  <pic:spPr>
                    <a:xfrm>
                      <a:off x="0" y="0"/>
                      <a:ext cx="2833200" cy="2023200"/>
                    </a:xfrm>
                    <a:prstGeom prst="rect">
                      <a:avLst/>
                    </a:prstGeom>
                  </pic:spPr>
                </pic:pic>
              </a:graphicData>
            </a:graphic>
          </wp:inline>
        </w:drawing>
      </w:r>
      <w:r w:rsidRPr="00AB4E6A">
        <w:rPr>
          <w:rFonts w:asciiTheme="majorBidi" w:hAnsiTheme="majorBidi" w:cstheme="majorBidi"/>
        </w:rPr>
        <w:t xml:space="preserve"> </w:t>
      </w:r>
      <w:r w:rsidRPr="00AB4E6A">
        <w:rPr>
          <w:rFonts w:asciiTheme="majorBidi" w:hAnsiTheme="majorBidi" w:cstheme="majorBidi"/>
          <w:noProof/>
          <w:lang w:eastAsia="en-GB"/>
        </w:rPr>
        <w:drawing>
          <wp:inline distT="0" distB="0" distL="0" distR="0" wp14:anchorId="218CC7A2" wp14:editId="5DC7E639">
            <wp:extent cx="2833200" cy="2023200"/>
            <wp:effectExtent l="0" t="0" r="5715" b="0"/>
            <wp:docPr id="158" name="Picture 158" descr="Plots of antimicrobial resistance over time: Public Health England data.&#10;OXA-48: Ciproflox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lots of antimicrobial resistance over time: Public Health England data.&#10;OXA-48: Ciprofloxacin."/>
                    <pic:cNvPicPr/>
                  </pic:nvPicPr>
                  <pic:blipFill>
                    <a:blip r:embed="rId104"/>
                    <a:stretch>
                      <a:fillRect/>
                    </a:stretch>
                  </pic:blipFill>
                  <pic:spPr>
                    <a:xfrm>
                      <a:off x="0" y="0"/>
                      <a:ext cx="2833200" cy="2023200"/>
                    </a:xfrm>
                    <a:prstGeom prst="rect">
                      <a:avLst/>
                    </a:prstGeom>
                  </pic:spPr>
                </pic:pic>
              </a:graphicData>
            </a:graphic>
          </wp:inline>
        </w:drawing>
      </w:r>
    </w:p>
    <w:p w14:paraId="01E82A93"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36EBD899" wp14:editId="57DFCF6F">
            <wp:extent cx="2847600" cy="2034000"/>
            <wp:effectExtent l="0" t="0" r="0" b="4445"/>
            <wp:docPr id="159" name="Picture 159" descr="Plots of antimicrobial resistance over time: Public Health England data.&#10;OXA-48: Co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lots of antimicrobial resistance over time: Public Health England data.&#10;OXA-48: Colistin."/>
                    <pic:cNvPicPr/>
                  </pic:nvPicPr>
                  <pic:blipFill>
                    <a:blip r:embed="rId105"/>
                    <a:stretch>
                      <a:fillRect/>
                    </a:stretch>
                  </pic:blipFill>
                  <pic:spPr>
                    <a:xfrm>
                      <a:off x="0" y="0"/>
                      <a:ext cx="2847600" cy="2034000"/>
                    </a:xfrm>
                    <a:prstGeom prst="rect">
                      <a:avLst/>
                    </a:prstGeom>
                  </pic:spPr>
                </pic:pic>
              </a:graphicData>
            </a:graphic>
          </wp:inline>
        </w:drawing>
      </w:r>
      <w:r w:rsidRPr="00AB4E6A">
        <w:rPr>
          <w:rFonts w:asciiTheme="majorBidi" w:hAnsiTheme="majorBidi" w:cstheme="majorBidi"/>
        </w:rPr>
        <w:t xml:space="preserve"> </w:t>
      </w:r>
      <w:r w:rsidRPr="00AB4E6A">
        <w:rPr>
          <w:rFonts w:asciiTheme="majorBidi" w:hAnsiTheme="majorBidi" w:cstheme="majorBidi"/>
          <w:noProof/>
          <w:lang w:eastAsia="en-GB"/>
        </w:rPr>
        <w:drawing>
          <wp:inline distT="0" distB="0" distL="0" distR="0" wp14:anchorId="2BD22957" wp14:editId="699DF075">
            <wp:extent cx="2833200" cy="2023200"/>
            <wp:effectExtent l="0" t="0" r="5715" b="0"/>
            <wp:docPr id="160" name="Picture 160" descr="Plots of antimicrobial resistance over time: Public Health England data.&#10;OXA-48: Tigecy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lots of antimicrobial resistance over time: Public Health England data.&#10;OXA-48: Tigecycline."/>
                    <pic:cNvPicPr/>
                  </pic:nvPicPr>
                  <pic:blipFill>
                    <a:blip r:embed="rId106"/>
                    <a:stretch>
                      <a:fillRect/>
                    </a:stretch>
                  </pic:blipFill>
                  <pic:spPr>
                    <a:xfrm>
                      <a:off x="0" y="0"/>
                      <a:ext cx="2833200" cy="2023200"/>
                    </a:xfrm>
                    <a:prstGeom prst="rect">
                      <a:avLst/>
                    </a:prstGeom>
                  </pic:spPr>
                </pic:pic>
              </a:graphicData>
            </a:graphic>
          </wp:inline>
        </w:drawing>
      </w:r>
    </w:p>
    <w:p w14:paraId="42B5EB58"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6F9EB031" wp14:editId="1D118059">
            <wp:extent cx="2833200" cy="2023200"/>
            <wp:effectExtent l="0" t="0" r="5715" b="0"/>
            <wp:docPr id="161" name="Picture 161" descr="Plots of antimicrobial resistance over time: Public Health England data.&#10;OXA-48: Tigecy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lots of antimicrobial resistance over time: Public Health England data.&#10;OXA-48: Tigecycline."/>
                    <pic:cNvPicPr/>
                  </pic:nvPicPr>
                  <pic:blipFill>
                    <a:blip r:embed="rId106"/>
                    <a:stretch>
                      <a:fillRect/>
                    </a:stretch>
                  </pic:blipFill>
                  <pic:spPr>
                    <a:xfrm>
                      <a:off x="0" y="0"/>
                      <a:ext cx="2833200" cy="2023200"/>
                    </a:xfrm>
                    <a:prstGeom prst="rect">
                      <a:avLst/>
                    </a:prstGeom>
                  </pic:spPr>
                </pic:pic>
              </a:graphicData>
            </a:graphic>
          </wp:inline>
        </w:drawing>
      </w:r>
    </w:p>
    <w:p w14:paraId="4A6F1CD8" w14:textId="26CA1147" w:rsidR="00AB4E6A" w:rsidRPr="00AB4E6A" w:rsidRDefault="00AB4E6A" w:rsidP="00AB4E6A">
      <w:pPr>
        <w:rPr>
          <w:rFonts w:asciiTheme="majorBidi" w:hAnsiTheme="majorBidi" w:cstheme="majorBidi"/>
        </w:rPr>
      </w:pPr>
    </w:p>
    <w:p w14:paraId="23B2697B" w14:textId="153D6CBE" w:rsidR="00AB4E6A" w:rsidRPr="00AB4E6A" w:rsidRDefault="00AB4E6A" w:rsidP="00AB4E6A">
      <w:pPr>
        <w:rPr>
          <w:rFonts w:asciiTheme="majorBidi" w:hAnsiTheme="majorBidi" w:cstheme="majorBidi"/>
        </w:rPr>
      </w:pPr>
      <w:r w:rsidRPr="00AB4E6A">
        <w:rPr>
          <w:rFonts w:asciiTheme="majorBidi" w:hAnsiTheme="majorBidi" w:cstheme="majorBidi"/>
        </w:rPr>
        <w:t xml:space="preserve"> </w:t>
      </w:r>
    </w:p>
    <w:p w14:paraId="5761CEB1" w14:textId="4FC8D7C2" w:rsidR="00AB4E6A" w:rsidRPr="00097E31" w:rsidRDefault="00F16893" w:rsidP="00F16893">
      <w:pPr>
        <w:pStyle w:val="Heading2"/>
        <w:ind w:left="720" w:hanging="720"/>
        <w:jc w:val="both"/>
        <w:rPr>
          <w:sz w:val="32"/>
          <w:szCs w:val="32"/>
        </w:rPr>
      </w:pPr>
      <w:bookmarkStart w:id="870" w:name="_Toc87463153"/>
      <w:r w:rsidRPr="00097E31">
        <w:rPr>
          <w:sz w:val="32"/>
          <w:szCs w:val="32"/>
        </w:rPr>
        <w:t>Appendix 19:</w:t>
      </w:r>
      <w:r w:rsidR="00B836C4" w:rsidRPr="00097E31">
        <w:rPr>
          <w:sz w:val="32"/>
          <w:szCs w:val="32"/>
        </w:rPr>
        <w:t xml:space="preserve"> </w:t>
      </w:r>
      <w:r w:rsidR="00AB4E6A" w:rsidRPr="00097E31">
        <w:rPr>
          <w:sz w:val="32"/>
          <w:szCs w:val="32"/>
        </w:rPr>
        <w:t xml:space="preserve">Plots of antimicrobial resistance over time: </w:t>
      </w:r>
      <w:r w:rsidR="00097E31">
        <w:rPr>
          <w:sz w:val="32"/>
          <w:szCs w:val="32"/>
        </w:rPr>
        <w:tab/>
      </w:r>
      <w:r w:rsidR="00097E31">
        <w:rPr>
          <w:sz w:val="32"/>
          <w:szCs w:val="32"/>
        </w:rPr>
        <w:tab/>
      </w:r>
      <w:r w:rsidR="00AB4E6A" w:rsidRPr="00097E31">
        <w:rPr>
          <w:sz w:val="32"/>
          <w:szCs w:val="32"/>
        </w:rPr>
        <w:t>surveillance data.</w:t>
      </w:r>
      <w:bookmarkEnd w:id="870"/>
    </w:p>
    <w:p w14:paraId="5E434473"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46919207" wp14:editId="05AE5278">
            <wp:extent cx="4800600" cy="3429000"/>
            <wp:effectExtent l="0" t="0" r="0" b="0"/>
            <wp:docPr id="166" name="Picture 166" descr="Antimicrobial resistance plots: resistance and usage displayed over time.&#10;Escherichia coll carbapenems -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ntimicrobial resistance plots: resistance and usage displayed over time.&#10;Escherichia coll carbapenems -  France."/>
                    <pic:cNvPicPr/>
                  </pic:nvPicPr>
                  <pic:blipFill>
                    <a:blip r:embed="rId107"/>
                    <a:stretch>
                      <a:fillRect/>
                    </a:stretch>
                  </pic:blipFill>
                  <pic:spPr>
                    <a:xfrm>
                      <a:off x="0" y="0"/>
                      <a:ext cx="4800600" cy="3429000"/>
                    </a:xfrm>
                    <a:prstGeom prst="rect">
                      <a:avLst/>
                    </a:prstGeom>
                  </pic:spPr>
                </pic:pic>
              </a:graphicData>
            </a:graphic>
          </wp:inline>
        </w:drawing>
      </w:r>
    </w:p>
    <w:p w14:paraId="55A5DC0C"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50DFD490" wp14:editId="31DFBD99">
            <wp:extent cx="4800600" cy="3429000"/>
            <wp:effectExtent l="0" t="0" r="0" b="0"/>
            <wp:docPr id="167" name="Picture 167" descr="Antimicrobial resistance plots: resistance and usage displayed over time.&#10;Escherichia coll carbapenems -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ntimicrobial resistance plots: resistance and usage displayed over time.&#10;Escherichia coll carbapenems -  Greece."/>
                    <pic:cNvPicPr/>
                  </pic:nvPicPr>
                  <pic:blipFill>
                    <a:blip r:embed="rId108"/>
                    <a:stretch>
                      <a:fillRect/>
                    </a:stretch>
                  </pic:blipFill>
                  <pic:spPr>
                    <a:xfrm>
                      <a:off x="0" y="0"/>
                      <a:ext cx="4800600" cy="3429000"/>
                    </a:xfrm>
                    <a:prstGeom prst="rect">
                      <a:avLst/>
                    </a:prstGeom>
                  </pic:spPr>
                </pic:pic>
              </a:graphicData>
            </a:graphic>
          </wp:inline>
        </w:drawing>
      </w:r>
    </w:p>
    <w:p w14:paraId="56F7A441"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7EF90A86" wp14:editId="64D6DBED">
            <wp:extent cx="4800600" cy="3429000"/>
            <wp:effectExtent l="0" t="0" r="0" b="0"/>
            <wp:docPr id="168" name="Picture 168" descr="Antimicrobial resistance plots: resistance and usage displayed over time.&#10;Escherichia coll carbapenems -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ntimicrobial resistance plots: resistance and usage displayed over time.&#10;Escherichia coll carbapenems -  Netherlands."/>
                    <pic:cNvPicPr/>
                  </pic:nvPicPr>
                  <pic:blipFill>
                    <a:blip r:embed="rId109"/>
                    <a:stretch>
                      <a:fillRect/>
                    </a:stretch>
                  </pic:blipFill>
                  <pic:spPr>
                    <a:xfrm>
                      <a:off x="0" y="0"/>
                      <a:ext cx="4800600" cy="3429000"/>
                    </a:xfrm>
                    <a:prstGeom prst="rect">
                      <a:avLst/>
                    </a:prstGeom>
                  </pic:spPr>
                </pic:pic>
              </a:graphicData>
            </a:graphic>
          </wp:inline>
        </w:drawing>
      </w:r>
    </w:p>
    <w:p w14:paraId="75654107"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648B7D09" wp14:editId="4C4DB54D">
            <wp:extent cx="4800600" cy="3429000"/>
            <wp:effectExtent l="0" t="0" r="0" b="0"/>
            <wp:docPr id="169" name="Picture 169" descr="Antimicrobial resistance plots: resistance and usage displayed over time.&#10;Escherichia coll carbapenems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ntimicrobial resistance plots: resistance and usage displayed over time.&#10;Escherichia coll carbapenems -  Norway."/>
                    <pic:cNvPicPr/>
                  </pic:nvPicPr>
                  <pic:blipFill>
                    <a:blip r:embed="rId110"/>
                    <a:stretch>
                      <a:fillRect/>
                    </a:stretch>
                  </pic:blipFill>
                  <pic:spPr>
                    <a:xfrm>
                      <a:off x="0" y="0"/>
                      <a:ext cx="4800600" cy="3429000"/>
                    </a:xfrm>
                    <a:prstGeom prst="rect">
                      <a:avLst/>
                    </a:prstGeom>
                  </pic:spPr>
                </pic:pic>
              </a:graphicData>
            </a:graphic>
          </wp:inline>
        </w:drawing>
      </w:r>
    </w:p>
    <w:p w14:paraId="487CAD91"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3BC78244" wp14:editId="2540FC61">
            <wp:extent cx="4800600" cy="3429000"/>
            <wp:effectExtent l="0" t="0" r="0" b="0"/>
            <wp:docPr id="170" name="Picture 170" descr="Antimicrobial resistance plots: resistance and usage displayed over time.&#10;Escherichia coll cephalosporins -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ntimicrobial resistance plots: resistance and usage displayed over time.&#10;Escherichia coll cephalosporins -  Bulgaria."/>
                    <pic:cNvPicPr/>
                  </pic:nvPicPr>
                  <pic:blipFill>
                    <a:blip r:embed="rId111"/>
                    <a:stretch>
                      <a:fillRect/>
                    </a:stretch>
                  </pic:blipFill>
                  <pic:spPr>
                    <a:xfrm>
                      <a:off x="0" y="0"/>
                      <a:ext cx="4800600" cy="3429000"/>
                    </a:xfrm>
                    <a:prstGeom prst="rect">
                      <a:avLst/>
                    </a:prstGeom>
                  </pic:spPr>
                </pic:pic>
              </a:graphicData>
            </a:graphic>
          </wp:inline>
        </w:drawing>
      </w:r>
    </w:p>
    <w:p w14:paraId="721B6F9C"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14EF0D71" wp14:editId="68DF14C1">
            <wp:extent cx="4800600" cy="3429000"/>
            <wp:effectExtent l="0" t="0" r="0" b="0"/>
            <wp:docPr id="171" name="Picture 171" descr="Antimicrobial resistance plots: resistance and usage displayed over time.&#10;Escherichia coll cephalosporins -  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ntimicrobial resistance plots: resistance and usage displayed over time.&#10;Escherichia coll cephalosporins -  Croatia."/>
                    <pic:cNvPicPr/>
                  </pic:nvPicPr>
                  <pic:blipFill>
                    <a:blip r:embed="rId112"/>
                    <a:stretch>
                      <a:fillRect/>
                    </a:stretch>
                  </pic:blipFill>
                  <pic:spPr>
                    <a:xfrm>
                      <a:off x="0" y="0"/>
                      <a:ext cx="4800600" cy="3429000"/>
                    </a:xfrm>
                    <a:prstGeom prst="rect">
                      <a:avLst/>
                    </a:prstGeom>
                  </pic:spPr>
                </pic:pic>
              </a:graphicData>
            </a:graphic>
          </wp:inline>
        </w:drawing>
      </w:r>
    </w:p>
    <w:p w14:paraId="2195AF02"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7A355BF8" wp14:editId="7A0296C4">
            <wp:extent cx="4800600" cy="3429000"/>
            <wp:effectExtent l="0" t="0" r="0" b="0"/>
            <wp:docPr id="172" name="Picture 172" descr="Antimicrobial resistance plots: resistance and usage displayed over time.&#10;Escherichia coll cephalosporins -  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ntimicrobial resistance plots: resistance and usage displayed over time.&#10;Escherichia coll cephalosporins -  Estonia."/>
                    <pic:cNvPicPr/>
                  </pic:nvPicPr>
                  <pic:blipFill>
                    <a:blip r:embed="rId113"/>
                    <a:stretch>
                      <a:fillRect/>
                    </a:stretch>
                  </pic:blipFill>
                  <pic:spPr>
                    <a:xfrm>
                      <a:off x="0" y="0"/>
                      <a:ext cx="4800600" cy="3429000"/>
                    </a:xfrm>
                    <a:prstGeom prst="rect">
                      <a:avLst/>
                    </a:prstGeom>
                  </pic:spPr>
                </pic:pic>
              </a:graphicData>
            </a:graphic>
          </wp:inline>
        </w:drawing>
      </w:r>
    </w:p>
    <w:p w14:paraId="0667929B"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2CCBDCE8" wp14:editId="01FAC5D4">
            <wp:extent cx="4800600" cy="3429000"/>
            <wp:effectExtent l="0" t="0" r="0" b="0"/>
            <wp:docPr id="173" name="Picture 173" descr="Antimicrobial resistance plots: resistance and usage displayed over time.&#10;Escherichia coll cephalosporins -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ntimicrobial resistance plots: resistance and usage displayed over time.&#10;Escherichia coll cephalosporins -  Finland."/>
                    <pic:cNvPicPr/>
                  </pic:nvPicPr>
                  <pic:blipFill>
                    <a:blip r:embed="rId114"/>
                    <a:stretch>
                      <a:fillRect/>
                    </a:stretch>
                  </pic:blipFill>
                  <pic:spPr>
                    <a:xfrm>
                      <a:off x="0" y="0"/>
                      <a:ext cx="4800600" cy="3429000"/>
                    </a:xfrm>
                    <a:prstGeom prst="rect">
                      <a:avLst/>
                    </a:prstGeom>
                  </pic:spPr>
                </pic:pic>
              </a:graphicData>
            </a:graphic>
          </wp:inline>
        </w:drawing>
      </w:r>
    </w:p>
    <w:p w14:paraId="4E700499"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5E4D98EF" wp14:editId="34D0D593">
            <wp:extent cx="4800600" cy="3429000"/>
            <wp:effectExtent l="0" t="0" r="0" b="0"/>
            <wp:docPr id="174" name="Picture 174" descr="Antimicrobial resistance plots: resistance and usage displayed over time.&#10;Escherichia coll cephalosporins -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ntimicrobial resistance plots: resistance and usage displayed over time.&#10;Escherichia coll cephalosporins -  Finland."/>
                    <pic:cNvPicPr/>
                  </pic:nvPicPr>
                  <pic:blipFill>
                    <a:blip r:embed="rId114"/>
                    <a:stretch>
                      <a:fillRect/>
                    </a:stretch>
                  </pic:blipFill>
                  <pic:spPr>
                    <a:xfrm>
                      <a:off x="0" y="0"/>
                      <a:ext cx="4800600" cy="3429000"/>
                    </a:xfrm>
                    <a:prstGeom prst="rect">
                      <a:avLst/>
                    </a:prstGeom>
                  </pic:spPr>
                </pic:pic>
              </a:graphicData>
            </a:graphic>
          </wp:inline>
        </w:drawing>
      </w:r>
    </w:p>
    <w:p w14:paraId="3A6D3594"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71232634" wp14:editId="62B8137A">
            <wp:extent cx="4800600" cy="3429000"/>
            <wp:effectExtent l="0" t="0" r="0" b="0"/>
            <wp:docPr id="175" name="Picture 175" descr="Antimicrobial resistance plots: resistance and usage displayed over time.&#10;Escherichia coll cephalosporins -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ntimicrobial resistance plots: resistance and usage displayed over time.&#10;Escherichia coll cephalosporins -  France."/>
                    <pic:cNvPicPr/>
                  </pic:nvPicPr>
                  <pic:blipFill>
                    <a:blip r:embed="rId115"/>
                    <a:stretch>
                      <a:fillRect/>
                    </a:stretch>
                  </pic:blipFill>
                  <pic:spPr>
                    <a:xfrm>
                      <a:off x="0" y="0"/>
                      <a:ext cx="4800600" cy="3429000"/>
                    </a:xfrm>
                    <a:prstGeom prst="rect">
                      <a:avLst/>
                    </a:prstGeom>
                  </pic:spPr>
                </pic:pic>
              </a:graphicData>
            </a:graphic>
          </wp:inline>
        </w:drawing>
      </w:r>
    </w:p>
    <w:p w14:paraId="0AAD39FF"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274A97C8" wp14:editId="0005FD6F">
            <wp:extent cx="4800600" cy="3429000"/>
            <wp:effectExtent l="0" t="0" r="0" b="0"/>
            <wp:docPr id="176" name="Picture 176" descr="Antimicrobial resistance plots: resistance and usage displayed over time.&#10;Escherichia coll cephalosporins -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ntimicrobial resistance plots: resistance and usage displayed over time.&#10;Escherichia coll cephalosporins -  Greece."/>
                    <pic:cNvPicPr/>
                  </pic:nvPicPr>
                  <pic:blipFill>
                    <a:blip r:embed="rId116"/>
                    <a:stretch>
                      <a:fillRect/>
                    </a:stretch>
                  </pic:blipFill>
                  <pic:spPr>
                    <a:xfrm>
                      <a:off x="0" y="0"/>
                      <a:ext cx="4800600" cy="3429000"/>
                    </a:xfrm>
                    <a:prstGeom prst="rect">
                      <a:avLst/>
                    </a:prstGeom>
                  </pic:spPr>
                </pic:pic>
              </a:graphicData>
            </a:graphic>
          </wp:inline>
        </w:drawing>
      </w:r>
    </w:p>
    <w:p w14:paraId="3296AD33"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65425CB5" wp14:editId="283C50A8">
            <wp:extent cx="4800600" cy="3429000"/>
            <wp:effectExtent l="0" t="0" r="0" b="0"/>
            <wp:docPr id="177" name="Picture 177" descr="Antimicrobial resistance plots: resistance and usage displayed over time.&#10;Escherichia coll cephalosporins -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ntimicrobial resistance plots: resistance and usage displayed over time.&#10;Escherichia coll cephalosporins -  Ireland."/>
                    <pic:cNvPicPr/>
                  </pic:nvPicPr>
                  <pic:blipFill>
                    <a:blip r:embed="rId117"/>
                    <a:stretch>
                      <a:fillRect/>
                    </a:stretch>
                  </pic:blipFill>
                  <pic:spPr>
                    <a:xfrm>
                      <a:off x="0" y="0"/>
                      <a:ext cx="4800600" cy="3429000"/>
                    </a:xfrm>
                    <a:prstGeom prst="rect">
                      <a:avLst/>
                    </a:prstGeom>
                  </pic:spPr>
                </pic:pic>
              </a:graphicData>
            </a:graphic>
          </wp:inline>
        </w:drawing>
      </w:r>
    </w:p>
    <w:p w14:paraId="597F54E4"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0F3A1521" wp14:editId="0B409CA3">
            <wp:extent cx="4800600" cy="3429000"/>
            <wp:effectExtent l="0" t="0" r="0" b="0"/>
            <wp:docPr id="178" name="Picture 178" descr="Antimicrobial resistance plots: resistance and usage displayed over time.&#10;Escherichia coll cephalosporins -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ntimicrobial resistance plots: resistance and usage displayed over time.&#10;Escherichia coll cephalosporins -  Luxembourg."/>
                    <pic:cNvPicPr/>
                  </pic:nvPicPr>
                  <pic:blipFill>
                    <a:blip r:embed="rId118"/>
                    <a:stretch>
                      <a:fillRect/>
                    </a:stretch>
                  </pic:blipFill>
                  <pic:spPr>
                    <a:xfrm>
                      <a:off x="0" y="0"/>
                      <a:ext cx="4800600" cy="3429000"/>
                    </a:xfrm>
                    <a:prstGeom prst="rect">
                      <a:avLst/>
                    </a:prstGeom>
                  </pic:spPr>
                </pic:pic>
              </a:graphicData>
            </a:graphic>
          </wp:inline>
        </w:drawing>
      </w:r>
    </w:p>
    <w:p w14:paraId="04E8A718"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110CCA4D" wp14:editId="30CE1FA6">
            <wp:extent cx="4800600" cy="3429000"/>
            <wp:effectExtent l="0" t="0" r="0" b="0"/>
            <wp:docPr id="179" name="Picture 179" descr="Antimicrobial resistance plots: resistance and usage displayed over time.&#10;Escherichia coll cephalosporins -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ntimicrobial resistance plots: resistance and usage displayed over time.&#10;Escherichia coll cephalosporins -  Malta."/>
                    <pic:cNvPicPr/>
                  </pic:nvPicPr>
                  <pic:blipFill>
                    <a:blip r:embed="rId119"/>
                    <a:stretch>
                      <a:fillRect/>
                    </a:stretch>
                  </pic:blipFill>
                  <pic:spPr>
                    <a:xfrm>
                      <a:off x="0" y="0"/>
                      <a:ext cx="4800600" cy="3429000"/>
                    </a:xfrm>
                    <a:prstGeom prst="rect">
                      <a:avLst/>
                    </a:prstGeom>
                  </pic:spPr>
                </pic:pic>
              </a:graphicData>
            </a:graphic>
          </wp:inline>
        </w:drawing>
      </w:r>
    </w:p>
    <w:p w14:paraId="6C5EE549"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172F448E" wp14:editId="363EA0A8">
            <wp:extent cx="4800600" cy="3429000"/>
            <wp:effectExtent l="0" t="0" r="0" b="0"/>
            <wp:docPr id="180" name="Picture 180" descr="Antimicrobial resistance plots: resistance and usage displayed over time.&#10;Escherichia coll cephalosporins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ntimicrobial resistance plots: resistance and usage displayed over time.&#10;Escherichia coll cephalosporins - Norway."/>
                    <pic:cNvPicPr/>
                  </pic:nvPicPr>
                  <pic:blipFill>
                    <a:blip r:embed="rId120"/>
                    <a:stretch>
                      <a:fillRect/>
                    </a:stretch>
                  </pic:blipFill>
                  <pic:spPr>
                    <a:xfrm>
                      <a:off x="0" y="0"/>
                      <a:ext cx="4800600" cy="3429000"/>
                    </a:xfrm>
                    <a:prstGeom prst="rect">
                      <a:avLst/>
                    </a:prstGeom>
                  </pic:spPr>
                </pic:pic>
              </a:graphicData>
            </a:graphic>
          </wp:inline>
        </w:drawing>
      </w:r>
    </w:p>
    <w:p w14:paraId="0F8F09C0"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57950380" wp14:editId="2B03A3F5">
            <wp:extent cx="4800600" cy="3429000"/>
            <wp:effectExtent l="0" t="0" r="0" b="0"/>
            <wp:docPr id="181" name="Picture 181" descr="Antimicrobial resistance plots: resistance and usage displayed over time.&#10;Escherichia coll cephalosporins -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timicrobial resistance plots: resistance and usage displayed over time.&#10;Escherichia coll cephalosporins -  Slovenia."/>
                    <pic:cNvPicPr/>
                  </pic:nvPicPr>
                  <pic:blipFill>
                    <a:blip r:embed="rId121"/>
                    <a:stretch>
                      <a:fillRect/>
                    </a:stretch>
                  </pic:blipFill>
                  <pic:spPr>
                    <a:xfrm>
                      <a:off x="0" y="0"/>
                      <a:ext cx="4800600" cy="3429000"/>
                    </a:xfrm>
                    <a:prstGeom prst="rect">
                      <a:avLst/>
                    </a:prstGeom>
                  </pic:spPr>
                </pic:pic>
              </a:graphicData>
            </a:graphic>
          </wp:inline>
        </w:drawing>
      </w:r>
    </w:p>
    <w:p w14:paraId="7D75B156"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3C3711DD" wp14:editId="561D9021">
            <wp:extent cx="4800600" cy="3429000"/>
            <wp:effectExtent l="0" t="0" r="0" b="0"/>
            <wp:docPr id="182" name="Picture 182" descr="Antimicrobial resistance plots: resistance and usage displayed over time.&#10;Escherichia coll cephalosporins -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timicrobial resistance plots: resistance and usage displayed over time.&#10;Escherichia coll cephalosporins -  Sweden."/>
                    <pic:cNvPicPr/>
                  </pic:nvPicPr>
                  <pic:blipFill>
                    <a:blip r:embed="rId122"/>
                    <a:stretch>
                      <a:fillRect/>
                    </a:stretch>
                  </pic:blipFill>
                  <pic:spPr>
                    <a:xfrm>
                      <a:off x="0" y="0"/>
                      <a:ext cx="4800600" cy="3429000"/>
                    </a:xfrm>
                    <a:prstGeom prst="rect">
                      <a:avLst/>
                    </a:prstGeom>
                  </pic:spPr>
                </pic:pic>
              </a:graphicData>
            </a:graphic>
          </wp:inline>
        </w:drawing>
      </w:r>
    </w:p>
    <w:p w14:paraId="27211EFD"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6980E3C3" wp14:editId="0ECD3346">
            <wp:extent cx="4800600" cy="3429000"/>
            <wp:effectExtent l="0" t="0" r="0" b="0"/>
            <wp:docPr id="183" name="Picture 183" descr="Pseudomonas -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seudomonas - France"/>
                    <pic:cNvPicPr/>
                  </pic:nvPicPr>
                  <pic:blipFill>
                    <a:blip r:embed="rId123"/>
                    <a:stretch>
                      <a:fillRect/>
                    </a:stretch>
                  </pic:blipFill>
                  <pic:spPr>
                    <a:xfrm>
                      <a:off x="0" y="0"/>
                      <a:ext cx="4800600" cy="3429000"/>
                    </a:xfrm>
                    <a:prstGeom prst="rect">
                      <a:avLst/>
                    </a:prstGeom>
                  </pic:spPr>
                </pic:pic>
              </a:graphicData>
            </a:graphic>
          </wp:inline>
        </w:drawing>
      </w:r>
    </w:p>
    <w:p w14:paraId="3CAE955F"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179BF392" wp14:editId="4C696DB7">
            <wp:extent cx="4800600" cy="3429000"/>
            <wp:effectExtent l="0" t="0" r="0" b="0"/>
            <wp:docPr id="184" name="Picture 184" descr="Pseudomonas -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seudomonas - Finland"/>
                    <pic:cNvPicPr/>
                  </pic:nvPicPr>
                  <pic:blipFill>
                    <a:blip r:embed="rId124"/>
                    <a:stretch>
                      <a:fillRect/>
                    </a:stretch>
                  </pic:blipFill>
                  <pic:spPr>
                    <a:xfrm>
                      <a:off x="0" y="0"/>
                      <a:ext cx="4800600" cy="3429000"/>
                    </a:xfrm>
                    <a:prstGeom prst="rect">
                      <a:avLst/>
                    </a:prstGeom>
                  </pic:spPr>
                </pic:pic>
              </a:graphicData>
            </a:graphic>
          </wp:inline>
        </w:drawing>
      </w:r>
    </w:p>
    <w:p w14:paraId="10A51F9A"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10C3712A" wp14:editId="0C8278A9">
            <wp:extent cx="4800600" cy="3429000"/>
            <wp:effectExtent l="0" t="0" r="0" b="0"/>
            <wp:docPr id="185" name="Picture 185" descr="Pseudomonas -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seudomonas - Ireland"/>
                    <pic:cNvPicPr/>
                  </pic:nvPicPr>
                  <pic:blipFill>
                    <a:blip r:embed="rId125"/>
                    <a:stretch>
                      <a:fillRect/>
                    </a:stretch>
                  </pic:blipFill>
                  <pic:spPr>
                    <a:xfrm>
                      <a:off x="0" y="0"/>
                      <a:ext cx="4800600" cy="3429000"/>
                    </a:xfrm>
                    <a:prstGeom prst="rect">
                      <a:avLst/>
                    </a:prstGeom>
                  </pic:spPr>
                </pic:pic>
              </a:graphicData>
            </a:graphic>
          </wp:inline>
        </w:drawing>
      </w:r>
    </w:p>
    <w:p w14:paraId="29BA125D"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0616F7CD" wp14:editId="090F9210">
            <wp:extent cx="4800600" cy="3429000"/>
            <wp:effectExtent l="0" t="0" r="0" b="0"/>
            <wp:docPr id="186" name="Picture 186" descr="Pseudomonas -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Pseudomonas - Netherlands"/>
                    <pic:cNvPicPr/>
                  </pic:nvPicPr>
                  <pic:blipFill>
                    <a:blip r:embed="rId126"/>
                    <a:stretch>
                      <a:fillRect/>
                    </a:stretch>
                  </pic:blipFill>
                  <pic:spPr>
                    <a:xfrm>
                      <a:off x="0" y="0"/>
                      <a:ext cx="4800600" cy="3429000"/>
                    </a:xfrm>
                    <a:prstGeom prst="rect">
                      <a:avLst/>
                    </a:prstGeom>
                  </pic:spPr>
                </pic:pic>
              </a:graphicData>
            </a:graphic>
          </wp:inline>
        </w:drawing>
      </w:r>
    </w:p>
    <w:p w14:paraId="625F5532"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6F75DE61" wp14:editId="027E64DF">
            <wp:extent cx="4800600" cy="3429000"/>
            <wp:effectExtent l="0" t="0" r="0" b="0"/>
            <wp:docPr id="187" name="Picture 187" descr="Pseudomonas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seudomonas - Norway"/>
                    <pic:cNvPicPr/>
                  </pic:nvPicPr>
                  <pic:blipFill>
                    <a:blip r:embed="rId127"/>
                    <a:stretch>
                      <a:fillRect/>
                    </a:stretch>
                  </pic:blipFill>
                  <pic:spPr>
                    <a:xfrm>
                      <a:off x="0" y="0"/>
                      <a:ext cx="4800600" cy="3429000"/>
                    </a:xfrm>
                    <a:prstGeom prst="rect">
                      <a:avLst/>
                    </a:prstGeom>
                  </pic:spPr>
                </pic:pic>
              </a:graphicData>
            </a:graphic>
          </wp:inline>
        </w:drawing>
      </w:r>
    </w:p>
    <w:p w14:paraId="7E545014"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drawing>
          <wp:inline distT="0" distB="0" distL="0" distR="0" wp14:anchorId="34AC5663" wp14:editId="1C58EA8E">
            <wp:extent cx="4800600" cy="3429000"/>
            <wp:effectExtent l="0" t="0" r="0" b="0"/>
            <wp:docPr id="188" name="Picture 188" descr="Pseudomonas -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seudomonas - Slovenia"/>
                    <pic:cNvPicPr/>
                  </pic:nvPicPr>
                  <pic:blipFill>
                    <a:blip r:embed="rId128"/>
                    <a:stretch>
                      <a:fillRect/>
                    </a:stretch>
                  </pic:blipFill>
                  <pic:spPr>
                    <a:xfrm>
                      <a:off x="0" y="0"/>
                      <a:ext cx="4800600" cy="3429000"/>
                    </a:xfrm>
                    <a:prstGeom prst="rect">
                      <a:avLst/>
                    </a:prstGeom>
                  </pic:spPr>
                </pic:pic>
              </a:graphicData>
            </a:graphic>
          </wp:inline>
        </w:drawing>
      </w:r>
    </w:p>
    <w:p w14:paraId="03910535" w14:textId="77777777" w:rsidR="00AB4E6A" w:rsidRPr="00AB4E6A" w:rsidRDefault="00AB4E6A" w:rsidP="00AB4E6A">
      <w:pPr>
        <w:rPr>
          <w:rFonts w:asciiTheme="majorBidi" w:hAnsiTheme="majorBidi" w:cstheme="majorBidi"/>
        </w:rPr>
      </w:pPr>
      <w:r w:rsidRPr="00AB4E6A">
        <w:rPr>
          <w:rFonts w:asciiTheme="majorBidi" w:hAnsiTheme="majorBidi" w:cstheme="majorBidi"/>
          <w:noProof/>
          <w:lang w:eastAsia="en-GB"/>
        </w:rPr>
        <w:lastRenderedPageBreak/>
        <w:drawing>
          <wp:inline distT="0" distB="0" distL="0" distR="0" wp14:anchorId="4D1696A4" wp14:editId="7C5BBAA4">
            <wp:extent cx="4800600" cy="3429000"/>
            <wp:effectExtent l="0" t="0" r="0" b="0"/>
            <wp:docPr id="189" name="Picture 189" descr="Pseudomonas -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seudomonas - Slovenia"/>
                    <pic:cNvPicPr/>
                  </pic:nvPicPr>
                  <pic:blipFill>
                    <a:blip r:embed="rId128"/>
                    <a:stretch>
                      <a:fillRect/>
                    </a:stretch>
                  </pic:blipFill>
                  <pic:spPr>
                    <a:xfrm>
                      <a:off x="0" y="0"/>
                      <a:ext cx="4800600" cy="3429000"/>
                    </a:xfrm>
                    <a:prstGeom prst="rect">
                      <a:avLst/>
                    </a:prstGeom>
                  </pic:spPr>
                </pic:pic>
              </a:graphicData>
            </a:graphic>
          </wp:inline>
        </w:drawing>
      </w:r>
      <w:r w:rsidRPr="00AB4E6A">
        <w:rPr>
          <w:rFonts w:asciiTheme="majorBidi" w:hAnsiTheme="majorBidi" w:cstheme="majorBidi"/>
        </w:rPr>
        <w:br w:type="page"/>
      </w:r>
    </w:p>
    <w:p w14:paraId="2F031B4B" w14:textId="3F9C4FE4" w:rsidR="00364012" w:rsidRPr="00097E31" w:rsidRDefault="00364012" w:rsidP="00364012">
      <w:pPr>
        <w:pStyle w:val="Heading2"/>
        <w:ind w:left="720" w:hanging="720"/>
        <w:jc w:val="both"/>
        <w:rPr>
          <w:sz w:val="32"/>
          <w:szCs w:val="32"/>
        </w:rPr>
      </w:pPr>
      <w:bookmarkStart w:id="871" w:name="_Toc87463154"/>
      <w:r w:rsidRPr="00097E31">
        <w:rPr>
          <w:sz w:val="32"/>
          <w:szCs w:val="32"/>
        </w:rPr>
        <w:lastRenderedPageBreak/>
        <w:t>Appendix 2</w:t>
      </w:r>
      <w:r w:rsidR="009061EF">
        <w:rPr>
          <w:sz w:val="32"/>
          <w:szCs w:val="32"/>
        </w:rPr>
        <w:t>0</w:t>
      </w:r>
      <w:r w:rsidRPr="00097E31">
        <w:rPr>
          <w:sz w:val="32"/>
          <w:szCs w:val="32"/>
        </w:rPr>
        <w:t xml:space="preserve">: Total population INHE across the first 10 years of </w:t>
      </w:r>
      <w:r w:rsidR="00097E31">
        <w:rPr>
          <w:sz w:val="32"/>
          <w:szCs w:val="32"/>
        </w:rPr>
        <w:tab/>
      </w:r>
      <w:r w:rsidR="00097E31">
        <w:rPr>
          <w:sz w:val="32"/>
          <w:szCs w:val="32"/>
        </w:rPr>
        <w:tab/>
      </w:r>
      <w:r w:rsidRPr="00097E31">
        <w:rPr>
          <w:sz w:val="32"/>
          <w:szCs w:val="32"/>
        </w:rPr>
        <w:t>usage</w:t>
      </w:r>
      <w:bookmarkEnd w:id="871"/>
    </w:p>
    <w:p w14:paraId="33984BB9" w14:textId="03C89DB8" w:rsidR="00364012" w:rsidRPr="00097E31" w:rsidRDefault="00364012" w:rsidP="00364012">
      <w:pPr>
        <w:pStyle w:val="Caption"/>
        <w:rPr>
          <w:rFonts w:asciiTheme="majorBidi" w:hAnsiTheme="majorBidi" w:cstheme="majorBidi"/>
          <w:b/>
          <w:bCs/>
          <w:i w:val="0"/>
          <w:iCs w:val="0"/>
          <w:sz w:val="20"/>
          <w:szCs w:val="20"/>
        </w:rPr>
      </w:pPr>
      <w:bookmarkStart w:id="872" w:name="_Toc86419045"/>
      <w:r w:rsidRPr="00097E31">
        <w:rPr>
          <w:rFonts w:asciiTheme="majorBidi" w:hAnsiTheme="majorBidi" w:cstheme="majorBidi"/>
          <w:b/>
          <w:bCs/>
          <w:i w:val="0"/>
          <w:iCs w:val="0"/>
          <w:sz w:val="20"/>
          <w:szCs w:val="20"/>
        </w:rPr>
        <w:t xml:space="preserve">Table </w:t>
      </w:r>
      <w:r w:rsidR="00F10F0A" w:rsidRPr="00097E31">
        <w:rPr>
          <w:rFonts w:asciiTheme="majorBidi" w:hAnsiTheme="majorBidi" w:cstheme="majorBidi"/>
          <w:b/>
          <w:bCs/>
          <w:i w:val="0"/>
          <w:iCs w:val="0"/>
          <w:noProof/>
          <w:sz w:val="20"/>
          <w:szCs w:val="20"/>
        </w:rPr>
        <w:t>68</w:t>
      </w:r>
      <w:r w:rsidRPr="00097E31">
        <w:rPr>
          <w:rFonts w:asciiTheme="majorBidi" w:hAnsiTheme="majorBidi" w:cstheme="majorBidi"/>
          <w:b/>
          <w:bCs/>
          <w:i w:val="0"/>
          <w:iCs w:val="0"/>
          <w:sz w:val="20"/>
          <w:szCs w:val="20"/>
        </w:rPr>
        <w:t>. Total INHE across 10 years of usage</w:t>
      </w:r>
      <w:bookmarkEnd w:id="872"/>
    </w:p>
    <w:tbl>
      <w:tblPr>
        <w:tblStyle w:val="TableGrid"/>
        <w:tblW w:w="10343" w:type="dxa"/>
        <w:tblLayout w:type="fixed"/>
        <w:tblLook w:val="04A0" w:firstRow="1" w:lastRow="0" w:firstColumn="1" w:lastColumn="0" w:noHBand="0" w:noVBand="1"/>
      </w:tblPr>
      <w:tblGrid>
        <w:gridCol w:w="1493"/>
        <w:gridCol w:w="1304"/>
        <w:gridCol w:w="1134"/>
        <w:gridCol w:w="1167"/>
        <w:gridCol w:w="993"/>
        <w:gridCol w:w="992"/>
        <w:gridCol w:w="1036"/>
        <w:gridCol w:w="1047"/>
        <w:gridCol w:w="1177"/>
      </w:tblGrid>
      <w:tr w:rsidR="00364012" w:rsidRPr="00097E31" w14:paraId="23886BAA" w14:textId="77777777" w:rsidTr="007721CD">
        <w:tc>
          <w:tcPr>
            <w:tcW w:w="1493" w:type="dxa"/>
            <w:vAlign w:val="center"/>
          </w:tcPr>
          <w:p w14:paraId="749DC30F"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Baseline population</w:t>
            </w:r>
          </w:p>
        </w:tc>
        <w:tc>
          <w:tcPr>
            <w:tcW w:w="1304" w:type="dxa"/>
            <w:tcBorders>
              <w:bottom w:val="single" w:sz="12" w:space="0" w:color="000000"/>
            </w:tcBorders>
            <w:vAlign w:val="center"/>
          </w:tcPr>
          <w:p w14:paraId="635101E5"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Population growth rate</w:t>
            </w:r>
          </w:p>
        </w:tc>
        <w:tc>
          <w:tcPr>
            <w:tcW w:w="1134" w:type="dxa"/>
            <w:tcBorders>
              <w:bottom w:val="single" w:sz="12" w:space="0" w:color="000000"/>
            </w:tcBorders>
            <w:vAlign w:val="center"/>
          </w:tcPr>
          <w:p w14:paraId="35C29A50"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Change in resistance</w:t>
            </w:r>
          </w:p>
        </w:tc>
        <w:tc>
          <w:tcPr>
            <w:tcW w:w="1167" w:type="dxa"/>
            <w:tcBorders>
              <w:bottom w:val="single" w:sz="12" w:space="0" w:color="000000"/>
            </w:tcBorders>
            <w:vAlign w:val="center"/>
          </w:tcPr>
          <w:p w14:paraId="05A6CD07"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HAP/VAP</w:t>
            </w:r>
          </w:p>
        </w:tc>
        <w:tc>
          <w:tcPr>
            <w:tcW w:w="993" w:type="dxa"/>
            <w:tcBorders>
              <w:bottom w:val="single" w:sz="12" w:space="0" w:color="000000"/>
            </w:tcBorders>
            <w:vAlign w:val="center"/>
          </w:tcPr>
          <w:p w14:paraId="6B143079" w14:textId="77777777" w:rsidR="00364012" w:rsidRPr="00097E31" w:rsidRDefault="00364012" w:rsidP="007721CD">
            <w:pPr>
              <w:spacing w:before="60" w:after="60"/>
              <w:rPr>
                <w:rFonts w:asciiTheme="majorBidi" w:hAnsiTheme="majorBidi" w:cstheme="majorBidi"/>
              </w:rPr>
            </w:pPr>
            <w:proofErr w:type="spellStart"/>
            <w:r w:rsidRPr="00097E31">
              <w:rPr>
                <w:rFonts w:asciiTheme="majorBidi" w:hAnsiTheme="majorBidi" w:cstheme="majorBidi"/>
              </w:rPr>
              <w:t>cUTI</w:t>
            </w:r>
            <w:proofErr w:type="spellEnd"/>
          </w:p>
        </w:tc>
        <w:tc>
          <w:tcPr>
            <w:tcW w:w="992" w:type="dxa"/>
            <w:tcBorders>
              <w:bottom w:val="single" w:sz="12" w:space="0" w:color="000000"/>
            </w:tcBorders>
            <w:vAlign w:val="center"/>
          </w:tcPr>
          <w:p w14:paraId="0094953C"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BSI</w:t>
            </w:r>
          </w:p>
        </w:tc>
        <w:tc>
          <w:tcPr>
            <w:tcW w:w="1036" w:type="dxa"/>
            <w:tcBorders>
              <w:bottom w:val="single" w:sz="12" w:space="0" w:color="000000"/>
            </w:tcBorders>
            <w:vAlign w:val="center"/>
          </w:tcPr>
          <w:p w14:paraId="5F2DDB43"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IAI</w:t>
            </w:r>
          </w:p>
        </w:tc>
        <w:tc>
          <w:tcPr>
            <w:tcW w:w="1047" w:type="dxa"/>
            <w:tcBorders>
              <w:bottom w:val="single" w:sz="12" w:space="0" w:color="000000"/>
            </w:tcBorders>
            <w:vAlign w:val="center"/>
          </w:tcPr>
          <w:p w14:paraId="7D418995"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Total</w:t>
            </w:r>
          </w:p>
        </w:tc>
        <w:tc>
          <w:tcPr>
            <w:tcW w:w="1177" w:type="dxa"/>
            <w:tcBorders>
              <w:bottom w:val="single" w:sz="12" w:space="0" w:color="000000"/>
            </w:tcBorders>
          </w:tcPr>
          <w:p w14:paraId="5648022D"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 xml:space="preserve">Proportion of </w:t>
            </w:r>
            <w:proofErr w:type="gramStart"/>
            <w:r w:rsidRPr="00097E31">
              <w:rPr>
                <w:rFonts w:asciiTheme="majorBidi" w:hAnsiTheme="majorBidi" w:cstheme="majorBidi"/>
              </w:rPr>
              <w:t>20 year</w:t>
            </w:r>
            <w:proofErr w:type="gramEnd"/>
            <w:r w:rsidRPr="00097E31">
              <w:rPr>
                <w:rFonts w:asciiTheme="majorBidi" w:hAnsiTheme="majorBidi" w:cstheme="majorBidi"/>
              </w:rPr>
              <w:t xml:space="preserve"> INHE (%)</w:t>
            </w:r>
          </w:p>
        </w:tc>
      </w:tr>
      <w:tr w:rsidR="00364012" w:rsidRPr="00097E31" w14:paraId="28A88B6A" w14:textId="77777777" w:rsidTr="007721CD">
        <w:tc>
          <w:tcPr>
            <w:tcW w:w="1493" w:type="dxa"/>
            <w:tcBorders>
              <w:right w:val="single" w:sz="12" w:space="0" w:color="000000"/>
            </w:tcBorders>
            <w:vAlign w:val="center"/>
          </w:tcPr>
          <w:p w14:paraId="43972123"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PHE categorisation of infection sites</w:t>
            </w:r>
          </w:p>
          <w:p w14:paraId="17DF2764"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P1)</w:t>
            </w:r>
          </w:p>
        </w:tc>
        <w:tc>
          <w:tcPr>
            <w:tcW w:w="1304" w:type="dxa"/>
            <w:tcBorders>
              <w:top w:val="single" w:sz="12" w:space="0" w:color="000000"/>
              <w:left w:val="single" w:sz="12" w:space="0" w:color="000000"/>
            </w:tcBorders>
            <w:vAlign w:val="center"/>
          </w:tcPr>
          <w:p w14:paraId="66F6DB7A"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 xml:space="preserve">Model with damped effect </w:t>
            </w:r>
          </w:p>
          <w:p w14:paraId="274EC158"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G1)</w:t>
            </w:r>
          </w:p>
        </w:tc>
        <w:tc>
          <w:tcPr>
            <w:tcW w:w="1134" w:type="dxa"/>
            <w:tcBorders>
              <w:top w:val="single" w:sz="12" w:space="0" w:color="000000"/>
            </w:tcBorders>
            <w:vAlign w:val="center"/>
          </w:tcPr>
          <w:p w14:paraId="135C27A3"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 (R1)</w:t>
            </w:r>
          </w:p>
        </w:tc>
        <w:tc>
          <w:tcPr>
            <w:tcW w:w="1167" w:type="dxa"/>
            <w:tcBorders>
              <w:top w:val="single" w:sz="12" w:space="0" w:color="000000"/>
            </w:tcBorders>
            <w:vAlign w:val="bottom"/>
          </w:tcPr>
          <w:p w14:paraId="51694373"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38</w:t>
            </w:r>
          </w:p>
        </w:tc>
        <w:tc>
          <w:tcPr>
            <w:tcW w:w="993" w:type="dxa"/>
            <w:tcBorders>
              <w:top w:val="single" w:sz="12" w:space="0" w:color="000000"/>
            </w:tcBorders>
            <w:vAlign w:val="bottom"/>
          </w:tcPr>
          <w:p w14:paraId="4E4D6533"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47</w:t>
            </w:r>
          </w:p>
        </w:tc>
        <w:tc>
          <w:tcPr>
            <w:tcW w:w="992" w:type="dxa"/>
            <w:tcBorders>
              <w:top w:val="single" w:sz="12" w:space="0" w:color="000000"/>
            </w:tcBorders>
            <w:vAlign w:val="bottom"/>
          </w:tcPr>
          <w:p w14:paraId="0A3027E1"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253</w:t>
            </w:r>
          </w:p>
        </w:tc>
        <w:tc>
          <w:tcPr>
            <w:tcW w:w="1036" w:type="dxa"/>
            <w:tcBorders>
              <w:top w:val="single" w:sz="12" w:space="0" w:color="000000"/>
            </w:tcBorders>
            <w:vAlign w:val="bottom"/>
          </w:tcPr>
          <w:p w14:paraId="747687C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21</w:t>
            </w:r>
          </w:p>
        </w:tc>
        <w:tc>
          <w:tcPr>
            <w:tcW w:w="1047" w:type="dxa"/>
            <w:tcBorders>
              <w:top w:val="single" w:sz="12" w:space="0" w:color="000000"/>
              <w:right w:val="single" w:sz="12" w:space="0" w:color="000000"/>
            </w:tcBorders>
            <w:vAlign w:val="bottom"/>
          </w:tcPr>
          <w:p w14:paraId="0242C69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359</w:t>
            </w:r>
          </w:p>
        </w:tc>
        <w:tc>
          <w:tcPr>
            <w:tcW w:w="1177" w:type="dxa"/>
            <w:tcBorders>
              <w:top w:val="single" w:sz="12" w:space="0" w:color="000000"/>
              <w:right w:val="single" w:sz="12" w:space="0" w:color="000000"/>
            </w:tcBorders>
          </w:tcPr>
          <w:p w14:paraId="56CA443C" w14:textId="77777777" w:rsidR="00364012" w:rsidRPr="00097E31" w:rsidRDefault="00364012" w:rsidP="007721CD">
            <w:pPr>
              <w:rPr>
                <w:rFonts w:asciiTheme="majorBidi" w:hAnsiTheme="majorBidi" w:cstheme="majorBidi"/>
              </w:rPr>
            </w:pPr>
            <w:r w:rsidRPr="00097E31">
              <w:rPr>
                <w:rFonts w:asciiTheme="majorBidi" w:hAnsiTheme="majorBidi" w:cstheme="majorBidi"/>
              </w:rPr>
              <w:t>57.1%</w:t>
            </w:r>
          </w:p>
        </w:tc>
      </w:tr>
      <w:tr w:rsidR="00364012" w:rsidRPr="00097E31" w14:paraId="7F14749F" w14:textId="77777777" w:rsidTr="007721CD">
        <w:tc>
          <w:tcPr>
            <w:tcW w:w="1493" w:type="dxa"/>
            <w:tcBorders>
              <w:right w:val="single" w:sz="12" w:space="0" w:color="000000"/>
            </w:tcBorders>
            <w:vAlign w:val="center"/>
          </w:tcPr>
          <w:p w14:paraId="64F93547" w14:textId="05007E2C"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tcBorders>
            <w:vAlign w:val="center"/>
          </w:tcPr>
          <w:p w14:paraId="477DC17B" w14:textId="23E7780C"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vAlign w:val="center"/>
          </w:tcPr>
          <w:p w14:paraId="3E74599C"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5% (R2)</w:t>
            </w:r>
          </w:p>
        </w:tc>
        <w:tc>
          <w:tcPr>
            <w:tcW w:w="1167" w:type="dxa"/>
            <w:vAlign w:val="bottom"/>
          </w:tcPr>
          <w:p w14:paraId="109E8BE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37</w:t>
            </w:r>
          </w:p>
        </w:tc>
        <w:tc>
          <w:tcPr>
            <w:tcW w:w="993" w:type="dxa"/>
            <w:vAlign w:val="bottom"/>
          </w:tcPr>
          <w:p w14:paraId="2D6A6C79"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47</w:t>
            </w:r>
          </w:p>
        </w:tc>
        <w:tc>
          <w:tcPr>
            <w:tcW w:w="992" w:type="dxa"/>
            <w:vAlign w:val="bottom"/>
          </w:tcPr>
          <w:p w14:paraId="66D016FA"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249</w:t>
            </w:r>
          </w:p>
        </w:tc>
        <w:tc>
          <w:tcPr>
            <w:tcW w:w="1036" w:type="dxa"/>
            <w:vAlign w:val="bottom"/>
          </w:tcPr>
          <w:p w14:paraId="580E576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20</w:t>
            </w:r>
          </w:p>
        </w:tc>
        <w:tc>
          <w:tcPr>
            <w:tcW w:w="1047" w:type="dxa"/>
            <w:tcBorders>
              <w:right w:val="single" w:sz="12" w:space="0" w:color="000000"/>
            </w:tcBorders>
            <w:vAlign w:val="bottom"/>
          </w:tcPr>
          <w:p w14:paraId="393CCBF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353</w:t>
            </w:r>
          </w:p>
        </w:tc>
        <w:tc>
          <w:tcPr>
            <w:tcW w:w="1177" w:type="dxa"/>
            <w:tcBorders>
              <w:right w:val="single" w:sz="12" w:space="0" w:color="000000"/>
            </w:tcBorders>
          </w:tcPr>
          <w:p w14:paraId="6C6879C5" w14:textId="77777777" w:rsidR="00364012" w:rsidRPr="00097E31" w:rsidRDefault="00364012" w:rsidP="007721CD">
            <w:pPr>
              <w:rPr>
                <w:rFonts w:asciiTheme="majorBidi" w:hAnsiTheme="majorBidi" w:cstheme="majorBidi"/>
              </w:rPr>
            </w:pPr>
            <w:r w:rsidRPr="00097E31">
              <w:rPr>
                <w:rFonts w:asciiTheme="majorBidi" w:hAnsiTheme="majorBidi" w:cstheme="majorBidi"/>
              </w:rPr>
              <w:t>57.9%</w:t>
            </w:r>
          </w:p>
        </w:tc>
      </w:tr>
      <w:tr w:rsidR="00364012" w:rsidRPr="00097E31" w14:paraId="5250D468" w14:textId="77777777" w:rsidTr="007721CD">
        <w:tc>
          <w:tcPr>
            <w:tcW w:w="1493" w:type="dxa"/>
            <w:tcBorders>
              <w:right w:val="single" w:sz="12" w:space="0" w:color="000000"/>
            </w:tcBorders>
            <w:vAlign w:val="center"/>
          </w:tcPr>
          <w:p w14:paraId="4ECAF3EB" w14:textId="29AD1ADC"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tcBorders>
            <w:vAlign w:val="center"/>
          </w:tcPr>
          <w:p w14:paraId="5AFC5776" w14:textId="4BDA9D17"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vAlign w:val="center"/>
          </w:tcPr>
          <w:p w14:paraId="1DB42296"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10% (R3)</w:t>
            </w:r>
          </w:p>
        </w:tc>
        <w:tc>
          <w:tcPr>
            <w:tcW w:w="1167" w:type="dxa"/>
            <w:vAlign w:val="bottom"/>
          </w:tcPr>
          <w:p w14:paraId="229F8A5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36</w:t>
            </w:r>
          </w:p>
        </w:tc>
        <w:tc>
          <w:tcPr>
            <w:tcW w:w="993" w:type="dxa"/>
            <w:vAlign w:val="bottom"/>
          </w:tcPr>
          <w:p w14:paraId="5D8C02A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46</w:t>
            </w:r>
          </w:p>
        </w:tc>
        <w:tc>
          <w:tcPr>
            <w:tcW w:w="992" w:type="dxa"/>
            <w:vAlign w:val="bottom"/>
          </w:tcPr>
          <w:p w14:paraId="5F4DA31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244</w:t>
            </w:r>
          </w:p>
        </w:tc>
        <w:tc>
          <w:tcPr>
            <w:tcW w:w="1036" w:type="dxa"/>
            <w:vAlign w:val="bottom"/>
          </w:tcPr>
          <w:p w14:paraId="4076A9E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20</w:t>
            </w:r>
          </w:p>
        </w:tc>
        <w:tc>
          <w:tcPr>
            <w:tcW w:w="1047" w:type="dxa"/>
            <w:tcBorders>
              <w:right w:val="single" w:sz="12" w:space="0" w:color="000000"/>
            </w:tcBorders>
            <w:vAlign w:val="bottom"/>
          </w:tcPr>
          <w:p w14:paraId="236203FA"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346</w:t>
            </w:r>
          </w:p>
        </w:tc>
        <w:tc>
          <w:tcPr>
            <w:tcW w:w="1177" w:type="dxa"/>
            <w:tcBorders>
              <w:right w:val="single" w:sz="12" w:space="0" w:color="000000"/>
            </w:tcBorders>
          </w:tcPr>
          <w:p w14:paraId="023F529C" w14:textId="77777777" w:rsidR="00364012" w:rsidRPr="00097E31" w:rsidRDefault="00364012" w:rsidP="007721CD">
            <w:pPr>
              <w:rPr>
                <w:rFonts w:asciiTheme="majorBidi" w:hAnsiTheme="majorBidi" w:cstheme="majorBidi"/>
              </w:rPr>
            </w:pPr>
            <w:r w:rsidRPr="00097E31">
              <w:rPr>
                <w:rFonts w:asciiTheme="majorBidi" w:hAnsiTheme="majorBidi" w:cstheme="majorBidi"/>
              </w:rPr>
              <w:t>58.9%</w:t>
            </w:r>
          </w:p>
        </w:tc>
      </w:tr>
      <w:tr w:rsidR="00364012" w:rsidRPr="00097E31" w14:paraId="5C734B20" w14:textId="77777777" w:rsidTr="007721CD">
        <w:tc>
          <w:tcPr>
            <w:tcW w:w="1493" w:type="dxa"/>
            <w:tcBorders>
              <w:right w:val="single" w:sz="12" w:space="0" w:color="000000"/>
            </w:tcBorders>
            <w:vAlign w:val="center"/>
          </w:tcPr>
          <w:p w14:paraId="01F17A4C" w14:textId="70EC3E97"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bottom w:val="single" w:sz="12" w:space="0" w:color="000000"/>
            </w:tcBorders>
            <w:vAlign w:val="center"/>
          </w:tcPr>
          <w:p w14:paraId="27ED57EE" w14:textId="1CC95366"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tcBorders>
              <w:bottom w:val="single" w:sz="12" w:space="0" w:color="000000"/>
            </w:tcBorders>
            <w:vAlign w:val="center"/>
          </w:tcPr>
          <w:p w14:paraId="57530048"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30% (R4)</w:t>
            </w:r>
          </w:p>
        </w:tc>
        <w:tc>
          <w:tcPr>
            <w:tcW w:w="1167" w:type="dxa"/>
            <w:tcBorders>
              <w:bottom w:val="single" w:sz="12" w:space="0" w:color="000000"/>
            </w:tcBorders>
            <w:vAlign w:val="bottom"/>
          </w:tcPr>
          <w:p w14:paraId="263EAB31"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33</w:t>
            </w:r>
          </w:p>
        </w:tc>
        <w:tc>
          <w:tcPr>
            <w:tcW w:w="993" w:type="dxa"/>
            <w:tcBorders>
              <w:bottom w:val="single" w:sz="12" w:space="0" w:color="000000"/>
            </w:tcBorders>
            <w:vAlign w:val="bottom"/>
          </w:tcPr>
          <w:p w14:paraId="4D3A32E5"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44</w:t>
            </w:r>
          </w:p>
        </w:tc>
        <w:tc>
          <w:tcPr>
            <w:tcW w:w="992" w:type="dxa"/>
            <w:tcBorders>
              <w:bottom w:val="single" w:sz="12" w:space="0" w:color="000000"/>
            </w:tcBorders>
            <w:vAlign w:val="bottom"/>
          </w:tcPr>
          <w:p w14:paraId="4CBF489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223</w:t>
            </w:r>
          </w:p>
        </w:tc>
        <w:tc>
          <w:tcPr>
            <w:tcW w:w="1036" w:type="dxa"/>
            <w:tcBorders>
              <w:bottom w:val="single" w:sz="12" w:space="0" w:color="000000"/>
            </w:tcBorders>
            <w:vAlign w:val="bottom"/>
          </w:tcPr>
          <w:p w14:paraId="6150BB0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19</w:t>
            </w:r>
          </w:p>
        </w:tc>
        <w:tc>
          <w:tcPr>
            <w:tcW w:w="1047" w:type="dxa"/>
            <w:tcBorders>
              <w:bottom w:val="single" w:sz="12" w:space="0" w:color="000000"/>
              <w:right w:val="single" w:sz="12" w:space="0" w:color="000000"/>
            </w:tcBorders>
            <w:vAlign w:val="bottom"/>
          </w:tcPr>
          <w:p w14:paraId="71248E4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319</w:t>
            </w:r>
          </w:p>
        </w:tc>
        <w:tc>
          <w:tcPr>
            <w:tcW w:w="1177" w:type="dxa"/>
            <w:tcBorders>
              <w:bottom w:val="single" w:sz="12" w:space="0" w:color="000000"/>
              <w:right w:val="single" w:sz="12" w:space="0" w:color="000000"/>
            </w:tcBorders>
          </w:tcPr>
          <w:p w14:paraId="22742319" w14:textId="77777777" w:rsidR="00364012" w:rsidRPr="00097E31" w:rsidRDefault="00364012" w:rsidP="007721CD">
            <w:pPr>
              <w:rPr>
                <w:rFonts w:asciiTheme="majorBidi" w:hAnsiTheme="majorBidi" w:cstheme="majorBidi"/>
              </w:rPr>
            </w:pPr>
            <w:r w:rsidRPr="00097E31">
              <w:rPr>
                <w:rFonts w:asciiTheme="majorBidi" w:hAnsiTheme="majorBidi" w:cstheme="majorBidi"/>
              </w:rPr>
              <w:t>64.7%</w:t>
            </w:r>
          </w:p>
        </w:tc>
      </w:tr>
      <w:tr w:rsidR="00364012" w:rsidRPr="00097E31" w14:paraId="2D0797A5" w14:textId="77777777" w:rsidTr="007721CD">
        <w:tc>
          <w:tcPr>
            <w:tcW w:w="1493" w:type="dxa"/>
            <w:tcBorders>
              <w:right w:val="single" w:sz="12" w:space="0" w:color="000000"/>
            </w:tcBorders>
            <w:vAlign w:val="center"/>
          </w:tcPr>
          <w:p w14:paraId="4E15EAAF" w14:textId="322A0A70"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top w:val="single" w:sz="12" w:space="0" w:color="000000"/>
              <w:left w:val="single" w:sz="12" w:space="0" w:color="000000"/>
            </w:tcBorders>
            <w:vAlign w:val="center"/>
          </w:tcPr>
          <w:p w14:paraId="39D9102B"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 xml:space="preserve">Model without damped effect </w:t>
            </w:r>
          </w:p>
          <w:p w14:paraId="574E1E3B"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G2)</w:t>
            </w:r>
          </w:p>
        </w:tc>
        <w:tc>
          <w:tcPr>
            <w:tcW w:w="1134" w:type="dxa"/>
            <w:tcBorders>
              <w:top w:val="single" w:sz="12" w:space="0" w:color="000000"/>
            </w:tcBorders>
            <w:vAlign w:val="center"/>
          </w:tcPr>
          <w:p w14:paraId="6AEAAAC0"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 (R1)</w:t>
            </w:r>
          </w:p>
        </w:tc>
        <w:tc>
          <w:tcPr>
            <w:tcW w:w="1167" w:type="dxa"/>
            <w:tcBorders>
              <w:top w:val="single" w:sz="12" w:space="0" w:color="000000"/>
            </w:tcBorders>
            <w:vAlign w:val="bottom"/>
          </w:tcPr>
          <w:p w14:paraId="47A5887A"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56</w:t>
            </w:r>
          </w:p>
        </w:tc>
        <w:tc>
          <w:tcPr>
            <w:tcW w:w="993" w:type="dxa"/>
            <w:tcBorders>
              <w:top w:val="single" w:sz="12" w:space="0" w:color="000000"/>
            </w:tcBorders>
            <w:vAlign w:val="bottom"/>
          </w:tcPr>
          <w:p w14:paraId="34718C8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70</w:t>
            </w:r>
          </w:p>
        </w:tc>
        <w:tc>
          <w:tcPr>
            <w:tcW w:w="992" w:type="dxa"/>
            <w:tcBorders>
              <w:top w:val="single" w:sz="12" w:space="0" w:color="000000"/>
            </w:tcBorders>
            <w:vAlign w:val="bottom"/>
          </w:tcPr>
          <w:p w14:paraId="032A146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375</w:t>
            </w:r>
          </w:p>
        </w:tc>
        <w:tc>
          <w:tcPr>
            <w:tcW w:w="1036" w:type="dxa"/>
            <w:tcBorders>
              <w:top w:val="single" w:sz="12" w:space="0" w:color="000000"/>
            </w:tcBorders>
            <w:vAlign w:val="bottom"/>
          </w:tcPr>
          <w:p w14:paraId="005E8892"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31</w:t>
            </w:r>
          </w:p>
        </w:tc>
        <w:tc>
          <w:tcPr>
            <w:tcW w:w="1047" w:type="dxa"/>
            <w:tcBorders>
              <w:top w:val="single" w:sz="12" w:space="0" w:color="000000"/>
              <w:right w:val="single" w:sz="12" w:space="0" w:color="000000"/>
            </w:tcBorders>
            <w:vAlign w:val="bottom"/>
          </w:tcPr>
          <w:p w14:paraId="45A9FCE4"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532</w:t>
            </w:r>
          </w:p>
        </w:tc>
        <w:tc>
          <w:tcPr>
            <w:tcW w:w="1177" w:type="dxa"/>
            <w:tcBorders>
              <w:top w:val="single" w:sz="12" w:space="0" w:color="000000"/>
              <w:right w:val="single" w:sz="12" w:space="0" w:color="000000"/>
            </w:tcBorders>
          </w:tcPr>
          <w:p w14:paraId="25579BFA" w14:textId="77777777" w:rsidR="00364012" w:rsidRPr="00097E31" w:rsidRDefault="00364012" w:rsidP="007721CD">
            <w:pPr>
              <w:rPr>
                <w:rFonts w:asciiTheme="majorBidi" w:hAnsiTheme="majorBidi" w:cstheme="majorBidi"/>
              </w:rPr>
            </w:pPr>
            <w:r w:rsidRPr="00097E31">
              <w:rPr>
                <w:rFonts w:asciiTheme="majorBidi" w:hAnsiTheme="majorBidi" w:cstheme="majorBidi"/>
              </w:rPr>
              <w:t>41.0%</w:t>
            </w:r>
          </w:p>
        </w:tc>
      </w:tr>
      <w:tr w:rsidR="00364012" w:rsidRPr="00097E31" w14:paraId="387C4855" w14:textId="77777777" w:rsidTr="007721CD">
        <w:tc>
          <w:tcPr>
            <w:tcW w:w="1493" w:type="dxa"/>
            <w:tcBorders>
              <w:right w:val="single" w:sz="12" w:space="0" w:color="000000"/>
            </w:tcBorders>
            <w:vAlign w:val="center"/>
          </w:tcPr>
          <w:p w14:paraId="175155E8" w14:textId="11DF2D9A"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tcBorders>
            <w:vAlign w:val="center"/>
          </w:tcPr>
          <w:p w14:paraId="26596B44" w14:textId="71B970C8" w:rsidR="00364012" w:rsidRPr="00097E31" w:rsidRDefault="00001050" w:rsidP="007721CD">
            <w:pPr>
              <w:spacing w:before="60" w:after="60"/>
              <w:rPr>
                <w:rFonts w:asciiTheme="majorBidi" w:hAnsiTheme="majorBidi" w:cstheme="majorBidi"/>
              </w:rPr>
            </w:pPr>
            <w:r>
              <w:rPr>
                <w:rFonts w:asciiTheme="majorBidi" w:hAnsiTheme="majorBidi" w:cstheme="majorBidi"/>
              </w:rPr>
              <w:t>Scenario G</w:t>
            </w:r>
            <w:r>
              <w:rPr>
                <w:rFonts w:asciiTheme="majorBidi" w:hAnsiTheme="majorBidi" w:cstheme="majorBidi"/>
              </w:rPr>
              <w:t>2</w:t>
            </w:r>
          </w:p>
        </w:tc>
        <w:tc>
          <w:tcPr>
            <w:tcW w:w="1134" w:type="dxa"/>
            <w:vAlign w:val="center"/>
          </w:tcPr>
          <w:p w14:paraId="4F74DC34"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5% (R2)</w:t>
            </w:r>
          </w:p>
        </w:tc>
        <w:tc>
          <w:tcPr>
            <w:tcW w:w="1167" w:type="dxa"/>
            <w:vAlign w:val="bottom"/>
          </w:tcPr>
          <w:p w14:paraId="5130A23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55</w:t>
            </w:r>
          </w:p>
        </w:tc>
        <w:tc>
          <w:tcPr>
            <w:tcW w:w="993" w:type="dxa"/>
            <w:vAlign w:val="bottom"/>
          </w:tcPr>
          <w:p w14:paraId="51CAE979"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69</w:t>
            </w:r>
          </w:p>
        </w:tc>
        <w:tc>
          <w:tcPr>
            <w:tcW w:w="992" w:type="dxa"/>
            <w:vAlign w:val="bottom"/>
          </w:tcPr>
          <w:p w14:paraId="706B9F3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369</w:t>
            </w:r>
          </w:p>
        </w:tc>
        <w:tc>
          <w:tcPr>
            <w:tcW w:w="1036" w:type="dxa"/>
            <w:vAlign w:val="bottom"/>
          </w:tcPr>
          <w:p w14:paraId="6BC8267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30</w:t>
            </w:r>
          </w:p>
        </w:tc>
        <w:tc>
          <w:tcPr>
            <w:tcW w:w="1047" w:type="dxa"/>
            <w:tcBorders>
              <w:right w:val="single" w:sz="12" w:space="0" w:color="000000"/>
            </w:tcBorders>
            <w:vAlign w:val="bottom"/>
          </w:tcPr>
          <w:p w14:paraId="7879B96A"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523</w:t>
            </w:r>
          </w:p>
        </w:tc>
        <w:tc>
          <w:tcPr>
            <w:tcW w:w="1177" w:type="dxa"/>
            <w:tcBorders>
              <w:right w:val="single" w:sz="12" w:space="0" w:color="000000"/>
            </w:tcBorders>
          </w:tcPr>
          <w:p w14:paraId="70CB0B45" w14:textId="77777777" w:rsidR="00364012" w:rsidRPr="00097E31" w:rsidRDefault="00364012" w:rsidP="007721CD">
            <w:pPr>
              <w:rPr>
                <w:rFonts w:asciiTheme="majorBidi" w:hAnsiTheme="majorBidi" w:cstheme="majorBidi"/>
              </w:rPr>
            </w:pPr>
            <w:r w:rsidRPr="00097E31">
              <w:rPr>
                <w:rFonts w:asciiTheme="majorBidi" w:hAnsiTheme="majorBidi" w:cstheme="majorBidi"/>
              </w:rPr>
              <w:t>41.8%</w:t>
            </w:r>
          </w:p>
        </w:tc>
      </w:tr>
      <w:tr w:rsidR="00364012" w:rsidRPr="00097E31" w14:paraId="52D7D348" w14:textId="77777777" w:rsidTr="007721CD">
        <w:tc>
          <w:tcPr>
            <w:tcW w:w="1493" w:type="dxa"/>
            <w:tcBorders>
              <w:right w:val="single" w:sz="12" w:space="0" w:color="000000"/>
            </w:tcBorders>
            <w:vAlign w:val="center"/>
          </w:tcPr>
          <w:p w14:paraId="12EFBEDF" w14:textId="39E5284A"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tcBorders>
            <w:vAlign w:val="center"/>
          </w:tcPr>
          <w:p w14:paraId="127A2A43" w14:textId="250946B3" w:rsidR="00364012" w:rsidRPr="00097E31" w:rsidRDefault="00001050" w:rsidP="007721CD">
            <w:pPr>
              <w:spacing w:before="60" w:after="60"/>
              <w:rPr>
                <w:rFonts w:asciiTheme="majorBidi" w:hAnsiTheme="majorBidi" w:cstheme="majorBidi"/>
              </w:rPr>
            </w:pPr>
            <w:r>
              <w:rPr>
                <w:rFonts w:asciiTheme="majorBidi" w:hAnsiTheme="majorBidi" w:cstheme="majorBidi"/>
              </w:rPr>
              <w:t>Scenario G2</w:t>
            </w:r>
          </w:p>
        </w:tc>
        <w:tc>
          <w:tcPr>
            <w:tcW w:w="1134" w:type="dxa"/>
            <w:vAlign w:val="center"/>
          </w:tcPr>
          <w:p w14:paraId="73B3F71F"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10% (R3)</w:t>
            </w:r>
          </w:p>
        </w:tc>
        <w:tc>
          <w:tcPr>
            <w:tcW w:w="1167" w:type="dxa"/>
            <w:vAlign w:val="bottom"/>
          </w:tcPr>
          <w:p w14:paraId="5A1C5599"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54</w:t>
            </w:r>
          </w:p>
        </w:tc>
        <w:tc>
          <w:tcPr>
            <w:tcW w:w="993" w:type="dxa"/>
            <w:vAlign w:val="bottom"/>
          </w:tcPr>
          <w:p w14:paraId="0C0CB9C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68</w:t>
            </w:r>
          </w:p>
        </w:tc>
        <w:tc>
          <w:tcPr>
            <w:tcW w:w="992" w:type="dxa"/>
            <w:vAlign w:val="bottom"/>
          </w:tcPr>
          <w:p w14:paraId="5F40EAE7"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360</w:t>
            </w:r>
          </w:p>
        </w:tc>
        <w:tc>
          <w:tcPr>
            <w:tcW w:w="1036" w:type="dxa"/>
            <w:vAlign w:val="bottom"/>
          </w:tcPr>
          <w:p w14:paraId="58807C4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30</w:t>
            </w:r>
          </w:p>
        </w:tc>
        <w:tc>
          <w:tcPr>
            <w:tcW w:w="1047" w:type="dxa"/>
            <w:tcBorders>
              <w:right w:val="single" w:sz="12" w:space="0" w:color="000000"/>
            </w:tcBorders>
            <w:vAlign w:val="bottom"/>
          </w:tcPr>
          <w:p w14:paraId="542D94C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512</w:t>
            </w:r>
          </w:p>
        </w:tc>
        <w:tc>
          <w:tcPr>
            <w:tcW w:w="1177" w:type="dxa"/>
            <w:tcBorders>
              <w:right w:val="single" w:sz="12" w:space="0" w:color="000000"/>
            </w:tcBorders>
          </w:tcPr>
          <w:p w14:paraId="73B07079" w14:textId="77777777" w:rsidR="00364012" w:rsidRPr="00097E31" w:rsidRDefault="00364012" w:rsidP="007721CD">
            <w:pPr>
              <w:rPr>
                <w:rFonts w:asciiTheme="majorBidi" w:hAnsiTheme="majorBidi" w:cstheme="majorBidi"/>
              </w:rPr>
            </w:pPr>
            <w:r w:rsidRPr="00097E31">
              <w:rPr>
                <w:rFonts w:asciiTheme="majorBidi" w:hAnsiTheme="majorBidi" w:cstheme="majorBidi"/>
              </w:rPr>
              <w:t>43.0%</w:t>
            </w:r>
          </w:p>
        </w:tc>
      </w:tr>
      <w:tr w:rsidR="00364012" w:rsidRPr="00097E31" w14:paraId="5EB738B2" w14:textId="77777777" w:rsidTr="007721CD">
        <w:tc>
          <w:tcPr>
            <w:tcW w:w="1493" w:type="dxa"/>
            <w:tcBorders>
              <w:right w:val="single" w:sz="12" w:space="0" w:color="000000"/>
            </w:tcBorders>
            <w:vAlign w:val="center"/>
          </w:tcPr>
          <w:p w14:paraId="3CD15EC7" w14:textId="27477354" w:rsidR="00364012" w:rsidRPr="00097E31" w:rsidRDefault="00001050" w:rsidP="007721CD">
            <w:pPr>
              <w:spacing w:before="60" w:after="60"/>
              <w:rPr>
                <w:rFonts w:asciiTheme="majorBidi" w:hAnsiTheme="majorBidi" w:cstheme="majorBidi"/>
              </w:rPr>
            </w:pPr>
            <w:r>
              <w:rPr>
                <w:rFonts w:asciiTheme="majorBidi" w:hAnsiTheme="majorBidi" w:cstheme="majorBidi"/>
              </w:rPr>
              <w:t>Scenario P1</w:t>
            </w:r>
          </w:p>
        </w:tc>
        <w:tc>
          <w:tcPr>
            <w:tcW w:w="1304" w:type="dxa"/>
            <w:tcBorders>
              <w:left w:val="single" w:sz="12" w:space="0" w:color="000000"/>
              <w:bottom w:val="single" w:sz="12" w:space="0" w:color="000000"/>
            </w:tcBorders>
            <w:vAlign w:val="center"/>
          </w:tcPr>
          <w:p w14:paraId="472DC82B" w14:textId="6FEA1997" w:rsidR="00364012" w:rsidRPr="00097E31" w:rsidRDefault="00001050" w:rsidP="007721CD">
            <w:pPr>
              <w:spacing w:before="60" w:after="60"/>
              <w:rPr>
                <w:rFonts w:asciiTheme="majorBidi" w:hAnsiTheme="majorBidi" w:cstheme="majorBidi"/>
              </w:rPr>
            </w:pPr>
            <w:r>
              <w:rPr>
                <w:rFonts w:asciiTheme="majorBidi" w:hAnsiTheme="majorBidi" w:cstheme="majorBidi"/>
              </w:rPr>
              <w:t>Scenario G2</w:t>
            </w:r>
          </w:p>
        </w:tc>
        <w:tc>
          <w:tcPr>
            <w:tcW w:w="1134" w:type="dxa"/>
            <w:tcBorders>
              <w:bottom w:val="single" w:sz="12" w:space="0" w:color="000000"/>
            </w:tcBorders>
            <w:vAlign w:val="center"/>
          </w:tcPr>
          <w:p w14:paraId="4264E539"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30% (R4)</w:t>
            </w:r>
          </w:p>
        </w:tc>
        <w:tc>
          <w:tcPr>
            <w:tcW w:w="1167" w:type="dxa"/>
            <w:tcBorders>
              <w:bottom w:val="single" w:sz="12" w:space="0" w:color="000000"/>
            </w:tcBorders>
            <w:vAlign w:val="bottom"/>
          </w:tcPr>
          <w:p w14:paraId="33BAA01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48</w:t>
            </w:r>
          </w:p>
        </w:tc>
        <w:tc>
          <w:tcPr>
            <w:tcW w:w="993" w:type="dxa"/>
            <w:tcBorders>
              <w:bottom w:val="single" w:sz="12" w:space="0" w:color="000000"/>
            </w:tcBorders>
            <w:vAlign w:val="bottom"/>
          </w:tcPr>
          <w:p w14:paraId="199D3B4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64</w:t>
            </w:r>
          </w:p>
        </w:tc>
        <w:tc>
          <w:tcPr>
            <w:tcW w:w="992" w:type="dxa"/>
            <w:tcBorders>
              <w:bottom w:val="single" w:sz="12" w:space="0" w:color="000000"/>
            </w:tcBorders>
            <w:vAlign w:val="bottom"/>
          </w:tcPr>
          <w:p w14:paraId="3FF8A661"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325</w:t>
            </w:r>
          </w:p>
        </w:tc>
        <w:tc>
          <w:tcPr>
            <w:tcW w:w="1036" w:type="dxa"/>
            <w:tcBorders>
              <w:bottom w:val="single" w:sz="12" w:space="0" w:color="000000"/>
            </w:tcBorders>
            <w:vAlign w:val="bottom"/>
          </w:tcPr>
          <w:p w14:paraId="4113B3E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28</w:t>
            </w:r>
          </w:p>
        </w:tc>
        <w:tc>
          <w:tcPr>
            <w:tcW w:w="1047" w:type="dxa"/>
            <w:tcBorders>
              <w:bottom w:val="single" w:sz="12" w:space="0" w:color="000000"/>
              <w:right w:val="single" w:sz="12" w:space="0" w:color="000000"/>
            </w:tcBorders>
            <w:vAlign w:val="bottom"/>
          </w:tcPr>
          <w:p w14:paraId="2BEA5906"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465</w:t>
            </w:r>
          </w:p>
        </w:tc>
        <w:tc>
          <w:tcPr>
            <w:tcW w:w="1177" w:type="dxa"/>
            <w:tcBorders>
              <w:bottom w:val="single" w:sz="12" w:space="0" w:color="000000"/>
              <w:right w:val="single" w:sz="12" w:space="0" w:color="000000"/>
            </w:tcBorders>
          </w:tcPr>
          <w:p w14:paraId="5866116C" w14:textId="77777777" w:rsidR="00364012" w:rsidRPr="00097E31" w:rsidRDefault="00364012" w:rsidP="007721CD">
            <w:pPr>
              <w:rPr>
                <w:rFonts w:asciiTheme="majorBidi" w:hAnsiTheme="majorBidi" w:cstheme="majorBidi"/>
              </w:rPr>
            </w:pPr>
            <w:r w:rsidRPr="00097E31">
              <w:rPr>
                <w:rFonts w:asciiTheme="majorBidi" w:hAnsiTheme="majorBidi" w:cstheme="majorBidi"/>
              </w:rPr>
              <w:t>48.9%</w:t>
            </w:r>
          </w:p>
        </w:tc>
      </w:tr>
      <w:tr w:rsidR="00364012" w:rsidRPr="00097E31" w14:paraId="7A6591FE" w14:textId="77777777" w:rsidTr="007721CD">
        <w:tc>
          <w:tcPr>
            <w:tcW w:w="1493" w:type="dxa"/>
            <w:tcBorders>
              <w:right w:val="single" w:sz="12" w:space="0" w:color="000000"/>
            </w:tcBorders>
          </w:tcPr>
          <w:p w14:paraId="3606E40C"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Clinical advisors’ categorisation of infection sites</w:t>
            </w:r>
          </w:p>
          <w:p w14:paraId="416782F7"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P2)</w:t>
            </w:r>
          </w:p>
        </w:tc>
        <w:tc>
          <w:tcPr>
            <w:tcW w:w="1304" w:type="dxa"/>
            <w:tcBorders>
              <w:top w:val="single" w:sz="12" w:space="0" w:color="000000"/>
              <w:left w:val="single" w:sz="12" w:space="0" w:color="000000"/>
            </w:tcBorders>
            <w:vAlign w:val="center"/>
          </w:tcPr>
          <w:p w14:paraId="3B181912"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 xml:space="preserve">Model with damped effect </w:t>
            </w:r>
          </w:p>
          <w:p w14:paraId="26868B20"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G1)</w:t>
            </w:r>
          </w:p>
        </w:tc>
        <w:tc>
          <w:tcPr>
            <w:tcW w:w="1134" w:type="dxa"/>
            <w:tcBorders>
              <w:top w:val="single" w:sz="12" w:space="0" w:color="000000"/>
            </w:tcBorders>
            <w:vAlign w:val="center"/>
          </w:tcPr>
          <w:p w14:paraId="12941E53"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 (R1)</w:t>
            </w:r>
          </w:p>
        </w:tc>
        <w:tc>
          <w:tcPr>
            <w:tcW w:w="1167" w:type="dxa"/>
            <w:tcBorders>
              <w:top w:val="single" w:sz="12" w:space="0" w:color="000000"/>
            </w:tcBorders>
            <w:vAlign w:val="bottom"/>
          </w:tcPr>
          <w:p w14:paraId="575C0582"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261</w:t>
            </w:r>
          </w:p>
        </w:tc>
        <w:tc>
          <w:tcPr>
            <w:tcW w:w="993" w:type="dxa"/>
            <w:tcBorders>
              <w:top w:val="single" w:sz="12" w:space="0" w:color="000000"/>
            </w:tcBorders>
            <w:vAlign w:val="bottom"/>
          </w:tcPr>
          <w:p w14:paraId="004C1E47"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75</w:t>
            </w:r>
          </w:p>
        </w:tc>
        <w:tc>
          <w:tcPr>
            <w:tcW w:w="992" w:type="dxa"/>
            <w:tcBorders>
              <w:top w:val="single" w:sz="12" w:space="0" w:color="000000"/>
            </w:tcBorders>
            <w:vAlign w:val="bottom"/>
          </w:tcPr>
          <w:p w14:paraId="0332394D"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253</w:t>
            </w:r>
          </w:p>
        </w:tc>
        <w:tc>
          <w:tcPr>
            <w:tcW w:w="1036" w:type="dxa"/>
            <w:tcBorders>
              <w:top w:val="single" w:sz="12" w:space="0" w:color="000000"/>
            </w:tcBorders>
            <w:vAlign w:val="bottom"/>
          </w:tcPr>
          <w:p w14:paraId="38CCF89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21</w:t>
            </w:r>
          </w:p>
        </w:tc>
        <w:tc>
          <w:tcPr>
            <w:tcW w:w="1047" w:type="dxa"/>
            <w:tcBorders>
              <w:top w:val="single" w:sz="12" w:space="0" w:color="000000"/>
              <w:right w:val="single" w:sz="12" w:space="0" w:color="000000"/>
            </w:tcBorders>
            <w:vAlign w:val="bottom"/>
          </w:tcPr>
          <w:p w14:paraId="2A69BB3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610</w:t>
            </w:r>
          </w:p>
        </w:tc>
        <w:tc>
          <w:tcPr>
            <w:tcW w:w="1177" w:type="dxa"/>
            <w:tcBorders>
              <w:top w:val="single" w:sz="12" w:space="0" w:color="000000"/>
              <w:right w:val="single" w:sz="12" w:space="0" w:color="000000"/>
            </w:tcBorders>
          </w:tcPr>
          <w:p w14:paraId="35402F5B" w14:textId="77777777" w:rsidR="00364012" w:rsidRPr="00097E31" w:rsidRDefault="00364012" w:rsidP="007721CD">
            <w:pPr>
              <w:rPr>
                <w:rFonts w:asciiTheme="majorBidi" w:hAnsiTheme="majorBidi" w:cstheme="majorBidi"/>
              </w:rPr>
            </w:pPr>
            <w:r w:rsidRPr="00097E31">
              <w:rPr>
                <w:rFonts w:asciiTheme="majorBidi" w:hAnsiTheme="majorBidi" w:cstheme="majorBidi"/>
              </w:rPr>
              <w:t>57.0%</w:t>
            </w:r>
          </w:p>
        </w:tc>
      </w:tr>
      <w:tr w:rsidR="00364012" w:rsidRPr="00097E31" w14:paraId="250B2ED8" w14:textId="77777777" w:rsidTr="007721CD">
        <w:tc>
          <w:tcPr>
            <w:tcW w:w="1493" w:type="dxa"/>
            <w:tcBorders>
              <w:right w:val="single" w:sz="12" w:space="0" w:color="000000"/>
            </w:tcBorders>
          </w:tcPr>
          <w:p w14:paraId="259EB89B" w14:textId="5F1E1D42" w:rsidR="00364012" w:rsidRPr="00097E31" w:rsidRDefault="00001050" w:rsidP="007721CD">
            <w:pPr>
              <w:spacing w:before="60" w:after="60"/>
              <w:rPr>
                <w:rFonts w:asciiTheme="majorBidi" w:hAnsiTheme="majorBidi" w:cstheme="majorBidi"/>
              </w:rPr>
            </w:pPr>
            <w:r>
              <w:rPr>
                <w:rFonts w:asciiTheme="majorBidi" w:hAnsiTheme="majorBidi" w:cstheme="majorBidi"/>
              </w:rPr>
              <w:t>Scenario P</w:t>
            </w:r>
            <w:r>
              <w:rPr>
                <w:rFonts w:asciiTheme="majorBidi" w:hAnsiTheme="majorBidi" w:cstheme="majorBidi"/>
              </w:rPr>
              <w:t>2</w:t>
            </w:r>
          </w:p>
        </w:tc>
        <w:tc>
          <w:tcPr>
            <w:tcW w:w="1304" w:type="dxa"/>
            <w:tcBorders>
              <w:left w:val="single" w:sz="12" w:space="0" w:color="000000"/>
            </w:tcBorders>
            <w:vAlign w:val="center"/>
          </w:tcPr>
          <w:p w14:paraId="551CEB8C" w14:textId="458B191A"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vAlign w:val="center"/>
          </w:tcPr>
          <w:p w14:paraId="51854083"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5% (R2)</w:t>
            </w:r>
          </w:p>
        </w:tc>
        <w:tc>
          <w:tcPr>
            <w:tcW w:w="1167" w:type="dxa"/>
            <w:vAlign w:val="bottom"/>
          </w:tcPr>
          <w:p w14:paraId="0008B597"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257</w:t>
            </w:r>
          </w:p>
        </w:tc>
        <w:tc>
          <w:tcPr>
            <w:tcW w:w="993" w:type="dxa"/>
            <w:vAlign w:val="bottom"/>
          </w:tcPr>
          <w:p w14:paraId="692B06B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75</w:t>
            </w:r>
          </w:p>
        </w:tc>
        <w:tc>
          <w:tcPr>
            <w:tcW w:w="992" w:type="dxa"/>
            <w:vAlign w:val="bottom"/>
          </w:tcPr>
          <w:p w14:paraId="32ADA8C6"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249</w:t>
            </w:r>
          </w:p>
        </w:tc>
        <w:tc>
          <w:tcPr>
            <w:tcW w:w="1036" w:type="dxa"/>
            <w:vAlign w:val="bottom"/>
          </w:tcPr>
          <w:p w14:paraId="4B307292"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20</w:t>
            </w:r>
          </w:p>
        </w:tc>
        <w:tc>
          <w:tcPr>
            <w:tcW w:w="1047" w:type="dxa"/>
            <w:tcBorders>
              <w:right w:val="single" w:sz="12" w:space="0" w:color="000000"/>
            </w:tcBorders>
            <w:vAlign w:val="bottom"/>
          </w:tcPr>
          <w:p w14:paraId="1CA81F3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601</w:t>
            </w:r>
          </w:p>
        </w:tc>
        <w:tc>
          <w:tcPr>
            <w:tcW w:w="1177" w:type="dxa"/>
            <w:tcBorders>
              <w:right w:val="single" w:sz="12" w:space="0" w:color="000000"/>
            </w:tcBorders>
          </w:tcPr>
          <w:p w14:paraId="78C1273C" w14:textId="77777777" w:rsidR="00364012" w:rsidRPr="00097E31" w:rsidRDefault="00364012" w:rsidP="007721CD">
            <w:pPr>
              <w:rPr>
                <w:rFonts w:asciiTheme="majorBidi" w:hAnsiTheme="majorBidi" w:cstheme="majorBidi"/>
              </w:rPr>
            </w:pPr>
            <w:r w:rsidRPr="00097E31">
              <w:rPr>
                <w:rFonts w:asciiTheme="majorBidi" w:hAnsiTheme="majorBidi" w:cstheme="majorBidi"/>
              </w:rPr>
              <w:t>57.9%</w:t>
            </w:r>
          </w:p>
        </w:tc>
      </w:tr>
      <w:tr w:rsidR="00364012" w:rsidRPr="00097E31" w14:paraId="110167DC" w14:textId="77777777" w:rsidTr="007721CD">
        <w:tc>
          <w:tcPr>
            <w:tcW w:w="1493" w:type="dxa"/>
            <w:tcBorders>
              <w:right w:val="single" w:sz="12" w:space="0" w:color="000000"/>
            </w:tcBorders>
          </w:tcPr>
          <w:p w14:paraId="3910ECA9" w14:textId="247D72C0"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left w:val="single" w:sz="12" w:space="0" w:color="000000"/>
            </w:tcBorders>
            <w:vAlign w:val="center"/>
          </w:tcPr>
          <w:p w14:paraId="5953E137" w14:textId="044ED915"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vAlign w:val="center"/>
          </w:tcPr>
          <w:p w14:paraId="01F3E250"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10% (R3)</w:t>
            </w:r>
          </w:p>
        </w:tc>
        <w:tc>
          <w:tcPr>
            <w:tcW w:w="1167" w:type="dxa"/>
            <w:vAlign w:val="bottom"/>
          </w:tcPr>
          <w:p w14:paraId="043DB6B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251</w:t>
            </w:r>
          </w:p>
        </w:tc>
        <w:tc>
          <w:tcPr>
            <w:tcW w:w="993" w:type="dxa"/>
            <w:vAlign w:val="bottom"/>
          </w:tcPr>
          <w:p w14:paraId="4E962414"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74</w:t>
            </w:r>
          </w:p>
        </w:tc>
        <w:tc>
          <w:tcPr>
            <w:tcW w:w="992" w:type="dxa"/>
            <w:vAlign w:val="bottom"/>
          </w:tcPr>
          <w:p w14:paraId="70F2EF31"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244</w:t>
            </w:r>
          </w:p>
        </w:tc>
        <w:tc>
          <w:tcPr>
            <w:tcW w:w="1036" w:type="dxa"/>
            <w:vAlign w:val="bottom"/>
          </w:tcPr>
          <w:p w14:paraId="32CF16D9"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20</w:t>
            </w:r>
          </w:p>
        </w:tc>
        <w:tc>
          <w:tcPr>
            <w:tcW w:w="1047" w:type="dxa"/>
            <w:tcBorders>
              <w:right w:val="single" w:sz="12" w:space="0" w:color="000000"/>
            </w:tcBorders>
            <w:vAlign w:val="bottom"/>
          </w:tcPr>
          <w:p w14:paraId="4DAC59F9"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589</w:t>
            </w:r>
          </w:p>
        </w:tc>
        <w:tc>
          <w:tcPr>
            <w:tcW w:w="1177" w:type="dxa"/>
            <w:tcBorders>
              <w:right w:val="single" w:sz="12" w:space="0" w:color="000000"/>
            </w:tcBorders>
          </w:tcPr>
          <w:p w14:paraId="680488CF" w14:textId="77777777" w:rsidR="00364012" w:rsidRPr="00097E31" w:rsidRDefault="00364012" w:rsidP="007721CD">
            <w:pPr>
              <w:rPr>
                <w:rFonts w:asciiTheme="majorBidi" w:hAnsiTheme="majorBidi" w:cstheme="majorBidi"/>
              </w:rPr>
            </w:pPr>
            <w:r w:rsidRPr="00097E31">
              <w:rPr>
                <w:rFonts w:asciiTheme="majorBidi" w:hAnsiTheme="majorBidi" w:cstheme="majorBidi"/>
              </w:rPr>
              <w:t>59.0%</w:t>
            </w:r>
          </w:p>
        </w:tc>
      </w:tr>
      <w:tr w:rsidR="00364012" w:rsidRPr="00097E31" w14:paraId="0A29CF55" w14:textId="77777777" w:rsidTr="007721CD">
        <w:tc>
          <w:tcPr>
            <w:tcW w:w="1493" w:type="dxa"/>
            <w:tcBorders>
              <w:right w:val="single" w:sz="12" w:space="0" w:color="000000"/>
            </w:tcBorders>
          </w:tcPr>
          <w:p w14:paraId="7DFA23A8" w14:textId="7BA7E82B"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left w:val="single" w:sz="12" w:space="0" w:color="000000"/>
              <w:bottom w:val="single" w:sz="12" w:space="0" w:color="000000"/>
            </w:tcBorders>
            <w:vAlign w:val="center"/>
          </w:tcPr>
          <w:p w14:paraId="0036E1D7" w14:textId="5FEABDEA" w:rsidR="00364012" w:rsidRPr="00097E31" w:rsidRDefault="00001050" w:rsidP="007721CD">
            <w:pPr>
              <w:spacing w:before="60" w:after="60"/>
              <w:rPr>
                <w:rFonts w:asciiTheme="majorBidi" w:hAnsiTheme="majorBidi" w:cstheme="majorBidi"/>
              </w:rPr>
            </w:pPr>
            <w:r>
              <w:rPr>
                <w:rFonts w:asciiTheme="majorBidi" w:hAnsiTheme="majorBidi" w:cstheme="majorBidi"/>
              </w:rPr>
              <w:t>Scenario G1</w:t>
            </w:r>
          </w:p>
        </w:tc>
        <w:tc>
          <w:tcPr>
            <w:tcW w:w="1134" w:type="dxa"/>
            <w:tcBorders>
              <w:bottom w:val="single" w:sz="12" w:space="0" w:color="000000"/>
            </w:tcBorders>
            <w:vAlign w:val="center"/>
          </w:tcPr>
          <w:p w14:paraId="5482A7AE"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30% (R4)</w:t>
            </w:r>
          </w:p>
        </w:tc>
        <w:tc>
          <w:tcPr>
            <w:tcW w:w="1167" w:type="dxa"/>
            <w:tcBorders>
              <w:bottom w:val="single" w:sz="12" w:space="0" w:color="000000"/>
            </w:tcBorders>
            <w:vAlign w:val="bottom"/>
          </w:tcPr>
          <w:p w14:paraId="3367AF5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230</w:t>
            </w:r>
          </w:p>
        </w:tc>
        <w:tc>
          <w:tcPr>
            <w:tcW w:w="993" w:type="dxa"/>
            <w:tcBorders>
              <w:bottom w:val="single" w:sz="12" w:space="0" w:color="000000"/>
            </w:tcBorders>
            <w:vAlign w:val="bottom"/>
          </w:tcPr>
          <w:p w14:paraId="2BBF0290"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70</w:t>
            </w:r>
          </w:p>
        </w:tc>
        <w:tc>
          <w:tcPr>
            <w:tcW w:w="992" w:type="dxa"/>
            <w:tcBorders>
              <w:bottom w:val="single" w:sz="12" w:space="0" w:color="000000"/>
            </w:tcBorders>
            <w:vAlign w:val="bottom"/>
          </w:tcPr>
          <w:p w14:paraId="59D2133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223</w:t>
            </w:r>
          </w:p>
        </w:tc>
        <w:tc>
          <w:tcPr>
            <w:tcW w:w="1036" w:type="dxa"/>
            <w:tcBorders>
              <w:bottom w:val="single" w:sz="12" w:space="0" w:color="000000"/>
            </w:tcBorders>
            <w:vAlign w:val="bottom"/>
          </w:tcPr>
          <w:p w14:paraId="6B3935E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19</w:t>
            </w:r>
          </w:p>
        </w:tc>
        <w:tc>
          <w:tcPr>
            <w:tcW w:w="1047" w:type="dxa"/>
            <w:tcBorders>
              <w:bottom w:val="single" w:sz="12" w:space="0" w:color="000000"/>
              <w:right w:val="single" w:sz="12" w:space="0" w:color="000000"/>
            </w:tcBorders>
            <w:vAlign w:val="bottom"/>
          </w:tcPr>
          <w:p w14:paraId="0CD67701"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542</w:t>
            </w:r>
          </w:p>
        </w:tc>
        <w:tc>
          <w:tcPr>
            <w:tcW w:w="1177" w:type="dxa"/>
            <w:tcBorders>
              <w:bottom w:val="single" w:sz="12" w:space="0" w:color="000000"/>
              <w:right w:val="single" w:sz="12" w:space="0" w:color="000000"/>
            </w:tcBorders>
          </w:tcPr>
          <w:p w14:paraId="1AA013F1" w14:textId="77777777" w:rsidR="00364012" w:rsidRPr="00097E31" w:rsidRDefault="00364012" w:rsidP="007721CD">
            <w:pPr>
              <w:rPr>
                <w:rFonts w:asciiTheme="majorBidi" w:hAnsiTheme="majorBidi" w:cstheme="majorBidi"/>
              </w:rPr>
            </w:pPr>
            <w:r w:rsidRPr="00097E31">
              <w:rPr>
                <w:rFonts w:asciiTheme="majorBidi" w:hAnsiTheme="majorBidi" w:cstheme="majorBidi"/>
              </w:rPr>
              <w:t>64.8%</w:t>
            </w:r>
          </w:p>
        </w:tc>
      </w:tr>
      <w:tr w:rsidR="00364012" w:rsidRPr="00097E31" w14:paraId="7F6EC040" w14:textId="77777777" w:rsidTr="007721CD">
        <w:tc>
          <w:tcPr>
            <w:tcW w:w="1493" w:type="dxa"/>
            <w:tcBorders>
              <w:right w:val="single" w:sz="12" w:space="0" w:color="000000"/>
            </w:tcBorders>
          </w:tcPr>
          <w:p w14:paraId="0103AE00" w14:textId="7382B134"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top w:val="single" w:sz="12" w:space="0" w:color="000000"/>
              <w:left w:val="single" w:sz="12" w:space="0" w:color="000000"/>
            </w:tcBorders>
            <w:vAlign w:val="center"/>
          </w:tcPr>
          <w:p w14:paraId="0536D95F"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 xml:space="preserve">Model without </w:t>
            </w:r>
            <w:r w:rsidRPr="00097E31">
              <w:rPr>
                <w:rFonts w:asciiTheme="majorBidi" w:hAnsiTheme="majorBidi" w:cstheme="majorBidi"/>
              </w:rPr>
              <w:lastRenderedPageBreak/>
              <w:t xml:space="preserve">damped effect </w:t>
            </w:r>
          </w:p>
          <w:p w14:paraId="243DBACD" w14:textId="77777777" w:rsidR="00364012" w:rsidRPr="00097E31" w:rsidRDefault="00364012" w:rsidP="007721CD">
            <w:pPr>
              <w:spacing w:before="60" w:after="60"/>
              <w:rPr>
                <w:rFonts w:asciiTheme="majorBidi" w:hAnsiTheme="majorBidi" w:cstheme="majorBidi"/>
              </w:rPr>
            </w:pPr>
            <w:r w:rsidRPr="00097E31">
              <w:rPr>
                <w:rFonts w:asciiTheme="majorBidi" w:hAnsiTheme="majorBidi" w:cstheme="majorBidi"/>
              </w:rPr>
              <w:t>(</w:t>
            </w:r>
            <w:proofErr w:type="gramStart"/>
            <w:r w:rsidRPr="00097E31">
              <w:rPr>
                <w:rFonts w:asciiTheme="majorBidi" w:hAnsiTheme="majorBidi" w:cstheme="majorBidi"/>
              </w:rPr>
              <w:t>scenario</w:t>
            </w:r>
            <w:proofErr w:type="gramEnd"/>
            <w:r w:rsidRPr="00097E31">
              <w:rPr>
                <w:rFonts w:asciiTheme="majorBidi" w:hAnsiTheme="majorBidi" w:cstheme="majorBidi"/>
              </w:rPr>
              <w:t xml:space="preserve"> G2)</w:t>
            </w:r>
          </w:p>
        </w:tc>
        <w:tc>
          <w:tcPr>
            <w:tcW w:w="1134" w:type="dxa"/>
            <w:tcBorders>
              <w:top w:val="single" w:sz="12" w:space="0" w:color="000000"/>
            </w:tcBorders>
            <w:vAlign w:val="center"/>
          </w:tcPr>
          <w:p w14:paraId="6F340CAA"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lastRenderedPageBreak/>
              <w:t>1% (R1)</w:t>
            </w:r>
          </w:p>
        </w:tc>
        <w:tc>
          <w:tcPr>
            <w:tcW w:w="1167" w:type="dxa"/>
            <w:tcBorders>
              <w:top w:val="single" w:sz="12" w:space="0" w:color="000000"/>
            </w:tcBorders>
            <w:vAlign w:val="bottom"/>
          </w:tcPr>
          <w:p w14:paraId="3AD6CD8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387</w:t>
            </w:r>
          </w:p>
        </w:tc>
        <w:tc>
          <w:tcPr>
            <w:tcW w:w="993" w:type="dxa"/>
            <w:tcBorders>
              <w:top w:val="single" w:sz="12" w:space="0" w:color="000000"/>
            </w:tcBorders>
            <w:vAlign w:val="bottom"/>
          </w:tcPr>
          <w:p w14:paraId="5D97AEB3"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112</w:t>
            </w:r>
          </w:p>
        </w:tc>
        <w:tc>
          <w:tcPr>
            <w:tcW w:w="992" w:type="dxa"/>
            <w:tcBorders>
              <w:top w:val="single" w:sz="12" w:space="0" w:color="000000"/>
            </w:tcBorders>
            <w:vAlign w:val="bottom"/>
          </w:tcPr>
          <w:p w14:paraId="1F15F022"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375</w:t>
            </w:r>
          </w:p>
        </w:tc>
        <w:tc>
          <w:tcPr>
            <w:tcW w:w="1036" w:type="dxa"/>
            <w:tcBorders>
              <w:top w:val="single" w:sz="12" w:space="0" w:color="000000"/>
            </w:tcBorders>
            <w:vAlign w:val="bottom"/>
          </w:tcPr>
          <w:p w14:paraId="27A9F96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31</w:t>
            </w:r>
          </w:p>
        </w:tc>
        <w:tc>
          <w:tcPr>
            <w:tcW w:w="1047" w:type="dxa"/>
            <w:tcBorders>
              <w:top w:val="single" w:sz="12" w:space="0" w:color="000000"/>
              <w:right w:val="single" w:sz="12" w:space="0" w:color="000000"/>
            </w:tcBorders>
            <w:vAlign w:val="bottom"/>
          </w:tcPr>
          <w:p w14:paraId="3ED2C9D4"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905</w:t>
            </w:r>
          </w:p>
        </w:tc>
        <w:tc>
          <w:tcPr>
            <w:tcW w:w="1177" w:type="dxa"/>
            <w:tcBorders>
              <w:top w:val="single" w:sz="12" w:space="0" w:color="000000"/>
              <w:right w:val="single" w:sz="12" w:space="0" w:color="000000"/>
            </w:tcBorders>
          </w:tcPr>
          <w:p w14:paraId="37958DD4" w14:textId="77777777" w:rsidR="00364012" w:rsidRPr="00097E31" w:rsidRDefault="00364012" w:rsidP="007721CD">
            <w:pPr>
              <w:rPr>
                <w:rFonts w:asciiTheme="majorBidi" w:hAnsiTheme="majorBidi" w:cstheme="majorBidi"/>
              </w:rPr>
            </w:pPr>
            <w:r w:rsidRPr="00097E31">
              <w:rPr>
                <w:rFonts w:asciiTheme="majorBidi" w:hAnsiTheme="majorBidi" w:cstheme="majorBidi"/>
              </w:rPr>
              <w:t>40.9%</w:t>
            </w:r>
          </w:p>
        </w:tc>
      </w:tr>
      <w:tr w:rsidR="00364012" w:rsidRPr="00097E31" w14:paraId="6E872577" w14:textId="77777777" w:rsidTr="007721CD">
        <w:tc>
          <w:tcPr>
            <w:tcW w:w="1493" w:type="dxa"/>
            <w:tcBorders>
              <w:right w:val="single" w:sz="12" w:space="0" w:color="000000"/>
            </w:tcBorders>
          </w:tcPr>
          <w:p w14:paraId="56D246F8" w14:textId="77D51432"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left w:val="single" w:sz="12" w:space="0" w:color="000000"/>
            </w:tcBorders>
          </w:tcPr>
          <w:p w14:paraId="5BF96B56" w14:textId="02E4AA86" w:rsidR="00364012" w:rsidRPr="00097E31" w:rsidRDefault="00001050" w:rsidP="007721CD">
            <w:pPr>
              <w:spacing w:before="60" w:after="60"/>
              <w:rPr>
                <w:rFonts w:asciiTheme="majorBidi" w:hAnsiTheme="majorBidi" w:cstheme="majorBidi"/>
              </w:rPr>
            </w:pPr>
            <w:r>
              <w:rPr>
                <w:rFonts w:asciiTheme="majorBidi" w:hAnsiTheme="majorBidi" w:cstheme="majorBidi"/>
              </w:rPr>
              <w:t>Scenario G2</w:t>
            </w:r>
          </w:p>
        </w:tc>
        <w:tc>
          <w:tcPr>
            <w:tcW w:w="1134" w:type="dxa"/>
            <w:vAlign w:val="center"/>
          </w:tcPr>
          <w:p w14:paraId="0A97BAE1"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5% (R2)</w:t>
            </w:r>
          </w:p>
        </w:tc>
        <w:tc>
          <w:tcPr>
            <w:tcW w:w="1167" w:type="dxa"/>
            <w:vAlign w:val="bottom"/>
          </w:tcPr>
          <w:p w14:paraId="79E90E25"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380</w:t>
            </w:r>
          </w:p>
        </w:tc>
        <w:tc>
          <w:tcPr>
            <w:tcW w:w="993" w:type="dxa"/>
            <w:vAlign w:val="bottom"/>
          </w:tcPr>
          <w:p w14:paraId="7CD09B6C"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111</w:t>
            </w:r>
          </w:p>
        </w:tc>
        <w:tc>
          <w:tcPr>
            <w:tcW w:w="992" w:type="dxa"/>
            <w:vAlign w:val="bottom"/>
          </w:tcPr>
          <w:p w14:paraId="69E77358"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369</w:t>
            </w:r>
          </w:p>
        </w:tc>
        <w:tc>
          <w:tcPr>
            <w:tcW w:w="1036" w:type="dxa"/>
            <w:vAlign w:val="bottom"/>
          </w:tcPr>
          <w:p w14:paraId="6F40F392"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30</w:t>
            </w:r>
          </w:p>
        </w:tc>
        <w:tc>
          <w:tcPr>
            <w:tcW w:w="1047" w:type="dxa"/>
            <w:tcBorders>
              <w:right w:val="single" w:sz="12" w:space="0" w:color="000000"/>
            </w:tcBorders>
            <w:vAlign w:val="bottom"/>
          </w:tcPr>
          <w:p w14:paraId="29CD2AD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890</w:t>
            </w:r>
          </w:p>
        </w:tc>
        <w:tc>
          <w:tcPr>
            <w:tcW w:w="1177" w:type="dxa"/>
            <w:tcBorders>
              <w:right w:val="single" w:sz="12" w:space="0" w:color="000000"/>
            </w:tcBorders>
          </w:tcPr>
          <w:p w14:paraId="3EF23FD2" w14:textId="77777777" w:rsidR="00364012" w:rsidRPr="00097E31" w:rsidRDefault="00364012" w:rsidP="007721CD">
            <w:pPr>
              <w:rPr>
                <w:rFonts w:asciiTheme="majorBidi" w:hAnsiTheme="majorBidi" w:cstheme="majorBidi"/>
              </w:rPr>
            </w:pPr>
            <w:r w:rsidRPr="00097E31">
              <w:rPr>
                <w:rFonts w:asciiTheme="majorBidi" w:hAnsiTheme="majorBidi" w:cstheme="majorBidi"/>
              </w:rPr>
              <w:t>41.8%</w:t>
            </w:r>
          </w:p>
        </w:tc>
      </w:tr>
      <w:tr w:rsidR="00364012" w:rsidRPr="00097E31" w14:paraId="439283C2" w14:textId="77777777" w:rsidTr="007721CD">
        <w:tc>
          <w:tcPr>
            <w:tcW w:w="1493" w:type="dxa"/>
            <w:tcBorders>
              <w:right w:val="single" w:sz="12" w:space="0" w:color="000000"/>
            </w:tcBorders>
          </w:tcPr>
          <w:p w14:paraId="51B53FB0" w14:textId="4474A931"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left w:val="single" w:sz="12" w:space="0" w:color="000000"/>
            </w:tcBorders>
          </w:tcPr>
          <w:p w14:paraId="31592DB6" w14:textId="196E831D" w:rsidR="00364012" w:rsidRPr="00097E31" w:rsidRDefault="00001050" w:rsidP="007721CD">
            <w:pPr>
              <w:spacing w:before="60" w:after="60"/>
              <w:rPr>
                <w:rFonts w:asciiTheme="majorBidi" w:hAnsiTheme="majorBidi" w:cstheme="majorBidi"/>
              </w:rPr>
            </w:pPr>
            <w:r>
              <w:rPr>
                <w:rFonts w:asciiTheme="majorBidi" w:hAnsiTheme="majorBidi" w:cstheme="majorBidi"/>
              </w:rPr>
              <w:t>Scenario G2</w:t>
            </w:r>
          </w:p>
        </w:tc>
        <w:tc>
          <w:tcPr>
            <w:tcW w:w="1134" w:type="dxa"/>
            <w:vAlign w:val="center"/>
          </w:tcPr>
          <w:p w14:paraId="453B72BD"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10% (R3)</w:t>
            </w:r>
          </w:p>
        </w:tc>
        <w:tc>
          <w:tcPr>
            <w:tcW w:w="1167" w:type="dxa"/>
            <w:vAlign w:val="bottom"/>
          </w:tcPr>
          <w:p w14:paraId="14AD8B6A"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371</w:t>
            </w:r>
          </w:p>
        </w:tc>
        <w:tc>
          <w:tcPr>
            <w:tcW w:w="993" w:type="dxa"/>
            <w:vAlign w:val="bottom"/>
          </w:tcPr>
          <w:p w14:paraId="60CA114F"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109</w:t>
            </w:r>
          </w:p>
        </w:tc>
        <w:tc>
          <w:tcPr>
            <w:tcW w:w="992" w:type="dxa"/>
            <w:vAlign w:val="bottom"/>
          </w:tcPr>
          <w:p w14:paraId="4306FF8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360</w:t>
            </w:r>
          </w:p>
        </w:tc>
        <w:tc>
          <w:tcPr>
            <w:tcW w:w="1036" w:type="dxa"/>
            <w:vAlign w:val="bottom"/>
          </w:tcPr>
          <w:p w14:paraId="7E86CE16"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30</w:t>
            </w:r>
          </w:p>
        </w:tc>
        <w:tc>
          <w:tcPr>
            <w:tcW w:w="1047" w:type="dxa"/>
            <w:tcBorders>
              <w:right w:val="single" w:sz="12" w:space="0" w:color="000000"/>
            </w:tcBorders>
            <w:vAlign w:val="bottom"/>
          </w:tcPr>
          <w:p w14:paraId="149D2A97"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870</w:t>
            </w:r>
          </w:p>
        </w:tc>
        <w:tc>
          <w:tcPr>
            <w:tcW w:w="1177" w:type="dxa"/>
            <w:tcBorders>
              <w:right w:val="single" w:sz="12" w:space="0" w:color="000000"/>
            </w:tcBorders>
          </w:tcPr>
          <w:p w14:paraId="6C779B6D" w14:textId="77777777" w:rsidR="00364012" w:rsidRPr="00097E31" w:rsidRDefault="00364012" w:rsidP="007721CD">
            <w:pPr>
              <w:rPr>
                <w:rFonts w:asciiTheme="majorBidi" w:hAnsiTheme="majorBidi" w:cstheme="majorBidi"/>
              </w:rPr>
            </w:pPr>
            <w:r w:rsidRPr="00097E31">
              <w:rPr>
                <w:rFonts w:asciiTheme="majorBidi" w:hAnsiTheme="majorBidi" w:cstheme="majorBidi"/>
              </w:rPr>
              <w:t>43.0%</w:t>
            </w:r>
          </w:p>
        </w:tc>
      </w:tr>
      <w:tr w:rsidR="00364012" w:rsidRPr="00097E31" w14:paraId="29A3BB99" w14:textId="77777777" w:rsidTr="007721CD">
        <w:tc>
          <w:tcPr>
            <w:tcW w:w="1493" w:type="dxa"/>
            <w:tcBorders>
              <w:right w:val="single" w:sz="12" w:space="0" w:color="000000"/>
            </w:tcBorders>
          </w:tcPr>
          <w:p w14:paraId="66D57753" w14:textId="4A8B8D59" w:rsidR="00364012" w:rsidRPr="00097E31" w:rsidRDefault="00001050" w:rsidP="007721CD">
            <w:pPr>
              <w:spacing w:before="60" w:after="60"/>
              <w:rPr>
                <w:rFonts w:asciiTheme="majorBidi" w:hAnsiTheme="majorBidi" w:cstheme="majorBidi"/>
              </w:rPr>
            </w:pPr>
            <w:r>
              <w:rPr>
                <w:rFonts w:asciiTheme="majorBidi" w:hAnsiTheme="majorBidi" w:cstheme="majorBidi"/>
              </w:rPr>
              <w:t>Scenario P2</w:t>
            </w:r>
          </w:p>
        </w:tc>
        <w:tc>
          <w:tcPr>
            <w:tcW w:w="1304" w:type="dxa"/>
            <w:tcBorders>
              <w:left w:val="single" w:sz="12" w:space="0" w:color="000000"/>
              <w:bottom w:val="single" w:sz="12" w:space="0" w:color="000000"/>
            </w:tcBorders>
          </w:tcPr>
          <w:p w14:paraId="264FA0CB" w14:textId="3FA8BE5D" w:rsidR="00364012" w:rsidRPr="00097E31" w:rsidRDefault="00001050" w:rsidP="007721CD">
            <w:pPr>
              <w:spacing w:before="60" w:after="60"/>
              <w:rPr>
                <w:rFonts w:asciiTheme="majorBidi" w:hAnsiTheme="majorBidi" w:cstheme="majorBidi"/>
              </w:rPr>
            </w:pPr>
            <w:r>
              <w:rPr>
                <w:rFonts w:asciiTheme="majorBidi" w:hAnsiTheme="majorBidi" w:cstheme="majorBidi"/>
              </w:rPr>
              <w:t>Scenario G2</w:t>
            </w:r>
          </w:p>
        </w:tc>
        <w:tc>
          <w:tcPr>
            <w:tcW w:w="1134" w:type="dxa"/>
            <w:tcBorders>
              <w:bottom w:val="single" w:sz="12" w:space="0" w:color="000000"/>
            </w:tcBorders>
            <w:vAlign w:val="center"/>
          </w:tcPr>
          <w:p w14:paraId="57D845F7" w14:textId="77777777" w:rsidR="00364012" w:rsidRPr="00097E31" w:rsidRDefault="00364012" w:rsidP="007721CD">
            <w:pPr>
              <w:spacing w:before="60" w:after="60"/>
              <w:jc w:val="center"/>
              <w:rPr>
                <w:rFonts w:asciiTheme="majorBidi" w:hAnsiTheme="majorBidi" w:cstheme="majorBidi"/>
              </w:rPr>
            </w:pPr>
            <w:r w:rsidRPr="00097E31">
              <w:rPr>
                <w:rFonts w:asciiTheme="majorBidi" w:hAnsiTheme="majorBidi" w:cstheme="majorBidi"/>
              </w:rPr>
              <w:t>30% (R4)</w:t>
            </w:r>
          </w:p>
        </w:tc>
        <w:tc>
          <w:tcPr>
            <w:tcW w:w="1167" w:type="dxa"/>
            <w:tcBorders>
              <w:bottom w:val="single" w:sz="12" w:space="0" w:color="000000"/>
            </w:tcBorders>
            <w:vAlign w:val="bottom"/>
          </w:tcPr>
          <w:p w14:paraId="1F00F3BE"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335</w:t>
            </w:r>
          </w:p>
        </w:tc>
        <w:tc>
          <w:tcPr>
            <w:tcW w:w="993" w:type="dxa"/>
            <w:tcBorders>
              <w:bottom w:val="single" w:sz="12" w:space="0" w:color="000000"/>
            </w:tcBorders>
            <w:vAlign w:val="bottom"/>
          </w:tcPr>
          <w:p w14:paraId="02937FC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103</w:t>
            </w:r>
          </w:p>
        </w:tc>
        <w:tc>
          <w:tcPr>
            <w:tcW w:w="992" w:type="dxa"/>
            <w:tcBorders>
              <w:bottom w:val="single" w:sz="12" w:space="0" w:color="000000"/>
            </w:tcBorders>
            <w:vAlign w:val="bottom"/>
          </w:tcPr>
          <w:p w14:paraId="6F9A31F6"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325</w:t>
            </w:r>
          </w:p>
        </w:tc>
        <w:tc>
          <w:tcPr>
            <w:tcW w:w="1036" w:type="dxa"/>
            <w:tcBorders>
              <w:bottom w:val="single" w:sz="12" w:space="0" w:color="000000"/>
            </w:tcBorders>
            <w:vAlign w:val="bottom"/>
          </w:tcPr>
          <w:p w14:paraId="097B9273"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28</w:t>
            </w:r>
          </w:p>
        </w:tc>
        <w:tc>
          <w:tcPr>
            <w:tcW w:w="1047" w:type="dxa"/>
            <w:tcBorders>
              <w:bottom w:val="single" w:sz="12" w:space="0" w:color="000000"/>
              <w:right w:val="single" w:sz="12" w:space="0" w:color="000000"/>
            </w:tcBorders>
            <w:vAlign w:val="bottom"/>
          </w:tcPr>
          <w:p w14:paraId="64ADF55B" w14:textId="77777777" w:rsidR="00364012" w:rsidRPr="00097E31" w:rsidRDefault="00364012" w:rsidP="007721CD">
            <w:pPr>
              <w:jc w:val="center"/>
              <w:rPr>
                <w:rFonts w:asciiTheme="majorBidi" w:hAnsiTheme="majorBidi" w:cstheme="majorBidi"/>
                <w:color w:val="000000"/>
              </w:rPr>
            </w:pPr>
            <w:r w:rsidRPr="00097E31">
              <w:rPr>
                <w:rFonts w:asciiTheme="majorBidi" w:hAnsiTheme="majorBidi" w:cstheme="majorBidi"/>
                <w:color w:val="000000"/>
              </w:rPr>
              <w:t>791</w:t>
            </w:r>
          </w:p>
        </w:tc>
        <w:tc>
          <w:tcPr>
            <w:tcW w:w="1177" w:type="dxa"/>
            <w:tcBorders>
              <w:bottom w:val="single" w:sz="12" w:space="0" w:color="000000"/>
              <w:right w:val="single" w:sz="12" w:space="0" w:color="000000"/>
            </w:tcBorders>
          </w:tcPr>
          <w:p w14:paraId="00AA8B04" w14:textId="77777777" w:rsidR="00364012" w:rsidRPr="00097E31" w:rsidRDefault="00364012" w:rsidP="007721CD">
            <w:pPr>
              <w:rPr>
                <w:rFonts w:asciiTheme="majorBidi" w:hAnsiTheme="majorBidi" w:cstheme="majorBidi"/>
              </w:rPr>
            </w:pPr>
            <w:r w:rsidRPr="00097E31">
              <w:rPr>
                <w:rFonts w:asciiTheme="majorBidi" w:hAnsiTheme="majorBidi" w:cstheme="majorBidi"/>
              </w:rPr>
              <w:t>49.1%</w:t>
            </w:r>
          </w:p>
        </w:tc>
      </w:tr>
    </w:tbl>
    <w:p w14:paraId="09609755" w14:textId="77777777" w:rsidR="00364012" w:rsidRDefault="00364012" w:rsidP="00364012"/>
    <w:p w14:paraId="3A453772" w14:textId="77777777" w:rsidR="00AB4E6A" w:rsidRPr="00AB4E6A" w:rsidRDefault="00AB4E6A" w:rsidP="00AB4E6A">
      <w:pPr>
        <w:rPr>
          <w:rFonts w:asciiTheme="majorBidi" w:hAnsiTheme="majorBidi" w:cstheme="majorBidi"/>
        </w:rPr>
      </w:pPr>
    </w:p>
    <w:p w14:paraId="0C6CE6CF" w14:textId="77777777" w:rsidR="00AB4E6A" w:rsidRPr="00AB4E6A" w:rsidRDefault="00AB4E6A" w:rsidP="00AB4E6A">
      <w:pPr>
        <w:rPr>
          <w:rFonts w:asciiTheme="majorBidi" w:hAnsiTheme="majorBidi" w:cstheme="majorBidi"/>
        </w:rPr>
      </w:pPr>
    </w:p>
    <w:bookmarkEnd w:id="228"/>
    <w:p w14:paraId="064F9343" w14:textId="3F8EFB6E" w:rsidR="00100016" w:rsidRPr="00885DFB" w:rsidRDefault="00100016" w:rsidP="008F7DED">
      <w:pPr>
        <w:rPr>
          <w:rFonts w:asciiTheme="majorBidi" w:hAnsiTheme="majorBidi" w:cstheme="majorBidi"/>
        </w:rPr>
      </w:pPr>
    </w:p>
    <w:sectPr w:rsidR="00100016" w:rsidRPr="00885DFB" w:rsidSect="006F4DEE">
      <w:headerReference w:type="default" r:id="rId129"/>
      <w:pgSz w:w="11910" w:h="16840"/>
      <w:pgMar w:top="1582" w:right="1321" w:bottom="1582" w:left="13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5D48" w14:textId="77777777" w:rsidR="008E01D0" w:rsidRDefault="008E01D0" w:rsidP="00AC2D72">
      <w:pPr>
        <w:spacing w:after="0" w:line="240" w:lineRule="auto"/>
      </w:pPr>
      <w:r>
        <w:separator/>
      </w:r>
    </w:p>
  </w:endnote>
  <w:endnote w:type="continuationSeparator" w:id="0">
    <w:p w14:paraId="1E789E8C" w14:textId="77777777" w:rsidR="008E01D0" w:rsidRDefault="008E01D0" w:rsidP="00AC2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larendon LT Std">
    <w:altName w:val="Cambria"/>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Sylfaen"/>
    <w:panose1 w:val="00000000000000000000"/>
    <w:charset w:val="4D"/>
    <w:family w:val="auto"/>
    <w:notTrueType/>
    <w:pitch w:val="default"/>
    <w:sig w:usb0="00000003" w:usb1="00000000" w:usb2="00000000" w:usb3="00000000" w:csb0="00000001" w:csb1="00000000"/>
  </w:font>
  <w:font w:name="HelveticaNeue-Medium">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LancetPro-Bold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9048963"/>
      <w:docPartObj>
        <w:docPartGallery w:val="Page Numbers (Bottom of Page)"/>
        <w:docPartUnique/>
      </w:docPartObj>
    </w:sdtPr>
    <w:sdtEndPr>
      <w:rPr>
        <w:rStyle w:val="PageNumber"/>
      </w:rPr>
    </w:sdtEndPr>
    <w:sdtContent>
      <w:p w14:paraId="37942FD0" w14:textId="74098761" w:rsidR="008E01D0" w:rsidRDefault="008E01D0" w:rsidP="00912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290</w:t>
        </w:r>
        <w:r>
          <w:rPr>
            <w:rStyle w:val="PageNumber"/>
          </w:rPr>
          <w:fldChar w:fldCharType="end"/>
        </w:r>
      </w:p>
    </w:sdtContent>
  </w:sdt>
  <w:p w14:paraId="071C258C" w14:textId="77777777" w:rsidR="008E01D0" w:rsidRDefault="008E01D0" w:rsidP="00325235">
    <w:pPr>
      <w:pStyle w:val="Footer"/>
      <w:jc w:val="center"/>
    </w:pPr>
  </w:p>
  <w:p w14:paraId="5DD92A93" w14:textId="77777777" w:rsidR="008E01D0" w:rsidRDefault="008E01D0">
    <w:pPr>
      <w:pStyle w:val="Footer"/>
    </w:pPr>
  </w:p>
  <w:p w14:paraId="7617B193" w14:textId="77777777" w:rsidR="008E01D0" w:rsidRDefault="008E01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5039499"/>
      <w:docPartObj>
        <w:docPartGallery w:val="Page Numbers (Bottom of Page)"/>
        <w:docPartUnique/>
      </w:docPartObj>
    </w:sdtPr>
    <w:sdtEndPr>
      <w:rPr>
        <w:rStyle w:val="PageNumber"/>
      </w:rPr>
    </w:sdtEndPr>
    <w:sdtContent>
      <w:p w14:paraId="329D80A7" w14:textId="1A27259A" w:rsidR="008E01D0" w:rsidRDefault="008E01D0" w:rsidP="00912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38F35" w14:textId="7BE27282" w:rsidR="008E01D0" w:rsidRDefault="008E01D0">
    <w:pPr>
      <w:pStyle w:val="Footer"/>
      <w:jc w:val="center"/>
    </w:pPr>
  </w:p>
  <w:p w14:paraId="2F099D5A" w14:textId="77777777" w:rsidR="008E01D0" w:rsidRDefault="008E0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1BE7" w14:textId="77777777" w:rsidR="008E01D0" w:rsidRDefault="008E01D0">
    <w:pPr>
      <w:pStyle w:val="BodyText"/>
      <w:spacing w:line="14" w:lineRule="auto"/>
    </w:pPr>
    <w:r>
      <w:rPr>
        <w:noProof/>
        <w:lang w:eastAsia="en-GB"/>
      </w:rPr>
      <mc:AlternateContent>
        <mc:Choice Requires="wps">
          <w:drawing>
            <wp:anchor distT="0" distB="0" distL="114300" distR="114300" simplePos="0" relativeHeight="251659264" behindDoc="1" locked="0" layoutInCell="1" allowOverlap="1" wp14:anchorId="4578B69E" wp14:editId="6911F2B1">
              <wp:simplePos x="0" y="0"/>
              <wp:positionH relativeFrom="page">
                <wp:posOffset>3678555</wp:posOffset>
              </wp:positionH>
              <wp:positionV relativeFrom="page">
                <wp:posOffset>9669780</wp:posOffset>
              </wp:positionV>
              <wp:extent cx="215900" cy="152400"/>
              <wp:effectExtent l="0" t="0" r="0" b="0"/>
              <wp:wrapNone/>
              <wp:docPr id="147"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E0A7" w14:textId="1143D928" w:rsidR="008E01D0" w:rsidRDefault="008E01D0">
                          <w:pPr>
                            <w:pStyle w:val="BodyText"/>
                            <w:spacing w:line="213" w:lineRule="exact"/>
                            <w:ind w:left="60"/>
                          </w:pPr>
                          <w:r>
                            <w:fldChar w:fldCharType="begin"/>
                          </w:r>
                          <w:r>
                            <w:instrText xml:space="preserve"> PAGE </w:instrText>
                          </w:r>
                          <w:r>
                            <w:fldChar w:fldCharType="separate"/>
                          </w:r>
                          <w:r>
                            <w:rPr>
                              <w:noProof/>
                            </w:rPr>
                            <w:t>346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8B69E" id="_x0000_t202" coordsize="21600,21600" o:spt="202" path="m,l,21600r21600,l21600,xe">
              <v:stroke joinstyle="miter"/>
              <v:path gradientshapeok="t" o:connecttype="rect"/>
            </v:shapetype>
            <v:shape id="docshape1" o:spid="_x0000_s1069" type="#_x0000_t202" alt="&quot;&quot;" style="position:absolute;margin-left:289.65pt;margin-top:761.4pt;width:1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" filled="f" stroked="f">
              <v:textbox inset="0,0,0,0">
                <w:txbxContent>
                  <w:p w14:paraId="34C0E0A7" w14:textId="1143D928" w:rsidR="008E01D0" w:rsidRDefault="008E01D0">
                    <w:pPr>
                      <w:pStyle w:val="BodyText"/>
                      <w:spacing w:line="213" w:lineRule="exact"/>
                      <w:ind w:left="60"/>
                    </w:pPr>
                    <w:r>
                      <w:fldChar w:fldCharType="begin"/>
                    </w:r>
                    <w:r>
                      <w:instrText xml:space="preserve"> PAGE </w:instrText>
                    </w:r>
                    <w:r>
                      <w:fldChar w:fldCharType="separate"/>
                    </w:r>
                    <w:r>
                      <w:rPr>
                        <w:noProof/>
                      </w:rPr>
                      <w:t>346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8358" w14:textId="77777777" w:rsidR="008E01D0" w:rsidRDefault="008E01D0" w:rsidP="00AC2D72">
      <w:pPr>
        <w:spacing w:after="0" w:line="240" w:lineRule="auto"/>
      </w:pPr>
      <w:r>
        <w:separator/>
      </w:r>
    </w:p>
  </w:footnote>
  <w:footnote w:type="continuationSeparator" w:id="0">
    <w:p w14:paraId="697647AE" w14:textId="77777777" w:rsidR="008E01D0" w:rsidRDefault="008E01D0" w:rsidP="00AC2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C380" w14:textId="77777777" w:rsidR="008E01D0" w:rsidRDefault="008E01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84B2" w14:textId="77777777" w:rsidR="008E01D0" w:rsidRPr="006E5665" w:rsidRDefault="008E01D0" w:rsidP="006E5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7957" w14:textId="77777777" w:rsidR="008E01D0" w:rsidRPr="006E5665" w:rsidRDefault="008E01D0" w:rsidP="00885D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33D" w14:textId="77777777" w:rsidR="008E01D0" w:rsidRPr="006E5665" w:rsidRDefault="008E01D0" w:rsidP="00A478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840B" w14:textId="77777777" w:rsidR="008E01D0" w:rsidRPr="006E5665" w:rsidRDefault="008E01D0" w:rsidP="006E5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495"/>
    <w:multiLevelType w:val="hybridMultilevel"/>
    <w:tmpl w:val="1996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215A5"/>
    <w:multiLevelType w:val="hybridMultilevel"/>
    <w:tmpl w:val="0DBE6E1E"/>
    <w:lvl w:ilvl="0" w:tplc="61545D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67FB7"/>
    <w:multiLevelType w:val="multilevel"/>
    <w:tmpl w:val="AA287100"/>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BA2940"/>
    <w:multiLevelType w:val="multilevel"/>
    <w:tmpl w:val="792287C4"/>
    <w:lvl w:ilvl="0">
      <w:start w:val="1"/>
      <w:numFmt w:val="bullet"/>
      <w:pStyle w:val="NICE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NICEBullet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DE1C25"/>
    <w:multiLevelType w:val="hybridMultilevel"/>
    <w:tmpl w:val="AC84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44E1B"/>
    <w:multiLevelType w:val="hybridMultilevel"/>
    <w:tmpl w:val="5B6CB62A"/>
    <w:lvl w:ilvl="0" w:tplc="37EA5FB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890342"/>
    <w:multiLevelType w:val="hybridMultilevel"/>
    <w:tmpl w:val="67107276"/>
    <w:lvl w:ilvl="0" w:tplc="08090017">
      <w:start w:val="1"/>
      <w:numFmt w:val="lowerLetter"/>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7"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8" w15:restartNumberingAfterBreak="0">
    <w:nsid w:val="05B80150"/>
    <w:multiLevelType w:val="multilevel"/>
    <w:tmpl w:val="1CEE42BC"/>
    <w:lvl w:ilvl="0">
      <w:start w:val="7"/>
      <w:numFmt w:val="decimal"/>
      <w:lvlText w:val="%1"/>
      <w:lvlJc w:val="left"/>
      <w:pPr>
        <w:ind w:left="660" w:hanging="660"/>
      </w:pPr>
      <w:rPr>
        <w:rFonts w:hint="default"/>
      </w:rPr>
    </w:lvl>
    <w:lvl w:ilvl="1">
      <w:start w:val="5"/>
      <w:numFmt w:val="decimal"/>
      <w:lvlText w:val="%1.%2"/>
      <w:lvlJc w:val="left"/>
      <w:pPr>
        <w:ind w:left="1618" w:hanging="660"/>
      </w:pPr>
      <w:rPr>
        <w:rFonts w:hint="default"/>
      </w:rPr>
    </w:lvl>
    <w:lvl w:ilvl="2">
      <w:start w:val="2"/>
      <w:numFmt w:val="decimal"/>
      <w:lvlText w:val="%1.%2.%3"/>
      <w:lvlJc w:val="left"/>
      <w:pPr>
        <w:ind w:left="2636" w:hanging="720"/>
      </w:pPr>
      <w:rPr>
        <w:rFonts w:hint="default"/>
      </w:rPr>
    </w:lvl>
    <w:lvl w:ilvl="3">
      <w:start w:val="5"/>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9" w15:restartNumberingAfterBreak="0">
    <w:nsid w:val="070C7E0B"/>
    <w:multiLevelType w:val="hybridMultilevel"/>
    <w:tmpl w:val="B346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4625D1"/>
    <w:multiLevelType w:val="hybridMultilevel"/>
    <w:tmpl w:val="0E7E5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D61E7B"/>
    <w:multiLevelType w:val="hybridMultilevel"/>
    <w:tmpl w:val="321A6EA2"/>
    <w:lvl w:ilvl="0" w:tplc="04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DC7ABB"/>
    <w:multiLevelType w:val="hybridMultilevel"/>
    <w:tmpl w:val="46244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7E62D1"/>
    <w:multiLevelType w:val="multilevel"/>
    <w:tmpl w:val="8CDAF0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DD393F"/>
    <w:multiLevelType w:val="multilevel"/>
    <w:tmpl w:val="C4EAB9A4"/>
    <w:lvl w:ilvl="0">
      <w:start w:val="8"/>
      <w:numFmt w:val="decimal"/>
      <w:lvlText w:val="%1"/>
      <w:lvlJc w:val="left"/>
      <w:pPr>
        <w:ind w:left="730" w:hanging="730"/>
      </w:pPr>
      <w:rPr>
        <w:rFonts w:hint="default"/>
      </w:rPr>
    </w:lvl>
    <w:lvl w:ilvl="1">
      <w:start w:val="3"/>
      <w:numFmt w:val="decimal"/>
      <w:lvlText w:val="%1.%2"/>
      <w:lvlJc w:val="left"/>
      <w:pPr>
        <w:ind w:left="730" w:hanging="730"/>
      </w:pPr>
      <w:rPr>
        <w:rFonts w:hint="default"/>
      </w:rPr>
    </w:lvl>
    <w:lvl w:ilvl="2">
      <w:start w:val="2"/>
      <w:numFmt w:val="decimal"/>
      <w:lvlText w:val="%1.%2.%3"/>
      <w:lvlJc w:val="left"/>
      <w:pPr>
        <w:ind w:left="730" w:hanging="730"/>
      </w:pPr>
      <w:rPr>
        <w:rFonts w:hint="default"/>
      </w:rPr>
    </w:lvl>
    <w:lvl w:ilvl="3">
      <w:start w:val="4"/>
      <w:numFmt w:val="decimal"/>
      <w:lvlText w:val="%1.%2.%3.%4"/>
      <w:lvlJc w:val="left"/>
      <w:pPr>
        <w:ind w:left="730" w:hanging="7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D5691F"/>
    <w:multiLevelType w:val="hybridMultilevel"/>
    <w:tmpl w:val="E35026FC"/>
    <w:lvl w:ilvl="0" w:tplc="A154C592">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18E1C1B"/>
    <w:multiLevelType w:val="multilevel"/>
    <w:tmpl w:val="C6BA7638"/>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3543F42"/>
    <w:multiLevelType w:val="hybridMultilevel"/>
    <w:tmpl w:val="2F82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4D78B5"/>
    <w:multiLevelType w:val="multilevel"/>
    <w:tmpl w:val="02EC6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489061E"/>
    <w:multiLevelType w:val="hybridMultilevel"/>
    <w:tmpl w:val="B9DA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3349D"/>
    <w:multiLevelType w:val="hybridMultilevel"/>
    <w:tmpl w:val="77C40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A21E12"/>
    <w:multiLevelType w:val="hybridMultilevel"/>
    <w:tmpl w:val="AAE23958"/>
    <w:lvl w:ilvl="0" w:tplc="8B28FDE6">
      <w:start w:val="1"/>
      <w:numFmt w:val="bullet"/>
      <w:pStyle w:val="bulletsintable"/>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161E2D37"/>
    <w:multiLevelType w:val="hybridMultilevel"/>
    <w:tmpl w:val="C272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64A3862"/>
    <w:multiLevelType w:val="multilevel"/>
    <w:tmpl w:val="6764D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42042E"/>
    <w:multiLevelType w:val="multilevel"/>
    <w:tmpl w:val="F286A02C"/>
    <w:lvl w:ilvl="0">
      <w:start w:val="7"/>
      <w:numFmt w:val="decimal"/>
      <w:lvlText w:val="%1"/>
      <w:lvlJc w:val="left"/>
      <w:pPr>
        <w:ind w:left="530" w:hanging="530"/>
      </w:pPr>
      <w:rPr>
        <w:rFonts w:hint="default"/>
      </w:rPr>
    </w:lvl>
    <w:lvl w:ilvl="1">
      <w:start w:val="2"/>
      <w:numFmt w:val="decimal"/>
      <w:lvlText w:val="%1.%2"/>
      <w:lvlJc w:val="left"/>
      <w:pPr>
        <w:ind w:left="1142" w:hanging="530"/>
      </w:pPr>
      <w:rPr>
        <w:rFonts w:hint="default"/>
      </w:rPr>
    </w:lvl>
    <w:lvl w:ilvl="2">
      <w:start w:val="5"/>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25" w15:restartNumberingAfterBreak="0">
    <w:nsid w:val="19311513"/>
    <w:multiLevelType w:val="hybridMultilevel"/>
    <w:tmpl w:val="3DE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726C28"/>
    <w:multiLevelType w:val="multilevel"/>
    <w:tmpl w:val="522AA23C"/>
    <w:lvl w:ilvl="0">
      <w:start w:val="1"/>
      <w:numFmt w:val="decimal"/>
      <w:lvlText w:val="%1"/>
      <w:lvlJc w:val="left"/>
      <w:pPr>
        <w:ind w:left="604" w:hanging="485"/>
      </w:pPr>
      <w:rPr>
        <w:rFonts w:ascii="Georgia" w:eastAsia="Georgia" w:hAnsi="Georgia" w:cs="Georgia" w:hint="default"/>
        <w:b/>
        <w:bCs/>
        <w:i w:val="0"/>
        <w:iCs w:val="0"/>
        <w:w w:val="117"/>
        <w:sz w:val="28"/>
        <w:szCs w:val="28"/>
      </w:rPr>
    </w:lvl>
    <w:lvl w:ilvl="1">
      <w:start w:val="1"/>
      <w:numFmt w:val="decimal"/>
      <w:lvlText w:val="%1.%2"/>
      <w:lvlJc w:val="left"/>
      <w:pPr>
        <w:ind w:left="732" w:hanging="613"/>
      </w:pPr>
      <w:rPr>
        <w:rFonts w:ascii="Georgia" w:eastAsia="Georgia" w:hAnsi="Georgia" w:cs="Georgia" w:hint="default"/>
        <w:b/>
        <w:bCs/>
        <w:i w:val="0"/>
        <w:iCs w:val="0"/>
        <w:w w:val="109"/>
        <w:sz w:val="24"/>
        <w:szCs w:val="24"/>
      </w:rPr>
    </w:lvl>
    <w:lvl w:ilvl="2">
      <w:numFmt w:val="bullet"/>
      <w:lvlText w:val="•"/>
      <w:lvlJc w:val="left"/>
      <w:pPr>
        <w:ind w:left="618" w:hanging="200"/>
      </w:pPr>
      <w:rPr>
        <w:rFonts w:ascii="Calibri" w:eastAsia="Calibri" w:hAnsi="Calibri" w:cs="Calibri" w:hint="default"/>
        <w:b w:val="0"/>
        <w:bCs w:val="0"/>
        <w:i w:val="0"/>
        <w:iCs w:val="0"/>
        <w:w w:val="100"/>
        <w:sz w:val="20"/>
        <w:szCs w:val="20"/>
      </w:rPr>
    </w:lvl>
    <w:lvl w:ilvl="3">
      <w:numFmt w:val="bullet"/>
      <w:lvlText w:val="•"/>
      <w:lvlJc w:val="left"/>
      <w:pPr>
        <w:ind w:left="1805" w:hanging="200"/>
      </w:pPr>
      <w:rPr>
        <w:rFonts w:hint="default"/>
      </w:rPr>
    </w:lvl>
    <w:lvl w:ilvl="4">
      <w:numFmt w:val="bullet"/>
      <w:lvlText w:val="•"/>
      <w:lvlJc w:val="left"/>
      <w:pPr>
        <w:ind w:left="2871" w:hanging="200"/>
      </w:pPr>
      <w:rPr>
        <w:rFonts w:hint="default"/>
      </w:rPr>
    </w:lvl>
    <w:lvl w:ilvl="5">
      <w:numFmt w:val="bullet"/>
      <w:lvlText w:val="•"/>
      <w:lvlJc w:val="left"/>
      <w:pPr>
        <w:ind w:left="3937" w:hanging="200"/>
      </w:pPr>
      <w:rPr>
        <w:rFonts w:hint="default"/>
      </w:rPr>
    </w:lvl>
    <w:lvl w:ilvl="6">
      <w:numFmt w:val="bullet"/>
      <w:lvlText w:val="•"/>
      <w:lvlJc w:val="left"/>
      <w:pPr>
        <w:ind w:left="5002" w:hanging="200"/>
      </w:pPr>
      <w:rPr>
        <w:rFonts w:hint="default"/>
      </w:rPr>
    </w:lvl>
    <w:lvl w:ilvl="7">
      <w:numFmt w:val="bullet"/>
      <w:lvlText w:val="•"/>
      <w:lvlJc w:val="left"/>
      <w:pPr>
        <w:ind w:left="6068" w:hanging="200"/>
      </w:pPr>
      <w:rPr>
        <w:rFonts w:hint="default"/>
      </w:rPr>
    </w:lvl>
    <w:lvl w:ilvl="8">
      <w:numFmt w:val="bullet"/>
      <w:lvlText w:val="•"/>
      <w:lvlJc w:val="left"/>
      <w:pPr>
        <w:ind w:left="7134" w:hanging="200"/>
      </w:pPr>
      <w:rPr>
        <w:rFonts w:hint="default"/>
      </w:rPr>
    </w:lvl>
  </w:abstractNum>
  <w:abstractNum w:abstractNumId="27" w15:restartNumberingAfterBreak="0">
    <w:nsid w:val="1B4D132B"/>
    <w:multiLevelType w:val="hybridMultilevel"/>
    <w:tmpl w:val="F86249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1C010383"/>
    <w:multiLevelType w:val="hybridMultilevel"/>
    <w:tmpl w:val="D69A52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E2A79AD"/>
    <w:multiLevelType w:val="hybridMultilevel"/>
    <w:tmpl w:val="5CF8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C22E7B"/>
    <w:multiLevelType w:val="hybridMultilevel"/>
    <w:tmpl w:val="E0A8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651995"/>
    <w:multiLevelType w:val="hybridMultilevel"/>
    <w:tmpl w:val="57B2B54C"/>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20743813"/>
    <w:multiLevelType w:val="multilevel"/>
    <w:tmpl w:val="618EF0D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3" w15:restartNumberingAfterBreak="0">
    <w:nsid w:val="20EC3172"/>
    <w:multiLevelType w:val="hybridMultilevel"/>
    <w:tmpl w:val="286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904519"/>
    <w:multiLevelType w:val="hybridMultilevel"/>
    <w:tmpl w:val="FFE6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CC3509"/>
    <w:multiLevelType w:val="multilevel"/>
    <w:tmpl w:val="F286A02C"/>
    <w:lvl w:ilvl="0">
      <w:start w:val="8"/>
      <w:numFmt w:val="decimal"/>
      <w:lvlText w:val="%1"/>
      <w:lvlJc w:val="left"/>
      <w:pPr>
        <w:ind w:left="530" w:hanging="530"/>
      </w:pPr>
      <w:rPr>
        <w:rFonts w:hint="default"/>
      </w:rPr>
    </w:lvl>
    <w:lvl w:ilvl="1">
      <w:start w:val="3"/>
      <w:numFmt w:val="decimal"/>
      <w:lvlText w:val="%1.%2"/>
      <w:lvlJc w:val="left"/>
      <w:pPr>
        <w:ind w:left="1142"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36" w15:restartNumberingAfterBreak="0">
    <w:nsid w:val="23553476"/>
    <w:multiLevelType w:val="multilevel"/>
    <w:tmpl w:val="C42C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39F4A3E"/>
    <w:multiLevelType w:val="hybridMultilevel"/>
    <w:tmpl w:val="46F82FD4"/>
    <w:lvl w:ilvl="0" w:tplc="B49EC1E6">
      <w:start w:val="4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DB3CE6"/>
    <w:multiLevelType w:val="hybridMultilevel"/>
    <w:tmpl w:val="2482FA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41C0FA3"/>
    <w:multiLevelType w:val="hybridMultilevel"/>
    <w:tmpl w:val="2FB6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8D5D66"/>
    <w:multiLevelType w:val="multilevel"/>
    <w:tmpl w:val="11AA2A80"/>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5031A7C"/>
    <w:multiLevelType w:val="hybridMultilevel"/>
    <w:tmpl w:val="D5965D14"/>
    <w:lvl w:ilvl="0" w:tplc="616493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617DAF"/>
    <w:multiLevelType w:val="hybridMultilevel"/>
    <w:tmpl w:val="D3C6E7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7E377C1"/>
    <w:multiLevelType w:val="hybridMultilevel"/>
    <w:tmpl w:val="DFA69A6A"/>
    <w:lvl w:ilvl="0" w:tplc="06229906">
      <w:start w:val="2"/>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9252CC7"/>
    <w:multiLevelType w:val="hybridMultilevel"/>
    <w:tmpl w:val="159C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A1E6A94"/>
    <w:multiLevelType w:val="hybridMultilevel"/>
    <w:tmpl w:val="1A663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B744675"/>
    <w:multiLevelType w:val="hybridMultilevel"/>
    <w:tmpl w:val="5F26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9D5CD2"/>
    <w:multiLevelType w:val="multilevel"/>
    <w:tmpl w:val="6F08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075E8E"/>
    <w:multiLevelType w:val="hybridMultilevel"/>
    <w:tmpl w:val="646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532DF3"/>
    <w:multiLevelType w:val="multilevel"/>
    <w:tmpl w:val="12B4CA0E"/>
    <w:lvl w:ilvl="0">
      <w:start w:val="1"/>
      <w:numFmt w:val="decimal"/>
      <w:pStyle w:val="EEPRUNumberedHeading"/>
      <w:lvlText w:val="%1."/>
      <w:lvlJc w:val="left"/>
      <w:pPr>
        <w:ind w:left="360" w:hanging="360"/>
      </w:pPr>
      <w:rPr>
        <w:rFonts w:hint="default"/>
      </w:rPr>
    </w:lvl>
    <w:lvl w:ilvl="1">
      <w:start w:val="1"/>
      <w:numFmt w:val="decimal"/>
      <w:pStyle w:val="EEPRUNumberedsub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F6A3488"/>
    <w:multiLevelType w:val="hybridMultilevel"/>
    <w:tmpl w:val="2BE0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0EF7B0E"/>
    <w:multiLevelType w:val="hybridMultilevel"/>
    <w:tmpl w:val="38A8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1E85F4E"/>
    <w:multiLevelType w:val="hybridMultilevel"/>
    <w:tmpl w:val="FA1C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837E6F"/>
    <w:multiLevelType w:val="multilevel"/>
    <w:tmpl w:val="65609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2C038F6"/>
    <w:multiLevelType w:val="multilevel"/>
    <w:tmpl w:val="EE944F08"/>
    <w:lvl w:ilvl="0">
      <w:start w:val="6"/>
      <w:numFmt w:val="decimal"/>
      <w:lvlText w:val="%1"/>
      <w:lvlJc w:val="left"/>
      <w:pPr>
        <w:ind w:left="530" w:hanging="530"/>
      </w:pPr>
      <w:rPr>
        <w:rFonts w:hint="default"/>
      </w:rPr>
    </w:lvl>
    <w:lvl w:ilvl="1">
      <w:start w:val="1"/>
      <w:numFmt w:val="decimal"/>
      <w:lvlText w:val="%1.%2"/>
      <w:lvlJc w:val="left"/>
      <w:pPr>
        <w:ind w:left="890" w:hanging="53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33836B04"/>
    <w:multiLevelType w:val="hybridMultilevel"/>
    <w:tmpl w:val="7E46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B85942"/>
    <w:multiLevelType w:val="multilevel"/>
    <w:tmpl w:val="14CADC5A"/>
    <w:lvl w:ilvl="0">
      <w:start w:val="147"/>
      <w:numFmt w:val="bullet"/>
      <w:pStyle w:val="NICE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5011EEA"/>
    <w:multiLevelType w:val="hybridMultilevel"/>
    <w:tmpl w:val="6B2AB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65217E3"/>
    <w:multiLevelType w:val="hybridMultilevel"/>
    <w:tmpl w:val="26E8D7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36812993"/>
    <w:multiLevelType w:val="hybridMultilevel"/>
    <w:tmpl w:val="4C84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4A3DF2"/>
    <w:multiLevelType w:val="hybridMultilevel"/>
    <w:tmpl w:val="E8EC4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663955"/>
    <w:multiLevelType w:val="hybridMultilevel"/>
    <w:tmpl w:val="CF2EAD86"/>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2" w15:restartNumberingAfterBreak="0">
    <w:nsid w:val="3AAD48A7"/>
    <w:multiLevelType w:val="hybridMultilevel"/>
    <w:tmpl w:val="803AA34A"/>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3AF50ABD"/>
    <w:multiLevelType w:val="multilevel"/>
    <w:tmpl w:val="F1A8745E"/>
    <w:styleLink w:val="CurrentList3"/>
    <w:lvl w:ilvl="0">
      <w:start w:val="4"/>
      <w:numFmt w:val="decimal"/>
      <w:lvlText w:val="%1)"/>
      <w:lvlJc w:val="left"/>
      <w:pPr>
        <w:ind w:left="720" w:hanging="360"/>
      </w:pPr>
      <w:rPr>
        <w:rFonts w:hint="default"/>
        <w:u w:val="none"/>
      </w:rPr>
    </w:lvl>
    <w:lvl w:ilvl="1">
      <w:start w:val="2"/>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4" w15:restartNumberingAfterBreak="0">
    <w:nsid w:val="3C990ADE"/>
    <w:multiLevelType w:val="multilevel"/>
    <w:tmpl w:val="9064D0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BA64BF"/>
    <w:multiLevelType w:val="hybridMultilevel"/>
    <w:tmpl w:val="5FF8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CF37F27"/>
    <w:multiLevelType w:val="hybridMultilevel"/>
    <w:tmpl w:val="BE32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C62513"/>
    <w:multiLevelType w:val="hybridMultilevel"/>
    <w:tmpl w:val="1CDA1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1CC61D8"/>
    <w:multiLevelType w:val="hybridMultilevel"/>
    <w:tmpl w:val="B16E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5845D9"/>
    <w:multiLevelType w:val="hybridMultilevel"/>
    <w:tmpl w:val="D29C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0A6B06"/>
    <w:multiLevelType w:val="multilevel"/>
    <w:tmpl w:val="E3224440"/>
    <w:styleLink w:val="Style1"/>
    <w:lvl w:ilvl="0">
      <w:start w:val="1"/>
      <w:numFmt w:val="decimal"/>
      <w:lvlText w:val="%1."/>
      <w:lvlJc w:val="left"/>
      <w:pPr>
        <w:ind w:left="720" w:hanging="360"/>
      </w:pPr>
      <w:rPr>
        <w:rFonts w:ascii="Clarendon LT Std" w:hAnsi="Clarendon LT Std" w:hint="default"/>
        <w:b/>
        <w:i w:val="0"/>
        <w:color w:val="424C54"/>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55C0B7E"/>
    <w:multiLevelType w:val="hybridMultilevel"/>
    <w:tmpl w:val="1A22FA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5C97186"/>
    <w:multiLevelType w:val="hybridMultilevel"/>
    <w:tmpl w:val="D534E668"/>
    <w:lvl w:ilvl="0" w:tplc="8B5CB86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3C1BF5"/>
    <w:multiLevelType w:val="hybridMultilevel"/>
    <w:tmpl w:val="CE6CACC4"/>
    <w:lvl w:ilvl="0" w:tplc="428C817A">
      <w:start w:val="1"/>
      <w:numFmt w:val="bullet"/>
      <w:pStyle w:val="EEPRUnumberedLevel1Heading"/>
      <w:lvlText w:val="-"/>
      <w:lvlJc w:val="left"/>
      <w:pPr>
        <w:ind w:left="720" w:hanging="360"/>
      </w:pPr>
      <w:rPr>
        <w:rFonts w:ascii="Calibri" w:eastAsiaTheme="minorHAnsi" w:hAnsi="Calibri" w:cs="Calibri" w:hint="default"/>
      </w:rPr>
    </w:lvl>
    <w:lvl w:ilvl="1" w:tplc="08090003">
      <w:start w:val="1"/>
      <w:numFmt w:val="bullet"/>
      <w:pStyle w:val="EEPRUnumberedheading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7E863C5"/>
    <w:multiLevelType w:val="multilevel"/>
    <w:tmpl w:val="11AA2A80"/>
    <w:styleLink w:val="CurrentList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855337A"/>
    <w:multiLevelType w:val="multilevel"/>
    <w:tmpl w:val="B9347832"/>
    <w:styleLink w:val="CurrentList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AE62FA4"/>
    <w:multiLevelType w:val="hybridMultilevel"/>
    <w:tmpl w:val="D9F2B7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D0917BD"/>
    <w:multiLevelType w:val="hybridMultilevel"/>
    <w:tmpl w:val="34B67F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E512C1C"/>
    <w:multiLevelType w:val="multilevel"/>
    <w:tmpl w:val="C4B4E6B6"/>
    <w:lvl w:ilvl="0">
      <w:start w:val="8"/>
      <w:numFmt w:val="decimal"/>
      <w:lvlText w:val="%1"/>
      <w:lvlJc w:val="left"/>
      <w:pPr>
        <w:ind w:left="720" w:hanging="720"/>
      </w:pPr>
      <w:rPr>
        <w:rFonts w:hint="default"/>
      </w:rPr>
    </w:lvl>
    <w:lvl w:ilvl="1">
      <w:start w:val="3"/>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5"/>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9" w15:restartNumberingAfterBreak="0">
    <w:nsid w:val="4EA97193"/>
    <w:multiLevelType w:val="hybridMultilevel"/>
    <w:tmpl w:val="C5FE4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0D5371F"/>
    <w:multiLevelType w:val="hybridMultilevel"/>
    <w:tmpl w:val="CDB6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1E92270"/>
    <w:multiLevelType w:val="hybridMultilevel"/>
    <w:tmpl w:val="2BE0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3CC0CB3"/>
    <w:multiLevelType w:val="multilevel"/>
    <w:tmpl w:val="B9347832"/>
    <w:styleLink w:val="CurrentList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5A60FBA"/>
    <w:multiLevelType w:val="hybridMultilevel"/>
    <w:tmpl w:val="EBB4F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668294D"/>
    <w:multiLevelType w:val="hybridMultilevel"/>
    <w:tmpl w:val="1A22FA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C058DB"/>
    <w:multiLevelType w:val="hybridMultilevel"/>
    <w:tmpl w:val="CB54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54478A"/>
    <w:multiLevelType w:val="hybridMultilevel"/>
    <w:tmpl w:val="5450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B337DD9"/>
    <w:multiLevelType w:val="hybridMultilevel"/>
    <w:tmpl w:val="9F9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C737DDA"/>
    <w:multiLevelType w:val="hybridMultilevel"/>
    <w:tmpl w:val="C95E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DB816B4"/>
    <w:multiLevelType w:val="hybridMultilevel"/>
    <w:tmpl w:val="3E64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F6451C"/>
    <w:multiLevelType w:val="hybridMultilevel"/>
    <w:tmpl w:val="99C253BE"/>
    <w:lvl w:ilvl="0" w:tplc="1EAE6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F0A5C4E"/>
    <w:multiLevelType w:val="hybridMultilevel"/>
    <w:tmpl w:val="A918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03F1E5B"/>
    <w:multiLevelType w:val="hybridMultilevel"/>
    <w:tmpl w:val="96782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0415E26"/>
    <w:multiLevelType w:val="hybridMultilevel"/>
    <w:tmpl w:val="34B4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04A5227"/>
    <w:multiLevelType w:val="hybridMultilevel"/>
    <w:tmpl w:val="195099E6"/>
    <w:lvl w:ilvl="0" w:tplc="AA146F26">
      <w:start w:val="10"/>
      <w:numFmt w:val="decimal"/>
      <w:lvlText w:val="%1."/>
      <w:lvlJc w:val="left"/>
      <w:pPr>
        <w:ind w:left="765" w:hanging="405"/>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0FA2B90"/>
    <w:multiLevelType w:val="hybridMultilevel"/>
    <w:tmpl w:val="DC58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10E19A0"/>
    <w:multiLevelType w:val="hybridMultilevel"/>
    <w:tmpl w:val="97E6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175079C"/>
    <w:multiLevelType w:val="hybridMultilevel"/>
    <w:tmpl w:val="AA36607C"/>
    <w:lvl w:ilvl="0" w:tplc="8AEC1E8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9C715E"/>
    <w:multiLevelType w:val="hybridMultilevel"/>
    <w:tmpl w:val="EE10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2648BB"/>
    <w:multiLevelType w:val="hybridMultilevel"/>
    <w:tmpl w:val="CFE4E2F0"/>
    <w:lvl w:ilvl="0" w:tplc="609813BE">
      <w:start w:val="10"/>
      <w:numFmt w:val="decimal"/>
      <w:lvlText w:val="%1."/>
      <w:lvlJc w:val="left"/>
      <w:pPr>
        <w:ind w:left="760" w:hanging="40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4491D82"/>
    <w:multiLevelType w:val="multilevel"/>
    <w:tmpl w:val="7C1A8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6F2189"/>
    <w:multiLevelType w:val="hybridMultilevel"/>
    <w:tmpl w:val="82AA4824"/>
    <w:lvl w:ilvl="0" w:tplc="35960CCE">
      <w:start w:val="1"/>
      <w:numFmt w:val="bullet"/>
      <w:pStyle w:val="Bullets"/>
      <w:lvlText w:val=""/>
      <w:lvlJc w:val="left"/>
      <w:pPr>
        <w:ind w:left="454" w:hanging="454"/>
      </w:pPr>
      <w:rPr>
        <w:rFonts w:ascii="Symbol" w:hAnsi="Symbol" w:hint="default"/>
      </w:rPr>
    </w:lvl>
    <w:lvl w:ilvl="1" w:tplc="08090001">
      <w:start w:val="1"/>
      <w:numFmt w:val="bullet"/>
      <w:lvlText w:val=""/>
      <w:lvlJc w:val="left"/>
      <w:pPr>
        <w:ind w:left="760" w:hanging="360"/>
      </w:pPr>
      <w:rPr>
        <w:rFonts w:ascii="Symbol" w:hAnsi="Symbol" w:hint="default"/>
      </w:rPr>
    </w:lvl>
    <w:lvl w:ilvl="2" w:tplc="08090005">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02" w15:restartNumberingAfterBreak="0">
    <w:nsid w:val="6AA227BA"/>
    <w:multiLevelType w:val="hybridMultilevel"/>
    <w:tmpl w:val="FAA88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6C6C3DD6"/>
    <w:multiLevelType w:val="hybridMultilevel"/>
    <w:tmpl w:val="FA1E1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E6A3425"/>
    <w:multiLevelType w:val="hybridMultilevel"/>
    <w:tmpl w:val="7E002D84"/>
    <w:lvl w:ilvl="0" w:tplc="37EA5FBE">
      <w:start w:val="1"/>
      <w:numFmt w:val="lowerRoman"/>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F573EA9"/>
    <w:multiLevelType w:val="hybridMultilevel"/>
    <w:tmpl w:val="57A0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0250BF9"/>
    <w:multiLevelType w:val="hybridMultilevel"/>
    <w:tmpl w:val="F3F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F62A8B"/>
    <w:multiLevelType w:val="hybridMultilevel"/>
    <w:tmpl w:val="AC0C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090096"/>
    <w:multiLevelType w:val="hybridMultilevel"/>
    <w:tmpl w:val="3D1A6CF8"/>
    <w:lvl w:ilvl="0" w:tplc="08090001">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27F5280"/>
    <w:multiLevelType w:val="hybridMultilevel"/>
    <w:tmpl w:val="EFCAA550"/>
    <w:lvl w:ilvl="0" w:tplc="EB1C3842">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31B2037"/>
    <w:multiLevelType w:val="hybridMultilevel"/>
    <w:tmpl w:val="24726C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98541EA"/>
    <w:multiLevelType w:val="hybridMultilevel"/>
    <w:tmpl w:val="C382D5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A711078"/>
    <w:multiLevelType w:val="hybridMultilevel"/>
    <w:tmpl w:val="5F5850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C6048D2"/>
    <w:multiLevelType w:val="hybridMultilevel"/>
    <w:tmpl w:val="CB6EE820"/>
    <w:lvl w:ilvl="0" w:tplc="060433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D2A1A14"/>
    <w:multiLevelType w:val="hybridMultilevel"/>
    <w:tmpl w:val="732E3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E7F2D2D"/>
    <w:multiLevelType w:val="multilevel"/>
    <w:tmpl w:val="AD96D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7F0B2298"/>
    <w:multiLevelType w:val="multilevel"/>
    <w:tmpl w:val="F286A02C"/>
    <w:lvl w:ilvl="0">
      <w:start w:val="8"/>
      <w:numFmt w:val="decimal"/>
      <w:lvlText w:val="%1"/>
      <w:lvlJc w:val="left"/>
      <w:pPr>
        <w:ind w:left="530" w:hanging="530"/>
      </w:pPr>
      <w:rPr>
        <w:rFonts w:hint="default"/>
      </w:rPr>
    </w:lvl>
    <w:lvl w:ilvl="1">
      <w:start w:val="1"/>
      <w:numFmt w:val="decimal"/>
      <w:lvlText w:val="%1.%2"/>
      <w:lvlJc w:val="left"/>
      <w:pPr>
        <w:ind w:left="1142" w:hanging="53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num w:numId="1" w16cid:durableId="46416734">
    <w:abstractNumId w:val="49"/>
  </w:num>
  <w:num w:numId="2" w16cid:durableId="1799564999">
    <w:abstractNumId w:val="61"/>
  </w:num>
  <w:num w:numId="3" w16cid:durableId="1616332382">
    <w:abstractNumId w:val="32"/>
  </w:num>
  <w:num w:numId="4" w16cid:durableId="1615819164">
    <w:abstractNumId w:val="73"/>
  </w:num>
  <w:num w:numId="5" w16cid:durableId="869534182">
    <w:abstractNumId w:val="27"/>
  </w:num>
  <w:num w:numId="6" w16cid:durableId="62496845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9670941">
    <w:abstractNumId w:val="37"/>
  </w:num>
  <w:num w:numId="8" w16cid:durableId="248082994">
    <w:abstractNumId w:val="11"/>
  </w:num>
  <w:num w:numId="9" w16cid:durableId="1554586273">
    <w:abstractNumId w:val="97"/>
  </w:num>
  <w:num w:numId="10" w16cid:durableId="797526768">
    <w:abstractNumId w:val="109"/>
  </w:num>
  <w:num w:numId="11" w16cid:durableId="570191689">
    <w:abstractNumId w:val="40"/>
  </w:num>
  <w:num w:numId="12" w16cid:durableId="765927715">
    <w:abstractNumId w:val="74"/>
  </w:num>
  <w:num w:numId="13" w16cid:durableId="1313216859">
    <w:abstractNumId w:val="63"/>
  </w:num>
  <w:num w:numId="14" w16cid:durableId="1410887505">
    <w:abstractNumId w:val="2"/>
  </w:num>
  <w:num w:numId="15" w16cid:durableId="53815381">
    <w:abstractNumId w:val="82"/>
  </w:num>
  <w:num w:numId="16" w16cid:durableId="1887403944">
    <w:abstractNumId w:val="75"/>
  </w:num>
  <w:num w:numId="17" w16cid:durableId="2141528040">
    <w:abstractNumId w:val="112"/>
  </w:num>
  <w:num w:numId="18" w16cid:durableId="1056582682">
    <w:abstractNumId w:val="77"/>
  </w:num>
  <w:num w:numId="19" w16cid:durableId="629553350">
    <w:abstractNumId w:val="21"/>
  </w:num>
  <w:num w:numId="20" w16cid:durableId="321861484">
    <w:abstractNumId w:val="102"/>
  </w:num>
  <w:num w:numId="21" w16cid:durableId="1229924912">
    <w:abstractNumId w:val="28"/>
  </w:num>
  <w:num w:numId="22" w16cid:durableId="1189029034">
    <w:abstractNumId w:val="33"/>
  </w:num>
  <w:num w:numId="23" w16cid:durableId="1588228693">
    <w:abstractNumId w:val="6"/>
  </w:num>
  <w:num w:numId="24" w16cid:durableId="645940543">
    <w:abstractNumId w:val="44"/>
  </w:num>
  <w:num w:numId="25" w16cid:durableId="1737237787">
    <w:abstractNumId w:val="20"/>
  </w:num>
  <w:num w:numId="26" w16cid:durableId="555510012">
    <w:abstractNumId w:val="110"/>
  </w:num>
  <w:num w:numId="27" w16cid:durableId="542715925">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1727060">
    <w:abstractNumId w:val="113"/>
  </w:num>
  <w:num w:numId="29" w16cid:durableId="1698001957">
    <w:abstractNumId w:val="12"/>
  </w:num>
  <w:num w:numId="30" w16cid:durableId="321930819">
    <w:abstractNumId w:val="30"/>
  </w:num>
  <w:num w:numId="31" w16cid:durableId="1469975140">
    <w:abstractNumId w:val="59"/>
  </w:num>
  <w:num w:numId="32" w16cid:durableId="1297489320">
    <w:abstractNumId w:val="66"/>
  </w:num>
  <w:num w:numId="33" w16cid:durableId="186136257">
    <w:abstractNumId w:val="96"/>
  </w:num>
  <w:num w:numId="34" w16cid:durableId="1982037660">
    <w:abstractNumId w:val="104"/>
  </w:num>
  <w:num w:numId="35" w16cid:durableId="2043508333">
    <w:abstractNumId w:val="5"/>
  </w:num>
  <w:num w:numId="36" w16cid:durableId="579487584">
    <w:abstractNumId w:val="47"/>
  </w:num>
  <w:num w:numId="37" w16cid:durableId="57216926">
    <w:abstractNumId w:val="50"/>
  </w:num>
  <w:num w:numId="38" w16cid:durableId="1551110665">
    <w:abstractNumId w:val="58"/>
  </w:num>
  <w:num w:numId="39" w16cid:durableId="998580437">
    <w:abstractNumId w:val="81"/>
  </w:num>
  <w:num w:numId="40" w16cid:durableId="472262328">
    <w:abstractNumId w:val="65"/>
  </w:num>
  <w:num w:numId="41" w16cid:durableId="1341931142">
    <w:abstractNumId w:val="84"/>
  </w:num>
  <w:num w:numId="42" w16cid:durableId="1882666075">
    <w:abstractNumId w:val="71"/>
  </w:num>
  <w:num w:numId="43" w16cid:durableId="769933208">
    <w:abstractNumId w:val="46"/>
  </w:num>
  <w:num w:numId="44" w16cid:durableId="1148666852">
    <w:abstractNumId w:val="91"/>
  </w:num>
  <w:num w:numId="45" w16cid:durableId="974681803">
    <w:abstractNumId w:val="0"/>
  </w:num>
  <w:num w:numId="46" w16cid:durableId="1484470471">
    <w:abstractNumId w:val="25"/>
  </w:num>
  <w:num w:numId="47" w16cid:durableId="114297310">
    <w:abstractNumId w:val="19"/>
  </w:num>
  <w:num w:numId="48" w16cid:durableId="976761710">
    <w:abstractNumId w:val="72"/>
  </w:num>
  <w:num w:numId="49" w16cid:durableId="735520159">
    <w:abstractNumId w:val="64"/>
  </w:num>
  <w:num w:numId="50" w16cid:durableId="1102533232">
    <w:abstractNumId w:val="41"/>
  </w:num>
  <w:num w:numId="51" w16cid:durableId="1886795844">
    <w:abstractNumId w:val="3"/>
  </w:num>
  <w:num w:numId="52" w16cid:durableId="911700531">
    <w:abstractNumId w:val="56"/>
  </w:num>
  <w:num w:numId="53" w16cid:durableId="1415860559">
    <w:abstractNumId w:val="101"/>
  </w:num>
  <w:num w:numId="54" w16cid:durableId="915365060">
    <w:abstractNumId w:val="7"/>
  </w:num>
  <w:num w:numId="55" w16cid:durableId="1102188601">
    <w:abstractNumId w:val="51"/>
  </w:num>
  <w:num w:numId="56" w16cid:durableId="1815949525">
    <w:abstractNumId w:val="70"/>
  </w:num>
  <w:num w:numId="57" w16cid:durableId="1293319199">
    <w:abstractNumId w:val="79"/>
  </w:num>
  <w:num w:numId="58" w16cid:durableId="250937364">
    <w:abstractNumId w:val="106"/>
  </w:num>
  <w:num w:numId="59" w16cid:durableId="186407488">
    <w:abstractNumId w:val="52"/>
  </w:num>
  <w:num w:numId="60" w16cid:durableId="957830747">
    <w:abstractNumId w:val="87"/>
  </w:num>
  <w:num w:numId="61" w16cid:durableId="1514494602">
    <w:abstractNumId w:val="86"/>
  </w:num>
  <w:num w:numId="62" w16cid:durableId="451020856">
    <w:abstractNumId w:val="22"/>
  </w:num>
  <w:num w:numId="63" w16cid:durableId="1341469368">
    <w:abstractNumId w:val="53"/>
  </w:num>
  <w:num w:numId="64" w16cid:durableId="1955012571">
    <w:abstractNumId w:val="10"/>
  </w:num>
  <w:num w:numId="65" w16cid:durableId="598677156">
    <w:abstractNumId w:val="103"/>
  </w:num>
  <w:num w:numId="66" w16cid:durableId="1509556862">
    <w:abstractNumId w:val="80"/>
  </w:num>
  <w:num w:numId="67" w16cid:durableId="1039822684">
    <w:abstractNumId w:val="4"/>
  </w:num>
  <w:num w:numId="68" w16cid:durableId="1867790889">
    <w:abstractNumId w:val="95"/>
  </w:num>
  <w:num w:numId="69" w16cid:durableId="1562640524">
    <w:abstractNumId w:val="57"/>
  </w:num>
  <w:num w:numId="70" w16cid:durableId="609095013">
    <w:abstractNumId w:val="69"/>
  </w:num>
  <w:num w:numId="71" w16cid:durableId="1018964454">
    <w:abstractNumId w:val="67"/>
  </w:num>
  <w:num w:numId="72" w16cid:durableId="1080177647">
    <w:abstractNumId w:val="92"/>
  </w:num>
  <w:num w:numId="73" w16cid:durableId="1409497589">
    <w:abstractNumId w:val="85"/>
  </w:num>
  <w:num w:numId="74" w16cid:durableId="323438280">
    <w:abstractNumId w:val="62"/>
    <w:lvlOverride w:ilvl="0">
      <w:startOverride w:val="1"/>
    </w:lvlOverride>
    <w:lvlOverride w:ilvl="1"/>
    <w:lvlOverride w:ilvl="2"/>
    <w:lvlOverride w:ilvl="3"/>
    <w:lvlOverride w:ilvl="4"/>
    <w:lvlOverride w:ilvl="5"/>
    <w:lvlOverride w:ilvl="6"/>
    <w:lvlOverride w:ilvl="7"/>
    <w:lvlOverride w:ilvl="8"/>
  </w:num>
  <w:num w:numId="75" w16cid:durableId="7079901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80083968">
    <w:abstractNumId w:val="36"/>
  </w:num>
  <w:num w:numId="77" w16cid:durableId="1056125602">
    <w:abstractNumId w:val="111"/>
  </w:num>
  <w:num w:numId="78" w16cid:durableId="332535686">
    <w:abstractNumId w:val="108"/>
  </w:num>
  <w:num w:numId="79" w16cid:durableId="480930640">
    <w:abstractNumId w:val="43"/>
  </w:num>
  <w:num w:numId="80" w16cid:durableId="1629122173">
    <w:abstractNumId w:val="76"/>
  </w:num>
  <w:num w:numId="81" w16cid:durableId="1169253734">
    <w:abstractNumId w:val="115"/>
  </w:num>
  <w:num w:numId="82" w16cid:durableId="1857186080">
    <w:abstractNumId w:val="26"/>
  </w:num>
  <w:num w:numId="83" w16cid:durableId="2022245520">
    <w:abstractNumId w:val="114"/>
  </w:num>
  <w:num w:numId="84" w16cid:durableId="192697617">
    <w:abstractNumId w:val="34"/>
  </w:num>
  <w:num w:numId="85" w16cid:durableId="1844054666">
    <w:abstractNumId w:val="88"/>
  </w:num>
  <w:num w:numId="86" w16cid:durableId="2074618472">
    <w:abstractNumId w:val="9"/>
  </w:num>
  <w:num w:numId="87" w16cid:durableId="1450972004">
    <w:abstractNumId w:val="89"/>
  </w:num>
  <w:num w:numId="88" w16cid:durableId="1970086040">
    <w:abstractNumId w:val="39"/>
  </w:num>
  <w:num w:numId="89" w16cid:durableId="1980920785">
    <w:abstractNumId w:val="55"/>
  </w:num>
  <w:num w:numId="90" w16cid:durableId="626161650">
    <w:abstractNumId w:val="68"/>
  </w:num>
  <w:num w:numId="91" w16cid:durableId="1217743881">
    <w:abstractNumId w:val="93"/>
  </w:num>
  <w:num w:numId="92" w16cid:durableId="1791511960">
    <w:abstractNumId w:val="98"/>
  </w:num>
  <w:num w:numId="93" w16cid:durableId="196283558">
    <w:abstractNumId w:val="29"/>
  </w:num>
  <w:num w:numId="94" w16cid:durableId="1618020131">
    <w:abstractNumId w:val="48"/>
  </w:num>
  <w:num w:numId="95" w16cid:durableId="759520643">
    <w:abstractNumId w:val="17"/>
  </w:num>
  <w:num w:numId="96" w16cid:durableId="1137524504">
    <w:abstractNumId w:val="60"/>
  </w:num>
  <w:num w:numId="97" w16cid:durableId="1668097861">
    <w:abstractNumId w:val="38"/>
  </w:num>
  <w:num w:numId="98" w16cid:durableId="2109307503">
    <w:abstractNumId w:val="83"/>
  </w:num>
  <w:num w:numId="99" w16cid:durableId="446778632">
    <w:abstractNumId w:val="42"/>
  </w:num>
  <w:num w:numId="100" w16cid:durableId="308897981">
    <w:abstractNumId w:val="90"/>
  </w:num>
  <w:num w:numId="101" w16cid:durableId="1005671825">
    <w:abstractNumId w:val="24"/>
  </w:num>
  <w:num w:numId="102" w16cid:durableId="47919970">
    <w:abstractNumId w:val="116"/>
  </w:num>
  <w:num w:numId="103" w16cid:durableId="489951327">
    <w:abstractNumId w:val="35"/>
  </w:num>
  <w:num w:numId="104" w16cid:durableId="2083717967">
    <w:abstractNumId w:val="14"/>
  </w:num>
  <w:num w:numId="105" w16cid:durableId="567151111">
    <w:abstractNumId w:val="105"/>
  </w:num>
  <w:num w:numId="106" w16cid:durableId="822771101">
    <w:abstractNumId w:val="107"/>
  </w:num>
  <w:num w:numId="107" w16cid:durableId="1502115093">
    <w:abstractNumId w:val="18"/>
  </w:num>
  <w:num w:numId="108" w16cid:durableId="2111118664">
    <w:abstractNumId w:val="100"/>
  </w:num>
  <w:num w:numId="109" w16cid:durableId="883491005">
    <w:abstractNumId w:val="13"/>
  </w:num>
  <w:num w:numId="110" w16cid:durableId="1244101324">
    <w:abstractNumId w:val="23"/>
  </w:num>
  <w:num w:numId="111" w16cid:durableId="1712923920">
    <w:abstractNumId w:val="45"/>
  </w:num>
  <w:num w:numId="112" w16cid:durableId="1940525969">
    <w:abstractNumId w:val="1"/>
  </w:num>
  <w:num w:numId="113" w16cid:durableId="1041127383">
    <w:abstractNumId w:val="16"/>
  </w:num>
  <w:num w:numId="114" w16cid:durableId="2026982288">
    <w:abstractNumId w:val="54"/>
  </w:num>
  <w:num w:numId="115" w16cid:durableId="2009746565">
    <w:abstractNumId w:val="8"/>
  </w:num>
  <w:num w:numId="116" w16cid:durableId="999968973">
    <w:abstractNumId w:val="99"/>
  </w:num>
  <w:num w:numId="117" w16cid:durableId="1788430965">
    <w:abstractNumId w:val="78"/>
  </w:num>
  <w:num w:numId="118" w16cid:durableId="1339385365">
    <w:abstractNumId w:val="9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nl-NL" w:vendorID="64" w:dllVersion="0" w:nlCheck="1" w:checkStyle="0"/>
  <w:activeWritingStyle w:appName="MSWord" w:lang="pt-PT" w:vendorID="64" w:dllVersion="0" w:nlCheck="1" w:checkStyle="0"/>
  <w:proofState w:spelling="clean" w:grammar="clean"/>
  <w:documentProtection w:formatting="1"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Rev Psy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we9rezn92epue2rs7vzezzwxxvd5vsaxx0&quot;&gt;eepruamr@sheffield.ac.uk&lt;record-ids&gt;&lt;item&gt;1&lt;/item&gt;&lt;item&gt;2&lt;/item&gt;&lt;item&gt;3&lt;/item&gt;&lt;item&gt;4&lt;/item&gt;&lt;item&gt;5&lt;/item&gt;&lt;item&gt;6&lt;/item&gt;&lt;item&gt;7&lt;/item&gt;&lt;item&gt;8&lt;/item&gt;&lt;item&gt;9&lt;/item&gt;&lt;item&gt;10&lt;/item&gt;&lt;item&gt;11&lt;/item&gt;&lt;item&gt;13&lt;/item&gt;&lt;item&gt;14&lt;/item&gt;&lt;item&gt;16&lt;/item&gt;&lt;item&gt;19&lt;/item&gt;&lt;item&gt;26&lt;/item&gt;&lt;item&gt;27&lt;/item&gt;&lt;item&gt;28&lt;/item&gt;&lt;item&gt;29&lt;/item&gt;&lt;item&gt;66&lt;/item&gt;&lt;item&gt;68&lt;/item&gt;&lt;item&gt;90&lt;/item&gt;&lt;item&gt;93&lt;/item&gt;&lt;item&gt;148&lt;/item&gt;&lt;item&gt;309&lt;/item&gt;&lt;item&gt;313&lt;/item&gt;&lt;item&gt;387&lt;/item&gt;&lt;item&gt;390&lt;/item&gt;&lt;item&gt;398&lt;/item&gt;&lt;item&gt;400&lt;/item&gt;&lt;item&gt;405&lt;/item&gt;&lt;item&gt;408&lt;/item&gt;&lt;item&gt;430&lt;/item&gt;&lt;item&gt;431&lt;/item&gt;&lt;item&gt;510&lt;/item&gt;&lt;item&gt;587&lt;/item&gt;&lt;item&gt;611&lt;/item&gt;&lt;item&gt;663&lt;/item&gt;&lt;item&gt;688&lt;/item&gt;&lt;item&gt;720&lt;/item&gt;&lt;item&gt;727&lt;/item&gt;&lt;item&gt;731&lt;/item&gt;&lt;item&gt;783&lt;/item&gt;&lt;item&gt;822&lt;/item&gt;&lt;item&gt;828&lt;/item&gt;&lt;item&gt;832&lt;/item&gt;&lt;item&gt;839&lt;/item&gt;&lt;item&gt;858&lt;/item&gt;&lt;item&gt;864&lt;/item&gt;&lt;item&gt;867&lt;/item&gt;&lt;item&gt;871&lt;/item&gt;&lt;item&gt;872&lt;/item&gt;&lt;item&gt;874&lt;/item&gt;&lt;item&gt;981&lt;/item&gt;&lt;item&gt;983&lt;/item&gt;&lt;item&gt;984&lt;/item&gt;&lt;item&gt;985&lt;/item&gt;&lt;item&gt;986&lt;/item&gt;&lt;item&gt;988&lt;/item&gt;&lt;item&gt;989&lt;/item&gt;&lt;item&gt;990&lt;/item&gt;&lt;item&gt;991&lt;/item&gt;&lt;item&gt;992&lt;/item&gt;&lt;item&gt;993&lt;/item&gt;&lt;item&gt;995&lt;/item&gt;&lt;item&gt;996&lt;/item&gt;&lt;item&gt;998&lt;/item&gt;&lt;item&gt;999&lt;/item&gt;&lt;item&gt;1000&lt;/item&gt;&lt;item&gt;1004&lt;/item&gt;&lt;item&gt;1007&lt;/item&gt;&lt;item&gt;1008&lt;/item&gt;&lt;item&gt;1009&lt;/item&gt;&lt;item&gt;1010&lt;/item&gt;&lt;item&gt;1013&lt;/item&gt;&lt;item&gt;1015&lt;/item&gt;&lt;item&gt;1018&lt;/item&gt;&lt;item&gt;1019&lt;/item&gt;&lt;item&gt;1024&lt;/item&gt;&lt;item&gt;1026&lt;/item&gt;&lt;item&gt;1029&lt;/item&gt;&lt;item&gt;1038&lt;/item&gt;&lt;item&gt;1039&lt;/item&gt;&lt;item&gt;1042&lt;/item&gt;&lt;item&gt;1043&lt;/item&gt;&lt;item&gt;1044&lt;/item&gt;&lt;item&gt;1045&lt;/item&gt;&lt;item&gt;1048&lt;/item&gt;&lt;item&gt;1049&lt;/item&gt;&lt;item&gt;1051&lt;/item&gt;&lt;item&gt;1052&lt;/item&gt;&lt;item&gt;1055&lt;/item&gt;&lt;item&gt;1056&lt;/item&gt;&lt;item&gt;1075&lt;/item&gt;&lt;item&gt;1189&lt;/item&gt;&lt;item&gt;1202&lt;/item&gt;&lt;item&gt;1237&lt;/item&gt;&lt;item&gt;1262&lt;/item&gt;&lt;item&gt;1266&lt;/item&gt;&lt;item&gt;1462&lt;/item&gt;&lt;item&gt;2111&lt;/item&gt;&lt;item&gt;2244&lt;/item&gt;&lt;item&gt;2318&lt;/item&gt;&lt;item&gt;2323&lt;/item&gt;&lt;item&gt;2324&lt;/item&gt;&lt;item&gt;2325&lt;/item&gt;&lt;item&gt;2326&lt;/item&gt;&lt;item&gt;2327&lt;/item&gt;&lt;item&gt;2328&lt;/item&gt;&lt;item&gt;2329&lt;/item&gt;&lt;item&gt;2330&lt;/item&gt;&lt;item&gt;2332&lt;/item&gt;&lt;item&gt;2333&lt;/item&gt;&lt;item&gt;2334&lt;/item&gt;&lt;item&gt;2335&lt;/item&gt;&lt;item&gt;2336&lt;/item&gt;&lt;item&gt;2337&lt;/item&gt;&lt;item&gt;2338&lt;/item&gt;&lt;item&gt;2339&lt;/item&gt;&lt;item&gt;2340&lt;/item&gt;&lt;item&gt;2341&lt;/item&gt;&lt;item&gt;2342&lt;/item&gt;&lt;item&gt;2343&lt;/item&gt;&lt;item&gt;2344&lt;/item&gt;&lt;item&gt;2345&lt;/item&gt;&lt;item&gt;2346&lt;/item&gt;&lt;item&gt;2348&lt;/item&gt;&lt;item&gt;2349&lt;/item&gt;&lt;item&gt;2350&lt;/item&gt;&lt;item&gt;2351&lt;/item&gt;&lt;item&gt;2352&lt;/item&gt;&lt;item&gt;2353&lt;/item&gt;&lt;item&gt;2354&lt;/item&gt;&lt;item&gt;2355&lt;/item&gt;&lt;item&gt;2356&lt;/item&gt;&lt;item&gt;2357&lt;/item&gt;&lt;item&gt;2358&lt;/item&gt;&lt;item&gt;2359&lt;/item&gt;&lt;item&gt;2360&lt;/item&gt;&lt;item&gt;2361&lt;/item&gt;&lt;item&gt;2362&lt;/item&gt;&lt;item&gt;2363&lt;/item&gt;&lt;item&gt;2364&lt;/item&gt;&lt;item&gt;2365&lt;/item&gt;&lt;item&gt;2366&lt;/item&gt;&lt;item&gt;2367&lt;/item&gt;&lt;item&gt;2368&lt;/item&gt;&lt;item&gt;2370&lt;/item&gt;&lt;item&gt;2371&lt;/item&gt;&lt;item&gt;2372&lt;/item&gt;&lt;item&gt;2373&lt;/item&gt;&lt;item&gt;2374&lt;/item&gt;&lt;item&gt;2375&lt;/item&gt;&lt;item&gt;2376&lt;/item&gt;&lt;item&gt;2377&lt;/item&gt;&lt;item&gt;2378&lt;/item&gt;&lt;item&gt;2379&lt;/item&gt;&lt;item&gt;2380&lt;/item&gt;&lt;item&gt;2381&lt;/item&gt;&lt;item&gt;2383&lt;/item&gt;&lt;item&gt;2384&lt;/item&gt;&lt;item&gt;2386&lt;/item&gt;&lt;item&gt;2387&lt;/item&gt;&lt;item&gt;2388&lt;/item&gt;&lt;item&gt;2389&lt;/item&gt;&lt;item&gt;2390&lt;/item&gt;&lt;item&gt;2391&lt;/item&gt;&lt;item&gt;2392&lt;/item&gt;&lt;item&gt;2393&lt;/item&gt;&lt;item&gt;2394&lt;/item&gt;&lt;item&gt;2395&lt;/item&gt;&lt;item&gt;2396&lt;/item&gt;&lt;item&gt;2397&lt;/item&gt;&lt;item&gt;2399&lt;/item&gt;&lt;item&gt;2400&lt;/item&gt;&lt;item&gt;2413&lt;/item&gt;&lt;item&gt;2415&lt;/item&gt;&lt;item&gt;2416&lt;/item&gt;&lt;item&gt;2417&lt;/item&gt;&lt;item&gt;2418&lt;/item&gt;&lt;item&gt;2419&lt;/item&gt;&lt;item&gt;2420&lt;/item&gt;&lt;item&gt;2421&lt;/item&gt;&lt;item&gt;2422&lt;/item&gt;&lt;item&gt;2424&lt;/item&gt;&lt;item&gt;2425&lt;/item&gt;&lt;item&gt;2427&lt;/item&gt;&lt;item&gt;2428&lt;/item&gt;&lt;item&gt;2429&lt;/item&gt;&lt;item&gt;2435&lt;/item&gt;&lt;item&gt;2438&lt;/item&gt;&lt;item&gt;2439&lt;/item&gt;&lt;item&gt;2442&lt;/item&gt;&lt;item&gt;2447&lt;/item&gt;&lt;item&gt;2464&lt;/item&gt;&lt;item&gt;2465&lt;/item&gt;&lt;item&gt;2466&lt;/item&gt;&lt;item&gt;2467&lt;/item&gt;&lt;item&gt;2469&lt;/item&gt;&lt;item&gt;2470&lt;/item&gt;&lt;item&gt;2471&lt;/item&gt;&lt;item&gt;2477&lt;/item&gt;&lt;item&gt;2481&lt;/item&gt;&lt;item&gt;2483&lt;/item&gt;&lt;item&gt;2484&lt;/item&gt;&lt;item&gt;2490&lt;/item&gt;&lt;item&gt;2491&lt;/item&gt;&lt;item&gt;2492&lt;/item&gt;&lt;/record-ids&gt;&lt;/item&gt;&lt;/Libraries&gt;"/>
  </w:docVars>
  <w:rsids>
    <w:rsidRoot w:val="009E5E96"/>
    <w:rsid w:val="00001050"/>
    <w:rsid w:val="00001F26"/>
    <w:rsid w:val="000056E1"/>
    <w:rsid w:val="00007ED6"/>
    <w:rsid w:val="00007FF6"/>
    <w:rsid w:val="0001194B"/>
    <w:rsid w:val="00012A4E"/>
    <w:rsid w:val="00013016"/>
    <w:rsid w:val="00014A73"/>
    <w:rsid w:val="0001611A"/>
    <w:rsid w:val="00016308"/>
    <w:rsid w:val="00022C48"/>
    <w:rsid w:val="00023784"/>
    <w:rsid w:val="000237DA"/>
    <w:rsid w:val="00025C3C"/>
    <w:rsid w:val="00030A7A"/>
    <w:rsid w:val="00031355"/>
    <w:rsid w:val="00031686"/>
    <w:rsid w:val="00033EFC"/>
    <w:rsid w:val="00041A88"/>
    <w:rsid w:val="00042419"/>
    <w:rsid w:val="000426DF"/>
    <w:rsid w:val="0004276C"/>
    <w:rsid w:val="0004391D"/>
    <w:rsid w:val="00050CA8"/>
    <w:rsid w:val="000523D7"/>
    <w:rsid w:val="000554A9"/>
    <w:rsid w:val="000574E4"/>
    <w:rsid w:val="00057F3F"/>
    <w:rsid w:val="00062FCC"/>
    <w:rsid w:val="0006376A"/>
    <w:rsid w:val="000677DB"/>
    <w:rsid w:val="00070786"/>
    <w:rsid w:val="00070FE6"/>
    <w:rsid w:val="0007501D"/>
    <w:rsid w:val="000806DC"/>
    <w:rsid w:val="0008183A"/>
    <w:rsid w:val="00081A3F"/>
    <w:rsid w:val="00081DBA"/>
    <w:rsid w:val="000861B2"/>
    <w:rsid w:val="00090344"/>
    <w:rsid w:val="00092861"/>
    <w:rsid w:val="00092F91"/>
    <w:rsid w:val="000940E6"/>
    <w:rsid w:val="00095157"/>
    <w:rsid w:val="00097E31"/>
    <w:rsid w:val="000A1217"/>
    <w:rsid w:val="000A3434"/>
    <w:rsid w:val="000A3967"/>
    <w:rsid w:val="000A4506"/>
    <w:rsid w:val="000A4ED5"/>
    <w:rsid w:val="000A6151"/>
    <w:rsid w:val="000A755B"/>
    <w:rsid w:val="000B6067"/>
    <w:rsid w:val="000B6374"/>
    <w:rsid w:val="000C15B2"/>
    <w:rsid w:val="000C1950"/>
    <w:rsid w:val="000C2B6D"/>
    <w:rsid w:val="000C33AD"/>
    <w:rsid w:val="000C397A"/>
    <w:rsid w:val="000C4CDC"/>
    <w:rsid w:val="000C5354"/>
    <w:rsid w:val="000D0E60"/>
    <w:rsid w:val="000D1898"/>
    <w:rsid w:val="000D2197"/>
    <w:rsid w:val="000D28A0"/>
    <w:rsid w:val="000D4035"/>
    <w:rsid w:val="000D4720"/>
    <w:rsid w:val="000D4813"/>
    <w:rsid w:val="000D4CF0"/>
    <w:rsid w:val="000D5A28"/>
    <w:rsid w:val="000E1361"/>
    <w:rsid w:val="000E3737"/>
    <w:rsid w:val="000E385A"/>
    <w:rsid w:val="000E449C"/>
    <w:rsid w:val="000E4906"/>
    <w:rsid w:val="000E4A41"/>
    <w:rsid w:val="000E6FEE"/>
    <w:rsid w:val="000E7567"/>
    <w:rsid w:val="000E7EA3"/>
    <w:rsid w:val="000F029C"/>
    <w:rsid w:val="000F6BF0"/>
    <w:rsid w:val="00100016"/>
    <w:rsid w:val="001009FF"/>
    <w:rsid w:val="00101D51"/>
    <w:rsid w:val="00101EAE"/>
    <w:rsid w:val="0010228E"/>
    <w:rsid w:val="00102ADD"/>
    <w:rsid w:val="00102FD9"/>
    <w:rsid w:val="00103130"/>
    <w:rsid w:val="0010350A"/>
    <w:rsid w:val="00103E42"/>
    <w:rsid w:val="001046B5"/>
    <w:rsid w:val="00107570"/>
    <w:rsid w:val="00112EE3"/>
    <w:rsid w:val="001152B4"/>
    <w:rsid w:val="00117B7D"/>
    <w:rsid w:val="001209F8"/>
    <w:rsid w:val="001214F1"/>
    <w:rsid w:val="00124B36"/>
    <w:rsid w:val="001253F5"/>
    <w:rsid w:val="00135A29"/>
    <w:rsid w:val="00136661"/>
    <w:rsid w:val="00151FDE"/>
    <w:rsid w:val="00152448"/>
    <w:rsid w:val="001534BC"/>
    <w:rsid w:val="00156D15"/>
    <w:rsid w:val="0015769A"/>
    <w:rsid w:val="00161C00"/>
    <w:rsid w:val="00161F04"/>
    <w:rsid w:val="00163121"/>
    <w:rsid w:val="001638BA"/>
    <w:rsid w:val="00163967"/>
    <w:rsid w:val="001641BF"/>
    <w:rsid w:val="0016450B"/>
    <w:rsid w:val="001648C3"/>
    <w:rsid w:val="00166F2E"/>
    <w:rsid w:val="00173EB7"/>
    <w:rsid w:val="00174117"/>
    <w:rsid w:val="0017464D"/>
    <w:rsid w:val="00176136"/>
    <w:rsid w:val="00176A14"/>
    <w:rsid w:val="00176A3C"/>
    <w:rsid w:val="00180018"/>
    <w:rsid w:val="00180FA6"/>
    <w:rsid w:val="00186460"/>
    <w:rsid w:val="00186A46"/>
    <w:rsid w:val="0019116B"/>
    <w:rsid w:val="001923A6"/>
    <w:rsid w:val="00195807"/>
    <w:rsid w:val="00195A57"/>
    <w:rsid w:val="00195B1E"/>
    <w:rsid w:val="00195CAE"/>
    <w:rsid w:val="00196767"/>
    <w:rsid w:val="00197FA9"/>
    <w:rsid w:val="001A29DC"/>
    <w:rsid w:val="001A2A79"/>
    <w:rsid w:val="001A4B18"/>
    <w:rsid w:val="001A6FB8"/>
    <w:rsid w:val="001A7038"/>
    <w:rsid w:val="001A713D"/>
    <w:rsid w:val="001A750D"/>
    <w:rsid w:val="001B0FEB"/>
    <w:rsid w:val="001B1797"/>
    <w:rsid w:val="001B21BC"/>
    <w:rsid w:val="001B2E58"/>
    <w:rsid w:val="001B30B7"/>
    <w:rsid w:val="001B3435"/>
    <w:rsid w:val="001B6B63"/>
    <w:rsid w:val="001C0FCF"/>
    <w:rsid w:val="001C1C73"/>
    <w:rsid w:val="001C1F5D"/>
    <w:rsid w:val="001C27BD"/>
    <w:rsid w:val="001C74A6"/>
    <w:rsid w:val="001D1471"/>
    <w:rsid w:val="001D1C9A"/>
    <w:rsid w:val="001D20D8"/>
    <w:rsid w:val="001D350A"/>
    <w:rsid w:val="001D555E"/>
    <w:rsid w:val="001D5B4B"/>
    <w:rsid w:val="001D7F86"/>
    <w:rsid w:val="001E02A9"/>
    <w:rsid w:val="001E0A93"/>
    <w:rsid w:val="001E26C4"/>
    <w:rsid w:val="001E35F5"/>
    <w:rsid w:val="001E5A41"/>
    <w:rsid w:val="001F78A7"/>
    <w:rsid w:val="0020177A"/>
    <w:rsid w:val="00202DFF"/>
    <w:rsid w:val="00203483"/>
    <w:rsid w:val="00203AD4"/>
    <w:rsid w:val="00205808"/>
    <w:rsid w:val="002066AF"/>
    <w:rsid w:val="0020725B"/>
    <w:rsid w:val="00207496"/>
    <w:rsid w:val="00207590"/>
    <w:rsid w:val="00207EB9"/>
    <w:rsid w:val="00211C53"/>
    <w:rsid w:val="002129B3"/>
    <w:rsid w:val="002140E4"/>
    <w:rsid w:val="0021430F"/>
    <w:rsid w:val="00214D32"/>
    <w:rsid w:val="002154A1"/>
    <w:rsid w:val="002208AE"/>
    <w:rsid w:val="002215F4"/>
    <w:rsid w:val="0022376C"/>
    <w:rsid w:val="00225662"/>
    <w:rsid w:val="002262B6"/>
    <w:rsid w:val="00231106"/>
    <w:rsid w:val="00232FE9"/>
    <w:rsid w:val="00233358"/>
    <w:rsid w:val="00234025"/>
    <w:rsid w:val="00234086"/>
    <w:rsid w:val="00234ECF"/>
    <w:rsid w:val="00237067"/>
    <w:rsid w:val="002415DC"/>
    <w:rsid w:val="00243536"/>
    <w:rsid w:val="0024384F"/>
    <w:rsid w:val="002439AE"/>
    <w:rsid w:val="00251004"/>
    <w:rsid w:val="00253497"/>
    <w:rsid w:val="00253ACB"/>
    <w:rsid w:val="002540FD"/>
    <w:rsid w:val="00255B8C"/>
    <w:rsid w:val="00256DD1"/>
    <w:rsid w:val="00256F1B"/>
    <w:rsid w:val="0025709E"/>
    <w:rsid w:val="002659E9"/>
    <w:rsid w:val="00265ABC"/>
    <w:rsid w:val="00266E0C"/>
    <w:rsid w:val="002677C9"/>
    <w:rsid w:val="00267B98"/>
    <w:rsid w:val="0027081F"/>
    <w:rsid w:val="00270C20"/>
    <w:rsid w:val="002733BB"/>
    <w:rsid w:val="00273565"/>
    <w:rsid w:val="00273E62"/>
    <w:rsid w:val="00273F92"/>
    <w:rsid w:val="002740DE"/>
    <w:rsid w:val="002755D4"/>
    <w:rsid w:val="00275926"/>
    <w:rsid w:val="0027655F"/>
    <w:rsid w:val="00276B9E"/>
    <w:rsid w:val="00276DAC"/>
    <w:rsid w:val="00280684"/>
    <w:rsid w:val="00282C49"/>
    <w:rsid w:val="00285203"/>
    <w:rsid w:val="0028660A"/>
    <w:rsid w:val="00286A1B"/>
    <w:rsid w:val="00286E46"/>
    <w:rsid w:val="00292B5E"/>
    <w:rsid w:val="00294B27"/>
    <w:rsid w:val="002961EA"/>
    <w:rsid w:val="00296E6A"/>
    <w:rsid w:val="002A26F2"/>
    <w:rsid w:val="002A2A13"/>
    <w:rsid w:val="002A4E70"/>
    <w:rsid w:val="002A611E"/>
    <w:rsid w:val="002A6AEF"/>
    <w:rsid w:val="002A6BB6"/>
    <w:rsid w:val="002B009C"/>
    <w:rsid w:val="002B1106"/>
    <w:rsid w:val="002B12D8"/>
    <w:rsid w:val="002B22C7"/>
    <w:rsid w:val="002B28C3"/>
    <w:rsid w:val="002B3B5E"/>
    <w:rsid w:val="002C2A95"/>
    <w:rsid w:val="002C369B"/>
    <w:rsid w:val="002C3F8A"/>
    <w:rsid w:val="002C4623"/>
    <w:rsid w:val="002C7992"/>
    <w:rsid w:val="002C7DFD"/>
    <w:rsid w:val="002D1C88"/>
    <w:rsid w:val="002D5180"/>
    <w:rsid w:val="002D7093"/>
    <w:rsid w:val="002E032F"/>
    <w:rsid w:val="002E26F0"/>
    <w:rsid w:val="002E4733"/>
    <w:rsid w:val="002E4F02"/>
    <w:rsid w:val="002F0763"/>
    <w:rsid w:val="002F1DDA"/>
    <w:rsid w:val="002F2CA3"/>
    <w:rsid w:val="002F692B"/>
    <w:rsid w:val="002F6F9F"/>
    <w:rsid w:val="002F7C82"/>
    <w:rsid w:val="00300A32"/>
    <w:rsid w:val="003024D6"/>
    <w:rsid w:val="00302DD9"/>
    <w:rsid w:val="00303A84"/>
    <w:rsid w:val="003108AF"/>
    <w:rsid w:val="00310CBD"/>
    <w:rsid w:val="0031193C"/>
    <w:rsid w:val="00312BBE"/>
    <w:rsid w:val="00312E21"/>
    <w:rsid w:val="00313BE1"/>
    <w:rsid w:val="003159E6"/>
    <w:rsid w:val="00316799"/>
    <w:rsid w:val="00317CBC"/>
    <w:rsid w:val="00322CC6"/>
    <w:rsid w:val="00325235"/>
    <w:rsid w:val="003306F4"/>
    <w:rsid w:val="0033079D"/>
    <w:rsid w:val="003327AC"/>
    <w:rsid w:val="0033308E"/>
    <w:rsid w:val="003340D1"/>
    <w:rsid w:val="00334C85"/>
    <w:rsid w:val="00335CE7"/>
    <w:rsid w:val="00337E4A"/>
    <w:rsid w:val="00341EDE"/>
    <w:rsid w:val="00341FE3"/>
    <w:rsid w:val="00342BCE"/>
    <w:rsid w:val="003432D7"/>
    <w:rsid w:val="00343316"/>
    <w:rsid w:val="003434E6"/>
    <w:rsid w:val="00345A2C"/>
    <w:rsid w:val="00346C15"/>
    <w:rsid w:val="00354E5E"/>
    <w:rsid w:val="003560C6"/>
    <w:rsid w:val="00356608"/>
    <w:rsid w:val="003567C3"/>
    <w:rsid w:val="00360CFE"/>
    <w:rsid w:val="00364012"/>
    <w:rsid w:val="00365A08"/>
    <w:rsid w:val="003662A2"/>
    <w:rsid w:val="00366F6D"/>
    <w:rsid w:val="00371EC5"/>
    <w:rsid w:val="00373947"/>
    <w:rsid w:val="0037519F"/>
    <w:rsid w:val="003773DD"/>
    <w:rsid w:val="00377A24"/>
    <w:rsid w:val="00381A08"/>
    <w:rsid w:val="003826B6"/>
    <w:rsid w:val="003826EE"/>
    <w:rsid w:val="0038313F"/>
    <w:rsid w:val="003841B7"/>
    <w:rsid w:val="00385C4D"/>
    <w:rsid w:val="00390AD1"/>
    <w:rsid w:val="00391A45"/>
    <w:rsid w:val="00392082"/>
    <w:rsid w:val="00393DF4"/>
    <w:rsid w:val="003A1F87"/>
    <w:rsid w:val="003A30C3"/>
    <w:rsid w:val="003A47E9"/>
    <w:rsid w:val="003B008D"/>
    <w:rsid w:val="003B1C59"/>
    <w:rsid w:val="003B33B2"/>
    <w:rsid w:val="003B4513"/>
    <w:rsid w:val="003B5267"/>
    <w:rsid w:val="003B6FAD"/>
    <w:rsid w:val="003B71E1"/>
    <w:rsid w:val="003C01A5"/>
    <w:rsid w:val="003C2DDE"/>
    <w:rsid w:val="003C6283"/>
    <w:rsid w:val="003C7A63"/>
    <w:rsid w:val="003D1E50"/>
    <w:rsid w:val="003E0308"/>
    <w:rsid w:val="003E0495"/>
    <w:rsid w:val="003E35C1"/>
    <w:rsid w:val="003E4AEB"/>
    <w:rsid w:val="003E61AC"/>
    <w:rsid w:val="003E794A"/>
    <w:rsid w:val="003F2678"/>
    <w:rsid w:val="003F279E"/>
    <w:rsid w:val="003F3B05"/>
    <w:rsid w:val="003F660E"/>
    <w:rsid w:val="0040010D"/>
    <w:rsid w:val="00400375"/>
    <w:rsid w:val="0040081B"/>
    <w:rsid w:val="0040358A"/>
    <w:rsid w:val="00411972"/>
    <w:rsid w:val="004124AB"/>
    <w:rsid w:val="0041348C"/>
    <w:rsid w:val="0041437E"/>
    <w:rsid w:val="00416411"/>
    <w:rsid w:val="00417DEE"/>
    <w:rsid w:val="00420BDC"/>
    <w:rsid w:val="00420CCC"/>
    <w:rsid w:val="004219B2"/>
    <w:rsid w:val="00421BEE"/>
    <w:rsid w:val="004222B2"/>
    <w:rsid w:val="00424F2F"/>
    <w:rsid w:val="00425EC5"/>
    <w:rsid w:val="00426FD2"/>
    <w:rsid w:val="00432C84"/>
    <w:rsid w:val="00433771"/>
    <w:rsid w:val="00433F3D"/>
    <w:rsid w:val="00434D71"/>
    <w:rsid w:val="00437C43"/>
    <w:rsid w:val="00444B30"/>
    <w:rsid w:val="00445233"/>
    <w:rsid w:val="004504B7"/>
    <w:rsid w:val="0045231B"/>
    <w:rsid w:val="00453B44"/>
    <w:rsid w:val="00454CF5"/>
    <w:rsid w:val="0045661A"/>
    <w:rsid w:val="00460166"/>
    <w:rsid w:val="00460A15"/>
    <w:rsid w:val="00460DC9"/>
    <w:rsid w:val="00461EF5"/>
    <w:rsid w:val="00462305"/>
    <w:rsid w:val="00462585"/>
    <w:rsid w:val="004625B2"/>
    <w:rsid w:val="00462C9C"/>
    <w:rsid w:val="00463C14"/>
    <w:rsid w:val="00466297"/>
    <w:rsid w:val="00467702"/>
    <w:rsid w:val="00470819"/>
    <w:rsid w:val="00471BCA"/>
    <w:rsid w:val="00473836"/>
    <w:rsid w:val="004822E9"/>
    <w:rsid w:val="00483016"/>
    <w:rsid w:val="00483CEE"/>
    <w:rsid w:val="0048404A"/>
    <w:rsid w:val="004857FA"/>
    <w:rsid w:val="0048724B"/>
    <w:rsid w:val="00487C18"/>
    <w:rsid w:val="00491081"/>
    <w:rsid w:val="00491377"/>
    <w:rsid w:val="00491FE8"/>
    <w:rsid w:val="00492404"/>
    <w:rsid w:val="00493381"/>
    <w:rsid w:val="00495EED"/>
    <w:rsid w:val="00497864"/>
    <w:rsid w:val="004A12CB"/>
    <w:rsid w:val="004A2F0F"/>
    <w:rsid w:val="004A32FB"/>
    <w:rsid w:val="004A4B7C"/>
    <w:rsid w:val="004A5DBE"/>
    <w:rsid w:val="004A7015"/>
    <w:rsid w:val="004B0B8A"/>
    <w:rsid w:val="004B23E2"/>
    <w:rsid w:val="004B4D1C"/>
    <w:rsid w:val="004B60FD"/>
    <w:rsid w:val="004B666A"/>
    <w:rsid w:val="004C11D1"/>
    <w:rsid w:val="004C25BB"/>
    <w:rsid w:val="004C2BD7"/>
    <w:rsid w:val="004C77FF"/>
    <w:rsid w:val="004D2935"/>
    <w:rsid w:val="004D74B1"/>
    <w:rsid w:val="004D764A"/>
    <w:rsid w:val="004D795B"/>
    <w:rsid w:val="004E09A6"/>
    <w:rsid w:val="004E375A"/>
    <w:rsid w:val="004E462B"/>
    <w:rsid w:val="004E5867"/>
    <w:rsid w:val="004F240B"/>
    <w:rsid w:val="004F313F"/>
    <w:rsid w:val="004F4DC5"/>
    <w:rsid w:val="004F551F"/>
    <w:rsid w:val="00501260"/>
    <w:rsid w:val="00504107"/>
    <w:rsid w:val="005068D3"/>
    <w:rsid w:val="00507D3E"/>
    <w:rsid w:val="00512409"/>
    <w:rsid w:val="0051300A"/>
    <w:rsid w:val="00513D4F"/>
    <w:rsid w:val="00514B91"/>
    <w:rsid w:val="005158B3"/>
    <w:rsid w:val="00524C61"/>
    <w:rsid w:val="00530B34"/>
    <w:rsid w:val="00533EB8"/>
    <w:rsid w:val="00535059"/>
    <w:rsid w:val="0054067C"/>
    <w:rsid w:val="00542FFF"/>
    <w:rsid w:val="00543267"/>
    <w:rsid w:val="005452F3"/>
    <w:rsid w:val="005457E0"/>
    <w:rsid w:val="0055154E"/>
    <w:rsid w:val="00553B74"/>
    <w:rsid w:val="005545F2"/>
    <w:rsid w:val="0056164C"/>
    <w:rsid w:val="005619BA"/>
    <w:rsid w:val="00563D5B"/>
    <w:rsid w:val="00566C30"/>
    <w:rsid w:val="0057020E"/>
    <w:rsid w:val="00571C25"/>
    <w:rsid w:val="0057397E"/>
    <w:rsid w:val="00580175"/>
    <w:rsid w:val="0058054F"/>
    <w:rsid w:val="005820CD"/>
    <w:rsid w:val="00582854"/>
    <w:rsid w:val="005843D9"/>
    <w:rsid w:val="005844BA"/>
    <w:rsid w:val="0059005B"/>
    <w:rsid w:val="00590DC7"/>
    <w:rsid w:val="00592178"/>
    <w:rsid w:val="0059388E"/>
    <w:rsid w:val="00593E66"/>
    <w:rsid w:val="00594DDD"/>
    <w:rsid w:val="00596767"/>
    <w:rsid w:val="005A03B7"/>
    <w:rsid w:val="005A18F6"/>
    <w:rsid w:val="005A1F07"/>
    <w:rsid w:val="005A2359"/>
    <w:rsid w:val="005A3BE6"/>
    <w:rsid w:val="005A40FA"/>
    <w:rsid w:val="005A52FA"/>
    <w:rsid w:val="005A7297"/>
    <w:rsid w:val="005A7EEC"/>
    <w:rsid w:val="005B25E5"/>
    <w:rsid w:val="005B2689"/>
    <w:rsid w:val="005B26BD"/>
    <w:rsid w:val="005B4EB8"/>
    <w:rsid w:val="005B578E"/>
    <w:rsid w:val="005C1759"/>
    <w:rsid w:val="005C1C8D"/>
    <w:rsid w:val="005C204E"/>
    <w:rsid w:val="005C240F"/>
    <w:rsid w:val="005C3F55"/>
    <w:rsid w:val="005C483A"/>
    <w:rsid w:val="005D1A80"/>
    <w:rsid w:val="005D27A6"/>
    <w:rsid w:val="005D3C14"/>
    <w:rsid w:val="005D76B1"/>
    <w:rsid w:val="005E00E6"/>
    <w:rsid w:val="005E01E4"/>
    <w:rsid w:val="005E2F1A"/>
    <w:rsid w:val="005E42AB"/>
    <w:rsid w:val="005E61DF"/>
    <w:rsid w:val="005E71D7"/>
    <w:rsid w:val="005E7713"/>
    <w:rsid w:val="005F1B60"/>
    <w:rsid w:val="005F70C2"/>
    <w:rsid w:val="00603A0C"/>
    <w:rsid w:val="006059F8"/>
    <w:rsid w:val="006112D2"/>
    <w:rsid w:val="00611ED1"/>
    <w:rsid w:val="00614E28"/>
    <w:rsid w:val="00617267"/>
    <w:rsid w:val="006209D3"/>
    <w:rsid w:val="0062170B"/>
    <w:rsid w:val="00624636"/>
    <w:rsid w:val="0062556E"/>
    <w:rsid w:val="00627324"/>
    <w:rsid w:val="00627A99"/>
    <w:rsid w:val="00630B14"/>
    <w:rsid w:val="00634707"/>
    <w:rsid w:val="00634E32"/>
    <w:rsid w:val="00635D4B"/>
    <w:rsid w:val="00641424"/>
    <w:rsid w:val="00644D0E"/>
    <w:rsid w:val="006464ED"/>
    <w:rsid w:val="00647D29"/>
    <w:rsid w:val="006543F4"/>
    <w:rsid w:val="006558B7"/>
    <w:rsid w:val="006563F3"/>
    <w:rsid w:val="006606D8"/>
    <w:rsid w:val="00661EBA"/>
    <w:rsid w:val="0066375D"/>
    <w:rsid w:val="006640FD"/>
    <w:rsid w:val="00664C88"/>
    <w:rsid w:val="0066591E"/>
    <w:rsid w:val="00667DDB"/>
    <w:rsid w:val="006732B3"/>
    <w:rsid w:val="006745C0"/>
    <w:rsid w:val="00675353"/>
    <w:rsid w:val="00675729"/>
    <w:rsid w:val="006758EB"/>
    <w:rsid w:val="00675FF9"/>
    <w:rsid w:val="00680B08"/>
    <w:rsid w:val="00682C13"/>
    <w:rsid w:val="006837D5"/>
    <w:rsid w:val="00683AC4"/>
    <w:rsid w:val="00684F18"/>
    <w:rsid w:val="00685394"/>
    <w:rsid w:val="0068539D"/>
    <w:rsid w:val="006854DD"/>
    <w:rsid w:val="00690F5E"/>
    <w:rsid w:val="00691D5F"/>
    <w:rsid w:val="00693B48"/>
    <w:rsid w:val="00694434"/>
    <w:rsid w:val="00696B65"/>
    <w:rsid w:val="006A4082"/>
    <w:rsid w:val="006A53B1"/>
    <w:rsid w:val="006B0C10"/>
    <w:rsid w:val="006B3B9D"/>
    <w:rsid w:val="006B59B6"/>
    <w:rsid w:val="006B5E07"/>
    <w:rsid w:val="006B6091"/>
    <w:rsid w:val="006B772B"/>
    <w:rsid w:val="006C0C15"/>
    <w:rsid w:val="006C1B9A"/>
    <w:rsid w:val="006C26E1"/>
    <w:rsid w:val="006C7A74"/>
    <w:rsid w:val="006D1D84"/>
    <w:rsid w:val="006D3DA8"/>
    <w:rsid w:val="006E1142"/>
    <w:rsid w:val="006E2402"/>
    <w:rsid w:val="006E3316"/>
    <w:rsid w:val="006E3947"/>
    <w:rsid w:val="006E48DA"/>
    <w:rsid w:val="006E4E83"/>
    <w:rsid w:val="006E5665"/>
    <w:rsid w:val="006E65BD"/>
    <w:rsid w:val="006E6C94"/>
    <w:rsid w:val="006E766E"/>
    <w:rsid w:val="006E78D8"/>
    <w:rsid w:val="006F24DA"/>
    <w:rsid w:val="006F3415"/>
    <w:rsid w:val="006F4352"/>
    <w:rsid w:val="006F4DEE"/>
    <w:rsid w:val="006F6B4B"/>
    <w:rsid w:val="006F6ED6"/>
    <w:rsid w:val="0070112F"/>
    <w:rsid w:val="0070201C"/>
    <w:rsid w:val="007046F0"/>
    <w:rsid w:val="007058CD"/>
    <w:rsid w:val="00706762"/>
    <w:rsid w:val="007111E6"/>
    <w:rsid w:val="0071198A"/>
    <w:rsid w:val="00713EF1"/>
    <w:rsid w:val="00715A78"/>
    <w:rsid w:val="007176A1"/>
    <w:rsid w:val="00720583"/>
    <w:rsid w:val="00720D89"/>
    <w:rsid w:val="00725FF4"/>
    <w:rsid w:val="00727714"/>
    <w:rsid w:val="00730BEF"/>
    <w:rsid w:val="00731154"/>
    <w:rsid w:val="00731D83"/>
    <w:rsid w:val="00734512"/>
    <w:rsid w:val="0073546E"/>
    <w:rsid w:val="007407A2"/>
    <w:rsid w:val="0074272D"/>
    <w:rsid w:val="00744F0E"/>
    <w:rsid w:val="0074575A"/>
    <w:rsid w:val="00745CEF"/>
    <w:rsid w:val="00751FCD"/>
    <w:rsid w:val="007546F4"/>
    <w:rsid w:val="00756514"/>
    <w:rsid w:val="00762B4E"/>
    <w:rsid w:val="00763774"/>
    <w:rsid w:val="007644E1"/>
    <w:rsid w:val="00765F91"/>
    <w:rsid w:val="007669DF"/>
    <w:rsid w:val="00771EBE"/>
    <w:rsid w:val="007721CD"/>
    <w:rsid w:val="00774411"/>
    <w:rsid w:val="007769B5"/>
    <w:rsid w:val="00776AF8"/>
    <w:rsid w:val="00780841"/>
    <w:rsid w:val="00781491"/>
    <w:rsid w:val="00785819"/>
    <w:rsid w:val="00785C3A"/>
    <w:rsid w:val="00786EBE"/>
    <w:rsid w:val="00790CAC"/>
    <w:rsid w:val="00791022"/>
    <w:rsid w:val="00793F0A"/>
    <w:rsid w:val="007943D6"/>
    <w:rsid w:val="0079482D"/>
    <w:rsid w:val="00794B4E"/>
    <w:rsid w:val="00794B8A"/>
    <w:rsid w:val="00796372"/>
    <w:rsid w:val="00797B03"/>
    <w:rsid w:val="007A0AEF"/>
    <w:rsid w:val="007A5734"/>
    <w:rsid w:val="007A72CF"/>
    <w:rsid w:val="007A75D6"/>
    <w:rsid w:val="007A7BEC"/>
    <w:rsid w:val="007B0301"/>
    <w:rsid w:val="007B32B5"/>
    <w:rsid w:val="007B3C10"/>
    <w:rsid w:val="007B5618"/>
    <w:rsid w:val="007B56D0"/>
    <w:rsid w:val="007B5F89"/>
    <w:rsid w:val="007B615C"/>
    <w:rsid w:val="007B6E76"/>
    <w:rsid w:val="007C12AC"/>
    <w:rsid w:val="007C29C5"/>
    <w:rsid w:val="007C32F4"/>
    <w:rsid w:val="007C4B4C"/>
    <w:rsid w:val="007C54F4"/>
    <w:rsid w:val="007C6FC0"/>
    <w:rsid w:val="007D14CC"/>
    <w:rsid w:val="007D1B7F"/>
    <w:rsid w:val="007D36B2"/>
    <w:rsid w:val="007D52CF"/>
    <w:rsid w:val="007E3D10"/>
    <w:rsid w:val="007E60F6"/>
    <w:rsid w:val="007F06E1"/>
    <w:rsid w:val="007F21AF"/>
    <w:rsid w:val="007F3C23"/>
    <w:rsid w:val="007F4B0C"/>
    <w:rsid w:val="007F657E"/>
    <w:rsid w:val="007F6D6F"/>
    <w:rsid w:val="007F7E16"/>
    <w:rsid w:val="00800B9C"/>
    <w:rsid w:val="0080269E"/>
    <w:rsid w:val="00804D75"/>
    <w:rsid w:val="00805F82"/>
    <w:rsid w:val="0081052E"/>
    <w:rsid w:val="00810663"/>
    <w:rsid w:val="0081341C"/>
    <w:rsid w:val="00815A88"/>
    <w:rsid w:val="008170B6"/>
    <w:rsid w:val="00820CB7"/>
    <w:rsid w:val="0082330E"/>
    <w:rsid w:val="00827055"/>
    <w:rsid w:val="00827EDA"/>
    <w:rsid w:val="008333EF"/>
    <w:rsid w:val="00835119"/>
    <w:rsid w:val="00835B0B"/>
    <w:rsid w:val="00836258"/>
    <w:rsid w:val="008366F7"/>
    <w:rsid w:val="00837CD7"/>
    <w:rsid w:val="00842C83"/>
    <w:rsid w:val="008449E5"/>
    <w:rsid w:val="008512CA"/>
    <w:rsid w:val="00851DAC"/>
    <w:rsid w:val="00853370"/>
    <w:rsid w:val="00853E88"/>
    <w:rsid w:val="008546E0"/>
    <w:rsid w:val="00854D75"/>
    <w:rsid w:val="00856605"/>
    <w:rsid w:val="00856E6A"/>
    <w:rsid w:val="00862836"/>
    <w:rsid w:val="008628FC"/>
    <w:rsid w:val="008638B1"/>
    <w:rsid w:val="0086534F"/>
    <w:rsid w:val="008707D9"/>
    <w:rsid w:val="00875833"/>
    <w:rsid w:val="0087655C"/>
    <w:rsid w:val="008802CD"/>
    <w:rsid w:val="00881470"/>
    <w:rsid w:val="00881B5E"/>
    <w:rsid w:val="00884B1D"/>
    <w:rsid w:val="00885971"/>
    <w:rsid w:val="00885DFB"/>
    <w:rsid w:val="00886459"/>
    <w:rsid w:val="00886F1C"/>
    <w:rsid w:val="00892791"/>
    <w:rsid w:val="0089285B"/>
    <w:rsid w:val="00894865"/>
    <w:rsid w:val="008954C7"/>
    <w:rsid w:val="00895CC5"/>
    <w:rsid w:val="008A21E8"/>
    <w:rsid w:val="008A5D39"/>
    <w:rsid w:val="008A7142"/>
    <w:rsid w:val="008A7207"/>
    <w:rsid w:val="008B05B1"/>
    <w:rsid w:val="008B218B"/>
    <w:rsid w:val="008B52BD"/>
    <w:rsid w:val="008B56D1"/>
    <w:rsid w:val="008B6D4A"/>
    <w:rsid w:val="008C3622"/>
    <w:rsid w:val="008C3B07"/>
    <w:rsid w:val="008C5AC4"/>
    <w:rsid w:val="008D0C90"/>
    <w:rsid w:val="008D1ACB"/>
    <w:rsid w:val="008D202C"/>
    <w:rsid w:val="008D2A3F"/>
    <w:rsid w:val="008D334C"/>
    <w:rsid w:val="008D696B"/>
    <w:rsid w:val="008D7424"/>
    <w:rsid w:val="008E01D0"/>
    <w:rsid w:val="008E0424"/>
    <w:rsid w:val="008E04F8"/>
    <w:rsid w:val="008E1EFF"/>
    <w:rsid w:val="008E4948"/>
    <w:rsid w:val="008E569F"/>
    <w:rsid w:val="008E6F0E"/>
    <w:rsid w:val="008E7074"/>
    <w:rsid w:val="008E7F85"/>
    <w:rsid w:val="008F1C31"/>
    <w:rsid w:val="008F3500"/>
    <w:rsid w:val="008F37D8"/>
    <w:rsid w:val="008F5054"/>
    <w:rsid w:val="008F507C"/>
    <w:rsid w:val="008F7485"/>
    <w:rsid w:val="008F7DED"/>
    <w:rsid w:val="00900FCD"/>
    <w:rsid w:val="00904504"/>
    <w:rsid w:val="009058C4"/>
    <w:rsid w:val="009061EF"/>
    <w:rsid w:val="009064A4"/>
    <w:rsid w:val="009074D3"/>
    <w:rsid w:val="0091076C"/>
    <w:rsid w:val="00912409"/>
    <w:rsid w:val="00916092"/>
    <w:rsid w:val="009168A4"/>
    <w:rsid w:val="00917737"/>
    <w:rsid w:val="0091784B"/>
    <w:rsid w:val="00920D66"/>
    <w:rsid w:val="009255C0"/>
    <w:rsid w:val="00926246"/>
    <w:rsid w:val="0093044E"/>
    <w:rsid w:val="00931357"/>
    <w:rsid w:val="009313FD"/>
    <w:rsid w:val="00932B97"/>
    <w:rsid w:val="0093357A"/>
    <w:rsid w:val="0093390A"/>
    <w:rsid w:val="00934C21"/>
    <w:rsid w:val="00936F95"/>
    <w:rsid w:val="00937917"/>
    <w:rsid w:val="00941311"/>
    <w:rsid w:val="00941A0F"/>
    <w:rsid w:val="00942CA8"/>
    <w:rsid w:val="009435B4"/>
    <w:rsid w:val="00943878"/>
    <w:rsid w:val="009457CD"/>
    <w:rsid w:val="00945D7B"/>
    <w:rsid w:val="00947412"/>
    <w:rsid w:val="0095316F"/>
    <w:rsid w:val="009537D8"/>
    <w:rsid w:val="00955F61"/>
    <w:rsid w:val="009561C9"/>
    <w:rsid w:val="00956BFE"/>
    <w:rsid w:val="009572B5"/>
    <w:rsid w:val="009578AF"/>
    <w:rsid w:val="0096027C"/>
    <w:rsid w:val="00962266"/>
    <w:rsid w:val="0096286D"/>
    <w:rsid w:val="00966980"/>
    <w:rsid w:val="0097169C"/>
    <w:rsid w:val="0097444D"/>
    <w:rsid w:val="0097511E"/>
    <w:rsid w:val="00977B63"/>
    <w:rsid w:val="00981318"/>
    <w:rsid w:val="009826AE"/>
    <w:rsid w:val="009828EF"/>
    <w:rsid w:val="0098296C"/>
    <w:rsid w:val="009838CA"/>
    <w:rsid w:val="00983C84"/>
    <w:rsid w:val="00986A22"/>
    <w:rsid w:val="0099203C"/>
    <w:rsid w:val="00993D2A"/>
    <w:rsid w:val="00994836"/>
    <w:rsid w:val="009976EE"/>
    <w:rsid w:val="009A4C52"/>
    <w:rsid w:val="009A6BE5"/>
    <w:rsid w:val="009B0699"/>
    <w:rsid w:val="009B5A96"/>
    <w:rsid w:val="009B7470"/>
    <w:rsid w:val="009C176D"/>
    <w:rsid w:val="009C51EA"/>
    <w:rsid w:val="009C5B14"/>
    <w:rsid w:val="009C7531"/>
    <w:rsid w:val="009D4ED1"/>
    <w:rsid w:val="009D587F"/>
    <w:rsid w:val="009E265F"/>
    <w:rsid w:val="009E5E96"/>
    <w:rsid w:val="009F01D8"/>
    <w:rsid w:val="009F1D70"/>
    <w:rsid w:val="009F2E15"/>
    <w:rsid w:val="009F5E56"/>
    <w:rsid w:val="009F61D4"/>
    <w:rsid w:val="009F6FA6"/>
    <w:rsid w:val="009F765B"/>
    <w:rsid w:val="00A01EFF"/>
    <w:rsid w:val="00A02123"/>
    <w:rsid w:val="00A02611"/>
    <w:rsid w:val="00A0412E"/>
    <w:rsid w:val="00A04653"/>
    <w:rsid w:val="00A04703"/>
    <w:rsid w:val="00A1033E"/>
    <w:rsid w:val="00A17693"/>
    <w:rsid w:val="00A17E3D"/>
    <w:rsid w:val="00A17E61"/>
    <w:rsid w:val="00A22A79"/>
    <w:rsid w:val="00A22B15"/>
    <w:rsid w:val="00A232EC"/>
    <w:rsid w:val="00A246DF"/>
    <w:rsid w:val="00A275B5"/>
    <w:rsid w:val="00A31782"/>
    <w:rsid w:val="00A325FF"/>
    <w:rsid w:val="00A32D46"/>
    <w:rsid w:val="00A33E82"/>
    <w:rsid w:val="00A36B6D"/>
    <w:rsid w:val="00A427DB"/>
    <w:rsid w:val="00A42837"/>
    <w:rsid w:val="00A45CC1"/>
    <w:rsid w:val="00A46105"/>
    <w:rsid w:val="00A46A6C"/>
    <w:rsid w:val="00A47333"/>
    <w:rsid w:val="00A4788F"/>
    <w:rsid w:val="00A47FC7"/>
    <w:rsid w:val="00A50251"/>
    <w:rsid w:val="00A508ED"/>
    <w:rsid w:val="00A5179C"/>
    <w:rsid w:val="00A5288C"/>
    <w:rsid w:val="00A55EBA"/>
    <w:rsid w:val="00A57E29"/>
    <w:rsid w:val="00A6415A"/>
    <w:rsid w:val="00A65379"/>
    <w:rsid w:val="00A70D77"/>
    <w:rsid w:val="00A70F93"/>
    <w:rsid w:val="00A72059"/>
    <w:rsid w:val="00A728B5"/>
    <w:rsid w:val="00A72C4F"/>
    <w:rsid w:val="00A72ECE"/>
    <w:rsid w:val="00A77634"/>
    <w:rsid w:val="00A80C2B"/>
    <w:rsid w:val="00A810B3"/>
    <w:rsid w:val="00A82B59"/>
    <w:rsid w:val="00A83123"/>
    <w:rsid w:val="00A83B82"/>
    <w:rsid w:val="00A86D87"/>
    <w:rsid w:val="00AA1674"/>
    <w:rsid w:val="00AA298D"/>
    <w:rsid w:val="00AA2F63"/>
    <w:rsid w:val="00AA4801"/>
    <w:rsid w:val="00AA5F18"/>
    <w:rsid w:val="00AB4BA3"/>
    <w:rsid w:val="00AB4E2C"/>
    <w:rsid w:val="00AB4E6A"/>
    <w:rsid w:val="00AB5EF7"/>
    <w:rsid w:val="00AC2D72"/>
    <w:rsid w:val="00AC39D8"/>
    <w:rsid w:val="00AC40FF"/>
    <w:rsid w:val="00AC701A"/>
    <w:rsid w:val="00AD1002"/>
    <w:rsid w:val="00AD23F8"/>
    <w:rsid w:val="00AD58FD"/>
    <w:rsid w:val="00AD5AD1"/>
    <w:rsid w:val="00AD6263"/>
    <w:rsid w:val="00AD6807"/>
    <w:rsid w:val="00AD6BBA"/>
    <w:rsid w:val="00AD709F"/>
    <w:rsid w:val="00AD7AB0"/>
    <w:rsid w:val="00AE14F3"/>
    <w:rsid w:val="00AE1AA8"/>
    <w:rsid w:val="00AE1F59"/>
    <w:rsid w:val="00AE2350"/>
    <w:rsid w:val="00AE60A4"/>
    <w:rsid w:val="00AE62B7"/>
    <w:rsid w:val="00AE639B"/>
    <w:rsid w:val="00AF0F42"/>
    <w:rsid w:val="00AF24E6"/>
    <w:rsid w:val="00AF3A2A"/>
    <w:rsid w:val="00AF3E7A"/>
    <w:rsid w:val="00AF4752"/>
    <w:rsid w:val="00AF57EC"/>
    <w:rsid w:val="00AF73CA"/>
    <w:rsid w:val="00B00084"/>
    <w:rsid w:val="00B01AFD"/>
    <w:rsid w:val="00B01D40"/>
    <w:rsid w:val="00B0265F"/>
    <w:rsid w:val="00B03356"/>
    <w:rsid w:val="00B057E8"/>
    <w:rsid w:val="00B05D31"/>
    <w:rsid w:val="00B07ACE"/>
    <w:rsid w:val="00B1214A"/>
    <w:rsid w:val="00B137D0"/>
    <w:rsid w:val="00B16A18"/>
    <w:rsid w:val="00B16EE6"/>
    <w:rsid w:val="00B17C24"/>
    <w:rsid w:val="00B17DFC"/>
    <w:rsid w:val="00B20E7A"/>
    <w:rsid w:val="00B20E91"/>
    <w:rsid w:val="00B2253C"/>
    <w:rsid w:val="00B24B44"/>
    <w:rsid w:val="00B26BD9"/>
    <w:rsid w:val="00B32695"/>
    <w:rsid w:val="00B3643E"/>
    <w:rsid w:val="00B37B79"/>
    <w:rsid w:val="00B4019B"/>
    <w:rsid w:val="00B42226"/>
    <w:rsid w:val="00B42567"/>
    <w:rsid w:val="00B42C1F"/>
    <w:rsid w:val="00B47C5B"/>
    <w:rsid w:val="00B50038"/>
    <w:rsid w:val="00B51095"/>
    <w:rsid w:val="00B514D2"/>
    <w:rsid w:val="00B52318"/>
    <w:rsid w:val="00B54CD2"/>
    <w:rsid w:val="00B56603"/>
    <w:rsid w:val="00B61550"/>
    <w:rsid w:val="00B622BC"/>
    <w:rsid w:val="00B63E09"/>
    <w:rsid w:val="00B65F32"/>
    <w:rsid w:val="00B66C6F"/>
    <w:rsid w:val="00B66E20"/>
    <w:rsid w:val="00B674A1"/>
    <w:rsid w:val="00B706CB"/>
    <w:rsid w:val="00B72332"/>
    <w:rsid w:val="00B80D8B"/>
    <w:rsid w:val="00B821B5"/>
    <w:rsid w:val="00B836C4"/>
    <w:rsid w:val="00B843CC"/>
    <w:rsid w:val="00B84E61"/>
    <w:rsid w:val="00B86B9B"/>
    <w:rsid w:val="00B871AB"/>
    <w:rsid w:val="00B874CB"/>
    <w:rsid w:val="00B878B2"/>
    <w:rsid w:val="00B90B9B"/>
    <w:rsid w:val="00B92344"/>
    <w:rsid w:val="00B927F2"/>
    <w:rsid w:val="00B9500D"/>
    <w:rsid w:val="00B95A2A"/>
    <w:rsid w:val="00BA3AE2"/>
    <w:rsid w:val="00BB3349"/>
    <w:rsid w:val="00BB387F"/>
    <w:rsid w:val="00BB49F0"/>
    <w:rsid w:val="00BB4C30"/>
    <w:rsid w:val="00BB5082"/>
    <w:rsid w:val="00BB5BDC"/>
    <w:rsid w:val="00BB6832"/>
    <w:rsid w:val="00BB72A2"/>
    <w:rsid w:val="00BC05FD"/>
    <w:rsid w:val="00BC238A"/>
    <w:rsid w:val="00BC4B18"/>
    <w:rsid w:val="00BC5F33"/>
    <w:rsid w:val="00BC61B5"/>
    <w:rsid w:val="00BC6721"/>
    <w:rsid w:val="00BC7A95"/>
    <w:rsid w:val="00BD0980"/>
    <w:rsid w:val="00BD5C7C"/>
    <w:rsid w:val="00BD6979"/>
    <w:rsid w:val="00BD765A"/>
    <w:rsid w:val="00BE13AC"/>
    <w:rsid w:val="00BE17D8"/>
    <w:rsid w:val="00BE1BC4"/>
    <w:rsid w:val="00BE5092"/>
    <w:rsid w:val="00BF00F8"/>
    <w:rsid w:val="00BF0555"/>
    <w:rsid w:val="00BF2D2A"/>
    <w:rsid w:val="00BF606F"/>
    <w:rsid w:val="00BF66C1"/>
    <w:rsid w:val="00C018B3"/>
    <w:rsid w:val="00C01E9D"/>
    <w:rsid w:val="00C03462"/>
    <w:rsid w:val="00C03BFF"/>
    <w:rsid w:val="00C03FE1"/>
    <w:rsid w:val="00C064B4"/>
    <w:rsid w:val="00C065A2"/>
    <w:rsid w:val="00C07A38"/>
    <w:rsid w:val="00C108CF"/>
    <w:rsid w:val="00C11D9C"/>
    <w:rsid w:val="00C12E26"/>
    <w:rsid w:val="00C12ED2"/>
    <w:rsid w:val="00C14EAF"/>
    <w:rsid w:val="00C150CE"/>
    <w:rsid w:val="00C1594A"/>
    <w:rsid w:val="00C15C9E"/>
    <w:rsid w:val="00C16779"/>
    <w:rsid w:val="00C2040F"/>
    <w:rsid w:val="00C2395F"/>
    <w:rsid w:val="00C258C6"/>
    <w:rsid w:val="00C274D5"/>
    <w:rsid w:val="00C27ADC"/>
    <w:rsid w:val="00C27EE8"/>
    <w:rsid w:val="00C33621"/>
    <w:rsid w:val="00C356AC"/>
    <w:rsid w:val="00C35BFA"/>
    <w:rsid w:val="00C40400"/>
    <w:rsid w:val="00C444FA"/>
    <w:rsid w:val="00C448B8"/>
    <w:rsid w:val="00C4704E"/>
    <w:rsid w:val="00C543D6"/>
    <w:rsid w:val="00C55ADC"/>
    <w:rsid w:val="00C55C81"/>
    <w:rsid w:val="00C56BA8"/>
    <w:rsid w:val="00C613DC"/>
    <w:rsid w:val="00C62123"/>
    <w:rsid w:val="00C62362"/>
    <w:rsid w:val="00C671AA"/>
    <w:rsid w:val="00C67B00"/>
    <w:rsid w:val="00C709D8"/>
    <w:rsid w:val="00C73DF1"/>
    <w:rsid w:val="00C7405F"/>
    <w:rsid w:val="00C740BD"/>
    <w:rsid w:val="00C76771"/>
    <w:rsid w:val="00C7727D"/>
    <w:rsid w:val="00C80BAF"/>
    <w:rsid w:val="00C80DA7"/>
    <w:rsid w:val="00C81E63"/>
    <w:rsid w:val="00C83FB7"/>
    <w:rsid w:val="00C87353"/>
    <w:rsid w:val="00C909F0"/>
    <w:rsid w:val="00C923FA"/>
    <w:rsid w:val="00C94007"/>
    <w:rsid w:val="00C950A1"/>
    <w:rsid w:val="00CA0C57"/>
    <w:rsid w:val="00CA10F2"/>
    <w:rsid w:val="00CA2110"/>
    <w:rsid w:val="00CA33F5"/>
    <w:rsid w:val="00CA40FD"/>
    <w:rsid w:val="00CA6F3A"/>
    <w:rsid w:val="00CB020A"/>
    <w:rsid w:val="00CB1D02"/>
    <w:rsid w:val="00CB4072"/>
    <w:rsid w:val="00CB6ABB"/>
    <w:rsid w:val="00CC1F91"/>
    <w:rsid w:val="00CC7CB4"/>
    <w:rsid w:val="00CD05CF"/>
    <w:rsid w:val="00CD0675"/>
    <w:rsid w:val="00CD3226"/>
    <w:rsid w:val="00CE01AB"/>
    <w:rsid w:val="00CE0A98"/>
    <w:rsid w:val="00CE162F"/>
    <w:rsid w:val="00CE5623"/>
    <w:rsid w:val="00CF0DF7"/>
    <w:rsid w:val="00CF2F84"/>
    <w:rsid w:val="00CF61B2"/>
    <w:rsid w:val="00CF68D0"/>
    <w:rsid w:val="00CF6BB3"/>
    <w:rsid w:val="00CF7D5E"/>
    <w:rsid w:val="00D02ACC"/>
    <w:rsid w:val="00D03D09"/>
    <w:rsid w:val="00D10F09"/>
    <w:rsid w:val="00D13C3E"/>
    <w:rsid w:val="00D146EF"/>
    <w:rsid w:val="00D14E53"/>
    <w:rsid w:val="00D151D1"/>
    <w:rsid w:val="00D21497"/>
    <w:rsid w:val="00D21F86"/>
    <w:rsid w:val="00D24929"/>
    <w:rsid w:val="00D26A02"/>
    <w:rsid w:val="00D26A23"/>
    <w:rsid w:val="00D26CA1"/>
    <w:rsid w:val="00D31AF7"/>
    <w:rsid w:val="00D353F9"/>
    <w:rsid w:val="00D366D4"/>
    <w:rsid w:val="00D377B3"/>
    <w:rsid w:val="00D37C24"/>
    <w:rsid w:val="00D42213"/>
    <w:rsid w:val="00D50077"/>
    <w:rsid w:val="00D50BF7"/>
    <w:rsid w:val="00D52629"/>
    <w:rsid w:val="00D6111A"/>
    <w:rsid w:val="00D61AF3"/>
    <w:rsid w:val="00D620E3"/>
    <w:rsid w:val="00D62B0F"/>
    <w:rsid w:val="00D637B1"/>
    <w:rsid w:val="00D63AA3"/>
    <w:rsid w:val="00D65D73"/>
    <w:rsid w:val="00D76748"/>
    <w:rsid w:val="00D803E5"/>
    <w:rsid w:val="00D81E60"/>
    <w:rsid w:val="00D85AD8"/>
    <w:rsid w:val="00D86D66"/>
    <w:rsid w:val="00D86E3D"/>
    <w:rsid w:val="00D90EA7"/>
    <w:rsid w:val="00D931C7"/>
    <w:rsid w:val="00D96F92"/>
    <w:rsid w:val="00DA192C"/>
    <w:rsid w:val="00DA1FBC"/>
    <w:rsid w:val="00DA2490"/>
    <w:rsid w:val="00DA37F0"/>
    <w:rsid w:val="00DA453A"/>
    <w:rsid w:val="00DA4752"/>
    <w:rsid w:val="00DA5A34"/>
    <w:rsid w:val="00DB130C"/>
    <w:rsid w:val="00DB3902"/>
    <w:rsid w:val="00DB3C2F"/>
    <w:rsid w:val="00DB42A4"/>
    <w:rsid w:val="00DB5B15"/>
    <w:rsid w:val="00DC0CA4"/>
    <w:rsid w:val="00DC2E3A"/>
    <w:rsid w:val="00DC3933"/>
    <w:rsid w:val="00DC3C3F"/>
    <w:rsid w:val="00DC41EC"/>
    <w:rsid w:val="00DC41F5"/>
    <w:rsid w:val="00DC45C0"/>
    <w:rsid w:val="00DC515C"/>
    <w:rsid w:val="00DC6C4D"/>
    <w:rsid w:val="00DD0227"/>
    <w:rsid w:val="00DD122B"/>
    <w:rsid w:val="00DD122F"/>
    <w:rsid w:val="00DD40BB"/>
    <w:rsid w:val="00DD49AA"/>
    <w:rsid w:val="00DE40EC"/>
    <w:rsid w:val="00DE4CA6"/>
    <w:rsid w:val="00DE5D3A"/>
    <w:rsid w:val="00DF01DC"/>
    <w:rsid w:val="00DF1CD3"/>
    <w:rsid w:val="00DF2022"/>
    <w:rsid w:val="00DF3437"/>
    <w:rsid w:val="00DF59D5"/>
    <w:rsid w:val="00E01FDE"/>
    <w:rsid w:val="00E023C8"/>
    <w:rsid w:val="00E02607"/>
    <w:rsid w:val="00E052E9"/>
    <w:rsid w:val="00E06F0D"/>
    <w:rsid w:val="00E06F25"/>
    <w:rsid w:val="00E11714"/>
    <w:rsid w:val="00E12B59"/>
    <w:rsid w:val="00E13004"/>
    <w:rsid w:val="00E14439"/>
    <w:rsid w:val="00E16C01"/>
    <w:rsid w:val="00E23D00"/>
    <w:rsid w:val="00E24CB0"/>
    <w:rsid w:val="00E2510D"/>
    <w:rsid w:val="00E2682E"/>
    <w:rsid w:val="00E273CC"/>
    <w:rsid w:val="00E27CA8"/>
    <w:rsid w:val="00E3074C"/>
    <w:rsid w:val="00E317EA"/>
    <w:rsid w:val="00E32B55"/>
    <w:rsid w:val="00E32F0E"/>
    <w:rsid w:val="00E33BA5"/>
    <w:rsid w:val="00E33CD1"/>
    <w:rsid w:val="00E368C1"/>
    <w:rsid w:val="00E4115A"/>
    <w:rsid w:val="00E426D5"/>
    <w:rsid w:val="00E501AE"/>
    <w:rsid w:val="00E55098"/>
    <w:rsid w:val="00E55E19"/>
    <w:rsid w:val="00E617D9"/>
    <w:rsid w:val="00E625D7"/>
    <w:rsid w:val="00E62673"/>
    <w:rsid w:val="00E63A0F"/>
    <w:rsid w:val="00E64E29"/>
    <w:rsid w:val="00E654FD"/>
    <w:rsid w:val="00E673F5"/>
    <w:rsid w:val="00E70B36"/>
    <w:rsid w:val="00E71088"/>
    <w:rsid w:val="00E73945"/>
    <w:rsid w:val="00E74323"/>
    <w:rsid w:val="00E76222"/>
    <w:rsid w:val="00E80CF3"/>
    <w:rsid w:val="00E822D9"/>
    <w:rsid w:val="00E82835"/>
    <w:rsid w:val="00E83D9C"/>
    <w:rsid w:val="00E846C6"/>
    <w:rsid w:val="00E86824"/>
    <w:rsid w:val="00E869A6"/>
    <w:rsid w:val="00E87157"/>
    <w:rsid w:val="00E87E4F"/>
    <w:rsid w:val="00E900DC"/>
    <w:rsid w:val="00E912F3"/>
    <w:rsid w:val="00E9526C"/>
    <w:rsid w:val="00E96D50"/>
    <w:rsid w:val="00E9704A"/>
    <w:rsid w:val="00E97158"/>
    <w:rsid w:val="00EA0D6C"/>
    <w:rsid w:val="00EA0E40"/>
    <w:rsid w:val="00EA2A63"/>
    <w:rsid w:val="00EA4212"/>
    <w:rsid w:val="00EA4A03"/>
    <w:rsid w:val="00EA5490"/>
    <w:rsid w:val="00EB3768"/>
    <w:rsid w:val="00EB5910"/>
    <w:rsid w:val="00EB7072"/>
    <w:rsid w:val="00EC296A"/>
    <w:rsid w:val="00EC2FF2"/>
    <w:rsid w:val="00EC4036"/>
    <w:rsid w:val="00EC4BFF"/>
    <w:rsid w:val="00EC6578"/>
    <w:rsid w:val="00EC7430"/>
    <w:rsid w:val="00ED4F59"/>
    <w:rsid w:val="00ED789F"/>
    <w:rsid w:val="00EE2658"/>
    <w:rsid w:val="00EE272D"/>
    <w:rsid w:val="00EE4C38"/>
    <w:rsid w:val="00EE6004"/>
    <w:rsid w:val="00EF351A"/>
    <w:rsid w:val="00EF41E4"/>
    <w:rsid w:val="00EF4C1C"/>
    <w:rsid w:val="00EF79C3"/>
    <w:rsid w:val="00F045F1"/>
    <w:rsid w:val="00F10440"/>
    <w:rsid w:val="00F10F0A"/>
    <w:rsid w:val="00F12ADA"/>
    <w:rsid w:val="00F161EC"/>
    <w:rsid w:val="00F162E5"/>
    <w:rsid w:val="00F16893"/>
    <w:rsid w:val="00F1720A"/>
    <w:rsid w:val="00F2111E"/>
    <w:rsid w:val="00F23582"/>
    <w:rsid w:val="00F23F2A"/>
    <w:rsid w:val="00F27685"/>
    <w:rsid w:val="00F2798F"/>
    <w:rsid w:val="00F305A3"/>
    <w:rsid w:val="00F323BD"/>
    <w:rsid w:val="00F33754"/>
    <w:rsid w:val="00F3394B"/>
    <w:rsid w:val="00F36609"/>
    <w:rsid w:val="00F36B6A"/>
    <w:rsid w:val="00F3729C"/>
    <w:rsid w:val="00F43BD6"/>
    <w:rsid w:val="00F444C4"/>
    <w:rsid w:val="00F46236"/>
    <w:rsid w:val="00F52AE3"/>
    <w:rsid w:val="00F54B1C"/>
    <w:rsid w:val="00F55D29"/>
    <w:rsid w:val="00F569D1"/>
    <w:rsid w:val="00F60D31"/>
    <w:rsid w:val="00F6151D"/>
    <w:rsid w:val="00F61E75"/>
    <w:rsid w:val="00F62920"/>
    <w:rsid w:val="00F658F7"/>
    <w:rsid w:val="00F65C3A"/>
    <w:rsid w:val="00F65FBE"/>
    <w:rsid w:val="00F6600C"/>
    <w:rsid w:val="00F6728B"/>
    <w:rsid w:val="00F74C2C"/>
    <w:rsid w:val="00F755A8"/>
    <w:rsid w:val="00F769FB"/>
    <w:rsid w:val="00F80F5F"/>
    <w:rsid w:val="00F82EBE"/>
    <w:rsid w:val="00F837D6"/>
    <w:rsid w:val="00F87CA3"/>
    <w:rsid w:val="00F901D1"/>
    <w:rsid w:val="00F90D2F"/>
    <w:rsid w:val="00F927AD"/>
    <w:rsid w:val="00F94A39"/>
    <w:rsid w:val="00F94DFF"/>
    <w:rsid w:val="00F95622"/>
    <w:rsid w:val="00F957B9"/>
    <w:rsid w:val="00F96C17"/>
    <w:rsid w:val="00FA01E1"/>
    <w:rsid w:val="00FA26AE"/>
    <w:rsid w:val="00FA4C12"/>
    <w:rsid w:val="00FA4E1A"/>
    <w:rsid w:val="00FB4C28"/>
    <w:rsid w:val="00FB6B1F"/>
    <w:rsid w:val="00FB76A2"/>
    <w:rsid w:val="00FC1781"/>
    <w:rsid w:val="00FC3954"/>
    <w:rsid w:val="00FD01AE"/>
    <w:rsid w:val="00FD0682"/>
    <w:rsid w:val="00FD107F"/>
    <w:rsid w:val="00FD133B"/>
    <w:rsid w:val="00FD4AE5"/>
    <w:rsid w:val="00FD4EC3"/>
    <w:rsid w:val="00FD6E87"/>
    <w:rsid w:val="00FE2007"/>
    <w:rsid w:val="00FE5B0B"/>
    <w:rsid w:val="00FE62E2"/>
    <w:rsid w:val="00FE7A08"/>
    <w:rsid w:val="00FF0159"/>
    <w:rsid w:val="00FF0AC9"/>
    <w:rsid w:val="00FF3D9D"/>
    <w:rsid w:val="00FF42E8"/>
    <w:rsid w:val="00FF4CC7"/>
    <w:rsid w:val="00FF4E8A"/>
    <w:rsid w:val="00FF69A1"/>
    <w:rsid w:val="00FF7AEE"/>
    <w:rsid w:val="00FF7D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E6D5E2"/>
  <w15:docId w15:val="{2171E7D3-1377-4F15-AB5D-0BC35DE5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qFormat="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47412"/>
  </w:style>
  <w:style w:type="paragraph" w:styleId="Heading1">
    <w:name w:val="heading 1"/>
    <w:basedOn w:val="Normal"/>
    <w:next w:val="Normal"/>
    <w:link w:val="Heading1Char"/>
    <w:uiPriority w:val="9"/>
    <w:qFormat/>
    <w:locked/>
    <w:rsid w:val="006B772B"/>
    <w:pPr>
      <w:keepNext/>
      <w:keepLines/>
      <w:spacing w:before="480" w:after="0"/>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locked/>
    <w:rsid w:val="006B772B"/>
    <w:pPr>
      <w:keepNext/>
      <w:keepLines/>
      <w:spacing w:after="240" w:line="240" w:lineRule="auto"/>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qFormat/>
    <w:locked/>
    <w:rsid w:val="006B772B"/>
    <w:pPr>
      <w:keepNext/>
      <w:keepLines/>
      <w:spacing w:after="12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F629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5D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7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B772B"/>
    <w:rPr>
      <w:rFonts w:asciiTheme="majorBidi" w:eastAsiaTheme="majorEastAsia" w:hAnsiTheme="majorBidi" w:cstheme="majorBidi"/>
      <w:b/>
      <w:bCs/>
      <w:sz w:val="26"/>
      <w:szCs w:val="26"/>
    </w:rPr>
  </w:style>
  <w:style w:type="character" w:customStyle="1" w:styleId="Heading3Char">
    <w:name w:val="Heading 3 Char"/>
    <w:basedOn w:val="DefaultParagraphFont"/>
    <w:link w:val="Heading3"/>
    <w:uiPriority w:val="9"/>
    <w:rsid w:val="006B772B"/>
    <w:rPr>
      <w:rFonts w:eastAsiaTheme="majorEastAsia" w:cstheme="majorBidi"/>
      <w:b/>
      <w:sz w:val="24"/>
      <w:szCs w:val="24"/>
    </w:rPr>
  </w:style>
  <w:style w:type="character" w:customStyle="1" w:styleId="CommentTextChar">
    <w:name w:val="Comment Text Char"/>
    <w:basedOn w:val="DefaultParagraphFont"/>
    <w:link w:val="CommentText"/>
    <w:uiPriority w:val="99"/>
    <w:rsid w:val="00AC2D72"/>
    <w:rPr>
      <w:sz w:val="20"/>
      <w:szCs w:val="20"/>
    </w:rPr>
  </w:style>
  <w:style w:type="paragraph" w:styleId="CommentText">
    <w:name w:val="annotation text"/>
    <w:basedOn w:val="Normal"/>
    <w:link w:val="CommentTextChar"/>
    <w:uiPriority w:val="99"/>
    <w:unhideWhenUsed/>
    <w:locked/>
    <w:rsid w:val="00AC2D72"/>
    <w:pPr>
      <w:spacing w:line="240" w:lineRule="auto"/>
    </w:pPr>
    <w:rPr>
      <w:sz w:val="20"/>
      <w:szCs w:val="20"/>
    </w:rPr>
  </w:style>
  <w:style w:type="character" w:customStyle="1" w:styleId="CommentSubjectChar">
    <w:name w:val="Comment Subject Char"/>
    <w:basedOn w:val="CommentTextChar"/>
    <w:link w:val="CommentSubject"/>
    <w:uiPriority w:val="99"/>
    <w:semiHidden/>
    <w:rsid w:val="00AC2D72"/>
    <w:rPr>
      <w:b/>
      <w:bCs/>
      <w:sz w:val="20"/>
      <w:szCs w:val="20"/>
    </w:rPr>
  </w:style>
  <w:style w:type="paragraph" w:styleId="CommentSubject">
    <w:name w:val="annotation subject"/>
    <w:basedOn w:val="CommentText"/>
    <w:next w:val="CommentText"/>
    <w:link w:val="CommentSubjectChar"/>
    <w:uiPriority w:val="99"/>
    <w:semiHidden/>
    <w:unhideWhenUsed/>
    <w:locked/>
    <w:rsid w:val="00AC2D72"/>
    <w:rPr>
      <w:b/>
      <w:bCs/>
    </w:rPr>
  </w:style>
  <w:style w:type="character" w:customStyle="1" w:styleId="BalloonTextChar">
    <w:name w:val="Balloon Text Char"/>
    <w:basedOn w:val="DefaultParagraphFont"/>
    <w:link w:val="BalloonText"/>
    <w:uiPriority w:val="99"/>
    <w:semiHidden/>
    <w:rsid w:val="00AC2D72"/>
    <w:rPr>
      <w:rFonts w:ascii="Tahoma" w:hAnsi="Tahoma" w:cs="Tahoma"/>
      <w:sz w:val="16"/>
      <w:szCs w:val="16"/>
    </w:rPr>
  </w:style>
  <w:style w:type="paragraph" w:styleId="BalloonText">
    <w:name w:val="Balloon Text"/>
    <w:basedOn w:val="Normal"/>
    <w:link w:val="BalloonTextChar"/>
    <w:uiPriority w:val="99"/>
    <w:semiHidden/>
    <w:unhideWhenUsed/>
    <w:locked/>
    <w:rsid w:val="00AC2D72"/>
    <w:pPr>
      <w:spacing w:after="0" w:line="240" w:lineRule="auto"/>
    </w:pPr>
    <w:rPr>
      <w:rFonts w:ascii="Tahoma" w:hAnsi="Tahoma" w:cs="Tahoma"/>
      <w:sz w:val="16"/>
      <w:szCs w:val="16"/>
    </w:rPr>
  </w:style>
  <w:style w:type="paragraph" w:styleId="FootnoteText">
    <w:name w:val="footnote text"/>
    <w:basedOn w:val="Normal"/>
    <w:link w:val="FootnoteTextChar"/>
    <w:uiPriority w:val="99"/>
    <w:unhideWhenUsed/>
    <w:locked/>
    <w:rsid w:val="00AC2D72"/>
    <w:pPr>
      <w:spacing w:after="0" w:line="240" w:lineRule="auto"/>
    </w:pPr>
    <w:rPr>
      <w:sz w:val="20"/>
      <w:szCs w:val="20"/>
    </w:rPr>
  </w:style>
  <w:style w:type="character" w:customStyle="1" w:styleId="FootnoteTextChar">
    <w:name w:val="Footnote Text Char"/>
    <w:basedOn w:val="DefaultParagraphFont"/>
    <w:link w:val="FootnoteText"/>
    <w:uiPriority w:val="99"/>
    <w:rsid w:val="00AC2D72"/>
    <w:rPr>
      <w:sz w:val="20"/>
      <w:szCs w:val="20"/>
    </w:rPr>
  </w:style>
  <w:style w:type="character" w:styleId="FootnoteReference">
    <w:name w:val="footnote reference"/>
    <w:basedOn w:val="DefaultParagraphFont"/>
    <w:uiPriority w:val="99"/>
    <w:semiHidden/>
    <w:unhideWhenUsed/>
    <w:locked/>
    <w:rsid w:val="00AC2D72"/>
    <w:rPr>
      <w:vertAlign w:val="superscript"/>
    </w:rPr>
  </w:style>
  <w:style w:type="paragraph" w:styleId="ListParagraph">
    <w:name w:val="List Paragraph"/>
    <w:aliases w:val="Table Legend,Normal: Bullets,Bullet1,Bullet 1,Bullet List,Section 5,List Table,HEOR bullet list,Bullets Points,Colorful List - Accent 11"/>
    <w:basedOn w:val="Normal"/>
    <w:link w:val="ListParagraphChar"/>
    <w:uiPriority w:val="34"/>
    <w:qFormat/>
    <w:locked/>
    <w:rsid w:val="006B772B"/>
    <w:pPr>
      <w:ind w:left="720"/>
      <w:contextualSpacing/>
    </w:pPr>
  </w:style>
  <w:style w:type="paragraph" w:styleId="Header">
    <w:name w:val="header"/>
    <w:basedOn w:val="Normal"/>
    <w:link w:val="HeaderChar"/>
    <w:uiPriority w:val="99"/>
    <w:unhideWhenUsed/>
    <w:locked/>
    <w:rsid w:val="00AC2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D72"/>
  </w:style>
  <w:style w:type="paragraph" w:styleId="Footer">
    <w:name w:val="footer"/>
    <w:basedOn w:val="Normal"/>
    <w:link w:val="FooterChar"/>
    <w:uiPriority w:val="99"/>
    <w:unhideWhenUsed/>
    <w:locked/>
    <w:rsid w:val="00AC2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D72"/>
  </w:style>
  <w:style w:type="table" w:styleId="TableGrid">
    <w:name w:val="Table Grid"/>
    <w:aliases w:val="Table Grid nm"/>
    <w:basedOn w:val="TableNormal"/>
    <w:uiPriority w:val="39"/>
    <w:locked/>
    <w:rsid w:val="00AC2D7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D72"/>
    <w:rPr>
      <w:color w:val="0563C1" w:themeColor="hyperlink"/>
      <w:u w:val="single"/>
    </w:rPr>
  </w:style>
  <w:style w:type="character" w:styleId="CommentReference">
    <w:name w:val="annotation reference"/>
    <w:basedOn w:val="DefaultParagraphFont"/>
    <w:uiPriority w:val="99"/>
    <w:semiHidden/>
    <w:unhideWhenUsed/>
    <w:locked/>
    <w:rsid w:val="006543F4"/>
    <w:rPr>
      <w:sz w:val="16"/>
      <w:szCs w:val="16"/>
    </w:rPr>
  </w:style>
  <w:style w:type="character" w:styleId="PlaceholderText">
    <w:name w:val="Placeholder Text"/>
    <w:basedOn w:val="DefaultParagraphFont"/>
    <w:uiPriority w:val="99"/>
    <w:semiHidden/>
    <w:locked/>
    <w:rsid w:val="006543F4"/>
    <w:rPr>
      <w:color w:val="808080"/>
    </w:rPr>
  </w:style>
  <w:style w:type="paragraph" w:styleId="TOCHeading">
    <w:name w:val="TOC Heading"/>
    <w:aliases w:val="Table Text"/>
    <w:basedOn w:val="TableofFigures"/>
    <w:next w:val="Normal"/>
    <w:link w:val="TOCHeadingChar"/>
    <w:uiPriority w:val="39"/>
    <w:unhideWhenUsed/>
    <w:qFormat/>
    <w:locked/>
    <w:rsid w:val="002D5180"/>
    <w:pPr>
      <w:spacing w:line="276" w:lineRule="auto"/>
    </w:pPr>
  </w:style>
  <w:style w:type="paragraph" w:styleId="TOC2">
    <w:name w:val="toc 2"/>
    <w:basedOn w:val="Normal"/>
    <w:next w:val="Normal"/>
    <w:autoRedefine/>
    <w:uiPriority w:val="39"/>
    <w:unhideWhenUsed/>
    <w:locked/>
    <w:rsid w:val="006543F4"/>
    <w:pPr>
      <w:spacing w:after="100"/>
      <w:ind w:left="220"/>
    </w:pPr>
  </w:style>
  <w:style w:type="paragraph" w:styleId="TOC3">
    <w:name w:val="toc 3"/>
    <w:basedOn w:val="Normal"/>
    <w:next w:val="Normal"/>
    <w:autoRedefine/>
    <w:uiPriority w:val="39"/>
    <w:unhideWhenUsed/>
    <w:locked/>
    <w:rsid w:val="009826AE"/>
    <w:pPr>
      <w:tabs>
        <w:tab w:val="right" w:leader="dot" w:pos="9016"/>
      </w:tabs>
      <w:spacing w:after="100"/>
      <w:ind w:left="440"/>
    </w:pPr>
    <w:rPr>
      <w:rFonts w:asciiTheme="majorBidi" w:eastAsiaTheme="majorEastAsia" w:hAnsiTheme="majorBidi" w:cstheme="majorBidi"/>
      <w:noProof/>
    </w:rPr>
  </w:style>
  <w:style w:type="table" w:customStyle="1" w:styleId="GridTable4-Accent11">
    <w:name w:val="Grid Table 4 - Accent 11"/>
    <w:basedOn w:val="TableNormal"/>
    <w:uiPriority w:val="49"/>
    <w:locked/>
    <w:rsid w:val="000677D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
    <w:name w:val="table"/>
    <w:link w:val="tableChar"/>
    <w:autoRedefine/>
    <w:qFormat/>
    <w:locked/>
    <w:rsid w:val="009E265F"/>
    <w:pPr>
      <w:spacing w:line="360" w:lineRule="auto"/>
      <w:contextualSpacing/>
    </w:pPr>
    <w:rPr>
      <w:rFonts w:ascii="Times New Roman" w:hAnsi="Times New Roman" w:cs="Times New Roman"/>
      <w:b/>
      <w:sz w:val="20"/>
      <w:szCs w:val="20"/>
    </w:rPr>
  </w:style>
  <w:style w:type="table" w:customStyle="1" w:styleId="GridTable4-Accent21">
    <w:name w:val="Grid Table 4 - Accent 21"/>
    <w:basedOn w:val="TableNormal"/>
    <w:uiPriority w:val="49"/>
    <w:locked/>
    <w:rsid w:val="00AE60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asicParagraph">
    <w:name w:val="[Basic Paragraph]"/>
    <w:basedOn w:val="Normal"/>
    <w:link w:val="BasicParagraphChar"/>
    <w:uiPriority w:val="99"/>
    <w:locked/>
    <w:rsid w:val="009B069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TOC1">
    <w:name w:val="toc 1"/>
    <w:basedOn w:val="Normal"/>
    <w:next w:val="Normal"/>
    <w:link w:val="TOC1Char"/>
    <w:autoRedefine/>
    <w:uiPriority w:val="39"/>
    <w:unhideWhenUsed/>
    <w:locked/>
    <w:rsid w:val="002659E9"/>
    <w:pPr>
      <w:tabs>
        <w:tab w:val="right" w:leader="dot" w:pos="9016"/>
      </w:tabs>
      <w:spacing w:after="100"/>
    </w:pPr>
    <w:rPr>
      <w:rFonts w:ascii="Times New Roman" w:eastAsiaTheme="majorEastAsia" w:hAnsi="Times New Roman" w:cs="Times New Roman"/>
      <w:b/>
      <w:bCs/>
      <w:noProof/>
    </w:rPr>
  </w:style>
  <w:style w:type="paragraph" w:styleId="TableofFigures">
    <w:name w:val="table of figures"/>
    <w:basedOn w:val="table"/>
    <w:next w:val="table"/>
    <w:link w:val="TableofFiguresChar"/>
    <w:autoRedefine/>
    <w:uiPriority w:val="99"/>
    <w:qFormat/>
    <w:locked/>
    <w:rsid w:val="0080269E"/>
    <w:pPr>
      <w:tabs>
        <w:tab w:val="right" w:leader="dot" w:pos="9072"/>
      </w:tabs>
      <w:jc w:val="both"/>
    </w:pPr>
    <w:rPr>
      <w:bCs/>
    </w:rPr>
  </w:style>
  <w:style w:type="paragraph" w:customStyle="1" w:styleId="TabelText">
    <w:name w:val="Tabel Text"/>
    <w:link w:val="TabelTextChar"/>
    <w:locked/>
    <w:rsid w:val="002D5180"/>
    <w:rPr>
      <w:rFonts w:ascii="Times New Roman" w:eastAsia="Times New Roman" w:hAnsi="Times New Roman" w:cs="Times New Roman"/>
      <w:b/>
      <w:szCs w:val="16"/>
      <w:lang w:val="en-US" w:eastAsia="ja-JP"/>
    </w:rPr>
  </w:style>
  <w:style w:type="paragraph" w:customStyle="1" w:styleId="Figures">
    <w:name w:val="Figures"/>
    <w:basedOn w:val="TableofFigures"/>
    <w:link w:val="FiguresChar"/>
    <w:autoRedefine/>
    <w:qFormat/>
    <w:locked/>
    <w:rsid w:val="00AA1674"/>
    <w:rPr>
      <w:rFonts w:cstheme="majorBidi"/>
      <w:b w:val="0"/>
    </w:rPr>
  </w:style>
  <w:style w:type="character" w:customStyle="1" w:styleId="TabelTextChar">
    <w:name w:val="Tabel Text Char"/>
    <w:basedOn w:val="DefaultParagraphFont"/>
    <w:link w:val="TabelText"/>
    <w:rsid w:val="002D5180"/>
    <w:rPr>
      <w:rFonts w:ascii="Times New Roman" w:eastAsia="Times New Roman" w:hAnsi="Times New Roman" w:cs="Times New Roman"/>
      <w:b/>
      <w:szCs w:val="16"/>
      <w:lang w:val="en-US" w:eastAsia="ja-JP"/>
    </w:rPr>
  </w:style>
  <w:style w:type="character" w:customStyle="1" w:styleId="TableofFiguresChar">
    <w:name w:val="Table of Figures Char"/>
    <w:basedOn w:val="DefaultParagraphFont"/>
    <w:link w:val="TableofFigures"/>
    <w:uiPriority w:val="99"/>
    <w:rsid w:val="0080269E"/>
    <w:rPr>
      <w:rFonts w:ascii="Times New Roman" w:hAnsi="Times New Roman" w:cs="Times New Roman"/>
      <w:b/>
      <w:bCs/>
      <w:sz w:val="20"/>
      <w:szCs w:val="20"/>
    </w:rPr>
  </w:style>
  <w:style w:type="character" w:customStyle="1" w:styleId="FiguresChar">
    <w:name w:val="Figures Char"/>
    <w:basedOn w:val="TableofFiguresChar"/>
    <w:link w:val="Figures"/>
    <w:rsid w:val="00AA1674"/>
    <w:rPr>
      <w:rFonts w:asciiTheme="majorBidi" w:hAnsiTheme="majorBidi" w:cstheme="majorBidi"/>
      <w:b w:val="0"/>
      <w:bCs/>
      <w:sz w:val="20"/>
      <w:szCs w:val="20"/>
    </w:rPr>
  </w:style>
  <w:style w:type="paragraph" w:styleId="TOC5">
    <w:name w:val="toc 5"/>
    <w:basedOn w:val="Normal"/>
    <w:next w:val="Normal"/>
    <w:autoRedefine/>
    <w:uiPriority w:val="39"/>
    <w:unhideWhenUsed/>
    <w:locked/>
    <w:rsid w:val="002A6BB6"/>
    <w:pPr>
      <w:spacing w:after="100"/>
      <w:ind w:left="880"/>
    </w:pPr>
  </w:style>
  <w:style w:type="character" w:styleId="Strong">
    <w:name w:val="Strong"/>
    <w:basedOn w:val="DefaultParagraphFont"/>
    <w:uiPriority w:val="22"/>
    <w:qFormat/>
    <w:locked/>
    <w:rsid w:val="006B772B"/>
    <w:rPr>
      <w:b/>
      <w:bCs/>
    </w:rPr>
  </w:style>
  <w:style w:type="paragraph" w:customStyle="1" w:styleId="EEPRUMainHeading">
    <w:name w:val="EEPRU Main Heading"/>
    <w:basedOn w:val="Normal"/>
    <w:link w:val="EEPRUMainHeadingChar"/>
    <w:rsid w:val="009E5E96"/>
    <w:pPr>
      <w:jc w:val="both"/>
    </w:pPr>
    <w:rPr>
      <w:rFonts w:asciiTheme="majorBidi" w:hAnsiTheme="majorBidi" w:cstheme="majorBidi"/>
      <w:b/>
      <w:sz w:val="32"/>
      <w:szCs w:val="32"/>
    </w:rPr>
  </w:style>
  <w:style w:type="paragraph" w:customStyle="1" w:styleId="EEPRUNumberedHeading">
    <w:name w:val="EEPRU Numbered Heading"/>
    <w:basedOn w:val="Heading1"/>
    <w:link w:val="EEPRUNumberedHeadingChar"/>
    <w:rsid w:val="009E5E96"/>
    <w:pPr>
      <w:numPr>
        <w:numId w:val="1"/>
      </w:numPr>
    </w:pPr>
    <w:rPr>
      <w:rFonts w:asciiTheme="majorBidi" w:hAnsiTheme="majorBidi"/>
    </w:rPr>
  </w:style>
  <w:style w:type="character" w:customStyle="1" w:styleId="EEPRUMainHeadingChar">
    <w:name w:val="EEPRU Main Heading Char"/>
    <w:basedOn w:val="DefaultParagraphFont"/>
    <w:link w:val="EEPRUMainHeading"/>
    <w:rsid w:val="009E5E96"/>
    <w:rPr>
      <w:rFonts w:asciiTheme="majorBidi" w:hAnsiTheme="majorBidi" w:cstheme="majorBidi"/>
      <w:b/>
      <w:sz w:val="32"/>
      <w:szCs w:val="32"/>
    </w:rPr>
  </w:style>
  <w:style w:type="paragraph" w:customStyle="1" w:styleId="EEPRUNumberedsubheading">
    <w:name w:val="EEPRU Numbered sub heading"/>
    <w:basedOn w:val="Heading2"/>
    <w:link w:val="EEPRUNumberedsubheadingChar"/>
    <w:rsid w:val="009E5E96"/>
    <w:pPr>
      <w:numPr>
        <w:ilvl w:val="1"/>
        <w:numId w:val="1"/>
      </w:numPr>
    </w:pPr>
  </w:style>
  <w:style w:type="character" w:customStyle="1" w:styleId="EEPRUNumberedHeadingChar">
    <w:name w:val="EEPRU Numbered Heading Char"/>
    <w:basedOn w:val="Heading1Char"/>
    <w:link w:val="EEPRUNumberedHeading"/>
    <w:rsid w:val="009E5E96"/>
    <w:rPr>
      <w:rFonts w:asciiTheme="majorBidi" w:eastAsiaTheme="majorEastAsia" w:hAnsiTheme="majorBidi" w:cstheme="majorBidi"/>
      <w:b/>
      <w:bCs/>
      <w:sz w:val="32"/>
      <w:szCs w:val="28"/>
    </w:rPr>
  </w:style>
  <w:style w:type="paragraph" w:customStyle="1" w:styleId="EEPRUTableFigureHeader">
    <w:name w:val="EEPRU Table/Figure Header"/>
    <w:basedOn w:val="table"/>
    <w:link w:val="EEPRUTableFigureHeaderChar"/>
    <w:rsid w:val="009E5E96"/>
    <w:rPr>
      <w:rFonts w:cstheme="majorBidi"/>
    </w:rPr>
  </w:style>
  <w:style w:type="character" w:customStyle="1" w:styleId="EEPRUNumberedsubheadingChar">
    <w:name w:val="EEPRU Numbered sub heading Char"/>
    <w:basedOn w:val="Heading2Char"/>
    <w:link w:val="EEPRUNumberedsubheading"/>
    <w:rsid w:val="009E5E96"/>
    <w:rPr>
      <w:rFonts w:asciiTheme="majorBidi" w:eastAsiaTheme="majorEastAsia" w:hAnsiTheme="majorBidi" w:cstheme="majorBidi"/>
      <w:b/>
      <w:bCs/>
      <w:sz w:val="26"/>
      <w:szCs w:val="26"/>
    </w:rPr>
  </w:style>
  <w:style w:type="paragraph" w:customStyle="1" w:styleId="EEPRUMainBodyText">
    <w:name w:val="EEPRU Main Body Text"/>
    <w:basedOn w:val="Normal"/>
    <w:link w:val="EEPRUMainBodyTextChar"/>
    <w:rsid w:val="009E5E96"/>
    <w:pPr>
      <w:spacing w:line="360" w:lineRule="auto"/>
      <w:jc w:val="both"/>
    </w:pPr>
    <w:rPr>
      <w:rFonts w:asciiTheme="majorBidi" w:hAnsiTheme="majorBidi" w:cstheme="majorBidi"/>
    </w:rPr>
  </w:style>
  <w:style w:type="character" w:customStyle="1" w:styleId="tableChar">
    <w:name w:val="table Char"/>
    <w:basedOn w:val="DefaultParagraphFont"/>
    <w:link w:val="table"/>
    <w:rsid w:val="009E265F"/>
    <w:rPr>
      <w:rFonts w:ascii="Times New Roman" w:hAnsi="Times New Roman" w:cs="Times New Roman"/>
      <w:b/>
      <w:sz w:val="20"/>
      <w:szCs w:val="20"/>
    </w:rPr>
  </w:style>
  <w:style w:type="character" w:customStyle="1" w:styleId="EEPRUTableFigureHeaderChar">
    <w:name w:val="EEPRU Table/Figure Header Char"/>
    <w:basedOn w:val="tableChar"/>
    <w:link w:val="EEPRUTableFigureHeader"/>
    <w:rsid w:val="009E5E96"/>
    <w:rPr>
      <w:rFonts w:asciiTheme="majorBidi" w:hAnsiTheme="majorBidi" w:cstheme="majorBidi"/>
      <w:b/>
      <w:sz w:val="20"/>
      <w:szCs w:val="20"/>
    </w:rPr>
  </w:style>
  <w:style w:type="paragraph" w:customStyle="1" w:styleId="EEPRUTItlePageReportTitle">
    <w:name w:val="EEPRU TItle Page Report Title"/>
    <w:basedOn w:val="BasicParagraph"/>
    <w:link w:val="EEPRUTItlePageReportTitleChar"/>
    <w:rsid w:val="00B51095"/>
    <w:pPr>
      <w:suppressAutoHyphens/>
      <w:spacing w:line="240" w:lineRule="auto"/>
    </w:pPr>
    <w:rPr>
      <w:rFonts w:ascii="Helvetica" w:hAnsi="Helvetica" w:cs="HelveticaNeue-Bold"/>
      <w:b/>
      <w:bCs/>
      <w:color w:val="092E41"/>
      <w:sz w:val="50"/>
      <w:szCs w:val="50"/>
    </w:rPr>
  </w:style>
  <w:style w:type="character" w:customStyle="1" w:styleId="EEPRUMainBodyTextChar">
    <w:name w:val="EEPRU Main Body Text Char"/>
    <w:basedOn w:val="DefaultParagraphFont"/>
    <w:link w:val="EEPRUMainBodyText"/>
    <w:rsid w:val="009E5E96"/>
    <w:rPr>
      <w:rFonts w:asciiTheme="majorBidi" w:hAnsiTheme="majorBidi" w:cstheme="majorBidi"/>
    </w:rPr>
  </w:style>
  <w:style w:type="paragraph" w:customStyle="1" w:styleId="EEPRUTitlePageAdditionalTitleInfoandDate">
    <w:name w:val="EEPRU Title Page Additional Title Info and Date"/>
    <w:basedOn w:val="Normal"/>
    <w:link w:val="EEPRUTitlePageAdditionalTitleInfoandDateChar"/>
    <w:rsid w:val="00B51095"/>
    <w:pPr>
      <w:spacing w:after="0" w:line="276" w:lineRule="auto"/>
    </w:pPr>
    <w:rPr>
      <w:rFonts w:ascii="Helvetica" w:eastAsiaTheme="minorEastAsia" w:hAnsi="Helvetica" w:cs="HelveticaNeue-Bold"/>
      <w:b/>
      <w:color w:val="6D8A9A"/>
      <w:spacing w:val="-3"/>
      <w:sz w:val="31"/>
      <w:szCs w:val="31"/>
    </w:rPr>
  </w:style>
  <w:style w:type="character" w:customStyle="1" w:styleId="BasicParagraphChar">
    <w:name w:val="[Basic Paragraph] Char"/>
    <w:basedOn w:val="DefaultParagraphFont"/>
    <w:link w:val="BasicParagraph"/>
    <w:uiPriority w:val="99"/>
    <w:rsid w:val="00B51095"/>
    <w:rPr>
      <w:rFonts w:ascii="MinionPro-Regular" w:eastAsiaTheme="minorEastAsia" w:hAnsi="MinionPro-Regular" w:cs="MinionPro-Regular"/>
      <w:color w:val="000000"/>
      <w:sz w:val="24"/>
      <w:szCs w:val="24"/>
    </w:rPr>
  </w:style>
  <w:style w:type="character" w:customStyle="1" w:styleId="EEPRUTItlePageReportTitleChar">
    <w:name w:val="EEPRU TItle Page Report Title Char"/>
    <w:basedOn w:val="BasicParagraphChar"/>
    <w:link w:val="EEPRUTItlePageReportTitle"/>
    <w:rsid w:val="00B51095"/>
    <w:rPr>
      <w:rFonts w:ascii="Helvetica" w:eastAsiaTheme="minorEastAsia" w:hAnsi="Helvetica" w:cs="HelveticaNeue-Bold"/>
      <w:b/>
      <w:bCs/>
      <w:color w:val="092E41"/>
      <w:sz w:val="50"/>
      <w:szCs w:val="50"/>
    </w:rPr>
  </w:style>
  <w:style w:type="paragraph" w:customStyle="1" w:styleId="EEPRUTItlePageAuthorsandAffiliations">
    <w:name w:val="EEPRU TItle Page Authors and Affiliations"/>
    <w:basedOn w:val="BasicParagraph"/>
    <w:link w:val="EEPRUTItlePageAuthorsandAffiliationsChar"/>
    <w:rsid w:val="00B51095"/>
    <w:pPr>
      <w:suppressAutoHyphens/>
      <w:spacing w:after="113"/>
    </w:pPr>
    <w:rPr>
      <w:rFonts w:ascii="Helvetica" w:hAnsi="Helvetica" w:cs="HelveticaNeue-Medium"/>
      <w:color w:val="092E41"/>
    </w:rPr>
  </w:style>
  <w:style w:type="character" w:customStyle="1" w:styleId="EEPRUTitlePageAdditionalTitleInfoandDateChar">
    <w:name w:val="EEPRU Title Page Additional Title Info and Date Char"/>
    <w:basedOn w:val="DefaultParagraphFont"/>
    <w:link w:val="EEPRUTitlePageAdditionalTitleInfoandDate"/>
    <w:rsid w:val="00B51095"/>
    <w:rPr>
      <w:rFonts w:ascii="Helvetica" w:eastAsiaTheme="minorEastAsia" w:hAnsi="Helvetica" w:cs="HelveticaNeue-Bold"/>
      <w:b/>
      <w:color w:val="6D8A9A"/>
      <w:spacing w:val="-3"/>
      <w:sz w:val="31"/>
      <w:szCs w:val="31"/>
    </w:rPr>
  </w:style>
  <w:style w:type="paragraph" w:customStyle="1" w:styleId="EEPRUNIHRLogo">
    <w:name w:val="EEPRU NIHR Logo"/>
    <w:basedOn w:val="Normal"/>
    <w:link w:val="EEPRUNIHRLogoChar"/>
    <w:rsid w:val="00A810B3"/>
    <w:pPr>
      <w:spacing w:line="360" w:lineRule="auto"/>
      <w:jc w:val="both"/>
    </w:pPr>
    <w:rPr>
      <w:rFonts w:asciiTheme="majorBidi" w:hAnsiTheme="majorBidi" w:cstheme="majorBidi"/>
      <w:noProof/>
      <w:lang w:eastAsia="en-GB"/>
    </w:rPr>
  </w:style>
  <w:style w:type="character" w:customStyle="1" w:styleId="EEPRUTItlePageAuthorsandAffiliationsChar">
    <w:name w:val="EEPRU TItle Page Authors and Affiliations Char"/>
    <w:basedOn w:val="BasicParagraphChar"/>
    <w:link w:val="EEPRUTItlePageAuthorsandAffiliations"/>
    <w:rsid w:val="00B51095"/>
    <w:rPr>
      <w:rFonts w:ascii="Helvetica" w:eastAsiaTheme="minorEastAsia" w:hAnsi="Helvetica" w:cs="HelveticaNeue-Medium"/>
      <w:color w:val="092E41"/>
      <w:sz w:val="24"/>
      <w:szCs w:val="24"/>
    </w:rPr>
  </w:style>
  <w:style w:type="paragraph" w:customStyle="1" w:styleId="EEPRUTableofContents">
    <w:name w:val="EEPRU Table of Contents"/>
    <w:basedOn w:val="TOCHeading"/>
    <w:link w:val="EEPRUTableofContentsChar"/>
    <w:rsid w:val="00421BEE"/>
    <w:rPr>
      <w:rFonts w:cstheme="majorBidi"/>
      <w:sz w:val="32"/>
      <w:szCs w:val="32"/>
    </w:rPr>
  </w:style>
  <w:style w:type="character" w:customStyle="1" w:styleId="EEPRUNIHRLogoChar">
    <w:name w:val="EEPRU NIHR Logo Char"/>
    <w:basedOn w:val="DefaultParagraphFont"/>
    <w:link w:val="EEPRUNIHRLogo"/>
    <w:rsid w:val="00A810B3"/>
    <w:rPr>
      <w:rFonts w:asciiTheme="majorBidi" w:hAnsiTheme="majorBidi" w:cstheme="majorBidi"/>
      <w:noProof/>
      <w:lang w:eastAsia="en-GB"/>
    </w:rPr>
  </w:style>
  <w:style w:type="paragraph" w:customStyle="1" w:styleId="EEPRUTableofCOntents0">
    <w:name w:val="EEPRU Table of COntents"/>
    <w:basedOn w:val="TOC1"/>
    <w:link w:val="EEPRUTableofCOntentsChar0"/>
    <w:rsid w:val="00421BEE"/>
    <w:rPr>
      <w:rFonts w:asciiTheme="majorBidi" w:hAnsiTheme="majorBidi" w:cstheme="majorBidi"/>
      <w:b w:val="0"/>
      <w:bCs w:val="0"/>
    </w:rPr>
  </w:style>
  <w:style w:type="character" w:customStyle="1" w:styleId="TOCHeadingChar">
    <w:name w:val="TOC Heading Char"/>
    <w:aliases w:val="Table Text Char"/>
    <w:basedOn w:val="TableofFiguresChar"/>
    <w:link w:val="TOCHeading"/>
    <w:rsid w:val="00421BEE"/>
    <w:rPr>
      <w:rFonts w:asciiTheme="majorBidi" w:hAnsiTheme="majorBidi" w:cs="Times New Roman"/>
      <w:b/>
      <w:bCs/>
      <w:sz w:val="20"/>
      <w:szCs w:val="20"/>
    </w:rPr>
  </w:style>
  <w:style w:type="character" w:customStyle="1" w:styleId="EEPRUTableofContentsChar">
    <w:name w:val="EEPRU Table of Contents Char"/>
    <w:basedOn w:val="TOCHeadingChar"/>
    <w:link w:val="EEPRUTableofContents"/>
    <w:rsid w:val="00421BEE"/>
    <w:rPr>
      <w:rFonts w:asciiTheme="majorBidi" w:hAnsiTheme="majorBidi" w:cstheme="majorBidi"/>
      <w:b/>
      <w:bCs/>
      <w:sz w:val="32"/>
      <w:szCs w:val="32"/>
    </w:rPr>
  </w:style>
  <w:style w:type="paragraph" w:customStyle="1" w:styleId="EEPRUListofTablesandFiguresonContentspage">
    <w:name w:val="EEPRU List of Tables and Figures on Contents page"/>
    <w:basedOn w:val="Normal"/>
    <w:link w:val="EEPRUListofTablesandFiguresonContentspageChar"/>
    <w:rsid w:val="00421BEE"/>
    <w:rPr>
      <w:rFonts w:asciiTheme="majorBidi" w:hAnsiTheme="majorBidi" w:cstheme="majorBidi"/>
      <w:b/>
    </w:rPr>
  </w:style>
  <w:style w:type="character" w:customStyle="1" w:styleId="TOC1Char">
    <w:name w:val="TOC 1 Char"/>
    <w:basedOn w:val="DefaultParagraphFont"/>
    <w:link w:val="TOC1"/>
    <w:uiPriority w:val="39"/>
    <w:rsid w:val="002659E9"/>
    <w:rPr>
      <w:rFonts w:ascii="Times New Roman" w:eastAsiaTheme="majorEastAsia" w:hAnsi="Times New Roman" w:cs="Times New Roman"/>
      <w:b/>
      <w:bCs/>
      <w:noProof/>
    </w:rPr>
  </w:style>
  <w:style w:type="character" w:customStyle="1" w:styleId="EEPRUTableofCOntentsChar0">
    <w:name w:val="EEPRU Table of COntents Char"/>
    <w:basedOn w:val="TOC1Char"/>
    <w:link w:val="EEPRUTableofCOntents0"/>
    <w:rsid w:val="00421BEE"/>
    <w:rPr>
      <w:rFonts w:asciiTheme="majorBidi" w:eastAsiaTheme="majorEastAsia" w:hAnsiTheme="majorBidi" w:cstheme="majorBidi"/>
      <w:b w:val="0"/>
      <w:bCs w:val="0"/>
      <w:noProof/>
    </w:rPr>
  </w:style>
  <w:style w:type="paragraph" w:customStyle="1" w:styleId="EEPRUListofFiguresonContentsPage">
    <w:name w:val="EEPRU List of Figures on Contents Page"/>
    <w:basedOn w:val="EEPRUListofTablesandFiguresonContentspage"/>
    <w:rsid w:val="002066AF"/>
  </w:style>
  <w:style w:type="character" w:customStyle="1" w:styleId="EEPRUListofTablesandFiguresonContentspageChar">
    <w:name w:val="EEPRU List of Tables and Figures on Contents page Char"/>
    <w:basedOn w:val="DefaultParagraphFont"/>
    <w:link w:val="EEPRUListofTablesandFiguresonContentspage"/>
    <w:rsid w:val="00421BEE"/>
    <w:rPr>
      <w:rFonts w:asciiTheme="majorBidi" w:hAnsiTheme="majorBidi" w:cstheme="majorBidi"/>
      <w:b/>
    </w:rPr>
  </w:style>
  <w:style w:type="paragraph" w:customStyle="1" w:styleId="EEPRUListofTablesonContentsPage">
    <w:name w:val="EEPRU List of Tables on Contents Page"/>
    <w:basedOn w:val="Normal"/>
    <w:rsid w:val="002066AF"/>
    <w:rPr>
      <w:rFonts w:asciiTheme="majorBidi" w:hAnsiTheme="majorBidi" w:cstheme="majorBidi"/>
      <w:b/>
    </w:rPr>
  </w:style>
  <w:style w:type="paragraph" w:customStyle="1" w:styleId="EndNoteBibliographyTitle">
    <w:name w:val="EndNote Bibliography Title"/>
    <w:basedOn w:val="Normal"/>
    <w:link w:val="EndNoteBibliographyTitleChar"/>
    <w:rsid w:val="00CA10F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A10F2"/>
    <w:rPr>
      <w:rFonts w:ascii="Calibri" w:hAnsi="Calibri" w:cs="Calibri"/>
      <w:noProof/>
      <w:lang w:val="en-US"/>
    </w:rPr>
  </w:style>
  <w:style w:type="paragraph" w:customStyle="1" w:styleId="EndNoteBibliography">
    <w:name w:val="EndNote Bibliography"/>
    <w:basedOn w:val="Normal"/>
    <w:link w:val="EndNoteBibliographyChar"/>
    <w:rsid w:val="00CA10F2"/>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CA10F2"/>
    <w:rPr>
      <w:rFonts w:ascii="Calibri" w:hAnsi="Calibri" w:cs="Calibri"/>
      <w:noProof/>
      <w:lang w:val="en-US"/>
    </w:rPr>
  </w:style>
  <w:style w:type="paragraph" w:customStyle="1" w:styleId="msonormal0">
    <w:name w:val="msonormal"/>
    <w:basedOn w:val="Normal"/>
    <w:rsid w:val="001A713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unhideWhenUsed/>
    <w:locked/>
    <w:rsid w:val="001A713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uiPriority w:val="1"/>
    <w:unhideWhenUsed/>
    <w:qFormat/>
    <w:locked/>
    <w:rsid w:val="009F1D70"/>
    <w:pPr>
      <w:spacing w:after="120"/>
    </w:pPr>
  </w:style>
  <w:style w:type="character" w:customStyle="1" w:styleId="BodyTextChar">
    <w:name w:val="Body Text Char"/>
    <w:basedOn w:val="DefaultParagraphFont"/>
    <w:link w:val="BodyText"/>
    <w:uiPriority w:val="1"/>
    <w:rsid w:val="009F1D70"/>
  </w:style>
  <w:style w:type="character" w:customStyle="1" w:styleId="ListParagraphChar">
    <w:name w:val="List Paragraph Char"/>
    <w:aliases w:val="Table Legend Char,Normal: Bullets Char,Bullet1 Char,Bullet 1 Char,Bullet List Char,Section 5 Char,List Table Char,HEOR bullet list Char,Bullets Points Char,Colorful List - Accent 11 Char"/>
    <w:link w:val="ListParagraph"/>
    <w:uiPriority w:val="34"/>
    <w:locked/>
    <w:rsid w:val="009F1D70"/>
  </w:style>
  <w:style w:type="paragraph" w:styleId="BodyText2">
    <w:name w:val="Body Text 2"/>
    <w:basedOn w:val="Normal"/>
    <w:link w:val="BodyText2Char"/>
    <w:uiPriority w:val="99"/>
    <w:semiHidden/>
    <w:unhideWhenUsed/>
    <w:locked/>
    <w:rsid w:val="009F1D70"/>
    <w:pPr>
      <w:spacing w:after="120" w:line="480" w:lineRule="auto"/>
    </w:pPr>
  </w:style>
  <w:style w:type="character" w:customStyle="1" w:styleId="BodyText2Char">
    <w:name w:val="Body Text 2 Char"/>
    <w:basedOn w:val="DefaultParagraphFont"/>
    <w:link w:val="BodyText2"/>
    <w:uiPriority w:val="99"/>
    <w:semiHidden/>
    <w:rsid w:val="009F1D70"/>
  </w:style>
  <w:style w:type="paragraph" w:styleId="Caption">
    <w:name w:val="caption"/>
    <w:aliases w:val="Caption PHMR,TabFig title/caption,Caption for Figures and Tables,fig cadre,Caption Char Char,Caption Char Char Char Char,fig cadre Char2,Caption Char2,fig cadre Char Char,- H17,Bayer Caption,IB Caption,Medical Caption,figure,Caption-FUSA"/>
    <w:basedOn w:val="Normal"/>
    <w:next w:val="Normal"/>
    <w:link w:val="CaptionChar"/>
    <w:uiPriority w:val="35"/>
    <w:unhideWhenUsed/>
    <w:qFormat/>
    <w:rsid w:val="00C671AA"/>
    <w:pPr>
      <w:spacing w:after="200" w:line="240" w:lineRule="auto"/>
    </w:pPr>
    <w:rPr>
      <w:i/>
      <w:iCs/>
      <w:color w:val="44546A" w:themeColor="text2"/>
      <w:sz w:val="18"/>
      <w:szCs w:val="18"/>
    </w:rPr>
  </w:style>
  <w:style w:type="character" w:styleId="PageNumber">
    <w:name w:val="page number"/>
    <w:basedOn w:val="DefaultParagraphFont"/>
    <w:uiPriority w:val="99"/>
    <w:semiHidden/>
    <w:unhideWhenUsed/>
    <w:locked/>
    <w:rsid w:val="00E912F3"/>
  </w:style>
  <w:style w:type="paragraph" w:customStyle="1" w:styleId="TableBullet">
    <w:name w:val="Table Bullet"/>
    <w:basedOn w:val="TOCHeading"/>
    <w:link w:val="TableBulletChar"/>
    <w:qFormat/>
    <w:rsid w:val="00693B48"/>
    <w:pPr>
      <w:numPr>
        <w:numId w:val="10"/>
      </w:numPr>
      <w:tabs>
        <w:tab w:val="clear" w:pos="9072"/>
      </w:tabs>
      <w:spacing w:before="60" w:after="60" w:line="240" w:lineRule="auto"/>
      <w:jc w:val="left"/>
    </w:pPr>
    <w:rPr>
      <w:rFonts w:ascii="Arial" w:hAnsi="Arial" w:cs="Arial"/>
      <w:color w:val="000000" w:themeColor="text1"/>
      <w:szCs w:val="18"/>
    </w:rPr>
  </w:style>
  <w:style w:type="character" w:customStyle="1" w:styleId="TableBulletChar">
    <w:name w:val="Table Bullet Char"/>
    <w:basedOn w:val="TOCHeadingChar"/>
    <w:link w:val="TableBullet"/>
    <w:rsid w:val="00693B48"/>
    <w:rPr>
      <w:rFonts w:ascii="Arial" w:hAnsi="Arial" w:cs="Arial"/>
      <w:b/>
      <w:bCs/>
      <w:color w:val="000000" w:themeColor="text1"/>
      <w:sz w:val="20"/>
      <w:szCs w:val="18"/>
    </w:rPr>
  </w:style>
  <w:style w:type="paragraph" w:styleId="NoSpacing">
    <w:name w:val="No Spacing"/>
    <w:uiPriority w:val="1"/>
    <w:qFormat/>
    <w:rsid w:val="009074D3"/>
    <w:pPr>
      <w:spacing w:after="0" w:line="240" w:lineRule="auto"/>
    </w:pPr>
  </w:style>
  <w:style w:type="character" w:customStyle="1" w:styleId="Heading4Char">
    <w:name w:val="Heading 4 Char"/>
    <w:basedOn w:val="DefaultParagraphFont"/>
    <w:link w:val="Heading4"/>
    <w:uiPriority w:val="9"/>
    <w:rsid w:val="00F62920"/>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1B2E58"/>
    <w:rPr>
      <w:color w:val="605E5C"/>
      <w:shd w:val="clear" w:color="auto" w:fill="E1DFDD"/>
    </w:rPr>
  </w:style>
  <w:style w:type="character" w:customStyle="1" w:styleId="Heading5Char">
    <w:name w:val="Heading 5 Char"/>
    <w:basedOn w:val="DefaultParagraphFont"/>
    <w:link w:val="Heading5"/>
    <w:uiPriority w:val="9"/>
    <w:rsid w:val="00885DFB"/>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85DFB"/>
  </w:style>
  <w:style w:type="character" w:customStyle="1" w:styleId="CommentTextChar1">
    <w:name w:val="Comment Text Char1"/>
    <w:basedOn w:val="DefaultParagraphFont"/>
    <w:uiPriority w:val="99"/>
    <w:semiHidden/>
    <w:rsid w:val="00885DFB"/>
    <w:rPr>
      <w:rFonts w:ascii="Times New Roman" w:hAnsi="Times New Roman" w:cs="Times New Roman"/>
      <w:sz w:val="20"/>
      <w:szCs w:val="20"/>
    </w:rPr>
  </w:style>
  <w:style w:type="character" w:customStyle="1" w:styleId="CommentSubjectChar1">
    <w:name w:val="Comment Subject Char1"/>
    <w:basedOn w:val="CommentTextChar1"/>
    <w:uiPriority w:val="99"/>
    <w:semiHidden/>
    <w:rsid w:val="00885DFB"/>
    <w:rPr>
      <w:rFonts w:ascii="Times New Roman" w:hAnsi="Times New Roman" w:cs="Times New Roman"/>
      <w:b/>
      <w:bCs/>
      <w:sz w:val="20"/>
      <w:szCs w:val="20"/>
    </w:rPr>
  </w:style>
  <w:style w:type="character" w:customStyle="1" w:styleId="BalloonTextChar1">
    <w:name w:val="Balloon Text Char1"/>
    <w:basedOn w:val="DefaultParagraphFont"/>
    <w:uiPriority w:val="99"/>
    <w:semiHidden/>
    <w:rsid w:val="00885DFB"/>
    <w:rPr>
      <w:rFonts w:ascii="Segoe UI" w:hAnsi="Segoe UI" w:cs="Segoe UI"/>
      <w:sz w:val="18"/>
      <w:szCs w:val="18"/>
    </w:rPr>
  </w:style>
  <w:style w:type="character" w:styleId="IntenseEmphasis">
    <w:name w:val="Intense Emphasis"/>
    <w:basedOn w:val="Strong"/>
    <w:uiPriority w:val="21"/>
    <w:qFormat/>
    <w:rsid w:val="00885DFB"/>
    <w:rPr>
      <w:b w:val="0"/>
      <w:bCs w:val="0"/>
    </w:rPr>
  </w:style>
  <w:style w:type="character" w:styleId="FollowedHyperlink">
    <w:name w:val="FollowedHyperlink"/>
    <w:basedOn w:val="DefaultParagraphFont"/>
    <w:uiPriority w:val="99"/>
    <w:semiHidden/>
    <w:unhideWhenUsed/>
    <w:locked/>
    <w:rsid w:val="00885DFB"/>
    <w:rPr>
      <w:color w:val="954F72" w:themeColor="followedHyperlink"/>
      <w:u w:val="single"/>
    </w:rPr>
  </w:style>
  <w:style w:type="character" w:customStyle="1" w:styleId="UnresolvedMention10">
    <w:name w:val="Unresolved Mention1"/>
    <w:basedOn w:val="DefaultParagraphFont"/>
    <w:uiPriority w:val="99"/>
    <w:semiHidden/>
    <w:unhideWhenUsed/>
    <w:rsid w:val="00885DFB"/>
    <w:rPr>
      <w:color w:val="605E5C"/>
      <w:shd w:val="clear" w:color="auto" w:fill="E1DFDD"/>
    </w:rPr>
  </w:style>
  <w:style w:type="paragraph" w:customStyle="1" w:styleId="xl65">
    <w:name w:val="xl65"/>
    <w:basedOn w:val="Normal"/>
    <w:rsid w:val="00885DF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885DF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885DFB"/>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885DF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885DFB"/>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885D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EPRUnumberedLevel1Heading">
    <w:name w:val="EEPRU numbered Level 1 Heading"/>
    <w:basedOn w:val="EEPRUNumberedHeading"/>
    <w:link w:val="EEPRUnumberedLevel1HeadingChar"/>
    <w:qFormat/>
    <w:rsid w:val="00885DFB"/>
    <w:pPr>
      <w:numPr>
        <w:numId w:val="4"/>
      </w:numPr>
    </w:pPr>
  </w:style>
  <w:style w:type="paragraph" w:customStyle="1" w:styleId="EEPRUnumberedheadinglevel2">
    <w:name w:val="EEPRU numbered heading level 2"/>
    <w:basedOn w:val="EEPRUNumberedsubheading"/>
    <w:link w:val="EEPRUnumberedheadinglevel2Char"/>
    <w:qFormat/>
    <w:rsid w:val="00885DFB"/>
    <w:pPr>
      <w:numPr>
        <w:numId w:val="4"/>
      </w:numPr>
      <w:spacing w:before="240"/>
    </w:pPr>
  </w:style>
  <w:style w:type="character" w:customStyle="1" w:styleId="EEPRUnumberedLevel1HeadingChar">
    <w:name w:val="EEPRU numbered Level 1 Heading Char"/>
    <w:basedOn w:val="EEPRUNumberedHeadingChar"/>
    <w:link w:val="EEPRUnumberedLevel1Heading"/>
    <w:rsid w:val="00885DFB"/>
    <w:rPr>
      <w:rFonts w:asciiTheme="majorBidi" w:eastAsiaTheme="majorEastAsia" w:hAnsiTheme="majorBidi" w:cstheme="majorBidi"/>
      <w:b/>
      <w:bCs/>
      <w:sz w:val="32"/>
      <w:szCs w:val="28"/>
    </w:rPr>
  </w:style>
  <w:style w:type="paragraph" w:customStyle="1" w:styleId="EEPRUnumberedstylelevel3">
    <w:name w:val="EEPRU numbered style level 3"/>
    <w:basedOn w:val="EEPRUnumberedheadinglevel2"/>
    <w:link w:val="EEPRUnumberedstylelevel3Char"/>
    <w:qFormat/>
    <w:rsid w:val="00885DFB"/>
    <w:pPr>
      <w:numPr>
        <w:ilvl w:val="0"/>
        <w:numId w:val="0"/>
      </w:numPr>
      <w:ind w:left="504" w:hanging="504"/>
    </w:pPr>
  </w:style>
  <w:style w:type="character" w:customStyle="1" w:styleId="EEPRUnumberedheadinglevel2Char">
    <w:name w:val="EEPRU numbered heading level 2 Char"/>
    <w:basedOn w:val="EEPRUNumberedsubheadingChar"/>
    <w:link w:val="EEPRUnumberedheadinglevel2"/>
    <w:rsid w:val="00885DFB"/>
    <w:rPr>
      <w:rFonts w:asciiTheme="majorBidi" w:eastAsiaTheme="majorEastAsia" w:hAnsiTheme="majorBidi" w:cstheme="majorBidi"/>
      <w:b/>
      <w:bCs/>
      <w:sz w:val="26"/>
      <w:szCs w:val="26"/>
    </w:rPr>
  </w:style>
  <w:style w:type="character" w:customStyle="1" w:styleId="EEPRUnumberedstylelevel3Char">
    <w:name w:val="EEPRU numbered style level 3 Char"/>
    <w:basedOn w:val="EEPRUnumberedheadinglevel2Char"/>
    <w:link w:val="EEPRUnumberedstylelevel3"/>
    <w:rsid w:val="00885DFB"/>
    <w:rPr>
      <w:rFonts w:asciiTheme="majorBidi" w:eastAsiaTheme="majorEastAsia" w:hAnsiTheme="majorBidi" w:cstheme="majorBidi"/>
      <w:b/>
      <w:bCs/>
      <w:sz w:val="26"/>
      <w:szCs w:val="26"/>
    </w:rPr>
  </w:style>
  <w:style w:type="table" w:customStyle="1" w:styleId="TableGrid1">
    <w:name w:val="Table Grid1"/>
    <w:basedOn w:val="TableNormal"/>
    <w:next w:val="TableGrid"/>
    <w:uiPriority w:val="39"/>
    <w:rsid w:val="00885DFB"/>
    <w:pPr>
      <w:spacing w:after="0" w:line="240" w:lineRule="auto"/>
    </w:pPr>
    <w:rPr>
      <w:rFonts w:ascii="Calibri" w:eastAsia="DengXian" w:hAnsi="Calibri" w:cs="Arial"/>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885DFB"/>
    <w:pPr>
      <w:numPr>
        <w:numId w:val="11"/>
      </w:numPr>
    </w:pPr>
  </w:style>
  <w:style w:type="numbering" w:customStyle="1" w:styleId="CurrentList2">
    <w:name w:val="Current List2"/>
    <w:rsid w:val="00885DFB"/>
    <w:pPr>
      <w:numPr>
        <w:numId w:val="12"/>
      </w:numPr>
    </w:pPr>
  </w:style>
  <w:style w:type="numbering" w:customStyle="1" w:styleId="CurrentList3">
    <w:name w:val="Current List3"/>
    <w:rsid w:val="00885DFB"/>
    <w:pPr>
      <w:numPr>
        <w:numId w:val="13"/>
      </w:numPr>
    </w:pPr>
  </w:style>
  <w:style w:type="numbering" w:customStyle="1" w:styleId="CurrentList4">
    <w:name w:val="Current List4"/>
    <w:rsid w:val="00885DFB"/>
    <w:pPr>
      <w:numPr>
        <w:numId w:val="14"/>
      </w:numPr>
    </w:pPr>
  </w:style>
  <w:style w:type="numbering" w:customStyle="1" w:styleId="CurrentList5">
    <w:name w:val="Current List5"/>
    <w:rsid w:val="00885DFB"/>
    <w:pPr>
      <w:numPr>
        <w:numId w:val="15"/>
      </w:numPr>
    </w:pPr>
  </w:style>
  <w:style w:type="numbering" w:customStyle="1" w:styleId="CurrentList6">
    <w:name w:val="Current List6"/>
    <w:rsid w:val="00885DFB"/>
    <w:pPr>
      <w:numPr>
        <w:numId w:val="16"/>
      </w:numPr>
    </w:pPr>
  </w:style>
  <w:style w:type="paragraph" w:styleId="Revision">
    <w:name w:val="Revision"/>
    <w:hidden/>
    <w:uiPriority w:val="99"/>
    <w:semiHidden/>
    <w:rsid w:val="00885DFB"/>
    <w:pPr>
      <w:spacing w:after="0" w:line="240" w:lineRule="auto"/>
    </w:pPr>
  </w:style>
  <w:style w:type="character" w:customStyle="1" w:styleId="UnresolvedMention2">
    <w:name w:val="Unresolved Mention2"/>
    <w:basedOn w:val="DefaultParagraphFont"/>
    <w:uiPriority w:val="99"/>
    <w:semiHidden/>
    <w:unhideWhenUsed/>
    <w:rsid w:val="00885DFB"/>
    <w:rPr>
      <w:color w:val="605E5C"/>
      <w:shd w:val="clear" w:color="auto" w:fill="E1DFDD"/>
    </w:rPr>
  </w:style>
  <w:style w:type="character" w:styleId="Emphasis">
    <w:name w:val="Emphasis"/>
    <w:basedOn w:val="DefaultParagraphFont"/>
    <w:uiPriority w:val="20"/>
    <w:qFormat/>
    <w:rsid w:val="00885DFB"/>
    <w:rPr>
      <w:i/>
      <w:iCs/>
    </w:rPr>
  </w:style>
  <w:style w:type="character" w:customStyle="1" w:styleId="il">
    <w:name w:val="il"/>
    <w:basedOn w:val="DefaultParagraphFont"/>
    <w:rsid w:val="00885DFB"/>
  </w:style>
  <w:style w:type="character" w:customStyle="1" w:styleId="fontstyle01">
    <w:name w:val="fontstyle01"/>
    <w:basedOn w:val="DefaultParagraphFont"/>
    <w:rsid w:val="00885DFB"/>
    <w:rPr>
      <w:rFonts w:ascii="MinionPro-Regular" w:hAnsi="MinionPro-Regular" w:hint="default"/>
      <w:b w:val="0"/>
      <w:bCs w:val="0"/>
      <w:i w:val="0"/>
      <w:iCs w:val="0"/>
      <w:color w:val="242021"/>
      <w:sz w:val="20"/>
      <w:szCs w:val="20"/>
    </w:rPr>
  </w:style>
  <w:style w:type="character" w:customStyle="1" w:styleId="UnresolvedMention3">
    <w:name w:val="Unresolved Mention3"/>
    <w:basedOn w:val="DefaultParagraphFont"/>
    <w:uiPriority w:val="99"/>
    <w:semiHidden/>
    <w:unhideWhenUsed/>
    <w:rsid w:val="00885DFB"/>
    <w:rPr>
      <w:color w:val="605E5C"/>
      <w:shd w:val="clear" w:color="auto" w:fill="E1DFDD"/>
    </w:rPr>
  </w:style>
  <w:style w:type="character" w:customStyle="1" w:styleId="UnresolvedMention4">
    <w:name w:val="Unresolved Mention4"/>
    <w:basedOn w:val="DefaultParagraphFont"/>
    <w:uiPriority w:val="99"/>
    <w:semiHidden/>
    <w:unhideWhenUsed/>
    <w:rsid w:val="00885DFB"/>
    <w:rPr>
      <w:color w:val="605E5C"/>
      <w:shd w:val="clear" w:color="auto" w:fill="E1DFDD"/>
    </w:rPr>
  </w:style>
  <w:style w:type="character" w:customStyle="1" w:styleId="fontstyle21">
    <w:name w:val="fontstyle21"/>
    <w:basedOn w:val="DefaultParagraphFont"/>
    <w:rsid w:val="00885DFB"/>
    <w:rPr>
      <w:rFonts w:ascii="ScalaLancetPro-BoldItalic" w:hAnsi="ScalaLancetPro-BoldItalic" w:hint="default"/>
      <w:b/>
      <w:bCs/>
      <w:i/>
      <w:iCs/>
      <w:color w:val="242021"/>
      <w:sz w:val="18"/>
      <w:szCs w:val="18"/>
    </w:rPr>
  </w:style>
  <w:style w:type="table" w:customStyle="1" w:styleId="TableGrid2">
    <w:name w:val="Table Grid2"/>
    <w:basedOn w:val="TableNormal"/>
    <w:next w:val="TableGrid"/>
    <w:uiPriority w:val="39"/>
    <w:rsid w:val="00885DF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5DFB"/>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85DFB"/>
    <w:rPr>
      <w:color w:val="605E5C"/>
      <w:shd w:val="clear" w:color="auto" w:fill="E1DFDD"/>
    </w:rPr>
  </w:style>
  <w:style w:type="character" w:customStyle="1" w:styleId="UnresolvedMention6">
    <w:name w:val="Unresolved Mention6"/>
    <w:basedOn w:val="DefaultParagraphFont"/>
    <w:uiPriority w:val="99"/>
    <w:semiHidden/>
    <w:unhideWhenUsed/>
    <w:rsid w:val="00885DFB"/>
    <w:rPr>
      <w:color w:val="605E5C"/>
      <w:shd w:val="clear" w:color="auto" w:fill="E1DFDD"/>
    </w:rPr>
  </w:style>
  <w:style w:type="character" w:customStyle="1" w:styleId="CaptionChar">
    <w:name w:val="Caption Char"/>
    <w:aliases w:val="Caption PHMR Char,TabFig title/caption Char,Caption for Figures and Tables Char,fig cadre Char,Caption Char Char Char,Caption Char Char Char Char Char,fig cadre Char2 Char,Caption Char2 Char,fig cadre Char Char Char,- H17 Char,figure Char"/>
    <w:basedOn w:val="DefaultParagraphFont"/>
    <w:link w:val="Caption"/>
    <w:uiPriority w:val="35"/>
    <w:locked/>
    <w:rsid w:val="00885DFB"/>
    <w:rPr>
      <w:i/>
      <w:iCs/>
      <w:color w:val="44546A" w:themeColor="text2"/>
      <w:sz w:val="18"/>
      <w:szCs w:val="18"/>
    </w:rPr>
  </w:style>
  <w:style w:type="paragraph" w:customStyle="1" w:styleId="TableContent">
    <w:name w:val="Table Content"/>
    <w:basedOn w:val="Normal"/>
    <w:link w:val="TableContentChar"/>
    <w:uiPriority w:val="99"/>
    <w:qFormat/>
    <w:rsid w:val="00885DFB"/>
    <w:pPr>
      <w:spacing w:after="60" w:line="240" w:lineRule="auto"/>
      <w:ind w:right="130"/>
      <w:jc w:val="both"/>
    </w:pPr>
    <w:rPr>
      <w:rFonts w:ascii="Arial" w:eastAsia="Times New Roman" w:hAnsi="Arial" w:cs="Times New Roman"/>
      <w:szCs w:val="24"/>
      <w:lang w:eastAsia="en-GB"/>
    </w:rPr>
  </w:style>
  <w:style w:type="character" w:customStyle="1" w:styleId="TableContentChar">
    <w:name w:val="Table Content Char"/>
    <w:basedOn w:val="DefaultParagraphFont"/>
    <w:link w:val="TableContent"/>
    <w:uiPriority w:val="99"/>
    <w:rsid w:val="00885DFB"/>
    <w:rPr>
      <w:rFonts w:ascii="Arial" w:eastAsia="Times New Roman" w:hAnsi="Arial" w:cs="Times New Roman"/>
      <w:szCs w:val="24"/>
      <w:lang w:eastAsia="en-GB"/>
    </w:rPr>
  </w:style>
  <w:style w:type="paragraph" w:customStyle="1" w:styleId="bulletsintable">
    <w:name w:val="bullets in table"/>
    <w:basedOn w:val="BodyText"/>
    <w:link w:val="bulletsintableChar"/>
    <w:qFormat/>
    <w:rsid w:val="00885DFB"/>
    <w:pPr>
      <w:numPr>
        <w:numId w:val="19"/>
      </w:numPr>
      <w:autoSpaceDE w:val="0"/>
      <w:autoSpaceDN w:val="0"/>
      <w:adjustRightInd w:val="0"/>
      <w:spacing w:after="60" w:line="240" w:lineRule="auto"/>
      <w:ind w:left="641" w:hanging="357"/>
    </w:pPr>
    <w:rPr>
      <w:rFonts w:ascii="Arial" w:eastAsia="Times New Roman" w:hAnsi="Arial" w:cs="Arial"/>
      <w:bCs/>
      <w:kern w:val="28"/>
      <w:szCs w:val="18"/>
      <w:lang w:eastAsia="en-GB"/>
    </w:rPr>
  </w:style>
  <w:style w:type="character" w:customStyle="1" w:styleId="bulletsintableChar">
    <w:name w:val="bullets in table Char"/>
    <w:basedOn w:val="DefaultParagraphFont"/>
    <w:link w:val="bulletsintable"/>
    <w:rsid w:val="00885DFB"/>
    <w:rPr>
      <w:rFonts w:ascii="Arial" w:eastAsia="Times New Roman" w:hAnsi="Arial" w:cs="Arial"/>
      <w:bCs/>
      <w:kern w:val="28"/>
      <w:szCs w:val="18"/>
      <w:lang w:eastAsia="en-GB"/>
    </w:rPr>
  </w:style>
  <w:style w:type="character" w:customStyle="1" w:styleId="UnresolvedMention7">
    <w:name w:val="Unresolved Mention7"/>
    <w:basedOn w:val="DefaultParagraphFont"/>
    <w:uiPriority w:val="99"/>
    <w:semiHidden/>
    <w:unhideWhenUsed/>
    <w:rsid w:val="00885DFB"/>
    <w:rPr>
      <w:color w:val="605E5C"/>
      <w:shd w:val="clear" w:color="auto" w:fill="E1DFDD"/>
    </w:rPr>
  </w:style>
  <w:style w:type="paragraph" w:styleId="Bibliography">
    <w:name w:val="Bibliography"/>
    <w:basedOn w:val="Normal"/>
    <w:next w:val="Normal"/>
    <w:uiPriority w:val="37"/>
    <w:semiHidden/>
    <w:unhideWhenUsed/>
    <w:locked/>
    <w:rsid w:val="00885DFB"/>
    <w:pPr>
      <w:spacing w:after="120" w:line="276" w:lineRule="auto"/>
    </w:pPr>
    <w:rPr>
      <w:rFonts w:ascii="Times New Roman" w:hAnsi="Times New Roman" w:cs="Times New Roman"/>
    </w:rPr>
  </w:style>
  <w:style w:type="character" w:customStyle="1" w:styleId="UnresolvedMention8">
    <w:name w:val="Unresolved Mention8"/>
    <w:basedOn w:val="DefaultParagraphFont"/>
    <w:uiPriority w:val="99"/>
    <w:semiHidden/>
    <w:unhideWhenUsed/>
    <w:rsid w:val="00885DFB"/>
    <w:rPr>
      <w:color w:val="605E5C"/>
      <w:shd w:val="clear" w:color="auto" w:fill="E1DFDD"/>
    </w:rPr>
  </w:style>
  <w:style w:type="character" w:customStyle="1" w:styleId="UnresolvedMention9">
    <w:name w:val="Unresolved Mention9"/>
    <w:basedOn w:val="DefaultParagraphFont"/>
    <w:uiPriority w:val="99"/>
    <w:semiHidden/>
    <w:unhideWhenUsed/>
    <w:rsid w:val="00F27685"/>
    <w:rPr>
      <w:color w:val="605E5C"/>
      <w:shd w:val="clear" w:color="auto" w:fill="E1DFDD"/>
    </w:rPr>
  </w:style>
  <w:style w:type="character" w:customStyle="1" w:styleId="UnresolvedMention100">
    <w:name w:val="Unresolved Mention10"/>
    <w:basedOn w:val="DefaultParagraphFont"/>
    <w:uiPriority w:val="99"/>
    <w:semiHidden/>
    <w:unhideWhenUsed/>
    <w:rsid w:val="00F957B9"/>
    <w:rPr>
      <w:color w:val="605E5C"/>
      <w:shd w:val="clear" w:color="auto" w:fill="E1DFDD"/>
    </w:rPr>
  </w:style>
  <w:style w:type="paragraph" w:styleId="Date">
    <w:name w:val="Date"/>
    <w:basedOn w:val="Normal"/>
    <w:next w:val="Normal"/>
    <w:link w:val="DateChar"/>
    <w:uiPriority w:val="99"/>
    <w:semiHidden/>
    <w:unhideWhenUsed/>
    <w:locked/>
    <w:rsid w:val="00A508ED"/>
  </w:style>
  <w:style w:type="character" w:customStyle="1" w:styleId="DateChar">
    <w:name w:val="Date Char"/>
    <w:basedOn w:val="DefaultParagraphFont"/>
    <w:link w:val="Date"/>
    <w:uiPriority w:val="99"/>
    <w:semiHidden/>
    <w:rsid w:val="00A508ED"/>
  </w:style>
  <w:style w:type="character" w:customStyle="1" w:styleId="UnresolvedMention11">
    <w:name w:val="Unresolved Mention11"/>
    <w:basedOn w:val="DefaultParagraphFont"/>
    <w:uiPriority w:val="99"/>
    <w:semiHidden/>
    <w:unhideWhenUsed/>
    <w:rsid w:val="001B6B63"/>
    <w:rPr>
      <w:color w:val="605E5C"/>
      <w:shd w:val="clear" w:color="auto" w:fill="E1DFDD"/>
    </w:rPr>
  </w:style>
  <w:style w:type="table" w:customStyle="1" w:styleId="TableGrid4">
    <w:name w:val="Table Grid4"/>
    <w:basedOn w:val="TableNormal"/>
    <w:next w:val="TableGrid"/>
    <w:uiPriority w:val="39"/>
    <w:rsid w:val="00A4788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4788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4788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EBullet1">
    <w:name w:val="NICE Bullet 1"/>
    <w:qFormat/>
    <w:rsid w:val="00A4788F"/>
    <w:pPr>
      <w:numPr>
        <w:numId w:val="51"/>
      </w:numPr>
      <w:spacing w:after="0" w:line="360" w:lineRule="auto"/>
    </w:pPr>
    <w:rPr>
      <w:rFonts w:ascii="Arial" w:eastAsia="Times New Roman" w:hAnsi="Arial" w:cs="Times New Roman"/>
      <w:sz w:val="24"/>
      <w:szCs w:val="24"/>
      <w:lang w:eastAsia="en-GB"/>
    </w:rPr>
  </w:style>
  <w:style w:type="paragraph" w:customStyle="1" w:styleId="NICEBullet3">
    <w:name w:val="NICE Bullet 3"/>
    <w:basedOn w:val="Normal"/>
    <w:qFormat/>
    <w:rsid w:val="00A4788F"/>
    <w:pPr>
      <w:numPr>
        <w:ilvl w:val="2"/>
        <w:numId w:val="51"/>
      </w:numPr>
      <w:spacing w:after="0" w:line="360" w:lineRule="auto"/>
      <w:ind w:left="1418"/>
    </w:pPr>
    <w:rPr>
      <w:rFonts w:ascii="Arial" w:eastAsia="Times New Roman" w:hAnsi="Arial" w:cs="Times New Roman"/>
      <w:sz w:val="24"/>
      <w:szCs w:val="24"/>
      <w:lang w:eastAsia="en-GB"/>
    </w:rPr>
  </w:style>
  <w:style w:type="paragraph" w:customStyle="1" w:styleId="NICEBullet2">
    <w:name w:val="NICE Bullet 2"/>
    <w:basedOn w:val="Normal"/>
    <w:qFormat/>
    <w:rsid w:val="00A4788F"/>
    <w:pPr>
      <w:numPr>
        <w:numId w:val="52"/>
      </w:numPr>
      <w:spacing w:after="0" w:line="360" w:lineRule="auto"/>
    </w:pPr>
    <w:rPr>
      <w:rFonts w:ascii="Arial" w:eastAsia="Times New Roman" w:hAnsi="Arial" w:cs="Times New Roman"/>
      <w:sz w:val="24"/>
      <w:szCs w:val="24"/>
      <w:lang w:eastAsia="en-GB"/>
    </w:rPr>
  </w:style>
  <w:style w:type="paragraph" w:customStyle="1" w:styleId="NICEnormal">
    <w:name w:val="NICE normal"/>
    <w:link w:val="NICEnormalChar"/>
    <w:qFormat/>
    <w:rsid w:val="00A4788F"/>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A4788F"/>
    <w:rPr>
      <w:rFonts w:ascii="Arial" w:eastAsia="Times New Roman" w:hAnsi="Arial" w:cs="Times New Roman"/>
      <w:sz w:val="24"/>
      <w:szCs w:val="24"/>
    </w:rPr>
  </w:style>
  <w:style w:type="character" w:customStyle="1" w:styleId="NICEtabletextChar">
    <w:name w:val="NICE table text Char"/>
    <w:link w:val="NICEtabletext"/>
    <w:locked/>
    <w:rsid w:val="00A4788F"/>
    <w:rPr>
      <w:rFonts w:ascii="Arial" w:hAnsi="Arial" w:cs="Arial"/>
      <w:szCs w:val="24"/>
    </w:rPr>
  </w:style>
  <w:style w:type="paragraph" w:customStyle="1" w:styleId="NICEtabletext">
    <w:name w:val="NICE table text"/>
    <w:basedOn w:val="Normal"/>
    <w:link w:val="NICEtabletextChar"/>
    <w:qFormat/>
    <w:rsid w:val="00A4788F"/>
    <w:pPr>
      <w:spacing w:before="40" w:after="40" w:line="276" w:lineRule="auto"/>
      <w:jc w:val="both"/>
    </w:pPr>
    <w:rPr>
      <w:rFonts w:ascii="Arial" w:hAnsi="Arial" w:cs="Arial"/>
      <w:szCs w:val="24"/>
    </w:rPr>
  </w:style>
  <w:style w:type="paragraph" w:customStyle="1" w:styleId="Bullets">
    <w:name w:val="Bullets"/>
    <w:basedOn w:val="Normal"/>
    <w:uiPriority w:val="5"/>
    <w:qFormat/>
    <w:rsid w:val="00A4788F"/>
    <w:pPr>
      <w:numPr>
        <w:numId w:val="53"/>
      </w:numPr>
      <w:spacing w:after="120" w:line="276" w:lineRule="auto"/>
    </w:pPr>
    <w:rPr>
      <w:rFonts w:ascii="Arial" w:eastAsia="Times New Roman" w:hAnsi="Arial" w:cs="Times New Roman"/>
      <w:sz w:val="24"/>
      <w:szCs w:val="24"/>
      <w:lang w:eastAsia="en-GB"/>
    </w:rPr>
  </w:style>
  <w:style w:type="paragraph" w:customStyle="1" w:styleId="Bulletindent1">
    <w:name w:val="Bullet indent 1"/>
    <w:basedOn w:val="NICEnormal"/>
    <w:link w:val="Bulletindent1Char"/>
    <w:rsid w:val="00A4788F"/>
    <w:pPr>
      <w:numPr>
        <w:numId w:val="54"/>
      </w:numPr>
      <w:spacing w:after="0"/>
    </w:pPr>
  </w:style>
  <w:style w:type="character" w:customStyle="1" w:styleId="Bulletindent1Char">
    <w:name w:val="Bullet indent 1 Char"/>
    <w:link w:val="Bulletindent1"/>
    <w:rsid w:val="00A4788F"/>
    <w:rPr>
      <w:rFonts w:ascii="Arial" w:eastAsia="Times New Roman" w:hAnsi="Arial" w:cs="Times New Roman"/>
      <w:sz w:val="24"/>
      <w:szCs w:val="24"/>
    </w:rPr>
  </w:style>
  <w:style w:type="character" w:styleId="BookTitle">
    <w:name w:val="Book Title"/>
    <w:uiPriority w:val="33"/>
    <w:qFormat/>
    <w:rsid w:val="00A4788F"/>
    <w:rPr>
      <w:rFonts w:ascii="Tahoma" w:hAnsi="Tahoma"/>
      <w:b w:val="0"/>
      <w:bCs/>
      <w:i w:val="0"/>
      <w:iCs/>
      <w:color w:val="0B1A3B"/>
      <w:spacing w:val="5"/>
      <w:sz w:val="28"/>
    </w:rPr>
  </w:style>
  <w:style w:type="numbering" w:customStyle="1" w:styleId="Style1">
    <w:name w:val="Style1"/>
    <w:basedOn w:val="NoList"/>
    <w:rsid w:val="00A4788F"/>
    <w:pPr>
      <w:numPr>
        <w:numId w:val="56"/>
      </w:numPr>
    </w:pPr>
  </w:style>
  <w:style w:type="table" w:customStyle="1" w:styleId="TableGrid7">
    <w:name w:val="Table Grid7"/>
    <w:basedOn w:val="TableNormal"/>
    <w:next w:val="TableGrid"/>
    <w:uiPriority w:val="39"/>
    <w:rsid w:val="00A47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EEPRUnumberedstylelevel3"/>
    <w:link w:val="Style2Char"/>
    <w:qFormat/>
    <w:rsid w:val="00A4788F"/>
    <w:pPr>
      <w:ind w:left="2088" w:hanging="648"/>
    </w:pPr>
  </w:style>
  <w:style w:type="paragraph" w:customStyle="1" w:styleId="EEPRUnumberedlevel4">
    <w:name w:val="EEPRU numbered level 4"/>
    <w:basedOn w:val="Style2"/>
    <w:link w:val="EEPRUnumberedlevel4Char"/>
    <w:qFormat/>
    <w:rsid w:val="00A4788F"/>
    <w:pPr>
      <w:ind w:left="2410" w:hanging="709"/>
    </w:pPr>
  </w:style>
  <w:style w:type="character" w:customStyle="1" w:styleId="Style2Char">
    <w:name w:val="Style2 Char"/>
    <w:basedOn w:val="EEPRUnumberedstylelevel3Char"/>
    <w:link w:val="Style2"/>
    <w:rsid w:val="00A4788F"/>
    <w:rPr>
      <w:rFonts w:asciiTheme="majorBidi" w:eastAsiaTheme="majorEastAsia" w:hAnsiTheme="majorBidi" w:cstheme="majorBidi"/>
      <w:b/>
      <w:bCs/>
      <w:sz w:val="26"/>
      <w:szCs w:val="26"/>
    </w:rPr>
  </w:style>
  <w:style w:type="character" w:customStyle="1" w:styleId="EEPRUnumberedlevel4Char">
    <w:name w:val="EEPRU numbered level 4 Char"/>
    <w:basedOn w:val="Style2Char"/>
    <w:link w:val="EEPRUnumberedlevel4"/>
    <w:rsid w:val="00A4788F"/>
    <w:rPr>
      <w:rFonts w:asciiTheme="majorBidi" w:eastAsiaTheme="majorEastAsia" w:hAnsiTheme="majorBidi" w:cstheme="majorBidi"/>
      <w:b/>
      <w:bCs/>
      <w:sz w:val="26"/>
      <w:szCs w:val="26"/>
    </w:rPr>
  </w:style>
  <w:style w:type="paragraph" w:customStyle="1" w:styleId="m7732247772902512485msolistparagraph">
    <w:name w:val="m_7732247772902512485msolistparagraph"/>
    <w:basedOn w:val="Normal"/>
    <w:rsid w:val="009F01D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ommentTextChar11">
    <w:name w:val="Comment Text Char11"/>
    <w:basedOn w:val="DefaultParagraphFont"/>
    <w:uiPriority w:val="99"/>
    <w:semiHidden/>
    <w:rsid w:val="00AB4E6A"/>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AB4E6A"/>
    <w:rPr>
      <w:rFonts w:ascii="Times New Roman" w:hAnsi="Times New Roman" w:cs="Times New Roman"/>
      <w:b/>
      <w:bCs/>
      <w:sz w:val="20"/>
      <w:szCs w:val="20"/>
    </w:rPr>
  </w:style>
  <w:style w:type="character" w:customStyle="1" w:styleId="BalloonTextChar11">
    <w:name w:val="Balloon Text Char11"/>
    <w:basedOn w:val="DefaultParagraphFont"/>
    <w:uiPriority w:val="99"/>
    <w:semiHidden/>
    <w:rsid w:val="00AB4E6A"/>
    <w:rPr>
      <w:rFonts w:ascii="Segoe UI" w:hAnsi="Segoe UI" w:cs="Segoe UI"/>
      <w:sz w:val="18"/>
      <w:szCs w:val="18"/>
    </w:rPr>
  </w:style>
  <w:style w:type="paragraph" w:styleId="TOC4">
    <w:name w:val="toc 4"/>
    <w:basedOn w:val="Normal"/>
    <w:next w:val="Normal"/>
    <w:autoRedefine/>
    <w:uiPriority w:val="39"/>
    <w:unhideWhenUsed/>
    <w:locked/>
    <w:rsid w:val="00E14439"/>
    <w:pPr>
      <w:spacing w:after="100"/>
      <w:ind w:left="660"/>
    </w:pPr>
    <w:rPr>
      <w:rFonts w:eastAsiaTheme="minorEastAsia"/>
      <w:lang w:eastAsia="zh-CN"/>
    </w:rPr>
  </w:style>
  <w:style w:type="paragraph" w:styleId="TOC6">
    <w:name w:val="toc 6"/>
    <w:basedOn w:val="Normal"/>
    <w:next w:val="Normal"/>
    <w:autoRedefine/>
    <w:uiPriority w:val="39"/>
    <w:unhideWhenUsed/>
    <w:locked/>
    <w:rsid w:val="00E14439"/>
    <w:pPr>
      <w:spacing w:after="100"/>
      <w:ind w:left="1100"/>
    </w:pPr>
    <w:rPr>
      <w:rFonts w:eastAsiaTheme="minorEastAsia"/>
      <w:lang w:eastAsia="zh-CN"/>
    </w:rPr>
  </w:style>
  <w:style w:type="paragraph" w:styleId="TOC7">
    <w:name w:val="toc 7"/>
    <w:basedOn w:val="Normal"/>
    <w:next w:val="Normal"/>
    <w:autoRedefine/>
    <w:uiPriority w:val="39"/>
    <w:unhideWhenUsed/>
    <w:locked/>
    <w:rsid w:val="00E14439"/>
    <w:pPr>
      <w:spacing w:after="100"/>
      <w:ind w:left="1320"/>
    </w:pPr>
    <w:rPr>
      <w:rFonts w:eastAsiaTheme="minorEastAsia"/>
      <w:lang w:eastAsia="zh-CN"/>
    </w:rPr>
  </w:style>
  <w:style w:type="paragraph" w:styleId="TOC8">
    <w:name w:val="toc 8"/>
    <w:basedOn w:val="Normal"/>
    <w:next w:val="Normal"/>
    <w:autoRedefine/>
    <w:uiPriority w:val="39"/>
    <w:unhideWhenUsed/>
    <w:locked/>
    <w:rsid w:val="00E14439"/>
    <w:pPr>
      <w:spacing w:after="100"/>
      <w:ind w:left="1540"/>
    </w:pPr>
    <w:rPr>
      <w:rFonts w:eastAsiaTheme="minorEastAsia"/>
      <w:lang w:eastAsia="zh-CN"/>
    </w:rPr>
  </w:style>
  <w:style w:type="paragraph" w:styleId="TOC9">
    <w:name w:val="toc 9"/>
    <w:basedOn w:val="Normal"/>
    <w:next w:val="Normal"/>
    <w:autoRedefine/>
    <w:uiPriority w:val="39"/>
    <w:unhideWhenUsed/>
    <w:locked/>
    <w:rsid w:val="00E14439"/>
    <w:pPr>
      <w:spacing w:after="100"/>
      <w:ind w:left="1760"/>
    </w:pPr>
    <w:rPr>
      <w:rFonts w:eastAsiaTheme="minorEastAsia"/>
      <w:lang w:eastAsia="zh-CN"/>
    </w:rPr>
  </w:style>
  <w:style w:type="character" w:customStyle="1" w:styleId="UnresolvedMention12">
    <w:name w:val="Unresolved Mention12"/>
    <w:basedOn w:val="DefaultParagraphFont"/>
    <w:uiPriority w:val="99"/>
    <w:semiHidden/>
    <w:unhideWhenUsed/>
    <w:rsid w:val="002659E9"/>
    <w:rPr>
      <w:color w:val="605E5C"/>
      <w:shd w:val="clear" w:color="auto" w:fill="E1DFDD"/>
    </w:rPr>
  </w:style>
  <w:style w:type="paragraph" w:customStyle="1" w:styleId="EEPRUnumberedLevel1Headingnew">
    <w:name w:val="EEPRU numbered Level 1 Heading (new)"/>
    <w:basedOn w:val="EEPRUNumberedHeading"/>
    <w:link w:val="EEPRUnumberedLevel1HeadingnewChar"/>
    <w:qFormat/>
    <w:rsid w:val="00956BFE"/>
    <w:pPr>
      <w:spacing w:line="360" w:lineRule="auto"/>
      <w:jc w:val="both"/>
    </w:pPr>
  </w:style>
  <w:style w:type="character" w:customStyle="1" w:styleId="EEPRUnumberedLevel1HeadingnewChar">
    <w:name w:val="EEPRU numbered Level 1 Heading (new) Char"/>
    <w:basedOn w:val="EEPRUNumberedHeadingChar"/>
    <w:link w:val="EEPRUnumberedLevel1Headingnew"/>
    <w:rsid w:val="00956BFE"/>
    <w:rPr>
      <w:rFonts w:asciiTheme="majorBidi" w:eastAsiaTheme="majorEastAsia" w:hAnsiTheme="majorBidi" w:cstheme="majorBidi"/>
      <w:b/>
      <w:bCs/>
      <w:sz w:val="32"/>
      <w:szCs w:val="28"/>
    </w:rPr>
  </w:style>
  <w:style w:type="paragraph" w:customStyle="1" w:styleId="EEPRUnumberedLevel2Headingnew">
    <w:name w:val="EEPRU numbered Level 2 Heading (new)"/>
    <w:basedOn w:val="EEPRUNumberedsubheading"/>
    <w:link w:val="EEPRUnumberedLevel2HeadingnewChar"/>
    <w:qFormat/>
    <w:rsid w:val="00956BFE"/>
    <w:pPr>
      <w:jc w:val="both"/>
    </w:pPr>
  </w:style>
  <w:style w:type="character" w:customStyle="1" w:styleId="EEPRUnumberedLevel2HeadingnewChar">
    <w:name w:val="EEPRU numbered Level 2 Heading (new) Char"/>
    <w:basedOn w:val="EEPRUNumberedsubheadingChar"/>
    <w:link w:val="EEPRUnumberedLevel2Headingnew"/>
    <w:rsid w:val="00956BFE"/>
    <w:rPr>
      <w:rFonts w:asciiTheme="majorBidi" w:eastAsiaTheme="majorEastAsia" w:hAnsiTheme="majorBidi" w:cstheme="majorBidi"/>
      <w:b/>
      <w:bCs/>
      <w:sz w:val="26"/>
      <w:szCs w:val="26"/>
    </w:rPr>
  </w:style>
  <w:style w:type="paragraph" w:customStyle="1" w:styleId="EEPRUnumberedLevel3Headingnew">
    <w:name w:val="EEPRU numbered Level 3 Heading (new)"/>
    <w:basedOn w:val="EEPRUnumberedLevel2Headingnew"/>
    <w:link w:val="EEPRUnumberedLevel3HeadingnewChar"/>
    <w:autoRedefine/>
    <w:qFormat/>
    <w:rsid w:val="006E4E83"/>
    <w:pPr>
      <w:numPr>
        <w:ilvl w:val="0"/>
        <w:numId w:val="0"/>
      </w:numPr>
      <w:ind w:left="567" w:hanging="504"/>
    </w:pPr>
    <w:rPr>
      <w:rFonts w:ascii="Times New Roman" w:hAnsi="Times New Roman" w:cstheme="minorBidi"/>
      <w:sz w:val="24"/>
      <w:szCs w:val="24"/>
    </w:rPr>
  </w:style>
  <w:style w:type="paragraph" w:customStyle="1" w:styleId="EEPRUnumberedLevel4Headingnew">
    <w:name w:val="EEPRU numbered Level 4 Heading (new)"/>
    <w:basedOn w:val="EEPRUnumberedLevel3Headingnew"/>
    <w:link w:val="EEPRUnumberedLevel4HeadingnewChar"/>
    <w:qFormat/>
    <w:rsid w:val="00956BFE"/>
    <w:pPr>
      <w:ind w:left="709" w:hanging="709"/>
    </w:pPr>
    <w:rPr>
      <w:sz w:val="22"/>
      <w:szCs w:val="22"/>
    </w:rPr>
  </w:style>
  <w:style w:type="character" w:customStyle="1" w:styleId="EEPRUnumberedLevel3HeadingnewChar">
    <w:name w:val="EEPRU numbered Level 3 Heading (new) Char"/>
    <w:basedOn w:val="EEPRUnumberedLevel2HeadingnewChar"/>
    <w:link w:val="EEPRUnumberedLevel3Headingnew"/>
    <w:rsid w:val="006E4E83"/>
    <w:rPr>
      <w:rFonts w:ascii="Times New Roman" w:eastAsiaTheme="majorEastAsia" w:hAnsi="Times New Roman" w:cstheme="majorBidi"/>
      <w:b/>
      <w:bCs/>
      <w:sz w:val="24"/>
      <w:szCs w:val="24"/>
    </w:rPr>
  </w:style>
  <w:style w:type="character" w:customStyle="1" w:styleId="EEPRUnumberedLevel4HeadingnewChar">
    <w:name w:val="EEPRU numbered Level 4 Heading (new) Char"/>
    <w:basedOn w:val="EEPRUnumberedLevel3HeadingnewChar"/>
    <w:link w:val="EEPRUnumberedLevel4Headingnew"/>
    <w:rsid w:val="00F1720A"/>
    <w:rPr>
      <w:rFonts w:ascii="Times New Roman" w:eastAsiaTheme="majorEastAsia" w:hAnsi="Times New Roman" w:cstheme="majorBidi"/>
      <w:b/>
      <w:bCs/>
      <w:sz w:val="24"/>
      <w:szCs w:val="24"/>
    </w:rPr>
  </w:style>
  <w:style w:type="character" w:customStyle="1" w:styleId="UnresolvedMention13">
    <w:name w:val="Unresolved Mention13"/>
    <w:basedOn w:val="DefaultParagraphFont"/>
    <w:uiPriority w:val="99"/>
    <w:semiHidden/>
    <w:unhideWhenUsed/>
    <w:rsid w:val="00381A08"/>
    <w:rPr>
      <w:color w:val="605E5C"/>
      <w:shd w:val="clear" w:color="auto" w:fill="E1DFDD"/>
    </w:rPr>
  </w:style>
  <w:style w:type="character" w:customStyle="1" w:styleId="UnresolvedMention14">
    <w:name w:val="Unresolved Mention14"/>
    <w:basedOn w:val="DefaultParagraphFont"/>
    <w:uiPriority w:val="99"/>
    <w:semiHidden/>
    <w:unhideWhenUsed/>
    <w:rsid w:val="00EC4036"/>
    <w:rPr>
      <w:color w:val="605E5C"/>
      <w:shd w:val="clear" w:color="auto" w:fill="E1DFDD"/>
    </w:rPr>
  </w:style>
  <w:style w:type="paragraph" w:customStyle="1" w:styleId="EEPRUtextundertables">
    <w:name w:val="EEPRU text under tables"/>
    <w:basedOn w:val="Normal"/>
    <w:link w:val="EEPRUtextundertablesChar"/>
    <w:autoRedefine/>
    <w:qFormat/>
    <w:rsid w:val="00D353F9"/>
    <w:pPr>
      <w:spacing w:after="120" w:line="240" w:lineRule="auto"/>
      <w:jc w:val="both"/>
    </w:pPr>
    <w:rPr>
      <w:rFonts w:ascii="Times New Roman" w:hAnsi="Times New Roman"/>
      <w:sz w:val="20"/>
      <w:szCs w:val="20"/>
    </w:rPr>
  </w:style>
  <w:style w:type="character" w:customStyle="1" w:styleId="EEPRUtextundertablesChar">
    <w:name w:val="EEPRU text under tables Char"/>
    <w:basedOn w:val="DefaultParagraphFont"/>
    <w:link w:val="EEPRUtextundertables"/>
    <w:rsid w:val="00D353F9"/>
    <w:rPr>
      <w:rFonts w:ascii="Times New Roman" w:hAnsi="Times New Roman"/>
      <w:sz w:val="20"/>
      <w:szCs w:val="20"/>
    </w:rPr>
  </w:style>
  <w:style w:type="character" w:styleId="UnresolvedMention">
    <w:name w:val="Unresolved Mention"/>
    <w:basedOn w:val="DefaultParagraphFont"/>
    <w:uiPriority w:val="99"/>
    <w:semiHidden/>
    <w:unhideWhenUsed/>
    <w:rsid w:val="005B25E5"/>
    <w:rPr>
      <w:color w:val="605E5C"/>
      <w:shd w:val="clear" w:color="auto" w:fill="E1DFDD"/>
    </w:rPr>
  </w:style>
  <w:style w:type="paragraph" w:customStyle="1" w:styleId="EEPRUheading1">
    <w:name w:val="EEPRU heading 1"/>
    <w:basedOn w:val="Heading1"/>
    <w:next w:val="Normal"/>
    <w:link w:val="EEPRUheading1Char"/>
    <w:autoRedefine/>
    <w:qFormat/>
    <w:rsid w:val="006E4E83"/>
    <w:rPr>
      <w:b w:val="0"/>
      <w:sz w:val="24"/>
    </w:rPr>
  </w:style>
  <w:style w:type="character" w:customStyle="1" w:styleId="EEPRUheading1Char">
    <w:name w:val="EEPRU heading 1 Char"/>
    <w:basedOn w:val="Heading1Char"/>
    <w:link w:val="EEPRUheading1"/>
    <w:rsid w:val="006E4E83"/>
    <w:rPr>
      <w:rFonts w:ascii="Times New Roman" w:eastAsiaTheme="majorEastAsia" w:hAnsi="Times New Roman" w:cstheme="majorBidi"/>
      <w:b w:val="0"/>
      <w:bCs/>
      <w:sz w:val="24"/>
      <w:szCs w:val="28"/>
    </w:rPr>
  </w:style>
  <w:style w:type="table" w:styleId="GridTable1Light">
    <w:name w:val="Grid Table 1 Light"/>
    <w:basedOn w:val="TableNormal"/>
    <w:uiPriority w:val="46"/>
    <w:locked/>
    <w:rsid w:val="00CE56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762">
      <w:bodyDiv w:val="1"/>
      <w:marLeft w:val="0"/>
      <w:marRight w:val="0"/>
      <w:marTop w:val="0"/>
      <w:marBottom w:val="0"/>
      <w:divBdr>
        <w:top w:val="none" w:sz="0" w:space="0" w:color="auto"/>
        <w:left w:val="none" w:sz="0" w:space="0" w:color="auto"/>
        <w:bottom w:val="none" w:sz="0" w:space="0" w:color="auto"/>
        <w:right w:val="none" w:sz="0" w:space="0" w:color="auto"/>
      </w:divBdr>
    </w:div>
    <w:div w:id="40518107">
      <w:bodyDiv w:val="1"/>
      <w:marLeft w:val="0"/>
      <w:marRight w:val="0"/>
      <w:marTop w:val="0"/>
      <w:marBottom w:val="0"/>
      <w:divBdr>
        <w:top w:val="none" w:sz="0" w:space="0" w:color="auto"/>
        <w:left w:val="none" w:sz="0" w:space="0" w:color="auto"/>
        <w:bottom w:val="none" w:sz="0" w:space="0" w:color="auto"/>
        <w:right w:val="none" w:sz="0" w:space="0" w:color="auto"/>
      </w:divBdr>
    </w:div>
    <w:div w:id="176627709">
      <w:bodyDiv w:val="1"/>
      <w:marLeft w:val="0"/>
      <w:marRight w:val="0"/>
      <w:marTop w:val="0"/>
      <w:marBottom w:val="0"/>
      <w:divBdr>
        <w:top w:val="none" w:sz="0" w:space="0" w:color="auto"/>
        <w:left w:val="none" w:sz="0" w:space="0" w:color="auto"/>
        <w:bottom w:val="none" w:sz="0" w:space="0" w:color="auto"/>
        <w:right w:val="none" w:sz="0" w:space="0" w:color="auto"/>
      </w:divBdr>
    </w:div>
    <w:div w:id="206258194">
      <w:bodyDiv w:val="1"/>
      <w:marLeft w:val="0"/>
      <w:marRight w:val="0"/>
      <w:marTop w:val="0"/>
      <w:marBottom w:val="0"/>
      <w:divBdr>
        <w:top w:val="none" w:sz="0" w:space="0" w:color="auto"/>
        <w:left w:val="none" w:sz="0" w:space="0" w:color="auto"/>
        <w:bottom w:val="none" w:sz="0" w:space="0" w:color="auto"/>
        <w:right w:val="none" w:sz="0" w:space="0" w:color="auto"/>
      </w:divBdr>
    </w:div>
    <w:div w:id="211969409">
      <w:bodyDiv w:val="1"/>
      <w:marLeft w:val="0"/>
      <w:marRight w:val="0"/>
      <w:marTop w:val="0"/>
      <w:marBottom w:val="0"/>
      <w:divBdr>
        <w:top w:val="none" w:sz="0" w:space="0" w:color="auto"/>
        <w:left w:val="none" w:sz="0" w:space="0" w:color="auto"/>
        <w:bottom w:val="none" w:sz="0" w:space="0" w:color="auto"/>
        <w:right w:val="none" w:sz="0" w:space="0" w:color="auto"/>
      </w:divBdr>
    </w:div>
    <w:div w:id="219755313">
      <w:bodyDiv w:val="1"/>
      <w:marLeft w:val="0"/>
      <w:marRight w:val="0"/>
      <w:marTop w:val="0"/>
      <w:marBottom w:val="0"/>
      <w:divBdr>
        <w:top w:val="none" w:sz="0" w:space="0" w:color="auto"/>
        <w:left w:val="none" w:sz="0" w:space="0" w:color="auto"/>
        <w:bottom w:val="none" w:sz="0" w:space="0" w:color="auto"/>
        <w:right w:val="none" w:sz="0" w:space="0" w:color="auto"/>
      </w:divBdr>
      <w:divsChild>
        <w:div w:id="1706827545">
          <w:marLeft w:val="-108"/>
          <w:marRight w:val="0"/>
          <w:marTop w:val="0"/>
          <w:marBottom w:val="0"/>
          <w:divBdr>
            <w:top w:val="none" w:sz="0" w:space="0" w:color="auto"/>
            <w:left w:val="none" w:sz="0" w:space="0" w:color="auto"/>
            <w:bottom w:val="none" w:sz="0" w:space="0" w:color="auto"/>
            <w:right w:val="none" w:sz="0" w:space="0" w:color="auto"/>
          </w:divBdr>
        </w:div>
      </w:divsChild>
    </w:div>
    <w:div w:id="231624768">
      <w:bodyDiv w:val="1"/>
      <w:marLeft w:val="0"/>
      <w:marRight w:val="0"/>
      <w:marTop w:val="0"/>
      <w:marBottom w:val="0"/>
      <w:divBdr>
        <w:top w:val="none" w:sz="0" w:space="0" w:color="auto"/>
        <w:left w:val="none" w:sz="0" w:space="0" w:color="auto"/>
        <w:bottom w:val="none" w:sz="0" w:space="0" w:color="auto"/>
        <w:right w:val="none" w:sz="0" w:space="0" w:color="auto"/>
      </w:divBdr>
    </w:div>
    <w:div w:id="330791342">
      <w:bodyDiv w:val="1"/>
      <w:marLeft w:val="0"/>
      <w:marRight w:val="0"/>
      <w:marTop w:val="0"/>
      <w:marBottom w:val="0"/>
      <w:divBdr>
        <w:top w:val="none" w:sz="0" w:space="0" w:color="auto"/>
        <w:left w:val="none" w:sz="0" w:space="0" w:color="auto"/>
        <w:bottom w:val="none" w:sz="0" w:space="0" w:color="auto"/>
        <w:right w:val="none" w:sz="0" w:space="0" w:color="auto"/>
      </w:divBdr>
    </w:div>
    <w:div w:id="480922203">
      <w:bodyDiv w:val="1"/>
      <w:marLeft w:val="0"/>
      <w:marRight w:val="0"/>
      <w:marTop w:val="0"/>
      <w:marBottom w:val="0"/>
      <w:divBdr>
        <w:top w:val="none" w:sz="0" w:space="0" w:color="auto"/>
        <w:left w:val="none" w:sz="0" w:space="0" w:color="auto"/>
        <w:bottom w:val="none" w:sz="0" w:space="0" w:color="auto"/>
        <w:right w:val="none" w:sz="0" w:space="0" w:color="auto"/>
      </w:divBdr>
      <w:divsChild>
        <w:div w:id="701979834">
          <w:marLeft w:val="-108"/>
          <w:marRight w:val="0"/>
          <w:marTop w:val="0"/>
          <w:marBottom w:val="0"/>
          <w:divBdr>
            <w:top w:val="none" w:sz="0" w:space="0" w:color="auto"/>
            <w:left w:val="none" w:sz="0" w:space="0" w:color="auto"/>
            <w:bottom w:val="none" w:sz="0" w:space="0" w:color="auto"/>
            <w:right w:val="none" w:sz="0" w:space="0" w:color="auto"/>
          </w:divBdr>
        </w:div>
        <w:div w:id="821654583">
          <w:marLeft w:val="-108"/>
          <w:marRight w:val="0"/>
          <w:marTop w:val="0"/>
          <w:marBottom w:val="0"/>
          <w:divBdr>
            <w:top w:val="none" w:sz="0" w:space="0" w:color="auto"/>
            <w:left w:val="none" w:sz="0" w:space="0" w:color="auto"/>
            <w:bottom w:val="none" w:sz="0" w:space="0" w:color="auto"/>
            <w:right w:val="none" w:sz="0" w:space="0" w:color="auto"/>
          </w:divBdr>
        </w:div>
        <w:div w:id="850143165">
          <w:marLeft w:val="-108"/>
          <w:marRight w:val="0"/>
          <w:marTop w:val="0"/>
          <w:marBottom w:val="0"/>
          <w:divBdr>
            <w:top w:val="none" w:sz="0" w:space="0" w:color="auto"/>
            <w:left w:val="none" w:sz="0" w:space="0" w:color="auto"/>
            <w:bottom w:val="none" w:sz="0" w:space="0" w:color="auto"/>
            <w:right w:val="none" w:sz="0" w:space="0" w:color="auto"/>
          </w:divBdr>
        </w:div>
        <w:div w:id="1351103651">
          <w:marLeft w:val="-108"/>
          <w:marRight w:val="0"/>
          <w:marTop w:val="0"/>
          <w:marBottom w:val="0"/>
          <w:divBdr>
            <w:top w:val="none" w:sz="0" w:space="0" w:color="auto"/>
            <w:left w:val="none" w:sz="0" w:space="0" w:color="auto"/>
            <w:bottom w:val="none" w:sz="0" w:space="0" w:color="auto"/>
            <w:right w:val="none" w:sz="0" w:space="0" w:color="auto"/>
          </w:divBdr>
        </w:div>
        <w:div w:id="1730109146">
          <w:marLeft w:val="-108"/>
          <w:marRight w:val="0"/>
          <w:marTop w:val="0"/>
          <w:marBottom w:val="0"/>
          <w:divBdr>
            <w:top w:val="none" w:sz="0" w:space="0" w:color="auto"/>
            <w:left w:val="none" w:sz="0" w:space="0" w:color="auto"/>
            <w:bottom w:val="none" w:sz="0" w:space="0" w:color="auto"/>
            <w:right w:val="none" w:sz="0" w:space="0" w:color="auto"/>
          </w:divBdr>
        </w:div>
        <w:div w:id="1917930496">
          <w:marLeft w:val="-108"/>
          <w:marRight w:val="0"/>
          <w:marTop w:val="0"/>
          <w:marBottom w:val="0"/>
          <w:divBdr>
            <w:top w:val="none" w:sz="0" w:space="0" w:color="auto"/>
            <w:left w:val="none" w:sz="0" w:space="0" w:color="auto"/>
            <w:bottom w:val="none" w:sz="0" w:space="0" w:color="auto"/>
            <w:right w:val="none" w:sz="0" w:space="0" w:color="auto"/>
          </w:divBdr>
        </w:div>
        <w:div w:id="1954435911">
          <w:marLeft w:val="-108"/>
          <w:marRight w:val="0"/>
          <w:marTop w:val="0"/>
          <w:marBottom w:val="0"/>
          <w:divBdr>
            <w:top w:val="none" w:sz="0" w:space="0" w:color="auto"/>
            <w:left w:val="none" w:sz="0" w:space="0" w:color="auto"/>
            <w:bottom w:val="none" w:sz="0" w:space="0" w:color="auto"/>
            <w:right w:val="none" w:sz="0" w:space="0" w:color="auto"/>
          </w:divBdr>
        </w:div>
        <w:div w:id="2060862381">
          <w:marLeft w:val="-108"/>
          <w:marRight w:val="0"/>
          <w:marTop w:val="0"/>
          <w:marBottom w:val="0"/>
          <w:divBdr>
            <w:top w:val="none" w:sz="0" w:space="0" w:color="auto"/>
            <w:left w:val="none" w:sz="0" w:space="0" w:color="auto"/>
            <w:bottom w:val="none" w:sz="0" w:space="0" w:color="auto"/>
            <w:right w:val="none" w:sz="0" w:space="0" w:color="auto"/>
          </w:divBdr>
        </w:div>
      </w:divsChild>
    </w:div>
    <w:div w:id="495994604">
      <w:bodyDiv w:val="1"/>
      <w:marLeft w:val="0"/>
      <w:marRight w:val="0"/>
      <w:marTop w:val="0"/>
      <w:marBottom w:val="0"/>
      <w:divBdr>
        <w:top w:val="none" w:sz="0" w:space="0" w:color="auto"/>
        <w:left w:val="none" w:sz="0" w:space="0" w:color="auto"/>
        <w:bottom w:val="none" w:sz="0" w:space="0" w:color="auto"/>
        <w:right w:val="none" w:sz="0" w:space="0" w:color="auto"/>
      </w:divBdr>
    </w:div>
    <w:div w:id="508062768">
      <w:bodyDiv w:val="1"/>
      <w:marLeft w:val="0"/>
      <w:marRight w:val="0"/>
      <w:marTop w:val="0"/>
      <w:marBottom w:val="0"/>
      <w:divBdr>
        <w:top w:val="none" w:sz="0" w:space="0" w:color="auto"/>
        <w:left w:val="none" w:sz="0" w:space="0" w:color="auto"/>
        <w:bottom w:val="none" w:sz="0" w:space="0" w:color="auto"/>
        <w:right w:val="none" w:sz="0" w:space="0" w:color="auto"/>
      </w:divBdr>
    </w:div>
    <w:div w:id="589581446">
      <w:bodyDiv w:val="1"/>
      <w:marLeft w:val="0"/>
      <w:marRight w:val="0"/>
      <w:marTop w:val="0"/>
      <w:marBottom w:val="0"/>
      <w:divBdr>
        <w:top w:val="none" w:sz="0" w:space="0" w:color="auto"/>
        <w:left w:val="none" w:sz="0" w:space="0" w:color="auto"/>
        <w:bottom w:val="none" w:sz="0" w:space="0" w:color="auto"/>
        <w:right w:val="none" w:sz="0" w:space="0" w:color="auto"/>
      </w:divBdr>
    </w:div>
    <w:div w:id="594754657">
      <w:bodyDiv w:val="1"/>
      <w:marLeft w:val="0"/>
      <w:marRight w:val="0"/>
      <w:marTop w:val="0"/>
      <w:marBottom w:val="0"/>
      <w:divBdr>
        <w:top w:val="none" w:sz="0" w:space="0" w:color="auto"/>
        <w:left w:val="none" w:sz="0" w:space="0" w:color="auto"/>
        <w:bottom w:val="none" w:sz="0" w:space="0" w:color="auto"/>
        <w:right w:val="none" w:sz="0" w:space="0" w:color="auto"/>
      </w:divBdr>
    </w:div>
    <w:div w:id="753627289">
      <w:bodyDiv w:val="1"/>
      <w:marLeft w:val="0"/>
      <w:marRight w:val="0"/>
      <w:marTop w:val="0"/>
      <w:marBottom w:val="0"/>
      <w:divBdr>
        <w:top w:val="none" w:sz="0" w:space="0" w:color="auto"/>
        <w:left w:val="none" w:sz="0" w:space="0" w:color="auto"/>
        <w:bottom w:val="none" w:sz="0" w:space="0" w:color="auto"/>
        <w:right w:val="none" w:sz="0" w:space="0" w:color="auto"/>
      </w:divBdr>
    </w:div>
    <w:div w:id="865559566">
      <w:bodyDiv w:val="1"/>
      <w:marLeft w:val="0"/>
      <w:marRight w:val="0"/>
      <w:marTop w:val="0"/>
      <w:marBottom w:val="0"/>
      <w:divBdr>
        <w:top w:val="none" w:sz="0" w:space="0" w:color="auto"/>
        <w:left w:val="none" w:sz="0" w:space="0" w:color="auto"/>
        <w:bottom w:val="none" w:sz="0" w:space="0" w:color="auto"/>
        <w:right w:val="none" w:sz="0" w:space="0" w:color="auto"/>
      </w:divBdr>
    </w:div>
    <w:div w:id="881945743">
      <w:bodyDiv w:val="1"/>
      <w:marLeft w:val="0"/>
      <w:marRight w:val="0"/>
      <w:marTop w:val="0"/>
      <w:marBottom w:val="0"/>
      <w:divBdr>
        <w:top w:val="none" w:sz="0" w:space="0" w:color="auto"/>
        <w:left w:val="none" w:sz="0" w:space="0" w:color="auto"/>
        <w:bottom w:val="none" w:sz="0" w:space="0" w:color="auto"/>
        <w:right w:val="none" w:sz="0" w:space="0" w:color="auto"/>
      </w:divBdr>
    </w:div>
    <w:div w:id="896166566">
      <w:bodyDiv w:val="1"/>
      <w:marLeft w:val="0"/>
      <w:marRight w:val="0"/>
      <w:marTop w:val="0"/>
      <w:marBottom w:val="0"/>
      <w:divBdr>
        <w:top w:val="none" w:sz="0" w:space="0" w:color="auto"/>
        <w:left w:val="none" w:sz="0" w:space="0" w:color="auto"/>
        <w:bottom w:val="none" w:sz="0" w:space="0" w:color="auto"/>
        <w:right w:val="none" w:sz="0" w:space="0" w:color="auto"/>
      </w:divBdr>
    </w:div>
    <w:div w:id="937058761">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53011586">
      <w:bodyDiv w:val="1"/>
      <w:marLeft w:val="0"/>
      <w:marRight w:val="0"/>
      <w:marTop w:val="0"/>
      <w:marBottom w:val="0"/>
      <w:divBdr>
        <w:top w:val="none" w:sz="0" w:space="0" w:color="auto"/>
        <w:left w:val="none" w:sz="0" w:space="0" w:color="auto"/>
        <w:bottom w:val="none" w:sz="0" w:space="0" w:color="auto"/>
        <w:right w:val="none" w:sz="0" w:space="0" w:color="auto"/>
      </w:divBdr>
    </w:div>
    <w:div w:id="1611667116">
      <w:bodyDiv w:val="1"/>
      <w:marLeft w:val="0"/>
      <w:marRight w:val="0"/>
      <w:marTop w:val="0"/>
      <w:marBottom w:val="0"/>
      <w:divBdr>
        <w:top w:val="none" w:sz="0" w:space="0" w:color="auto"/>
        <w:left w:val="none" w:sz="0" w:space="0" w:color="auto"/>
        <w:bottom w:val="none" w:sz="0" w:space="0" w:color="auto"/>
        <w:right w:val="none" w:sz="0" w:space="0" w:color="auto"/>
      </w:divBdr>
    </w:div>
    <w:div w:id="1644702158">
      <w:bodyDiv w:val="1"/>
      <w:marLeft w:val="0"/>
      <w:marRight w:val="0"/>
      <w:marTop w:val="0"/>
      <w:marBottom w:val="0"/>
      <w:divBdr>
        <w:top w:val="none" w:sz="0" w:space="0" w:color="auto"/>
        <w:left w:val="none" w:sz="0" w:space="0" w:color="auto"/>
        <w:bottom w:val="none" w:sz="0" w:space="0" w:color="auto"/>
        <w:right w:val="none" w:sz="0" w:space="0" w:color="auto"/>
      </w:divBdr>
    </w:div>
    <w:div w:id="1673794700">
      <w:bodyDiv w:val="1"/>
      <w:marLeft w:val="0"/>
      <w:marRight w:val="0"/>
      <w:marTop w:val="0"/>
      <w:marBottom w:val="0"/>
      <w:divBdr>
        <w:top w:val="none" w:sz="0" w:space="0" w:color="auto"/>
        <w:left w:val="none" w:sz="0" w:space="0" w:color="auto"/>
        <w:bottom w:val="none" w:sz="0" w:space="0" w:color="auto"/>
        <w:right w:val="none" w:sz="0" w:space="0" w:color="auto"/>
      </w:divBdr>
    </w:div>
    <w:div w:id="1736315503">
      <w:bodyDiv w:val="1"/>
      <w:marLeft w:val="0"/>
      <w:marRight w:val="0"/>
      <w:marTop w:val="0"/>
      <w:marBottom w:val="0"/>
      <w:divBdr>
        <w:top w:val="none" w:sz="0" w:space="0" w:color="auto"/>
        <w:left w:val="none" w:sz="0" w:space="0" w:color="auto"/>
        <w:bottom w:val="none" w:sz="0" w:space="0" w:color="auto"/>
        <w:right w:val="none" w:sz="0" w:space="0" w:color="auto"/>
      </w:divBdr>
      <w:divsChild>
        <w:div w:id="1170411313">
          <w:marLeft w:val="-108"/>
          <w:marRight w:val="0"/>
          <w:marTop w:val="0"/>
          <w:marBottom w:val="0"/>
          <w:divBdr>
            <w:top w:val="none" w:sz="0" w:space="0" w:color="auto"/>
            <w:left w:val="none" w:sz="0" w:space="0" w:color="auto"/>
            <w:bottom w:val="none" w:sz="0" w:space="0" w:color="auto"/>
            <w:right w:val="none" w:sz="0" w:space="0" w:color="auto"/>
          </w:divBdr>
        </w:div>
      </w:divsChild>
    </w:div>
    <w:div w:id="1802772998">
      <w:bodyDiv w:val="1"/>
      <w:marLeft w:val="0"/>
      <w:marRight w:val="0"/>
      <w:marTop w:val="0"/>
      <w:marBottom w:val="0"/>
      <w:divBdr>
        <w:top w:val="none" w:sz="0" w:space="0" w:color="auto"/>
        <w:left w:val="none" w:sz="0" w:space="0" w:color="auto"/>
        <w:bottom w:val="none" w:sz="0" w:space="0" w:color="auto"/>
        <w:right w:val="none" w:sz="0" w:space="0" w:color="auto"/>
      </w:divBdr>
      <w:divsChild>
        <w:div w:id="77484237">
          <w:marLeft w:val="-108"/>
          <w:marRight w:val="0"/>
          <w:marTop w:val="0"/>
          <w:marBottom w:val="0"/>
          <w:divBdr>
            <w:top w:val="none" w:sz="0" w:space="0" w:color="auto"/>
            <w:left w:val="none" w:sz="0" w:space="0" w:color="auto"/>
            <w:bottom w:val="none" w:sz="0" w:space="0" w:color="auto"/>
            <w:right w:val="none" w:sz="0" w:space="0" w:color="auto"/>
          </w:divBdr>
        </w:div>
      </w:divsChild>
    </w:div>
    <w:div w:id="1853179221">
      <w:bodyDiv w:val="1"/>
      <w:marLeft w:val="0"/>
      <w:marRight w:val="0"/>
      <w:marTop w:val="0"/>
      <w:marBottom w:val="0"/>
      <w:divBdr>
        <w:top w:val="none" w:sz="0" w:space="0" w:color="auto"/>
        <w:left w:val="none" w:sz="0" w:space="0" w:color="auto"/>
        <w:bottom w:val="none" w:sz="0" w:space="0" w:color="auto"/>
        <w:right w:val="none" w:sz="0" w:space="0" w:color="auto"/>
      </w:divBdr>
      <w:divsChild>
        <w:div w:id="255944401">
          <w:marLeft w:val="-108"/>
          <w:marRight w:val="0"/>
          <w:marTop w:val="0"/>
          <w:marBottom w:val="0"/>
          <w:divBdr>
            <w:top w:val="none" w:sz="0" w:space="0" w:color="auto"/>
            <w:left w:val="none" w:sz="0" w:space="0" w:color="auto"/>
            <w:bottom w:val="none" w:sz="0" w:space="0" w:color="auto"/>
            <w:right w:val="none" w:sz="0" w:space="0" w:color="auto"/>
          </w:divBdr>
        </w:div>
        <w:div w:id="1800489044">
          <w:marLeft w:val="-108"/>
          <w:marRight w:val="0"/>
          <w:marTop w:val="0"/>
          <w:marBottom w:val="0"/>
          <w:divBdr>
            <w:top w:val="none" w:sz="0" w:space="0" w:color="auto"/>
            <w:left w:val="none" w:sz="0" w:space="0" w:color="auto"/>
            <w:bottom w:val="none" w:sz="0" w:space="0" w:color="auto"/>
            <w:right w:val="none" w:sz="0" w:space="0" w:color="auto"/>
          </w:divBdr>
        </w:div>
        <w:div w:id="2049912658">
          <w:marLeft w:val="-108"/>
          <w:marRight w:val="0"/>
          <w:marTop w:val="0"/>
          <w:marBottom w:val="0"/>
          <w:divBdr>
            <w:top w:val="none" w:sz="0" w:space="0" w:color="auto"/>
            <w:left w:val="none" w:sz="0" w:space="0" w:color="auto"/>
            <w:bottom w:val="none" w:sz="0" w:space="0" w:color="auto"/>
            <w:right w:val="none" w:sz="0" w:space="0" w:color="auto"/>
          </w:divBdr>
        </w:div>
      </w:divsChild>
    </w:div>
    <w:div w:id="1968730915">
      <w:bodyDiv w:val="1"/>
      <w:marLeft w:val="0"/>
      <w:marRight w:val="0"/>
      <w:marTop w:val="0"/>
      <w:marBottom w:val="0"/>
      <w:divBdr>
        <w:top w:val="none" w:sz="0" w:space="0" w:color="auto"/>
        <w:left w:val="none" w:sz="0" w:space="0" w:color="auto"/>
        <w:bottom w:val="none" w:sz="0" w:space="0" w:color="auto"/>
        <w:right w:val="none" w:sz="0" w:space="0" w:color="auto"/>
      </w:divBdr>
    </w:div>
    <w:div w:id="1989048343">
      <w:bodyDiv w:val="1"/>
      <w:marLeft w:val="0"/>
      <w:marRight w:val="0"/>
      <w:marTop w:val="0"/>
      <w:marBottom w:val="0"/>
      <w:divBdr>
        <w:top w:val="none" w:sz="0" w:space="0" w:color="auto"/>
        <w:left w:val="none" w:sz="0" w:space="0" w:color="auto"/>
        <w:bottom w:val="none" w:sz="0" w:space="0" w:color="auto"/>
        <w:right w:val="none" w:sz="0" w:space="0" w:color="auto"/>
      </w:divBdr>
    </w:div>
    <w:div w:id="2071493919">
      <w:bodyDiv w:val="1"/>
      <w:marLeft w:val="0"/>
      <w:marRight w:val="0"/>
      <w:marTop w:val="0"/>
      <w:marBottom w:val="0"/>
      <w:divBdr>
        <w:top w:val="none" w:sz="0" w:space="0" w:color="auto"/>
        <w:left w:val="none" w:sz="0" w:space="0" w:color="auto"/>
        <w:bottom w:val="none" w:sz="0" w:space="0" w:color="auto"/>
        <w:right w:val="none" w:sz="0" w:space="0" w:color="auto"/>
      </w:divBdr>
    </w:div>
    <w:div w:id="2073036678">
      <w:bodyDiv w:val="1"/>
      <w:marLeft w:val="0"/>
      <w:marRight w:val="0"/>
      <w:marTop w:val="0"/>
      <w:marBottom w:val="0"/>
      <w:divBdr>
        <w:top w:val="none" w:sz="0" w:space="0" w:color="auto"/>
        <w:left w:val="none" w:sz="0" w:space="0" w:color="auto"/>
        <w:bottom w:val="none" w:sz="0" w:space="0" w:color="auto"/>
        <w:right w:val="none" w:sz="0" w:space="0" w:color="auto"/>
      </w:divBdr>
    </w:div>
    <w:div w:id="2123332262">
      <w:bodyDiv w:val="1"/>
      <w:marLeft w:val="0"/>
      <w:marRight w:val="0"/>
      <w:marTop w:val="0"/>
      <w:marBottom w:val="0"/>
      <w:divBdr>
        <w:top w:val="none" w:sz="0" w:space="0" w:color="auto"/>
        <w:left w:val="none" w:sz="0" w:space="0" w:color="auto"/>
        <w:bottom w:val="none" w:sz="0" w:space="0" w:color="auto"/>
        <w:right w:val="none" w:sz="0" w:space="0" w:color="auto"/>
      </w:divBdr>
      <w:divsChild>
        <w:div w:id="253899947">
          <w:marLeft w:val="-108"/>
          <w:marRight w:val="0"/>
          <w:marTop w:val="0"/>
          <w:marBottom w:val="0"/>
          <w:divBdr>
            <w:top w:val="none" w:sz="0" w:space="0" w:color="auto"/>
            <w:left w:val="none" w:sz="0" w:space="0" w:color="auto"/>
            <w:bottom w:val="none" w:sz="0" w:space="0" w:color="auto"/>
            <w:right w:val="none" w:sz="0" w:space="0" w:color="auto"/>
          </w:divBdr>
        </w:div>
        <w:div w:id="340746713">
          <w:marLeft w:val="-108"/>
          <w:marRight w:val="0"/>
          <w:marTop w:val="0"/>
          <w:marBottom w:val="0"/>
          <w:divBdr>
            <w:top w:val="none" w:sz="0" w:space="0" w:color="auto"/>
            <w:left w:val="none" w:sz="0" w:space="0" w:color="auto"/>
            <w:bottom w:val="none" w:sz="0" w:space="0" w:color="auto"/>
            <w:right w:val="none" w:sz="0" w:space="0" w:color="auto"/>
          </w:divBdr>
        </w:div>
        <w:div w:id="472329406">
          <w:marLeft w:val="-108"/>
          <w:marRight w:val="0"/>
          <w:marTop w:val="0"/>
          <w:marBottom w:val="0"/>
          <w:divBdr>
            <w:top w:val="none" w:sz="0" w:space="0" w:color="auto"/>
            <w:left w:val="none" w:sz="0" w:space="0" w:color="auto"/>
            <w:bottom w:val="none" w:sz="0" w:space="0" w:color="auto"/>
            <w:right w:val="none" w:sz="0" w:space="0" w:color="auto"/>
          </w:divBdr>
        </w:div>
        <w:div w:id="512452400">
          <w:marLeft w:val="-108"/>
          <w:marRight w:val="0"/>
          <w:marTop w:val="0"/>
          <w:marBottom w:val="0"/>
          <w:divBdr>
            <w:top w:val="none" w:sz="0" w:space="0" w:color="auto"/>
            <w:left w:val="none" w:sz="0" w:space="0" w:color="auto"/>
            <w:bottom w:val="none" w:sz="0" w:space="0" w:color="auto"/>
            <w:right w:val="none" w:sz="0" w:space="0" w:color="auto"/>
          </w:divBdr>
        </w:div>
        <w:div w:id="649941985">
          <w:marLeft w:val="-108"/>
          <w:marRight w:val="0"/>
          <w:marTop w:val="0"/>
          <w:marBottom w:val="0"/>
          <w:divBdr>
            <w:top w:val="none" w:sz="0" w:space="0" w:color="auto"/>
            <w:left w:val="none" w:sz="0" w:space="0" w:color="auto"/>
            <w:bottom w:val="none" w:sz="0" w:space="0" w:color="auto"/>
            <w:right w:val="none" w:sz="0" w:space="0" w:color="auto"/>
          </w:divBdr>
        </w:div>
        <w:div w:id="1851486483">
          <w:marLeft w:val="-108"/>
          <w:marRight w:val="0"/>
          <w:marTop w:val="0"/>
          <w:marBottom w:val="0"/>
          <w:divBdr>
            <w:top w:val="none" w:sz="0" w:space="0" w:color="auto"/>
            <w:left w:val="none" w:sz="0" w:space="0" w:color="auto"/>
            <w:bottom w:val="none" w:sz="0" w:space="0" w:color="auto"/>
            <w:right w:val="none" w:sz="0" w:space="0" w:color="auto"/>
          </w:divBdr>
        </w:div>
        <w:div w:id="2065181589">
          <w:marLeft w:val="-108"/>
          <w:marRight w:val="0"/>
          <w:marTop w:val="0"/>
          <w:marBottom w:val="0"/>
          <w:divBdr>
            <w:top w:val="none" w:sz="0" w:space="0" w:color="auto"/>
            <w:left w:val="none" w:sz="0" w:space="0" w:color="auto"/>
            <w:bottom w:val="none" w:sz="0" w:space="0" w:color="auto"/>
            <w:right w:val="none" w:sz="0" w:space="0" w:color="auto"/>
          </w:divBdr>
        </w:div>
        <w:div w:id="20911481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8.png"/><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51.jpg"/><Relationship Id="rId69" Type="http://schemas.openxmlformats.org/officeDocument/2006/relationships/image" Target="media/image55.emf"/><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0.emf"/><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header" Target="header5.xml"/><Relationship Id="rId54" Type="http://schemas.openxmlformats.org/officeDocument/2006/relationships/image" Target="media/image41.png"/><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4.xml"/><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jpeg"/><Relationship Id="rId60" Type="http://schemas.openxmlformats.org/officeDocument/2006/relationships/image" Target="media/image47.jpg"/><Relationship Id="rId65" Type="http://schemas.openxmlformats.org/officeDocument/2006/relationships/footer" Target="footer3.xml"/><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emf"/><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2.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8.jpg"/><Relationship Id="rId82" Type="http://schemas.openxmlformats.org/officeDocument/2006/relationships/image" Target="media/image68.emf"/><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7.emf"/><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3.emf"/><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emf"/><Relationship Id="rId116" Type="http://schemas.openxmlformats.org/officeDocument/2006/relationships/image" Target="media/image102.png"/><Relationship Id="rId20" Type="http://schemas.openxmlformats.org/officeDocument/2006/relationships/image" Target="media/image8.png"/><Relationship Id="rId41" Type="http://schemas.openxmlformats.org/officeDocument/2006/relationships/image" Target="media/image28.jpeg"/><Relationship Id="rId62" Type="http://schemas.openxmlformats.org/officeDocument/2006/relationships/image" Target="media/image49.jpg"/><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7.png"/><Relationship Id="rId15" Type="http://schemas.openxmlformats.org/officeDocument/2006/relationships/header" Target="header3.xml"/><Relationship Id="rId36" Type="http://schemas.openxmlformats.org/officeDocument/2006/relationships/image" Target="media/image23.jpe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emf"/><Relationship Id="rId31" Type="http://schemas.openxmlformats.org/officeDocument/2006/relationships/image" Target="media/image18.emf"/><Relationship Id="rId52" Type="http://schemas.openxmlformats.org/officeDocument/2006/relationships/image" Target="media/image39.png"/><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13FB9-ECC9-4264-B860-023BE5A5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380</Pages>
  <Words>103959</Words>
  <Characters>592571</Characters>
  <Application>Microsoft Office Word</Application>
  <DocSecurity>0</DocSecurity>
  <Lines>4938</Lines>
  <Paragraphs>1390</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695140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Helstrip</dc:creator>
  <cp:keywords/>
  <cp:lastModifiedBy>Charlotte Downing</cp:lastModifiedBy>
  <cp:revision>11</cp:revision>
  <cp:lastPrinted>2021-11-15T12:51:00Z</cp:lastPrinted>
  <dcterms:created xsi:type="dcterms:W3CDTF">2022-04-03T17:28:00Z</dcterms:created>
  <dcterms:modified xsi:type="dcterms:W3CDTF">2022-04-11T19:54:00Z</dcterms:modified>
</cp:coreProperties>
</file>